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C3A30" w14:textId="4C941369" w:rsidR="0082090E" w:rsidRPr="0082090E" w:rsidRDefault="0082090E" w:rsidP="0082090E">
      <w:pPr>
        <w:rPr>
          <w:rStyle w:val="cf01"/>
          <w:rFonts w:ascii="Arial" w:hAnsi="Arial" w:cs="Arial"/>
          <w:b/>
          <w:bCs/>
          <w:i/>
          <w:iCs/>
          <w:sz w:val="36"/>
          <w:szCs w:val="36"/>
          <w:u w:val="single"/>
        </w:rPr>
      </w:pPr>
      <w:r w:rsidRPr="0082090E">
        <w:rPr>
          <w:rStyle w:val="cf01"/>
          <w:rFonts w:ascii="Arial" w:hAnsi="Arial" w:cs="Arial"/>
          <w:b/>
          <w:bCs/>
          <w:i/>
          <w:iCs/>
          <w:sz w:val="36"/>
          <w:szCs w:val="36"/>
          <w:u w:val="single"/>
        </w:rPr>
        <w:t>Evaluate the role of consideration in Contract Law</w:t>
      </w:r>
    </w:p>
    <w:p w14:paraId="74EA4140" w14:textId="58B6831F" w:rsidR="00020F3D" w:rsidRPr="00020F3D" w:rsidRDefault="0082090E" w:rsidP="0082090E">
      <w:pPr>
        <w:rPr>
          <w:rFonts w:ascii="Arial" w:hAnsi="Arial" w:cs="Arial"/>
          <w:sz w:val="24"/>
          <w:szCs w:val="24"/>
          <w:shd w:val="clear" w:color="auto" w:fill="FFFFFF"/>
        </w:rPr>
      </w:pPr>
      <w:r w:rsidRPr="0082090E">
        <w:rPr>
          <w:rFonts w:ascii="Arial" w:hAnsi="Arial" w:cs="Arial"/>
          <w:sz w:val="24"/>
          <w:szCs w:val="24"/>
          <w:shd w:val="clear" w:color="auto" w:fill="FFFFFF"/>
        </w:rPr>
        <w:br/>
      </w:r>
      <w:r w:rsidR="00020F3D" w:rsidRPr="00020F3D">
        <w:rPr>
          <w:rFonts w:ascii="Arial" w:hAnsi="Arial" w:cs="Arial"/>
          <w:color w:val="0D0D0D"/>
          <w:sz w:val="24"/>
          <w:szCs w:val="24"/>
          <w:shd w:val="clear" w:color="auto" w:fill="FFFFFF"/>
        </w:rPr>
        <w:t>Contract law's fundamental role in modern legal systems is underscored by its regulation of agreements and transactions, with the concept of consideration serving as a cornerstone for establishing legally binding contracts. This essay critically examines the pivotal role of consideration in contract formation, validity, and enforcement, alongside proposals for reform aimed at enhancing the clarity, fairness, and adaptability of contract law.</w:t>
      </w:r>
    </w:p>
    <w:p w14:paraId="5643D1B1" w14:textId="6114C584" w:rsidR="008538DA" w:rsidRPr="0082090E" w:rsidRDefault="008538DA" w:rsidP="0082090E">
      <w:pPr>
        <w:rPr>
          <w:rFonts w:ascii="Arial" w:hAnsi="Arial" w:cs="Arial"/>
          <w:sz w:val="24"/>
          <w:szCs w:val="24"/>
          <w:shd w:val="clear" w:color="auto" w:fill="FFFFFF"/>
        </w:rPr>
      </w:pPr>
      <w:r w:rsidRPr="0082090E">
        <w:rPr>
          <w:rFonts w:ascii="Arial" w:hAnsi="Arial" w:cs="Arial"/>
          <w:sz w:val="24"/>
          <w:szCs w:val="24"/>
          <w:shd w:val="clear" w:color="auto" w:fill="FFFFFF"/>
        </w:rPr>
        <w:t>Contract law serves as a foundational pillar in modern legal systems, overseeing agreements and transactions across diverse societal realms.</w:t>
      </w:r>
      <w:r w:rsidRPr="0082090E">
        <w:rPr>
          <w:rFonts w:ascii="Arial" w:hAnsi="Arial" w:cs="Arial"/>
          <w:sz w:val="24"/>
          <w:szCs w:val="24"/>
          <w:shd w:val="clear" w:color="auto" w:fill="FFFFFF"/>
        </w:rPr>
        <w:t xml:space="preserve"> </w:t>
      </w:r>
      <w:r w:rsidRPr="0082090E">
        <w:rPr>
          <w:rFonts w:ascii="Arial" w:hAnsi="Arial" w:cs="Arial"/>
          <w:sz w:val="24"/>
          <w:szCs w:val="24"/>
          <w:shd w:val="clear" w:color="auto" w:fill="FFFFFF"/>
        </w:rPr>
        <w:t>The term 'contract' signifies an agreement between two or more parties that holds binding force. Essentially, a contract is characteri</w:t>
      </w:r>
      <w:r w:rsidRPr="0082090E">
        <w:rPr>
          <w:rFonts w:ascii="Arial" w:hAnsi="Arial" w:cs="Arial"/>
          <w:sz w:val="24"/>
          <w:szCs w:val="24"/>
          <w:shd w:val="clear" w:color="auto" w:fill="FFFFFF"/>
        </w:rPr>
        <w:t>s</w:t>
      </w:r>
      <w:r w:rsidRPr="0082090E">
        <w:rPr>
          <w:rFonts w:ascii="Arial" w:hAnsi="Arial" w:cs="Arial"/>
          <w:sz w:val="24"/>
          <w:szCs w:val="24"/>
          <w:shd w:val="clear" w:color="auto" w:fill="FFFFFF"/>
        </w:rPr>
        <w:t xml:space="preserve">ed by its legal enforceability, </w:t>
      </w:r>
      <w:r w:rsidRPr="0082090E">
        <w:rPr>
          <w:rFonts w:ascii="Arial" w:hAnsi="Arial" w:cs="Arial"/>
          <w:sz w:val="24"/>
          <w:szCs w:val="24"/>
          <w:shd w:val="clear" w:color="auto" w:fill="FFFFFF"/>
        </w:rPr>
        <w:t>establishing,</w:t>
      </w:r>
      <w:r w:rsidRPr="0082090E">
        <w:rPr>
          <w:rFonts w:ascii="Arial" w:hAnsi="Arial" w:cs="Arial"/>
          <w:sz w:val="24"/>
          <w:szCs w:val="24"/>
          <w:shd w:val="clear" w:color="auto" w:fill="FFFFFF"/>
        </w:rPr>
        <w:t xml:space="preserve"> and defining the duties and obligations of the involved parties</w:t>
      </w:r>
      <w:r w:rsidR="00EC006B" w:rsidRPr="0082090E">
        <w:rPr>
          <w:rFonts w:ascii="Arial" w:hAnsi="Arial" w:cs="Arial"/>
          <w:sz w:val="24"/>
          <w:szCs w:val="24"/>
        </w:rPr>
        <w:t xml:space="preserve"> </w:t>
      </w:r>
      <w:r w:rsidR="00EC006B" w:rsidRPr="0082090E">
        <w:rPr>
          <w:rFonts w:ascii="Arial" w:eastAsia="Times New Roman" w:hAnsi="Arial" w:cs="Arial"/>
          <w:kern w:val="0"/>
          <w:sz w:val="24"/>
          <w:szCs w:val="24"/>
          <w:lang w:eastAsia="en-GB"/>
          <w14:ligatures w14:val="none"/>
        </w:rPr>
        <w:t>(Business Jargons, 2017)</w:t>
      </w:r>
      <w:r w:rsidRPr="0082090E">
        <w:rPr>
          <w:rFonts w:ascii="Arial" w:hAnsi="Arial" w:cs="Arial"/>
          <w:sz w:val="24"/>
          <w:szCs w:val="24"/>
          <w:shd w:val="clear" w:color="auto" w:fill="FFFFFF"/>
        </w:rPr>
        <w:t xml:space="preserve">. </w:t>
      </w:r>
      <w:r w:rsidRPr="0082090E">
        <w:rPr>
          <w:rFonts w:ascii="Arial" w:hAnsi="Arial" w:cs="Arial"/>
          <w:sz w:val="24"/>
          <w:szCs w:val="24"/>
          <w:shd w:val="clear" w:color="auto" w:fill="FFFFFF"/>
        </w:rPr>
        <w:t>At the heart of contract formation and enforcement lies the principle of consideratio</w:t>
      </w:r>
      <w:r w:rsidR="00EC006B" w:rsidRPr="0082090E">
        <w:rPr>
          <w:rFonts w:ascii="Arial" w:hAnsi="Arial" w:cs="Arial"/>
          <w:sz w:val="24"/>
          <w:szCs w:val="24"/>
          <w:shd w:val="clear" w:color="auto" w:fill="FFFFFF"/>
        </w:rPr>
        <w:t xml:space="preserve">n. </w:t>
      </w:r>
      <w:r w:rsidR="00EC006B" w:rsidRPr="0082090E">
        <w:rPr>
          <w:rFonts w:ascii="Arial" w:hAnsi="Arial" w:cs="Arial"/>
          <w:sz w:val="24"/>
          <w:szCs w:val="24"/>
          <w:shd w:val="clear" w:color="auto" w:fill="FFFFFF"/>
        </w:rPr>
        <w:t xml:space="preserve">Consideration </w:t>
      </w:r>
      <w:r w:rsidR="00EC006B" w:rsidRPr="0082090E">
        <w:rPr>
          <w:rFonts w:ascii="Arial" w:hAnsi="Arial" w:cs="Arial"/>
          <w:sz w:val="24"/>
          <w:szCs w:val="24"/>
          <w:shd w:val="clear" w:color="auto" w:fill="FFFFFF"/>
        </w:rPr>
        <w:t>entails</w:t>
      </w:r>
      <w:r w:rsidR="00EC006B" w:rsidRPr="0082090E">
        <w:rPr>
          <w:rFonts w:ascii="Arial" w:hAnsi="Arial" w:cs="Arial"/>
          <w:sz w:val="24"/>
          <w:szCs w:val="24"/>
          <w:shd w:val="clear" w:color="auto" w:fill="FFFFFF"/>
        </w:rPr>
        <w:t xml:space="preserve"> offering something of value to another party in exchange for goods, services, or some other commitment. In any valid contract, consideration must be present for each involved party</w:t>
      </w:r>
      <w:r w:rsidR="00EC006B" w:rsidRPr="0082090E">
        <w:rPr>
          <w:rFonts w:ascii="Arial" w:hAnsi="Arial" w:cs="Arial"/>
          <w:sz w:val="24"/>
          <w:szCs w:val="24"/>
          <w:shd w:val="clear" w:color="auto" w:fill="FFFFFF"/>
        </w:rPr>
        <w:t xml:space="preserve"> </w:t>
      </w:r>
      <w:r w:rsidR="00EC006B" w:rsidRPr="0082090E">
        <w:rPr>
          <w:rFonts w:ascii="Arial" w:eastAsia="Times New Roman" w:hAnsi="Arial" w:cs="Arial"/>
          <w:kern w:val="0"/>
          <w:sz w:val="24"/>
          <w:szCs w:val="24"/>
          <w:lang w:eastAsia="en-GB"/>
          <w14:ligatures w14:val="none"/>
        </w:rPr>
        <w:t>(Legal Dictionary, 2015)</w:t>
      </w:r>
      <w:r w:rsidR="00EC006B" w:rsidRPr="0082090E">
        <w:rPr>
          <w:rFonts w:ascii="Arial" w:eastAsia="Times New Roman" w:hAnsi="Arial" w:cs="Arial"/>
          <w:kern w:val="0"/>
          <w:sz w:val="24"/>
          <w:szCs w:val="24"/>
          <w:lang w:eastAsia="en-GB"/>
          <w14:ligatures w14:val="none"/>
        </w:rPr>
        <w:t xml:space="preserve">. </w:t>
      </w:r>
      <w:r w:rsidRPr="0082090E">
        <w:rPr>
          <w:rFonts w:ascii="Arial" w:hAnsi="Arial" w:cs="Arial"/>
          <w:sz w:val="24"/>
          <w:szCs w:val="24"/>
          <w:shd w:val="clear" w:color="auto" w:fill="FFFFFF"/>
        </w:rPr>
        <w:t>This essay will critically evaluate the pivotal role of consideration within contract law, examining its significance in the formation, validity, and enforcement of contracts.</w:t>
      </w:r>
    </w:p>
    <w:p w14:paraId="49439617" w14:textId="05AD4711" w:rsidR="00A36905" w:rsidRPr="0082090E" w:rsidRDefault="006F648F" w:rsidP="0082090E">
      <w:pPr>
        <w:rPr>
          <w:rFonts w:ascii="Arial" w:eastAsia="Times New Roman" w:hAnsi="Arial" w:cs="Arial"/>
          <w:kern w:val="0"/>
          <w:sz w:val="24"/>
          <w:szCs w:val="24"/>
          <w:lang w:eastAsia="en-GB"/>
          <w14:ligatures w14:val="none"/>
        </w:rPr>
      </w:pPr>
      <w:r w:rsidRPr="0082090E">
        <w:rPr>
          <w:rFonts w:ascii="Arial" w:hAnsi="Arial" w:cs="Arial"/>
          <w:sz w:val="24"/>
          <w:szCs w:val="24"/>
          <w:shd w:val="clear" w:color="auto" w:fill="FFFFFF"/>
        </w:rPr>
        <w:t>The formation of a contract relies on several crucial elements, each contributing to the creation of a legally binding agreement. The offer marks the beginning of the contract formation process, where one party clearly states their willingness to enter into a contract with specified conditions</w:t>
      </w:r>
      <w:r w:rsidRPr="0082090E">
        <w:rPr>
          <w:rFonts w:ascii="Arial" w:hAnsi="Arial" w:cs="Arial"/>
          <w:sz w:val="24"/>
          <w:szCs w:val="24"/>
          <w:shd w:val="clear" w:color="auto" w:fill="FFFFFF"/>
        </w:rPr>
        <w:t xml:space="preserve">. </w:t>
      </w:r>
      <w:r w:rsidR="00C3695C" w:rsidRPr="0082090E">
        <w:rPr>
          <w:rFonts w:ascii="Arial" w:hAnsi="Arial" w:cs="Arial"/>
          <w:sz w:val="24"/>
          <w:szCs w:val="24"/>
          <w:shd w:val="clear" w:color="auto" w:fill="FFFFFF"/>
        </w:rPr>
        <w:t>An offer is a proposal presented by one party (the offeror) to another (the offeree) aiming to establish a legally binding contract. For an offer to be deemed valid, several criteria must be met</w:t>
      </w:r>
      <w:r w:rsidR="00C3695C" w:rsidRPr="0082090E">
        <w:rPr>
          <w:rFonts w:ascii="Arial" w:hAnsi="Arial" w:cs="Arial"/>
          <w:sz w:val="24"/>
          <w:szCs w:val="24"/>
          <w:shd w:val="clear" w:color="auto" w:fill="FFFFFF"/>
        </w:rPr>
        <w:t>. T</w:t>
      </w:r>
      <w:r w:rsidR="00C3695C" w:rsidRPr="0082090E">
        <w:rPr>
          <w:rFonts w:ascii="Arial" w:hAnsi="Arial" w:cs="Arial"/>
          <w:sz w:val="24"/>
          <w:szCs w:val="24"/>
          <w:shd w:val="clear" w:color="auto" w:fill="FFFFFF"/>
        </w:rPr>
        <w:t>here must be a genuine intention on the part of the offeror to be bound by the proposal</w:t>
      </w:r>
      <w:r w:rsidR="00C3695C" w:rsidRPr="0082090E">
        <w:rPr>
          <w:rFonts w:ascii="Arial" w:hAnsi="Arial" w:cs="Arial"/>
          <w:sz w:val="24"/>
          <w:szCs w:val="24"/>
          <w:shd w:val="clear" w:color="auto" w:fill="FFFFFF"/>
        </w:rPr>
        <w:t xml:space="preserve">, </w:t>
      </w:r>
      <w:r w:rsidR="00C3695C" w:rsidRPr="0082090E">
        <w:rPr>
          <w:rFonts w:ascii="Arial" w:hAnsi="Arial" w:cs="Arial"/>
          <w:sz w:val="24"/>
          <w:szCs w:val="24"/>
          <w:shd w:val="clear" w:color="auto" w:fill="FFFFFF"/>
        </w:rPr>
        <w:t>the offer must clearly specify all essential terms, including the subject matter, price, quantity, and any other critical conditions necessary for contract formation.</w:t>
      </w:r>
      <w:r w:rsidR="00C3695C" w:rsidRPr="0082090E">
        <w:rPr>
          <w:rFonts w:ascii="Arial" w:hAnsi="Arial" w:cs="Arial"/>
          <w:sz w:val="24"/>
          <w:szCs w:val="24"/>
          <w:shd w:val="clear" w:color="auto" w:fill="FFFFFF"/>
        </w:rPr>
        <w:t xml:space="preserve"> </w:t>
      </w:r>
      <w:r w:rsidR="00C3695C" w:rsidRPr="0082090E">
        <w:rPr>
          <w:rFonts w:ascii="Arial" w:hAnsi="Arial" w:cs="Arial"/>
          <w:sz w:val="24"/>
          <w:szCs w:val="24"/>
          <w:shd w:val="clear" w:color="auto" w:fill="FFFFFF"/>
        </w:rPr>
        <w:t>Lastly, the offer must be effectively communicated to the offeree, either directly or through proper channels. The offeree must be aware of the offer before they can accept it</w:t>
      </w:r>
      <w:r w:rsidR="00C3695C" w:rsidRPr="0082090E">
        <w:rPr>
          <w:rFonts w:ascii="Arial" w:hAnsi="Arial" w:cs="Arial"/>
          <w:sz w:val="24"/>
          <w:szCs w:val="24"/>
          <w:shd w:val="clear" w:color="auto" w:fill="FFFFFF"/>
        </w:rPr>
        <w:t xml:space="preserve">, </w:t>
      </w:r>
      <w:r w:rsidR="00C3695C" w:rsidRPr="0082090E">
        <w:rPr>
          <w:rFonts w:ascii="Arial" w:hAnsi="Arial" w:cs="Arial"/>
          <w:sz w:val="24"/>
          <w:szCs w:val="24"/>
          <w:shd w:val="clear" w:color="auto" w:fill="FFFFFF"/>
        </w:rPr>
        <w:t>as acceptance requires the offeree's awareness of the offer</w:t>
      </w:r>
      <w:r w:rsidR="00C3695C" w:rsidRPr="0082090E">
        <w:rPr>
          <w:rFonts w:ascii="Arial" w:hAnsi="Arial" w:cs="Arial"/>
          <w:sz w:val="24"/>
          <w:szCs w:val="24"/>
          <w:shd w:val="clear" w:color="auto" w:fill="FFFFFF"/>
        </w:rPr>
        <w:t xml:space="preserve"> </w:t>
      </w:r>
      <w:r w:rsidR="00C3695C" w:rsidRPr="0082090E">
        <w:rPr>
          <w:rFonts w:ascii="Arial" w:hAnsi="Arial" w:cs="Arial"/>
          <w:sz w:val="24"/>
          <w:szCs w:val="24"/>
          <w:lang w:eastAsia="en-GB"/>
        </w:rPr>
        <w:t>(Contract Law, 2023)</w:t>
      </w:r>
      <w:r w:rsidR="00C3695C" w:rsidRPr="0082090E">
        <w:rPr>
          <w:rFonts w:ascii="Arial" w:hAnsi="Arial" w:cs="Arial"/>
          <w:sz w:val="24"/>
          <w:szCs w:val="24"/>
          <w:lang w:eastAsia="en-GB"/>
        </w:rPr>
        <w:t>.</w:t>
      </w:r>
      <w:r w:rsidR="00C3695C" w:rsidRPr="0082090E">
        <w:rPr>
          <w:rFonts w:ascii="Arial" w:hAnsi="Arial" w:cs="Arial"/>
          <w:sz w:val="24"/>
          <w:szCs w:val="24"/>
          <w:lang w:eastAsia="en-GB"/>
        </w:rPr>
        <w:br/>
      </w:r>
      <w:r w:rsidR="00A36905" w:rsidRPr="0082090E">
        <w:rPr>
          <w:rFonts w:ascii="Arial" w:hAnsi="Arial" w:cs="Arial"/>
          <w:sz w:val="24"/>
          <w:szCs w:val="24"/>
          <w:lang w:eastAsia="en-GB"/>
        </w:rPr>
        <w:t>F</w:t>
      </w:r>
      <w:r w:rsidR="00A36905" w:rsidRPr="0082090E">
        <w:rPr>
          <w:rFonts w:ascii="Arial" w:hAnsi="Arial" w:cs="Arial"/>
          <w:sz w:val="24"/>
          <w:szCs w:val="24"/>
          <w:lang w:eastAsia="en-GB"/>
        </w:rPr>
        <w:t>ollowing the offer, acceptance occurs when the other party clearly agrees to these terms, thus establishing the mutual consent necessary for the contract's validity.</w:t>
      </w:r>
      <w:r w:rsidR="00A36905" w:rsidRPr="0082090E">
        <w:rPr>
          <w:rFonts w:ascii="Arial" w:hAnsi="Arial" w:cs="Arial"/>
          <w:sz w:val="24"/>
          <w:szCs w:val="24"/>
          <w:lang w:eastAsia="en-GB"/>
        </w:rPr>
        <w:t xml:space="preserve"> </w:t>
      </w:r>
      <w:r w:rsidR="00A36905" w:rsidRPr="0082090E">
        <w:rPr>
          <w:rFonts w:ascii="Arial" w:hAnsi="Arial" w:cs="Arial"/>
          <w:sz w:val="24"/>
          <w:szCs w:val="24"/>
          <w:shd w:val="clear" w:color="auto" w:fill="FFFFFF"/>
        </w:rPr>
        <w:t>T</w:t>
      </w:r>
      <w:r w:rsidR="00A36905" w:rsidRPr="0082090E">
        <w:rPr>
          <w:rFonts w:ascii="Arial" w:hAnsi="Arial" w:cs="Arial"/>
          <w:sz w:val="24"/>
          <w:szCs w:val="24"/>
          <w:shd w:val="clear" w:color="auto" w:fill="FFFFFF"/>
        </w:rPr>
        <w:t xml:space="preserve">he acceptance of the offer must be communicated to the offeror, whether verbally or through conduct, ensuring mutual understanding. It is imperative that the accepted terms align precisely with those outlined in the offer; any alteration constitutes a </w:t>
      </w:r>
      <w:proofErr w:type="gramStart"/>
      <w:r w:rsidR="00A36905" w:rsidRPr="0082090E">
        <w:rPr>
          <w:rFonts w:ascii="Arial" w:hAnsi="Arial" w:cs="Arial"/>
          <w:sz w:val="24"/>
          <w:szCs w:val="24"/>
          <w:shd w:val="clear" w:color="auto" w:fill="FFFFFF"/>
        </w:rPr>
        <w:t>counter-offer</w:t>
      </w:r>
      <w:proofErr w:type="gramEnd"/>
      <w:r w:rsidR="00A36905" w:rsidRPr="0082090E">
        <w:rPr>
          <w:rFonts w:ascii="Arial" w:hAnsi="Arial" w:cs="Arial"/>
          <w:sz w:val="24"/>
          <w:szCs w:val="24"/>
          <w:shd w:val="clear" w:color="auto" w:fill="FFFFFF"/>
        </w:rPr>
        <w:t>, necessitating the offeror's acceptance for contract formation. Moreover, the terms of the agreement must be clear; lack of clarity or uncertainty may render the contract unenforceable in the eyes of the court</w:t>
      </w:r>
      <w:r w:rsidR="00A36905" w:rsidRPr="0082090E">
        <w:rPr>
          <w:rFonts w:ascii="Arial" w:hAnsi="Arial" w:cs="Arial"/>
          <w:sz w:val="24"/>
          <w:szCs w:val="24"/>
          <w:shd w:val="clear" w:color="auto" w:fill="FFFFFF"/>
        </w:rPr>
        <w:t xml:space="preserve"> </w:t>
      </w:r>
      <w:r w:rsidR="00B62B62" w:rsidRPr="0082090E">
        <w:rPr>
          <w:rFonts w:ascii="Arial" w:eastAsia="Times New Roman" w:hAnsi="Arial" w:cs="Arial"/>
          <w:kern w:val="0"/>
          <w:sz w:val="24"/>
          <w:szCs w:val="24"/>
          <w:lang w:eastAsia="en-GB"/>
          <w14:ligatures w14:val="none"/>
        </w:rPr>
        <w:t>(Somji, 2023)</w:t>
      </w:r>
      <w:r w:rsidR="00B62B62" w:rsidRPr="0082090E">
        <w:rPr>
          <w:rFonts w:ascii="Arial" w:eastAsia="Times New Roman" w:hAnsi="Arial" w:cs="Arial"/>
          <w:kern w:val="0"/>
          <w:sz w:val="24"/>
          <w:szCs w:val="24"/>
          <w:lang w:eastAsia="en-GB"/>
          <w14:ligatures w14:val="none"/>
        </w:rPr>
        <w:t>.</w:t>
      </w:r>
    </w:p>
    <w:p w14:paraId="40E1C4F3" w14:textId="0297ED6A" w:rsidR="00A36905" w:rsidRPr="0082090E" w:rsidRDefault="006A705D" w:rsidP="0082090E">
      <w:pPr>
        <w:rPr>
          <w:rFonts w:ascii="Arial" w:eastAsia="Times New Roman" w:hAnsi="Arial" w:cs="Arial"/>
          <w:kern w:val="0"/>
          <w:sz w:val="24"/>
          <w:szCs w:val="24"/>
          <w:lang w:eastAsia="en-GB"/>
          <w14:ligatures w14:val="none"/>
        </w:rPr>
      </w:pPr>
      <w:r w:rsidRPr="0082090E">
        <w:rPr>
          <w:rFonts w:ascii="Arial" w:hAnsi="Arial" w:cs="Arial"/>
          <w:sz w:val="24"/>
          <w:szCs w:val="24"/>
          <w:shd w:val="clear" w:color="auto" w:fill="FFFFFF"/>
        </w:rPr>
        <w:t xml:space="preserve">Alongside offer and acceptance, the critical requirement that both parties must </w:t>
      </w:r>
      <w:r w:rsidRPr="0082090E">
        <w:rPr>
          <w:rFonts w:ascii="Arial" w:hAnsi="Arial" w:cs="Arial"/>
          <w:sz w:val="24"/>
          <w:szCs w:val="24"/>
          <w:shd w:val="clear" w:color="auto" w:fill="FFFFFF"/>
        </w:rPr>
        <w:t>harbour</w:t>
      </w:r>
      <w:r w:rsidRPr="0082090E">
        <w:rPr>
          <w:rFonts w:ascii="Arial" w:hAnsi="Arial" w:cs="Arial"/>
          <w:sz w:val="24"/>
          <w:szCs w:val="24"/>
          <w:shd w:val="clear" w:color="auto" w:fill="FFFFFF"/>
        </w:rPr>
        <w:t xml:space="preserve"> the intent to establish legal relations is pivotal in validating an agreement. This fundamental element of a legally binding contract ensures that the parties involved genuinely aim to enter into a formal arrangement, subject to enforcement by </w:t>
      </w:r>
      <w:r w:rsidRPr="0082090E">
        <w:rPr>
          <w:rFonts w:ascii="Arial" w:hAnsi="Arial" w:cs="Arial"/>
          <w:sz w:val="24"/>
          <w:szCs w:val="24"/>
          <w:shd w:val="clear" w:color="auto" w:fill="FFFFFF"/>
        </w:rPr>
        <w:lastRenderedPageBreak/>
        <w:t>the courts, signifying their acknowledgment of the contract's enforceability under the law</w:t>
      </w:r>
      <w:r w:rsidRPr="0082090E">
        <w:rPr>
          <w:rFonts w:ascii="Arial" w:hAnsi="Arial" w:cs="Arial"/>
          <w:sz w:val="24"/>
          <w:szCs w:val="24"/>
          <w:shd w:val="clear" w:color="auto" w:fill="FFFFFF"/>
        </w:rPr>
        <w:t xml:space="preserve"> </w:t>
      </w:r>
      <w:r w:rsidRPr="0082090E">
        <w:rPr>
          <w:rFonts w:ascii="Arial" w:eastAsia="Times New Roman" w:hAnsi="Arial" w:cs="Arial"/>
          <w:kern w:val="0"/>
          <w:sz w:val="24"/>
          <w:szCs w:val="24"/>
          <w:lang w:eastAsia="en-GB"/>
          <w14:ligatures w14:val="none"/>
        </w:rPr>
        <w:t>(Study</w:t>
      </w:r>
      <w:r w:rsidR="00150D77" w:rsidRPr="0082090E">
        <w:rPr>
          <w:rFonts w:ascii="Arial" w:eastAsia="Times New Roman" w:hAnsi="Arial" w:cs="Arial"/>
          <w:kern w:val="0"/>
          <w:sz w:val="24"/>
          <w:szCs w:val="24"/>
          <w:lang w:eastAsia="en-GB"/>
          <w14:ligatures w14:val="none"/>
        </w:rPr>
        <w:t xml:space="preserve"> </w:t>
      </w:r>
      <w:r w:rsidRPr="0082090E">
        <w:rPr>
          <w:rFonts w:ascii="Arial" w:eastAsia="Times New Roman" w:hAnsi="Arial" w:cs="Arial"/>
          <w:kern w:val="0"/>
          <w:sz w:val="24"/>
          <w:szCs w:val="24"/>
          <w:lang w:eastAsia="en-GB"/>
          <w14:ligatures w14:val="none"/>
        </w:rPr>
        <w:t>Smarter, 2023)</w:t>
      </w:r>
      <w:r w:rsidRPr="0082090E">
        <w:rPr>
          <w:rFonts w:ascii="Arial" w:eastAsia="Times New Roman" w:hAnsi="Arial" w:cs="Arial"/>
          <w:kern w:val="0"/>
          <w:sz w:val="24"/>
          <w:szCs w:val="24"/>
          <w:lang w:eastAsia="en-GB"/>
          <w14:ligatures w14:val="none"/>
        </w:rPr>
        <w:t>.</w:t>
      </w:r>
      <w:r w:rsidRPr="0082090E">
        <w:rPr>
          <w:rFonts w:ascii="Arial" w:eastAsia="Times New Roman" w:hAnsi="Arial" w:cs="Arial"/>
          <w:vanish/>
          <w:kern w:val="0"/>
          <w:sz w:val="24"/>
          <w:szCs w:val="24"/>
          <w:lang w:eastAsia="en-GB"/>
          <w14:ligatures w14:val="none"/>
        </w:rPr>
        <w:t xml:space="preserve"> </w:t>
      </w:r>
      <w:r w:rsidR="00A36905" w:rsidRPr="0082090E">
        <w:rPr>
          <w:rFonts w:ascii="Arial" w:eastAsia="Times New Roman" w:hAnsi="Arial" w:cs="Arial"/>
          <w:vanish/>
          <w:kern w:val="0"/>
          <w:sz w:val="24"/>
          <w:szCs w:val="24"/>
          <w:lang w:eastAsia="en-GB"/>
          <w14:ligatures w14:val="none"/>
        </w:rPr>
        <w:t>Top of Form</w:t>
      </w:r>
    </w:p>
    <w:p w14:paraId="3BF01740" w14:textId="3AE775A2" w:rsidR="00150D77" w:rsidRPr="0082090E" w:rsidRDefault="00150D77" w:rsidP="0082090E">
      <w:pPr>
        <w:rPr>
          <w:rFonts w:ascii="Arial" w:hAnsi="Arial" w:cs="Arial"/>
          <w:sz w:val="24"/>
          <w:szCs w:val="24"/>
          <w:shd w:val="clear" w:color="auto" w:fill="FFFFFF"/>
        </w:rPr>
      </w:pPr>
      <w:r w:rsidRPr="0082090E">
        <w:rPr>
          <w:rFonts w:ascii="Arial" w:hAnsi="Arial" w:cs="Arial"/>
          <w:sz w:val="24"/>
          <w:szCs w:val="24"/>
          <w:shd w:val="clear" w:color="auto" w:fill="FFFFFF"/>
        </w:rPr>
        <w:t>With offer, acceptance, and the intent to create legal relations established, consideration emerges as the final piece essential for cementing the contractual agreement</w:t>
      </w:r>
      <w:r w:rsidRPr="0082090E">
        <w:rPr>
          <w:rFonts w:ascii="Arial" w:hAnsi="Arial" w:cs="Arial"/>
          <w:sz w:val="24"/>
          <w:szCs w:val="24"/>
          <w:shd w:val="clear" w:color="auto" w:fill="FFFFFF"/>
        </w:rPr>
        <w:t xml:space="preserve">. </w:t>
      </w:r>
      <w:r w:rsidRPr="0082090E">
        <w:rPr>
          <w:rFonts w:ascii="Arial" w:hAnsi="Arial" w:cs="Arial"/>
          <w:sz w:val="24"/>
          <w:szCs w:val="24"/>
          <w:shd w:val="clear" w:color="auto" w:fill="FFFFFF"/>
        </w:rPr>
        <w:t>Consideration refers to something of value offered in exchange for contractual promises, to which a party is not already entitled. It manifests in different forms, such as monetary payments or promises to perform or refrain from certain actions. Crucially, consideration is integral to contract formation, as it must be legally sufficient for the contract to be enforceable</w:t>
      </w:r>
      <w:r w:rsidRPr="0082090E">
        <w:rPr>
          <w:rFonts w:ascii="Arial" w:hAnsi="Arial" w:cs="Arial"/>
          <w:sz w:val="24"/>
          <w:szCs w:val="24"/>
          <w:shd w:val="clear" w:color="auto" w:fill="FFFFFF"/>
        </w:rPr>
        <w:t xml:space="preserve"> </w:t>
      </w:r>
      <w:r w:rsidRPr="0082090E">
        <w:rPr>
          <w:rFonts w:ascii="Arial" w:eastAsia="Times New Roman" w:hAnsi="Arial" w:cs="Arial"/>
          <w:kern w:val="0"/>
          <w:sz w:val="24"/>
          <w:szCs w:val="24"/>
          <w:lang w:eastAsia="en-GB"/>
          <w14:ligatures w14:val="none"/>
        </w:rPr>
        <w:t>(Practical</w:t>
      </w:r>
      <w:r w:rsidRPr="0082090E">
        <w:rPr>
          <w:rFonts w:ascii="Arial" w:eastAsia="Times New Roman" w:hAnsi="Arial" w:cs="Arial"/>
          <w:kern w:val="0"/>
          <w:sz w:val="24"/>
          <w:szCs w:val="24"/>
          <w:lang w:eastAsia="en-GB"/>
          <w14:ligatures w14:val="none"/>
        </w:rPr>
        <w:t xml:space="preserve"> </w:t>
      </w:r>
      <w:r w:rsidRPr="0082090E">
        <w:rPr>
          <w:rFonts w:ascii="Arial" w:eastAsia="Times New Roman" w:hAnsi="Arial" w:cs="Arial"/>
          <w:kern w:val="0"/>
          <w:sz w:val="24"/>
          <w:szCs w:val="24"/>
          <w:lang w:eastAsia="en-GB"/>
          <w14:ligatures w14:val="none"/>
        </w:rPr>
        <w:t>Law, 2024)</w:t>
      </w:r>
      <w:r w:rsidRPr="0082090E">
        <w:rPr>
          <w:rFonts w:ascii="Arial" w:eastAsia="Times New Roman" w:hAnsi="Arial" w:cs="Arial"/>
          <w:kern w:val="0"/>
          <w:sz w:val="24"/>
          <w:szCs w:val="24"/>
          <w:lang w:eastAsia="en-GB"/>
          <w14:ligatures w14:val="none"/>
        </w:rPr>
        <w:t>.</w:t>
      </w:r>
      <w:r w:rsidR="004116B1" w:rsidRPr="0082090E">
        <w:rPr>
          <w:rFonts w:ascii="Arial" w:eastAsia="Times New Roman" w:hAnsi="Arial" w:cs="Arial"/>
          <w:kern w:val="0"/>
          <w:sz w:val="24"/>
          <w:szCs w:val="24"/>
          <w:lang w:eastAsia="en-GB"/>
          <w14:ligatures w14:val="none"/>
        </w:rPr>
        <w:t xml:space="preserve"> In the case of </w:t>
      </w:r>
      <w:r w:rsidR="004116B1" w:rsidRPr="0082090E">
        <w:rPr>
          <w:rFonts w:ascii="Arial" w:hAnsi="Arial" w:cs="Arial"/>
          <w:sz w:val="24"/>
          <w:szCs w:val="24"/>
          <w:shd w:val="clear" w:color="auto" w:fill="FFFFFF"/>
        </w:rPr>
        <w:t xml:space="preserve">Dunlop v Selfridge (1915) </w:t>
      </w:r>
      <w:r w:rsidR="00C32F68" w:rsidRPr="0082090E">
        <w:rPr>
          <w:rFonts w:ascii="Arial" w:hAnsi="Arial" w:cs="Arial"/>
          <w:sz w:val="24"/>
          <w:szCs w:val="24"/>
          <w:shd w:val="clear" w:color="auto" w:fill="FFFFFF"/>
        </w:rPr>
        <w:t>they define consideration as</w:t>
      </w:r>
      <w:r w:rsidR="004116B1" w:rsidRPr="0082090E">
        <w:rPr>
          <w:rFonts w:ascii="Arial" w:hAnsi="Arial" w:cs="Arial"/>
          <w:sz w:val="24"/>
          <w:szCs w:val="24"/>
          <w:shd w:val="clear" w:color="auto" w:fill="FFFFFF"/>
        </w:rPr>
        <w:t>: "An act or forbearance of one party, or the promise thereof, is the price for which the promise of the other is bought, and the promise thus given for value is enforceable."</w:t>
      </w:r>
      <w:r w:rsidR="00C32F68" w:rsidRPr="0082090E">
        <w:rPr>
          <w:rFonts w:ascii="Arial" w:hAnsi="Arial" w:cs="Arial"/>
          <w:sz w:val="24"/>
          <w:szCs w:val="24"/>
          <w:shd w:val="clear" w:color="auto" w:fill="FFFFFF"/>
        </w:rPr>
        <w:t xml:space="preserve"> </w:t>
      </w:r>
      <w:r w:rsidR="00C32F68" w:rsidRPr="0082090E">
        <w:rPr>
          <w:rFonts w:ascii="Arial" w:hAnsi="Arial" w:cs="Arial"/>
          <w:sz w:val="24"/>
          <w:szCs w:val="24"/>
          <w:shd w:val="clear" w:color="auto" w:fill="FFFFFF"/>
        </w:rPr>
        <w:t>This definition highlights that for a promise to be enforceable in a contract, both parties must give something valuable in return. It emphasizes fairness by ensuring that each party contributes something of worth, whether it's an action, refraining from an action, or a promise. This exchange creates a mutual obligation, making the contract legally binding.</w:t>
      </w:r>
    </w:p>
    <w:p w14:paraId="7B512F18" w14:textId="3A498DB5" w:rsidR="00C53588" w:rsidRPr="0082090E" w:rsidRDefault="00C53588" w:rsidP="0082090E">
      <w:pPr>
        <w:rPr>
          <w:rFonts w:ascii="Arial" w:eastAsia="Times New Roman" w:hAnsi="Arial" w:cs="Arial"/>
          <w:kern w:val="0"/>
          <w:sz w:val="24"/>
          <w:szCs w:val="24"/>
          <w:lang w:eastAsia="en-GB"/>
          <w14:ligatures w14:val="none"/>
        </w:rPr>
      </w:pPr>
      <w:r w:rsidRPr="0082090E">
        <w:rPr>
          <w:rFonts w:ascii="Arial" w:hAnsi="Arial" w:cs="Arial"/>
          <w:sz w:val="24"/>
          <w:szCs w:val="24"/>
          <w:shd w:val="clear" w:color="auto" w:fill="FFFFFF"/>
        </w:rPr>
        <w:t xml:space="preserve">Consideration in contract law comprises two main types: executed and executory. Executed consideration involves the immediate delivery of promises outlined in a contract, such as the prompt delivery of goods or the transfer of ownership in a sale transaction. In contrast, executory consideration entails </w:t>
      </w:r>
      <w:proofErr w:type="gramStart"/>
      <w:r w:rsidRPr="0082090E">
        <w:rPr>
          <w:rFonts w:ascii="Arial" w:hAnsi="Arial" w:cs="Arial"/>
          <w:sz w:val="24"/>
          <w:szCs w:val="24"/>
          <w:shd w:val="clear" w:color="auto" w:fill="FFFFFF"/>
        </w:rPr>
        <w:t>promises</w:t>
      </w:r>
      <w:proofErr w:type="gramEnd"/>
      <w:r w:rsidRPr="0082090E">
        <w:rPr>
          <w:rFonts w:ascii="Arial" w:hAnsi="Arial" w:cs="Arial"/>
          <w:sz w:val="24"/>
          <w:szCs w:val="24"/>
          <w:shd w:val="clear" w:color="auto" w:fill="FFFFFF"/>
        </w:rPr>
        <w:t xml:space="preserve"> made within a contract that are set to be fulfilled in the future, as demonstrated by agreements like a commercial property lease or a commitment to provide ongoing services over a specified period. These distinctions highlight the varied nature of contractual obligations, underscoring the dynamic interplay between present and future commitment</w:t>
      </w:r>
      <w:r w:rsidRPr="0082090E">
        <w:rPr>
          <w:rFonts w:ascii="Arial" w:hAnsi="Arial" w:cs="Arial"/>
          <w:sz w:val="24"/>
          <w:szCs w:val="24"/>
          <w:shd w:val="clear" w:color="auto" w:fill="FFFFFF"/>
        </w:rPr>
        <w:t xml:space="preserve">s </w:t>
      </w:r>
      <w:r w:rsidRPr="0082090E">
        <w:rPr>
          <w:rFonts w:ascii="Arial" w:eastAsia="Times New Roman" w:hAnsi="Arial" w:cs="Arial"/>
          <w:kern w:val="0"/>
          <w:sz w:val="24"/>
          <w:szCs w:val="24"/>
          <w:lang w:eastAsia="en-GB"/>
          <w14:ligatures w14:val="none"/>
        </w:rPr>
        <w:t>(</w:t>
      </w:r>
      <w:proofErr w:type="spellStart"/>
      <w:r w:rsidRPr="0082090E">
        <w:rPr>
          <w:rFonts w:ascii="Arial" w:eastAsia="Times New Roman" w:hAnsi="Arial" w:cs="Arial"/>
          <w:kern w:val="0"/>
          <w:sz w:val="24"/>
          <w:szCs w:val="24"/>
          <w:lang w:eastAsia="en-GB"/>
          <w14:ligatures w14:val="none"/>
        </w:rPr>
        <w:t>Lawbite</w:t>
      </w:r>
      <w:proofErr w:type="spellEnd"/>
      <w:r w:rsidRPr="0082090E">
        <w:rPr>
          <w:rFonts w:ascii="Arial" w:eastAsia="Times New Roman" w:hAnsi="Arial" w:cs="Arial"/>
          <w:kern w:val="0"/>
          <w:sz w:val="24"/>
          <w:szCs w:val="24"/>
          <w:lang w:eastAsia="en-GB"/>
          <w14:ligatures w14:val="none"/>
        </w:rPr>
        <w:t>, 2021)</w:t>
      </w:r>
      <w:r w:rsidRPr="0082090E">
        <w:rPr>
          <w:rFonts w:ascii="Arial" w:eastAsia="Times New Roman" w:hAnsi="Arial" w:cs="Arial"/>
          <w:kern w:val="0"/>
          <w:sz w:val="24"/>
          <w:szCs w:val="24"/>
          <w:lang w:eastAsia="en-GB"/>
          <w14:ligatures w14:val="none"/>
        </w:rPr>
        <w:t>.</w:t>
      </w:r>
    </w:p>
    <w:p w14:paraId="3ADE3345" w14:textId="15486D63" w:rsidR="00DE2BFA" w:rsidRPr="0082090E" w:rsidRDefault="00FF7BD9" w:rsidP="0082090E">
      <w:pPr>
        <w:rPr>
          <w:rFonts w:ascii="Arial" w:eastAsia="Times New Roman" w:hAnsi="Arial" w:cs="Arial"/>
          <w:kern w:val="0"/>
          <w:sz w:val="24"/>
          <w:szCs w:val="24"/>
          <w:lang w:eastAsia="en-GB"/>
          <w14:ligatures w14:val="none"/>
        </w:rPr>
      </w:pPr>
      <w:r w:rsidRPr="0082090E">
        <w:rPr>
          <w:rFonts w:ascii="Arial" w:hAnsi="Arial" w:cs="Arial"/>
          <w:sz w:val="24"/>
          <w:szCs w:val="24"/>
          <w:shd w:val="clear" w:color="auto" w:fill="FFFFFF"/>
        </w:rPr>
        <w:t>In order for consideration to be considered legally valid, it must meet specific predetermined rules. These rules serve as the foundational measure ensuring that the consideration exchanged between parties possesses the necessary attributes crucial for the legitimacy of the contract.</w:t>
      </w:r>
      <w:r w:rsidR="00F64869" w:rsidRPr="0082090E">
        <w:rPr>
          <w:rFonts w:ascii="Arial" w:eastAsia="Times New Roman" w:hAnsi="Arial" w:cs="Arial"/>
          <w:kern w:val="0"/>
          <w:sz w:val="24"/>
          <w:szCs w:val="24"/>
          <w:lang w:eastAsia="en-GB"/>
          <w14:ligatures w14:val="none"/>
        </w:rPr>
        <w:t xml:space="preserve"> </w:t>
      </w:r>
      <w:r w:rsidR="00F64869" w:rsidRPr="0082090E">
        <w:rPr>
          <w:rFonts w:ascii="Arial" w:hAnsi="Arial" w:cs="Arial"/>
          <w:sz w:val="24"/>
          <w:szCs w:val="24"/>
          <w:shd w:val="clear" w:color="auto" w:fill="FFFFFF"/>
        </w:rPr>
        <w:t>The three main rules for consideration to be valid are that it must move from the promise, must not be past, and must be sufficient, although not necessarily adequate</w:t>
      </w:r>
      <w:r w:rsidR="00F64869" w:rsidRPr="0082090E">
        <w:rPr>
          <w:rFonts w:ascii="Arial" w:hAnsi="Arial" w:cs="Arial"/>
          <w:sz w:val="24"/>
          <w:szCs w:val="24"/>
          <w:shd w:val="clear" w:color="auto" w:fill="FFFFFF"/>
        </w:rPr>
        <w:t xml:space="preserve"> </w:t>
      </w:r>
      <w:r w:rsidR="00F64869" w:rsidRPr="0082090E">
        <w:rPr>
          <w:rFonts w:ascii="Arial" w:eastAsia="Times New Roman" w:hAnsi="Arial" w:cs="Arial"/>
          <w:kern w:val="0"/>
          <w:sz w:val="24"/>
          <w:szCs w:val="24"/>
          <w:lang w:eastAsia="en-GB"/>
          <w14:ligatures w14:val="none"/>
        </w:rPr>
        <w:t>(Fafinski and Finch, 2014, p.37)</w:t>
      </w:r>
    </w:p>
    <w:p w14:paraId="693E4C99" w14:textId="476C0D8D" w:rsidR="00AC09CF" w:rsidRPr="0082090E" w:rsidRDefault="00AC09CF" w:rsidP="0082090E">
      <w:pPr>
        <w:rPr>
          <w:rFonts w:ascii="Arial" w:hAnsi="Arial" w:cs="Arial"/>
          <w:sz w:val="24"/>
          <w:szCs w:val="24"/>
        </w:rPr>
      </w:pPr>
      <w:r w:rsidRPr="0082090E">
        <w:rPr>
          <w:rFonts w:ascii="Arial" w:hAnsi="Arial" w:cs="Arial"/>
          <w:sz w:val="24"/>
          <w:szCs w:val="24"/>
        </w:rPr>
        <w:t xml:space="preserve">The legal </w:t>
      </w:r>
      <w:r w:rsidR="00F64869" w:rsidRPr="0082090E">
        <w:rPr>
          <w:rFonts w:ascii="Arial" w:hAnsi="Arial" w:cs="Arial"/>
          <w:sz w:val="24"/>
          <w:szCs w:val="24"/>
        </w:rPr>
        <w:t>concept</w:t>
      </w:r>
      <w:r w:rsidRPr="0082090E">
        <w:rPr>
          <w:rFonts w:ascii="Arial" w:hAnsi="Arial" w:cs="Arial"/>
          <w:sz w:val="24"/>
          <w:szCs w:val="24"/>
        </w:rPr>
        <w:t xml:space="preserve"> that "consideration must move from the </w:t>
      </w:r>
      <w:proofErr w:type="spellStart"/>
      <w:r w:rsidRPr="0082090E">
        <w:rPr>
          <w:rFonts w:ascii="Arial" w:hAnsi="Arial" w:cs="Arial"/>
          <w:sz w:val="24"/>
          <w:szCs w:val="24"/>
        </w:rPr>
        <w:t>promisee</w:t>
      </w:r>
      <w:proofErr w:type="spellEnd"/>
      <w:r w:rsidRPr="0082090E">
        <w:rPr>
          <w:rFonts w:ascii="Arial" w:hAnsi="Arial" w:cs="Arial"/>
          <w:sz w:val="24"/>
          <w:szCs w:val="24"/>
        </w:rPr>
        <w:t>" is a fundamental principle in contract law. It asserts that only the person to whom a promise is made can enforce that promise if they provided something valuable in return. This concept finds its roots in the famous case of Tweddle v Atkinson (1861), a significant milestone in contract law.</w:t>
      </w:r>
    </w:p>
    <w:p w14:paraId="160D696B" w14:textId="0952E442" w:rsidR="00AC09CF" w:rsidRPr="0082090E" w:rsidRDefault="00AC09CF" w:rsidP="0082090E">
      <w:pPr>
        <w:rPr>
          <w:rFonts w:ascii="Arial" w:hAnsi="Arial" w:cs="Arial"/>
          <w:sz w:val="24"/>
          <w:szCs w:val="24"/>
        </w:rPr>
      </w:pPr>
      <w:r w:rsidRPr="0082090E">
        <w:rPr>
          <w:rFonts w:ascii="Arial" w:hAnsi="Arial" w:cs="Arial"/>
          <w:sz w:val="24"/>
          <w:szCs w:val="24"/>
        </w:rPr>
        <w:t>In the Tweddle v Atkinson case, two fathers agreed that their children would marry each other. However, only one father offered consideration by promising to pay a sum of money to his son-in-law. When the other father passed away without fulfilling his promise to provide money to his son-in-law, the son-in-law attempted to enforce the promise against the deceased father's estate. The court ruled that since the son-in-law did not provide any consideration for the promise made by the deceased father, he could not enforce the promise.</w:t>
      </w:r>
      <w:r w:rsidRPr="0082090E">
        <w:rPr>
          <w:rFonts w:ascii="Arial" w:hAnsi="Arial" w:cs="Arial"/>
          <w:sz w:val="24"/>
          <w:szCs w:val="24"/>
        </w:rPr>
        <w:t xml:space="preserve"> </w:t>
      </w:r>
      <w:r w:rsidRPr="0082090E">
        <w:rPr>
          <w:rFonts w:ascii="Arial" w:hAnsi="Arial" w:cs="Arial"/>
          <w:sz w:val="24"/>
          <w:szCs w:val="24"/>
          <w:shd w:val="clear" w:color="auto" w:fill="FFFFFF"/>
        </w:rPr>
        <w:t xml:space="preserve">This decision highlights the importance of </w:t>
      </w:r>
      <w:r w:rsidRPr="0082090E">
        <w:rPr>
          <w:rFonts w:ascii="Arial" w:hAnsi="Arial" w:cs="Arial"/>
          <w:sz w:val="24"/>
          <w:szCs w:val="24"/>
          <w:shd w:val="clear" w:color="auto" w:fill="FFFFFF"/>
        </w:rPr>
        <w:lastRenderedPageBreak/>
        <w:t xml:space="preserve">consideration in contracts, stressing that for a promise to have legal weight, both parties must offer something valuable. Generally, if the consideration doesn't originate from the </w:t>
      </w:r>
      <w:proofErr w:type="spellStart"/>
      <w:r w:rsidRPr="0082090E">
        <w:rPr>
          <w:rFonts w:ascii="Arial" w:hAnsi="Arial" w:cs="Arial"/>
          <w:sz w:val="24"/>
          <w:szCs w:val="24"/>
          <w:shd w:val="clear" w:color="auto" w:fill="FFFFFF"/>
        </w:rPr>
        <w:t>promisee</w:t>
      </w:r>
      <w:proofErr w:type="spellEnd"/>
      <w:r w:rsidRPr="0082090E">
        <w:rPr>
          <w:rFonts w:ascii="Arial" w:hAnsi="Arial" w:cs="Arial"/>
          <w:sz w:val="24"/>
          <w:szCs w:val="24"/>
          <w:shd w:val="clear" w:color="auto" w:fill="FFFFFF"/>
        </w:rPr>
        <w:t>, enforcing the promise becomes challenging.</w:t>
      </w:r>
    </w:p>
    <w:p w14:paraId="6C50C0AB" w14:textId="6B791A1D" w:rsidR="006C62D7" w:rsidRPr="0082090E" w:rsidRDefault="006C62D7" w:rsidP="0082090E">
      <w:pPr>
        <w:rPr>
          <w:rFonts w:ascii="Arial" w:hAnsi="Arial" w:cs="Arial"/>
          <w:color w:val="0D0D0D"/>
          <w:sz w:val="24"/>
          <w:szCs w:val="24"/>
          <w:shd w:val="clear" w:color="auto" w:fill="FFFFFF"/>
        </w:rPr>
      </w:pPr>
      <w:r w:rsidRPr="0082090E">
        <w:rPr>
          <w:rFonts w:ascii="Arial" w:hAnsi="Arial" w:cs="Arial"/>
          <w:color w:val="0D0D0D"/>
          <w:sz w:val="24"/>
          <w:szCs w:val="24"/>
          <w:shd w:val="clear" w:color="auto" w:fill="FFFFFF"/>
        </w:rPr>
        <w:t>Another fundamental rule in contract law is that consideration must not be derived from past actions, a principle crucial for maintaining the validity of contractual agreements</w:t>
      </w:r>
      <w:r w:rsidRPr="0082090E">
        <w:rPr>
          <w:rFonts w:ascii="Arial" w:hAnsi="Arial" w:cs="Arial"/>
          <w:color w:val="0D0D0D"/>
          <w:sz w:val="24"/>
          <w:szCs w:val="24"/>
          <w:shd w:val="clear" w:color="auto" w:fill="FFFFFF"/>
        </w:rPr>
        <w:t xml:space="preserve">. </w:t>
      </w:r>
      <w:r w:rsidRPr="0082090E">
        <w:rPr>
          <w:rFonts w:ascii="Arial" w:hAnsi="Arial" w:cs="Arial"/>
          <w:color w:val="0D0D0D"/>
          <w:sz w:val="24"/>
          <w:szCs w:val="24"/>
          <w:shd w:val="clear" w:color="auto" w:fill="FFFFFF"/>
        </w:rPr>
        <w:t>It maintains that for a promise to be legally binding, consideration must coincide with the promise itself,</w:t>
      </w:r>
      <w:r w:rsidRPr="0082090E">
        <w:rPr>
          <w:rFonts w:ascii="Arial" w:hAnsi="Arial" w:cs="Arial"/>
          <w:color w:val="0D0D0D"/>
          <w:sz w:val="24"/>
          <w:szCs w:val="24"/>
          <w:shd w:val="clear" w:color="auto" w:fill="FFFFFF"/>
        </w:rPr>
        <w:t xml:space="preserve"> </w:t>
      </w:r>
      <w:r w:rsidRPr="0082090E">
        <w:rPr>
          <w:rFonts w:ascii="Arial" w:hAnsi="Arial" w:cs="Arial"/>
          <w:color w:val="0D0D0D"/>
          <w:sz w:val="24"/>
          <w:szCs w:val="24"/>
          <w:shd w:val="clear" w:color="auto" w:fill="FFFFFF"/>
        </w:rPr>
        <w:t>exchanged between parties at the time of contract formation. This principle serves to safeguard against the enforcement of promises based on historical events or actions that were not originally part of the agreement, thereby upholding fairness and justice in contractual relationships.</w:t>
      </w:r>
      <w:r w:rsidRPr="0082090E">
        <w:rPr>
          <w:rFonts w:ascii="Arial" w:hAnsi="Arial" w:cs="Arial"/>
          <w:color w:val="0D0D0D"/>
          <w:sz w:val="24"/>
          <w:szCs w:val="24"/>
          <w:shd w:val="clear" w:color="auto" w:fill="FFFFFF"/>
        </w:rPr>
        <w:t xml:space="preserve"> </w:t>
      </w:r>
      <w:r w:rsidRPr="0082090E">
        <w:rPr>
          <w:rFonts w:ascii="Arial" w:hAnsi="Arial" w:cs="Arial"/>
          <w:color w:val="0D0D0D"/>
          <w:sz w:val="24"/>
          <w:szCs w:val="24"/>
          <w:shd w:val="clear" w:color="auto" w:fill="FFFFFF"/>
        </w:rPr>
        <w:br/>
      </w:r>
      <w:r w:rsidRPr="0082090E">
        <w:rPr>
          <w:rFonts w:ascii="Arial" w:hAnsi="Arial" w:cs="Arial"/>
          <w:color w:val="0D0D0D"/>
          <w:sz w:val="24"/>
          <w:szCs w:val="24"/>
          <w:shd w:val="clear" w:color="auto" w:fill="FFFFFF"/>
        </w:rPr>
        <w:t>This principle is well exemplified by the legal case Re McArdle (1951), where the court deliberated on</w:t>
      </w:r>
      <w:r w:rsidRPr="0082090E">
        <w:rPr>
          <w:rFonts w:ascii="Arial" w:hAnsi="Arial" w:cs="Arial"/>
          <w:color w:val="0D0D0D"/>
          <w:sz w:val="24"/>
          <w:szCs w:val="24"/>
          <w:shd w:val="clear" w:color="auto" w:fill="FFFFFF"/>
        </w:rPr>
        <w:t xml:space="preserve"> </w:t>
      </w:r>
      <w:r w:rsidRPr="0082090E">
        <w:rPr>
          <w:rFonts w:ascii="Arial" w:hAnsi="Arial" w:cs="Arial"/>
          <w:color w:val="0D0D0D"/>
          <w:sz w:val="24"/>
          <w:szCs w:val="24"/>
          <w:shd w:val="clear" w:color="auto" w:fill="FFFFFF"/>
        </w:rPr>
        <w:t>a scenario involving completed renovations on a property, with an expectation of subsequent payment. However, the promise to compensate for these renovations was made only after the work had been concluded. Consequently, the court ruled that the consideration (the renovations) being past at the time of the promise rendered it incapable of forming the basis of a valid contract.</w:t>
      </w:r>
    </w:p>
    <w:p w14:paraId="274CEB0E" w14:textId="08EF7978" w:rsidR="00024D4F" w:rsidRPr="0082090E" w:rsidRDefault="007F569C" w:rsidP="0082090E">
      <w:pPr>
        <w:rPr>
          <w:rFonts w:ascii="Arial" w:eastAsia="Times New Roman" w:hAnsi="Arial" w:cs="Arial"/>
          <w:kern w:val="0"/>
          <w:sz w:val="24"/>
          <w:szCs w:val="24"/>
          <w:lang w:eastAsia="en-GB"/>
          <w14:ligatures w14:val="none"/>
        </w:rPr>
      </w:pPr>
      <w:r w:rsidRPr="0082090E">
        <w:rPr>
          <w:rFonts w:ascii="Arial" w:hAnsi="Arial" w:cs="Arial"/>
          <w:color w:val="0D0D0D"/>
          <w:sz w:val="24"/>
          <w:szCs w:val="24"/>
          <w:shd w:val="clear" w:color="auto" w:fill="FFFFFF"/>
        </w:rPr>
        <w:t>In addition to previous requirements, another fundamental aspect of contract law is that consideration must be sufficient but need not be adequate. This principle emphasizes that while consideration must have some value, it does not necessarily have to be proportionate to the value of the promise it supports. This concept is exemplified in the case of Chappell &amp; Co Ltd v Nestle Co Ltd (1960). In this landmark case, Nestle offered a music record as a premium for purchasing chocolate bars. Despite the nominal value of the chocolate wrappers required for obtaining the premium, the House of Lords upheld the agreement, ruling that the wrappers constituted sufficient consideration. The Chappell &amp; Co Ltd v Nestle Co Ltd case underscores the principle that consideration need only be legally sufficient to support a contract, regardless of its monetary value. This decision highlights the flexibility of contract law in recogni</w:t>
      </w:r>
      <w:r w:rsidR="00A96891" w:rsidRPr="0082090E">
        <w:rPr>
          <w:rFonts w:ascii="Arial" w:hAnsi="Arial" w:cs="Arial"/>
          <w:color w:val="0D0D0D"/>
          <w:sz w:val="24"/>
          <w:szCs w:val="24"/>
          <w:shd w:val="clear" w:color="auto" w:fill="FFFFFF"/>
        </w:rPr>
        <w:t>s</w:t>
      </w:r>
      <w:r w:rsidRPr="0082090E">
        <w:rPr>
          <w:rFonts w:ascii="Arial" w:hAnsi="Arial" w:cs="Arial"/>
          <w:color w:val="0D0D0D"/>
          <w:sz w:val="24"/>
          <w:szCs w:val="24"/>
          <w:shd w:val="clear" w:color="auto" w:fill="FFFFFF"/>
        </w:rPr>
        <w:t>ing various forms of consideration, as long as they meet the legal requirements for enforceability.</w:t>
      </w:r>
    </w:p>
    <w:p w14:paraId="3FEF3DD6" w14:textId="062B3E1F" w:rsidR="00C3695C" w:rsidRPr="0082090E" w:rsidRDefault="006F0E45" w:rsidP="0082090E">
      <w:pPr>
        <w:rPr>
          <w:rFonts w:ascii="Arial" w:hAnsi="Arial" w:cs="Arial"/>
          <w:color w:val="0D0D0D"/>
          <w:sz w:val="24"/>
          <w:szCs w:val="24"/>
          <w:shd w:val="clear" w:color="auto" w:fill="FFFFFF"/>
        </w:rPr>
      </w:pPr>
      <w:r w:rsidRPr="0082090E">
        <w:rPr>
          <w:rFonts w:ascii="Arial" w:hAnsi="Arial" w:cs="Arial"/>
          <w:color w:val="0D0D0D"/>
          <w:sz w:val="24"/>
          <w:szCs w:val="24"/>
          <w:shd w:val="clear" w:color="auto" w:fill="FFFFFF"/>
        </w:rPr>
        <w:t xml:space="preserve">In examining the complexities of consideration in contract law, one </w:t>
      </w:r>
      <w:r w:rsidRPr="0082090E">
        <w:rPr>
          <w:rFonts w:ascii="Arial" w:hAnsi="Arial" w:cs="Arial"/>
          <w:color w:val="0D0D0D"/>
          <w:sz w:val="24"/>
          <w:szCs w:val="24"/>
          <w:shd w:val="clear" w:color="auto" w:fill="FFFFFF"/>
        </w:rPr>
        <w:t>significant</w:t>
      </w:r>
      <w:r w:rsidRPr="0082090E">
        <w:rPr>
          <w:rFonts w:ascii="Arial" w:hAnsi="Arial" w:cs="Arial"/>
          <w:color w:val="0D0D0D"/>
          <w:sz w:val="24"/>
          <w:szCs w:val="24"/>
          <w:shd w:val="clear" w:color="auto" w:fill="FFFFFF"/>
        </w:rPr>
        <w:t xml:space="preserve"> issue arises concerning the </w:t>
      </w:r>
      <w:r w:rsidR="00A96891" w:rsidRPr="0082090E">
        <w:rPr>
          <w:rFonts w:ascii="Arial" w:hAnsi="Arial" w:cs="Arial"/>
          <w:color w:val="0D0D0D"/>
          <w:sz w:val="24"/>
          <w:szCs w:val="24"/>
          <w:shd w:val="clear" w:color="auto" w:fill="FFFFFF"/>
        </w:rPr>
        <w:t>adequacy</w:t>
      </w:r>
      <w:r w:rsidRPr="0082090E">
        <w:rPr>
          <w:rFonts w:ascii="Arial" w:hAnsi="Arial" w:cs="Arial"/>
          <w:color w:val="0D0D0D"/>
          <w:sz w:val="24"/>
          <w:szCs w:val="24"/>
          <w:shd w:val="clear" w:color="auto" w:fill="FFFFFF"/>
        </w:rPr>
        <w:t xml:space="preserve"> of consideration, with the "peppercorn" concept serving as a </w:t>
      </w:r>
      <w:r w:rsidR="00A96891" w:rsidRPr="0082090E">
        <w:rPr>
          <w:rFonts w:ascii="Arial" w:hAnsi="Arial" w:cs="Arial"/>
          <w:color w:val="0D0D0D"/>
          <w:sz w:val="24"/>
          <w:szCs w:val="24"/>
          <w:shd w:val="clear" w:color="auto" w:fill="FFFFFF"/>
        </w:rPr>
        <w:t>relevant</w:t>
      </w:r>
      <w:r w:rsidRPr="0082090E">
        <w:rPr>
          <w:rFonts w:ascii="Arial" w:hAnsi="Arial" w:cs="Arial"/>
          <w:color w:val="0D0D0D"/>
          <w:sz w:val="24"/>
          <w:szCs w:val="24"/>
          <w:shd w:val="clear" w:color="auto" w:fill="FFFFFF"/>
        </w:rPr>
        <w:t xml:space="preserve"> example. This </w:t>
      </w:r>
      <w:r w:rsidR="00A96891" w:rsidRPr="0082090E">
        <w:rPr>
          <w:rFonts w:ascii="Arial" w:hAnsi="Arial" w:cs="Arial"/>
          <w:color w:val="0D0D0D"/>
          <w:sz w:val="24"/>
          <w:szCs w:val="24"/>
          <w:shd w:val="clear" w:color="auto" w:fill="FFFFFF"/>
        </w:rPr>
        <w:t>idea</w:t>
      </w:r>
      <w:r w:rsidRPr="0082090E">
        <w:rPr>
          <w:rFonts w:ascii="Arial" w:hAnsi="Arial" w:cs="Arial"/>
          <w:color w:val="0D0D0D"/>
          <w:sz w:val="24"/>
          <w:szCs w:val="24"/>
          <w:shd w:val="clear" w:color="auto" w:fill="FFFFFF"/>
        </w:rPr>
        <w:t xml:space="preserve"> revolves around the principle that even a minimal or symbolic amount of consideration can validate a contract. A </w:t>
      </w:r>
      <w:r w:rsidR="00A96891" w:rsidRPr="0082090E">
        <w:rPr>
          <w:rFonts w:ascii="Arial" w:hAnsi="Arial" w:cs="Arial"/>
          <w:color w:val="0D0D0D"/>
          <w:sz w:val="24"/>
          <w:szCs w:val="24"/>
          <w:shd w:val="clear" w:color="auto" w:fill="FFFFFF"/>
        </w:rPr>
        <w:t>landmark</w:t>
      </w:r>
      <w:r w:rsidRPr="0082090E">
        <w:rPr>
          <w:rFonts w:ascii="Arial" w:hAnsi="Arial" w:cs="Arial"/>
          <w:color w:val="0D0D0D"/>
          <w:sz w:val="24"/>
          <w:szCs w:val="24"/>
          <w:shd w:val="clear" w:color="auto" w:fill="FFFFFF"/>
        </w:rPr>
        <w:t xml:space="preserve"> case illustrating this principle is Thomas v Thomas (1842), where a widow sought to remain in her deceased husband's home. The executor of the husband's estate agreed to allow her to stay rent-free on the condition that she paid an annual sum of £1 and maintained the property. Despite the seemingly insignificant payment, the court deemed it sufficient consideration, establishing the precedent that even nominal amounts, </w:t>
      </w:r>
      <w:r w:rsidR="00A96891" w:rsidRPr="0082090E">
        <w:rPr>
          <w:rFonts w:ascii="Arial" w:hAnsi="Arial" w:cs="Arial"/>
          <w:color w:val="0D0D0D"/>
          <w:sz w:val="24"/>
          <w:szCs w:val="24"/>
          <w:shd w:val="clear" w:color="auto" w:fill="FFFFFF"/>
        </w:rPr>
        <w:t>similar</w:t>
      </w:r>
      <w:r w:rsidRPr="0082090E">
        <w:rPr>
          <w:rFonts w:ascii="Arial" w:hAnsi="Arial" w:cs="Arial"/>
          <w:color w:val="0D0D0D"/>
          <w:sz w:val="24"/>
          <w:szCs w:val="24"/>
          <w:shd w:val="clear" w:color="auto" w:fill="FFFFFF"/>
        </w:rPr>
        <w:t xml:space="preserve"> to a peppercorn, could validate a contract, </w:t>
      </w:r>
      <w:r w:rsidR="00A96891" w:rsidRPr="0082090E">
        <w:rPr>
          <w:rFonts w:ascii="Arial" w:hAnsi="Arial" w:cs="Arial"/>
          <w:color w:val="0D0D0D"/>
          <w:sz w:val="24"/>
          <w:szCs w:val="24"/>
          <w:shd w:val="clear" w:color="auto" w:fill="FFFFFF"/>
        </w:rPr>
        <w:t>highlighting the adaptability and practicality of contract law in recogni</w:t>
      </w:r>
      <w:r w:rsidR="00A96891" w:rsidRPr="0082090E">
        <w:rPr>
          <w:rFonts w:ascii="Arial" w:hAnsi="Arial" w:cs="Arial"/>
          <w:color w:val="0D0D0D"/>
          <w:sz w:val="24"/>
          <w:szCs w:val="24"/>
          <w:shd w:val="clear" w:color="auto" w:fill="FFFFFF"/>
        </w:rPr>
        <w:t>s</w:t>
      </w:r>
      <w:r w:rsidR="00A96891" w:rsidRPr="0082090E">
        <w:rPr>
          <w:rFonts w:ascii="Arial" w:hAnsi="Arial" w:cs="Arial"/>
          <w:color w:val="0D0D0D"/>
          <w:sz w:val="24"/>
          <w:szCs w:val="24"/>
          <w:shd w:val="clear" w:color="auto" w:fill="FFFFFF"/>
        </w:rPr>
        <w:t>ing various forms of consideration.</w:t>
      </w:r>
    </w:p>
    <w:p w14:paraId="22F26597" w14:textId="6BDCDCC9" w:rsidR="002A6ECF" w:rsidRPr="0082090E" w:rsidRDefault="002A6ECF" w:rsidP="0082090E">
      <w:pPr>
        <w:rPr>
          <w:rFonts w:ascii="Arial" w:hAnsi="Arial" w:cs="Arial"/>
          <w:sz w:val="24"/>
          <w:szCs w:val="24"/>
          <w:shd w:val="clear" w:color="auto" w:fill="FFFFFF"/>
        </w:rPr>
      </w:pPr>
      <w:r w:rsidRPr="0082090E">
        <w:rPr>
          <w:rFonts w:ascii="Arial" w:hAnsi="Arial" w:cs="Arial"/>
          <w:sz w:val="24"/>
          <w:szCs w:val="24"/>
          <w:shd w:val="clear" w:color="auto" w:fill="FFFFFF"/>
        </w:rPr>
        <w:t>Another issue with contract law is a lack of flexibility regarding the criteria for consideration, which can restrict the formation of certain contracts, particularly those involving gratuitous promises.</w:t>
      </w:r>
      <w:r w:rsidRPr="0082090E">
        <w:rPr>
          <w:rFonts w:ascii="Arial" w:eastAsia="Times New Roman" w:hAnsi="Arial" w:cs="Arial"/>
          <w:kern w:val="0"/>
          <w:sz w:val="24"/>
          <w:szCs w:val="24"/>
          <w:lang w:eastAsia="en-GB"/>
          <w14:ligatures w14:val="none"/>
        </w:rPr>
        <w:t xml:space="preserve"> </w:t>
      </w:r>
      <w:r w:rsidRPr="0082090E">
        <w:rPr>
          <w:rFonts w:ascii="Arial" w:hAnsi="Arial" w:cs="Arial"/>
          <w:sz w:val="24"/>
          <w:szCs w:val="24"/>
          <w:shd w:val="clear" w:color="auto" w:fill="FFFFFF"/>
        </w:rPr>
        <w:t xml:space="preserve">The rigidity of consideration may pose challenges in </w:t>
      </w:r>
      <w:r w:rsidRPr="0082090E">
        <w:rPr>
          <w:rFonts w:ascii="Arial" w:hAnsi="Arial" w:cs="Arial"/>
          <w:sz w:val="24"/>
          <w:szCs w:val="24"/>
          <w:shd w:val="clear" w:color="auto" w:fill="FFFFFF"/>
        </w:rPr>
        <w:lastRenderedPageBreak/>
        <w:t>situations where parties wish to make promises without expecting anything tangible in return.</w:t>
      </w:r>
      <w:r w:rsidRPr="0082090E">
        <w:rPr>
          <w:rFonts w:ascii="Arial" w:hAnsi="Arial" w:cs="Arial"/>
          <w:sz w:val="24"/>
          <w:szCs w:val="24"/>
          <w:shd w:val="clear" w:color="auto" w:fill="FFFFFF"/>
        </w:rPr>
        <w:t xml:space="preserve"> </w:t>
      </w:r>
      <w:r w:rsidRPr="0082090E">
        <w:rPr>
          <w:rFonts w:ascii="Arial" w:hAnsi="Arial" w:cs="Arial"/>
          <w:sz w:val="24"/>
          <w:szCs w:val="24"/>
          <w:shd w:val="clear" w:color="auto" w:fill="FFFFFF"/>
        </w:rPr>
        <w:br/>
      </w:r>
      <w:r w:rsidRPr="0082090E">
        <w:rPr>
          <w:rFonts w:ascii="Arial" w:hAnsi="Arial" w:cs="Arial"/>
          <w:sz w:val="24"/>
          <w:szCs w:val="24"/>
          <w:shd w:val="clear" w:color="auto" w:fill="FFFFFF"/>
        </w:rPr>
        <w:t xml:space="preserve">One case that effectively showcases this issue is </w:t>
      </w:r>
      <w:r w:rsidR="006169A8" w:rsidRPr="0082090E">
        <w:rPr>
          <w:rFonts w:ascii="Arial" w:hAnsi="Arial" w:cs="Arial"/>
          <w:sz w:val="24"/>
          <w:szCs w:val="24"/>
          <w:shd w:val="clear" w:color="auto" w:fill="FFFFFF"/>
        </w:rPr>
        <w:t xml:space="preserve">Hamer v Sidway </w:t>
      </w:r>
      <w:r w:rsidRPr="0082090E">
        <w:rPr>
          <w:rFonts w:ascii="Arial" w:hAnsi="Arial" w:cs="Arial"/>
          <w:sz w:val="24"/>
          <w:szCs w:val="24"/>
          <w:shd w:val="clear" w:color="auto" w:fill="FFFFFF"/>
        </w:rPr>
        <w:t xml:space="preserve">(1891). In this case, an uncle promised his nephew a sum of money if the nephew refrained from certain vices until reaching the age of 21. The nephew complied with the conditions, but the uncle refused to </w:t>
      </w:r>
      <w:r w:rsidRPr="0082090E">
        <w:rPr>
          <w:rFonts w:ascii="Arial" w:hAnsi="Arial" w:cs="Arial"/>
          <w:sz w:val="24"/>
          <w:szCs w:val="24"/>
          <w:shd w:val="clear" w:color="auto" w:fill="FFFFFF"/>
        </w:rPr>
        <w:t>fulfil</w:t>
      </w:r>
      <w:r w:rsidRPr="0082090E">
        <w:rPr>
          <w:rFonts w:ascii="Arial" w:hAnsi="Arial" w:cs="Arial"/>
          <w:sz w:val="24"/>
          <w:szCs w:val="24"/>
          <w:shd w:val="clear" w:color="auto" w:fill="FFFFFF"/>
        </w:rPr>
        <w:t xml:space="preserve"> his promise upon the nephew's 21st birthday.</w:t>
      </w:r>
      <w:r w:rsidRPr="0082090E">
        <w:rPr>
          <w:rFonts w:ascii="Arial" w:hAnsi="Arial" w:cs="Arial"/>
          <w:sz w:val="24"/>
          <w:szCs w:val="24"/>
          <w:shd w:val="clear" w:color="auto" w:fill="FFFFFF"/>
        </w:rPr>
        <w:t xml:space="preserve"> </w:t>
      </w:r>
      <w:r w:rsidRPr="0082090E">
        <w:rPr>
          <w:rFonts w:ascii="Arial" w:hAnsi="Arial" w:cs="Arial"/>
          <w:sz w:val="24"/>
          <w:szCs w:val="24"/>
          <w:shd w:val="clear" w:color="auto" w:fill="FFFFFF"/>
        </w:rPr>
        <w:t>This case is significant because it demonstrates how the nephew's refraining from certain actions was legally recognized as valid consideration, as he had abstained from exercising his legal rights as requested by the uncle. However, it also highlights the legal principle that the uncle's promise lacked consideration since he did not receive anything tangible in return for his offer.</w:t>
      </w:r>
    </w:p>
    <w:p w14:paraId="3594AC0F" w14:textId="331E0EAB" w:rsidR="002A6ECF" w:rsidRPr="0082090E" w:rsidRDefault="002A6ECF" w:rsidP="0082090E">
      <w:pPr>
        <w:rPr>
          <w:rFonts w:ascii="Arial" w:hAnsi="Arial" w:cs="Arial"/>
          <w:sz w:val="24"/>
          <w:szCs w:val="24"/>
          <w:shd w:val="clear" w:color="auto" w:fill="FFFFFF"/>
        </w:rPr>
      </w:pPr>
      <w:r w:rsidRPr="0082090E">
        <w:rPr>
          <w:rFonts w:ascii="Arial" w:hAnsi="Arial" w:cs="Arial"/>
          <w:sz w:val="24"/>
          <w:szCs w:val="24"/>
          <w:shd w:val="clear" w:color="auto" w:fill="FFFFFF"/>
        </w:rPr>
        <w:t>As a result, these strict consideration rules may limit parties from entering into contracts, particularly when one party intends to make a promise without expecting any corresponding benefit</w:t>
      </w:r>
      <w:r w:rsidRPr="0082090E">
        <w:rPr>
          <w:rFonts w:ascii="Arial" w:hAnsi="Arial" w:cs="Arial"/>
          <w:sz w:val="24"/>
          <w:szCs w:val="24"/>
          <w:shd w:val="clear" w:color="auto" w:fill="FFFFFF"/>
        </w:rPr>
        <w:t xml:space="preserve">. </w:t>
      </w:r>
      <w:r w:rsidRPr="0082090E">
        <w:rPr>
          <w:rFonts w:ascii="Arial" w:hAnsi="Arial" w:cs="Arial"/>
          <w:sz w:val="24"/>
          <w:szCs w:val="24"/>
          <w:shd w:val="clear" w:color="auto" w:fill="FFFFFF"/>
        </w:rPr>
        <w:t>As a result, the inflexibility of consideration requirements might limit parties' ability to engage in agreements, especially those concerning acts of kindness or gratuitous promises.</w:t>
      </w:r>
    </w:p>
    <w:p w14:paraId="5AADCED1" w14:textId="7F1C8041" w:rsidR="00BE07D2" w:rsidRPr="0082090E" w:rsidRDefault="00BE07D2" w:rsidP="0082090E">
      <w:pPr>
        <w:rPr>
          <w:rFonts w:ascii="Arial" w:hAnsi="Arial" w:cs="Arial"/>
          <w:color w:val="0D0D0D"/>
          <w:sz w:val="24"/>
          <w:szCs w:val="24"/>
          <w:shd w:val="clear" w:color="auto" w:fill="FFFFFF"/>
        </w:rPr>
      </w:pPr>
      <w:r w:rsidRPr="0082090E">
        <w:rPr>
          <w:rFonts w:ascii="Arial" w:hAnsi="Arial" w:cs="Arial"/>
          <w:sz w:val="24"/>
          <w:szCs w:val="24"/>
        </w:rPr>
        <w:br/>
      </w:r>
      <w:r w:rsidRPr="0082090E">
        <w:rPr>
          <w:rFonts w:ascii="Arial" w:hAnsi="Arial" w:cs="Arial"/>
          <w:color w:val="0D0D0D"/>
          <w:sz w:val="24"/>
          <w:szCs w:val="24"/>
          <w:shd w:val="clear" w:color="auto" w:fill="FFFFFF"/>
        </w:rPr>
        <w:t>There have been reform suggestions in contract law due to the evolving nature of commerce and the need to address emerging challenges. These suggestions emphasize improving clarity, fairness, and adaptability. Key proposals include simplifying language, updating laws for technology, and addressing unfair terms and power imbalances to ensure equitable transaction</w:t>
      </w:r>
      <w:r w:rsidRPr="0082090E">
        <w:rPr>
          <w:rFonts w:ascii="Arial" w:hAnsi="Arial" w:cs="Arial"/>
          <w:color w:val="0D0D0D"/>
          <w:sz w:val="24"/>
          <w:szCs w:val="24"/>
          <w:shd w:val="clear" w:color="auto" w:fill="FFFFFF"/>
        </w:rPr>
        <w:t>s.</w:t>
      </w:r>
    </w:p>
    <w:p w14:paraId="2B57617F" w14:textId="72E90CA8" w:rsidR="00BE07D2" w:rsidRPr="0082090E" w:rsidRDefault="00BE07D2" w:rsidP="0082090E">
      <w:pPr>
        <w:rPr>
          <w:rFonts w:ascii="Arial" w:eastAsia="Times New Roman" w:hAnsi="Arial" w:cs="Arial"/>
          <w:kern w:val="0"/>
          <w:sz w:val="24"/>
          <w:szCs w:val="24"/>
          <w:lang w:eastAsia="en-GB"/>
          <w14:ligatures w14:val="none"/>
        </w:rPr>
      </w:pPr>
      <w:r w:rsidRPr="0082090E">
        <w:rPr>
          <w:rFonts w:ascii="Arial" w:hAnsi="Arial" w:cs="Arial"/>
          <w:color w:val="0D0D0D"/>
          <w:sz w:val="24"/>
          <w:szCs w:val="24"/>
          <w:shd w:val="clear" w:color="auto" w:fill="FFFFFF"/>
        </w:rPr>
        <w:t xml:space="preserve">One promising reform suggestion revolves around Professor Atiyah's groundbreaking consideration-estoppel theory, </w:t>
      </w:r>
      <w:r w:rsidRPr="0082090E">
        <w:rPr>
          <w:rFonts w:ascii="Arial" w:hAnsi="Arial" w:cs="Arial"/>
          <w:color w:val="0D0D0D"/>
          <w:sz w:val="24"/>
          <w:szCs w:val="24"/>
          <w:shd w:val="clear" w:color="auto" w:fill="FFFFFF"/>
        </w:rPr>
        <w:t>i</w:t>
      </w:r>
      <w:r w:rsidRPr="0082090E">
        <w:rPr>
          <w:rFonts w:ascii="Arial" w:hAnsi="Arial" w:cs="Arial"/>
          <w:color w:val="0D0D0D"/>
          <w:sz w:val="24"/>
          <w:szCs w:val="24"/>
          <w:shd w:val="clear" w:color="auto" w:fill="FFFFFF"/>
        </w:rPr>
        <w:t xml:space="preserve">t proposes that if one party makes a promise to another without receiving anything in return, but the </w:t>
      </w:r>
      <w:proofErr w:type="spellStart"/>
      <w:r w:rsidRPr="0082090E">
        <w:rPr>
          <w:rFonts w:ascii="Arial" w:hAnsi="Arial" w:cs="Arial"/>
          <w:color w:val="0D0D0D"/>
          <w:sz w:val="24"/>
          <w:szCs w:val="24"/>
          <w:shd w:val="clear" w:color="auto" w:fill="FFFFFF"/>
        </w:rPr>
        <w:t>promisee</w:t>
      </w:r>
      <w:proofErr w:type="spellEnd"/>
      <w:r w:rsidRPr="0082090E">
        <w:rPr>
          <w:rFonts w:ascii="Arial" w:hAnsi="Arial" w:cs="Arial"/>
          <w:color w:val="0D0D0D"/>
          <w:sz w:val="24"/>
          <w:szCs w:val="24"/>
          <w:shd w:val="clear" w:color="auto" w:fill="FFFFFF"/>
        </w:rPr>
        <w:t xml:space="preserve"> relies on that promise and suffers as a result, the promisor should be stopped from breaking the promise. This reform aims to fix situations where strict rules about what counts as consideration might lead to unfair results. Atiyah's idea is that if someone acts based on a promise and gets hurt because of it, the courts should enforce the promise. This protects people who trust each other in contracts, even when there's no clear exchange of value. By doing this, the law becomes </w:t>
      </w:r>
      <w:proofErr w:type="gramStart"/>
      <w:r w:rsidRPr="0082090E">
        <w:rPr>
          <w:rFonts w:ascii="Arial" w:hAnsi="Arial" w:cs="Arial"/>
          <w:color w:val="0D0D0D"/>
          <w:sz w:val="24"/>
          <w:szCs w:val="24"/>
          <w:shd w:val="clear" w:color="auto" w:fill="FFFFFF"/>
        </w:rPr>
        <w:t>more fair and flexible</w:t>
      </w:r>
      <w:proofErr w:type="gramEnd"/>
      <w:r w:rsidRPr="0082090E">
        <w:rPr>
          <w:rFonts w:ascii="Arial" w:hAnsi="Arial" w:cs="Arial"/>
          <w:color w:val="0D0D0D"/>
          <w:sz w:val="24"/>
          <w:szCs w:val="24"/>
          <w:shd w:val="clear" w:color="auto" w:fill="FFFFFF"/>
        </w:rPr>
        <w:t>, preventing parties from taking advantage of each other and making sure disputes get resolved fairly. Atiyah's theory shows an understanding of how contracts work in real life and aims to make sure legal rules match up with how people actually do business</w:t>
      </w:r>
      <w:r w:rsidR="0082090E" w:rsidRPr="0082090E">
        <w:rPr>
          <w:rFonts w:ascii="Arial" w:hAnsi="Arial" w:cs="Arial"/>
          <w:color w:val="0D0D0D"/>
          <w:sz w:val="24"/>
          <w:szCs w:val="24"/>
          <w:shd w:val="clear" w:color="auto" w:fill="FFFFFF"/>
        </w:rPr>
        <w:t xml:space="preserve"> </w:t>
      </w:r>
      <w:r w:rsidR="0082090E" w:rsidRPr="0082090E">
        <w:rPr>
          <w:rFonts w:ascii="Arial" w:eastAsia="Times New Roman" w:hAnsi="Arial" w:cs="Arial"/>
          <w:kern w:val="0"/>
          <w:sz w:val="24"/>
          <w:szCs w:val="24"/>
          <w:lang w:eastAsia="en-GB"/>
          <w14:ligatures w14:val="none"/>
        </w:rPr>
        <w:t>(Quinn and Elliott, 2019, p.97)</w:t>
      </w:r>
      <w:r w:rsidR="0082090E" w:rsidRPr="0082090E">
        <w:rPr>
          <w:rFonts w:ascii="Arial" w:eastAsia="Times New Roman" w:hAnsi="Arial" w:cs="Arial"/>
          <w:kern w:val="0"/>
          <w:sz w:val="24"/>
          <w:szCs w:val="24"/>
          <w:lang w:eastAsia="en-GB"/>
          <w14:ligatures w14:val="none"/>
        </w:rPr>
        <w:t>.</w:t>
      </w:r>
    </w:p>
    <w:p w14:paraId="08B183CF" w14:textId="77777777" w:rsidR="0082090E" w:rsidRPr="0082090E" w:rsidRDefault="0082090E" w:rsidP="0082090E">
      <w:pPr>
        <w:rPr>
          <w:rFonts w:ascii="Arial" w:hAnsi="Arial" w:cs="Arial"/>
          <w:color w:val="0D0D0D"/>
          <w:sz w:val="24"/>
          <w:szCs w:val="24"/>
        </w:rPr>
      </w:pPr>
      <w:r w:rsidRPr="0082090E">
        <w:rPr>
          <w:rFonts w:ascii="Arial" w:hAnsi="Arial" w:cs="Arial"/>
          <w:color w:val="0D0D0D"/>
          <w:sz w:val="24"/>
          <w:szCs w:val="24"/>
        </w:rPr>
        <w:t>In conclusion, contract law serves as a crucial foundation within contemporary legal systems, regulating agreements and transactions across various societal contexts. At its core lies the concept of consideration, representing the exchange of value between parties to establish legally binding contracts. This essay has critically analysed the pivotal role of consideration in the formation, validity, and enforcement of contracts.</w:t>
      </w:r>
    </w:p>
    <w:p w14:paraId="1D1A62EF" w14:textId="77777777" w:rsidR="0082090E" w:rsidRPr="0082090E" w:rsidRDefault="0082090E" w:rsidP="0082090E">
      <w:pPr>
        <w:rPr>
          <w:rFonts w:ascii="Arial" w:hAnsi="Arial" w:cs="Arial"/>
          <w:color w:val="0D0D0D"/>
          <w:sz w:val="24"/>
          <w:szCs w:val="24"/>
        </w:rPr>
      </w:pPr>
      <w:r w:rsidRPr="0082090E">
        <w:rPr>
          <w:rFonts w:ascii="Arial" w:hAnsi="Arial" w:cs="Arial"/>
          <w:color w:val="0D0D0D"/>
          <w:sz w:val="24"/>
          <w:szCs w:val="24"/>
        </w:rPr>
        <w:t xml:space="preserve">By delving into key elements such as offer, acceptance, and the intent to create legal relations, alongside the intricacies of consideration, it becomes apparent that each component significantly influences the enforceability of contracts. The regulations </w:t>
      </w:r>
      <w:r w:rsidRPr="0082090E">
        <w:rPr>
          <w:rFonts w:ascii="Arial" w:hAnsi="Arial" w:cs="Arial"/>
          <w:color w:val="0D0D0D"/>
          <w:sz w:val="24"/>
          <w:szCs w:val="24"/>
        </w:rPr>
        <w:lastRenderedPageBreak/>
        <w:t xml:space="preserve">surrounding consideration, including its necessity to come from the </w:t>
      </w:r>
      <w:proofErr w:type="spellStart"/>
      <w:r w:rsidRPr="0082090E">
        <w:rPr>
          <w:rFonts w:ascii="Arial" w:hAnsi="Arial" w:cs="Arial"/>
          <w:color w:val="0D0D0D"/>
          <w:sz w:val="24"/>
          <w:szCs w:val="24"/>
        </w:rPr>
        <w:t>promisee</w:t>
      </w:r>
      <w:proofErr w:type="spellEnd"/>
      <w:r w:rsidRPr="0082090E">
        <w:rPr>
          <w:rFonts w:ascii="Arial" w:hAnsi="Arial" w:cs="Arial"/>
          <w:color w:val="0D0D0D"/>
          <w:sz w:val="24"/>
          <w:szCs w:val="24"/>
        </w:rPr>
        <w:t>, prohibition of past consideration, and requirement of sufficiency, highlight the precise legal framework guiding contract formation.</w:t>
      </w:r>
    </w:p>
    <w:p w14:paraId="18523049" w14:textId="77777777" w:rsidR="0082090E" w:rsidRPr="0082090E" w:rsidRDefault="0082090E" w:rsidP="0082090E">
      <w:pPr>
        <w:rPr>
          <w:rFonts w:ascii="Arial" w:hAnsi="Arial" w:cs="Arial"/>
          <w:color w:val="0D0D0D"/>
          <w:sz w:val="24"/>
          <w:szCs w:val="24"/>
        </w:rPr>
      </w:pPr>
      <w:r w:rsidRPr="0082090E">
        <w:rPr>
          <w:rFonts w:ascii="Arial" w:hAnsi="Arial" w:cs="Arial"/>
          <w:color w:val="0D0D0D"/>
          <w:sz w:val="24"/>
          <w:szCs w:val="24"/>
        </w:rPr>
        <w:t>Furthermore, the discourse has expanded to include proposals for reform aimed at improving the clarity, fairness, and adaptability of contract law. Professor Atiyah's consideration-estoppel theory emerges as a promising avenue for reform, advocating for a more equitable approach by acknowledging parties' reliance on promises even without traditional consideration.</w:t>
      </w:r>
    </w:p>
    <w:p w14:paraId="2413229C" w14:textId="77777777" w:rsidR="0082090E" w:rsidRPr="0082090E" w:rsidRDefault="0082090E" w:rsidP="0082090E">
      <w:pPr>
        <w:rPr>
          <w:rFonts w:ascii="Arial" w:hAnsi="Arial" w:cs="Arial"/>
          <w:color w:val="0D0D0D"/>
          <w:sz w:val="24"/>
          <w:szCs w:val="24"/>
        </w:rPr>
      </w:pPr>
      <w:r w:rsidRPr="0082090E">
        <w:rPr>
          <w:rFonts w:ascii="Arial" w:hAnsi="Arial" w:cs="Arial"/>
          <w:color w:val="0D0D0D"/>
          <w:sz w:val="24"/>
          <w:szCs w:val="24"/>
        </w:rPr>
        <w:t>Ultimately, as commerce progresses and new challenges arise, ongoing discussions about contract law remain crucial in fostering equitable and efficient legal mechanisms for governing human interactions and transactions. Through continuous analysis, critique, and reform, contract law can evolve to address the changing needs of society while upholding principles of fairness, justice, and mutual trust in contractual relationships.</w:t>
      </w:r>
    </w:p>
    <w:p w14:paraId="525E5A0D" w14:textId="77777777" w:rsidR="0082090E" w:rsidRDefault="0082090E" w:rsidP="006169A8">
      <w:pPr>
        <w:rPr>
          <w:rFonts w:ascii="Arial" w:eastAsia="Times New Roman" w:hAnsi="Arial" w:cs="Arial"/>
          <w:kern w:val="0"/>
          <w:sz w:val="24"/>
          <w:szCs w:val="24"/>
          <w:lang w:eastAsia="en-GB"/>
          <w14:ligatures w14:val="none"/>
        </w:rPr>
      </w:pPr>
    </w:p>
    <w:p w14:paraId="6FF16220" w14:textId="77777777" w:rsidR="0082090E" w:rsidRDefault="0082090E" w:rsidP="006169A8">
      <w:pPr>
        <w:rPr>
          <w:rFonts w:ascii="Arial" w:eastAsia="Times New Roman" w:hAnsi="Arial" w:cs="Arial"/>
          <w:kern w:val="0"/>
          <w:sz w:val="24"/>
          <w:szCs w:val="24"/>
          <w:lang w:eastAsia="en-GB"/>
          <w14:ligatures w14:val="none"/>
        </w:rPr>
      </w:pPr>
    </w:p>
    <w:p w14:paraId="41EC69A8" w14:textId="77777777" w:rsidR="00020F3D" w:rsidRPr="00020F3D" w:rsidRDefault="00020F3D" w:rsidP="00020F3D">
      <w:pPr>
        <w:spacing w:after="240" w:line="360" w:lineRule="auto"/>
        <w:outlineLvl w:val="0"/>
        <w:rPr>
          <w:rFonts w:ascii="Times New Roman" w:eastAsia="Times New Roman" w:hAnsi="Times New Roman" w:cs="Times New Roman"/>
          <w:b/>
          <w:bCs/>
          <w:kern w:val="36"/>
          <w:sz w:val="36"/>
          <w:szCs w:val="36"/>
          <w:lang w:eastAsia="en-GB"/>
          <w14:ligatures w14:val="none"/>
        </w:rPr>
      </w:pPr>
      <w:r w:rsidRPr="00020F3D">
        <w:rPr>
          <w:rFonts w:ascii="Times New Roman" w:eastAsia="Times New Roman" w:hAnsi="Times New Roman" w:cs="Times New Roman"/>
          <w:b/>
          <w:bCs/>
          <w:kern w:val="36"/>
          <w:sz w:val="36"/>
          <w:szCs w:val="36"/>
          <w:lang w:eastAsia="en-GB"/>
          <w14:ligatures w14:val="none"/>
        </w:rPr>
        <w:t>Reference list</w:t>
      </w:r>
    </w:p>
    <w:p w14:paraId="259E328A" w14:textId="77777777" w:rsidR="00020F3D" w:rsidRPr="00020F3D" w:rsidRDefault="00020F3D" w:rsidP="00020F3D">
      <w:pPr>
        <w:spacing w:after="240" w:line="360" w:lineRule="auto"/>
        <w:rPr>
          <w:rFonts w:ascii="Times New Roman" w:eastAsia="Times New Roman" w:hAnsi="Times New Roman" w:cs="Times New Roman"/>
          <w:kern w:val="0"/>
          <w:sz w:val="24"/>
          <w:szCs w:val="24"/>
          <w:lang w:eastAsia="en-GB"/>
          <w14:ligatures w14:val="none"/>
        </w:rPr>
      </w:pPr>
      <w:r w:rsidRPr="00020F3D">
        <w:rPr>
          <w:rFonts w:ascii="Times New Roman" w:eastAsia="Times New Roman" w:hAnsi="Times New Roman" w:cs="Times New Roman"/>
          <w:kern w:val="0"/>
          <w:sz w:val="24"/>
          <w:szCs w:val="24"/>
          <w:lang w:eastAsia="en-GB"/>
          <w14:ligatures w14:val="none"/>
        </w:rPr>
        <w:t xml:space="preserve">Business Jargons (2017). </w:t>
      </w:r>
      <w:r w:rsidRPr="00020F3D">
        <w:rPr>
          <w:rFonts w:ascii="Times New Roman" w:eastAsia="Times New Roman" w:hAnsi="Times New Roman" w:cs="Times New Roman"/>
          <w:i/>
          <w:iCs/>
          <w:kern w:val="0"/>
          <w:sz w:val="24"/>
          <w:szCs w:val="24"/>
          <w:lang w:eastAsia="en-GB"/>
          <w14:ligatures w14:val="none"/>
        </w:rPr>
        <w:t xml:space="preserve">What is Contract? definition, </w:t>
      </w:r>
      <w:proofErr w:type="gramStart"/>
      <w:r w:rsidRPr="00020F3D">
        <w:rPr>
          <w:rFonts w:ascii="Times New Roman" w:eastAsia="Times New Roman" w:hAnsi="Times New Roman" w:cs="Times New Roman"/>
          <w:i/>
          <w:iCs/>
          <w:kern w:val="0"/>
          <w:sz w:val="24"/>
          <w:szCs w:val="24"/>
          <w:lang w:eastAsia="en-GB"/>
          <w14:ligatures w14:val="none"/>
        </w:rPr>
        <w:t>elements</w:t>
      </w:r>
      <w:proofErr w:type="gramEnd"/>
      <w:r w:rsidRPr="00020F3D">
        <w:rPr>
          <w:rFonts w:ascii="Times New Roman" w:eastAsia="Times New Roman" w:hAnsi="Times New Roman" w:cs="Times New Roman"/>
          <w:i/>
          <w:iCs/>
          <w:kern w:val="0"/>
          <w:sz w:val="24"/>
          <w:szCs w:val="24"/>
          <w:lang w:eastAsia="en-GB"/>
          <w14:ligatures w14:val="none"/>
        </w:rPr>
        <w:t xml:space="preserve"> and types - Business Jargons</w:t>
      </w:r>
      <w:r w:rsidRPr="00020F3D">
        <w:rPr>
          <w:rFonts w:ascii="Times New Roman" w:eastAsia="Times New Roman" w:hAnsi="Times New Roman" w:cs="Times New Roman"/>
          <w:kern w:val="0"/>
          <w:sz w:val="24"/>
          <w:szCs w:val="24"/>
          <w:lang w:eastAsia="en-GB"/>
          <w14:ligatures w14:val="none"/>
        </w:rPr>
        <w:t>. [online] Business Jargons. Available at: https://businessjargons.com/contract.html [Accessed 28 Feb. 2024].</w:t>
      </w:r>
    </w:p>
    <w:p w14:paraId="4105B02C" w14:textId="77777777" w:rsidR="00020F3D" w:rsidRPr="00020F3D" w:rsidRDefault="00020F3D" w:rsidP="00020F3D">
      <w:pPr>
        <w:spacing w:after="240" w:line="360" w:lineRule="auto"/>
        <w:rPr>
          <w:rFonts w:ascii="Times New Roman" w:eastAsia="Times New Roman" w:hAnsi="Times New Roman" w:cs="Times New Roman"/>
          <w:kern w:val="0"/>
          <w:sz w:val="24"/>
          <w:szCs w:val="24"/>
          <w:lang w:eastAsia="en-GB"/>
          <w14:ligatures w14:val="none"/>
        </w:rPr>
      </w:pPr>
      <w:r w:rsidRPr="00020F3D">
        <w:rPr>
          <w:rFonts w:ascii="Times New Roman" w:eastAsia="Times New Roman" w:hAnsi="Times New Roman" w:cs="Times New Roman"/>
          <w:kern w:val="0"/>
          <w:sz w:val="24"/>
          <w:szCs w:val="24"/>
          <w:lang w:eastAsia="en-GB"/>
          <w14:ligatures w14:val="none"/>
        </w:rPr>
        <w:t xml:space="preserve">Contract Law (2023). </w:t>
      </w:r>
      <w:r w:rsidRPr="00020F3D">
        <w:rPr>
          <w:rFonts w:ascii="Times New Roman" w:eastAsia="Times New Roman" w:hAnsi="Times New Roman" w:cs="Times New Roman"/>
          <w:i/>
          <w:iCs/>
          <w:kern w:val="0"/>
          <w:sz w:val="24"/>
          <w:szCs w:val="24"/>
          <w:lang w:eastAsia="en-GB"/>
          <w14:ligatures w14:val="none"/>
        </w:rPr>
        <w:t>Offer and Acceptance in Contract Law: Key Concepts and Case Examples</w:t>
      </w:r>
      <w:r w:rsidRPr="00020F3D">
        <w:rPr>
          <w:rFonts w:ascii="Times New Roman" w:eastAsia="Times New Roman" w:hAnsi="Times New Roman" w:cs="Times New Roman"/>
          <w:kern w:val="0"/>
          <w:sz w:val="24"/>
          <w:szCs w:val="24"/>
          <w:lang w:eastAsia="en-GB"/>
          <w14:ligatures w14:val="none"/>
        </w:rPr>
        <w:t>. [online] Contract Law Mastery | SQE Prep in UK. Available at: https://contract-law-sqe.co.uk/offer-and-acceptance-in-contract-law-key-concepts-and-case-examples/ [Accessed 28 Feb. 2024].</w:t>
      </w:r>
    </w:p>
    <w:p w14:paraId="1244723C" w14:textId="77777777" w:rsidR="00020F3D" w:rsidRPr="00020F3D" w:rsidRDefault="00020F3D" w:rsidP="00020F3D">
      <w:pPr>
        <w:spacing w:after="240" w:line="360" w:lineRule="auto"/>
        <w:rPr>
          <w:rFonts w:ascii="Times New Roman" w:eastAsia="Times New Roman" w:hAnsi="Times New Roman" w:cs="Times New Roman"/>
          <w:kern w:val="0"/>
          <w:sz w:val="24"/>
          <w:szCs w:val="24"/>
          <w:lang w:eastAsia="en-GB"/>
          <w14:ligatures w14:val="none"/>
        </w:rPr>
      </w:pPr>
      <w:r w:rsidRPr="00020F3D">
        <w:rPr>
          <w:rFonts w:ascii="Times New Roman" w:eastAsia="Times New Roman" w:hAnsi="Times New Roman" w:cs="Times New Roman"/>
          <w:kern w:val="0"/>
          <w:sz w:val="24"/>
          <w:szCs w:val="24"/>
          <w:lang w:eastAsia="en-GB"/>
          <w14:ligatures w14:val="none"/>
        </w:rPr>
        <w:t xml:space="preserve">Fafinski, S. and Finch, E. (2014). </w:t>
      </w:r>
      <w:r w:rsidRPr="00020F3D">
        <w:rPr>
          <w:rFonts w:ascii="Times New Roman" w:eastAsia="Times New Roman" w:hAnsi="Times New Roman" w:cs="Times New Roman"/>
          <w:i/>
          <w:iCs/>
          <w:kern w:val="0"/>
          <w:sz w:val="24"/>
          <w:szCs w:val="24"/>
          <w:lang w:eastAsia="en-GB"/>
          <w14:ligatures w14:val="none"/>
        </w:rPr>
        <w:t>Contract law</w:t>
      </w:r>
      <w:r w:rsidRPr="00020F3D">
        <w:rPr>
          <w:rFonts w:ascii="Times New Roman" w:eastAsia="Times New Roman" w:hAnsi="Times New Roman" w:cs="Times New Roman"/>
          <w:kern w:val="0"/>
          <w:sz w:val="24"/>
          <w:szCs w:val="24"/>
          <w:lang w:eastAsia="en-GB"/>
          <w14:ligatures w14:val="none"/>
        </w:rPr>
        <w:t>. 4th ed. New York: Pearson Longman, p.37.</w:t>
      </w:r>
    </w:p>
    <w:p w14:paraId="66DF3100" w14:textId="77777777" w:rsidR="00020F3D" w:rsidRPr="00020F3D" w:rsidRDefault="00020F3D" w:rsidP="00020F3D">
      <w:pPr>
        <w:spacing w:after="240" w:line="360" w:lineRule="auto"/>
        <w:rPr>
          <w:rFonts w:ascii="Times New Roman" w:eastAsia="Times New Roman" w:hAnsi="Times New Roman" w:cs="Times New Roman"/>
          <w:kern w:val="0"/>
          <w:sz w:val="24"/>
          <w:szCs w:val="24"/>
          <w:lang w:eastAsia="en-GB"/>
          <w14:ligatures w14:val="none"/>
        </w:rPr>
      </w:pPr>
      <w:proofErr w:type="spellStart"/>
      <w:r w:rsidRPr="00020F3D">
        <w:rPr>
          <w:rFonts w:ascii="Times New Roman" w:eastAsia="Times New Roman" w:hAnsi="Times New Roman" w:cs="Times New Roman"/>
          <w:kern w:val="0"/>
          <w:sz w:val="24"/>
          <w:szCs w:val="24"/>
          <w:lang w:eastAsia="en-GB"/>
          <w14:ligatures w14:val="none"/>
        </w:rPr>
        <w:t>Lawbite</w:t>
      </w:r>
      <w:proofErr w:type="spellEnd"/>
      <w:r w:rsidRPr="00020F3D">
        <w:rPr>
          <w:rFonts w:ascii="Times New Roman" w:eastAsia="Times New Roman" w:hAnsi="Times New Roman" w:cs="Times New Roman"/>
          <w:kern w:val="0"/>
          <w:sz w:val="24"/>
          <w:szCs w:val="24"/>
          <w:lang w:eastAsia="en-GB"/>
          <w14:ligatures w14:val="none"/>
        </w:rPr>
        <w:t xml:space="preserve"> (2021). </w:t>
      </w:r>
      <w:r w:rsidRPr="00020F3D">
        <w:rPr>
          <w:rFonts w:ascii="Times New Roman" w:eastAsia="Times New Roman" w:hAnsi="Times New Roman" w:cs="Times New Roman"/>
          <w:i/>
          <w:iCs/>
          <w:kern w:val="0"/>
          <w:sz w:val="24"/>
          <w:szCs w:val="24"/>
          <w:lang w:eastAsia="en-GB"/>
          <w14:ligatures w14:val="none"/>
        </w:rPr>
        <w:t xml:space="preserve">Contracts: What is Consideration? | </w:t>
      </w:r>
      <w:proofErr w:type="spellStart"/>
      <w:r w:rsidRPr="00020F3D">
        <w:rPr>
          <w:rFonts w:ascii="Times New Roman" w:eastAsia="Times New Roman" w:hAnsi="Times New Roman" w:cs="Times New Roman"/>
          <w:i/>
          <w:iCs/>
          <w:kern w:val="0"/>
          <w:sz w:val="24"/>
          <w:szCs w:val="24"/>
          <w:lang w:eastAsia="en-GB"/>
          <w14:ligatures w14:val="none"/>
        </w:rPr>
        <w:t>LawBite</w:t>
      </w:r>
      <w:proofErr w:type="spellEnd"/>
      <w:r w:rsidRPr="00020F3D">
        <w:rPr>
          <w:rFonts w:ascii="Times New Roman" w:eastAsia="Times New Roman" w:hAnsi="Times New Roman" w:cs="Times New Roman"/>
          <w:kern w:val="0"/>
          <w:sz w:val="24"/>
          <w:szCs w:val="24"/>
          <w:lang w:eastAsia="en-GB"/>
          <w14:ligatures w14:val="none"/>
        </w:rPr>
        <w:t>. [online] www.lawbite.co.uk. Available at: https://www.lawbite.co.uk/resources/blog/contracts-what-is-consideration [Accessed 3 Mar. 2024].</w:t>
      </w:r>
    </w:p>
    <w:p w14:paraId="1B67B899" w14:textId="77777777" w:rsidR="00020F3D" w:rsidRPr="00020F3D" w:rsidRDefault="00020F3D" w:rsidP="00020F3D">
      <w:pPr>
        <w:spacing w:after="240" w:line="360" w:lineRule="auto"/>
        <w:rPr>
          <w:rFonts w:ascii="Times New Roman" w:eastAsia="Times New Roman" w:hAnsi="Times New Roman" w:cs="Times New Roman"/>
          <w:kern w:val="0"/>
          <w:sz w:val="24"/>
          <w:szCs w:val="24"/>
          <w:lang w:eastAsia="en-GB"/>
          <w14:ligatures w14:val="none"/>
        </w:rPr>
      </w:pPr>
      <w:r w:rsidRPr="00020F3D">
        <w:rPr>
          <w:rFonts w:ascii="Times New Roman" w:eastAsia="Times New Roman" w:hAnsi="Times New Roman" w:cs="Times New Roman"/>
          <w:kern w:val="0"/>
          <w:sz w:val="24"/>
          <w:szCs w:val="24"/>
          <w:lang w:eastAsia="en-GB"/>
          <w14:ligatures w14:val="none"/>
        </w:rPr>
        <w:t xml:space="preserve">Legal Dictionary (2015). </w:t>
      </w:r>
      <w:r w:rsidRPr="00020F3D">
        <w:rPr>
          <w:rFonts w:ascii="Times New Roman" w:eastAsia="Times New Roman" w:hAnsi="Times New Roman" w:cs="Times New Roman"/>
          <w:i/>
          <w:iCs/>
          <w:kern w:val="0"/>
          <w:sz w:val="24"/>
          <w:szCs w:val="24"/>
          <w:lang w:eastAsia="en-GB"/>
          <w14:ligatures w14:val="none"/>
        </w:rPr>
        <w:t>Consideration - Definition, Examples, Types, in Contract Law</w:t>
      </w:r>
      <w:r w:rsidRPr="00020F3D">
        <w:rPr>
          <w:rFonts w:ascii="Times New Roman" w:eastAsia="Times New Roman" w:hAnsi="Times New Roman" w:cs="Times New Roman"/>
          <w:kern w:val="0"/>
          <w:sz w:val="24"/>
          <w:szCs w:val="24"/>
          <w:lang w:eastAsia="en-GB"/>
          <w14:ligatures w14:val="none"/>
        </w:rPr>
        <w:t>. [online] Legal Dictionary. Available at: https://legaldictionary.net/consideration/ [Accessed 28 Feb. 2024].</w:t>
      </w:r>
    </w:p>
    <w:p w14:paraId="75219920" w14:textId="77777777" w:rsidR="00020F3D" w:rsidRPr="00020F3D" w:rsidRDefault="00020F3D" w:rsidP="00020F3D">
      <w:pPr>
        <w:spacing w:after="240" w:line="360" w:lineRule="auto"/>
        <w:rPr>
          <w:rFonts w:ascii="Times New Roman" w:eastAsia="Times New Roman" w:hAnsi="Times New Roman" w:cs="Times New Roman"/>
          <w:kern w:val="0"/>
          <w:sz w:val="24"/>
          <w:szCs w:val="24"/>
          <w:lang w:eastAsia="en-GB"/>
          <w14:ligatures w14:val="none"/>
        </w:rPr>
      </w:pPr>
      <w:r w:rsidRPr="00020F3D">
        <w:rPr>
          <w:rFonts w:ascii="Times New Roman" w:eastAsia="Times New Roman" w:hAnsi="Times New Roman" w:cs="Times New Roman"/>
          <w:kern w:val="0"/>
          <w:sz w:val="24"/>
          <w:szCs w:val="24"/>
          <w:lang w:eastAsia="en-GB"/>
          <w14:ligatures w14:val="none"/>
        </w:rPr>
        <w:lastRenderedPageBreak/>
        <w:t xml:space="preserve">Practical Law (2024). </w:t>
      </w:r>
      <w:r w:rsidRPr="00020F3D">
        <w:rPr>
          <w:rFonts w:ascii="Times New Roman" w:eastAsia="Times New Roman" w:hAnsi="Times New Roman" w:cs="Times New Roman"/>
          <w:i/>
          <w:iCs/>
          <w:kern w:val="0"/>
          <w:sz w:val="24"/>
          <w:szCs w:val="24"/>
          <w:lang w:eastAsia="en-GB"/>
          <w14:ligatures w14:val="none"/>
        </w:rPr>
        <w:t>Consideration</w:t>
      </w:r>
      <w:r w:rsidRPr="00020F3D">
        <w:rPr>
          <w:rFonts w:ascii="Times New Roman" w:eastAsia="Times New Roman" w:hAnsi="Times New Roman" w:cs="Times New Roman"/>
          <w:kern w:val="0"/>
          <w:sz w:val="24"/>
          <w:szCs w:val="24"/>
          <w:lang w:eastAsia="en-GB"/>
          <w14:ligatures w14:val="none"/>
        </w:rPr>
        <w:t>. [online] Practical Law. Available at: https://uk.practicallaw.thomsonreuters.com/7-503-9758?contextData=(sc.Default)&amp;transitionType=Default&amp;firstPage=true [Accessed 3 Mar. 2024].</w:t>
      </w:r>
    </w:p>
    <w:p w14:paraId="24FC4EC6" w14:textId="77777777" w:rsidR="00020F3D" w:rsidRPr="00020F3D" w:rsidRDefault="00020F3D" w:rsidP="00020F3D">
      <w:pPr>
        <w:spacing w:after="240" w:line="360" w:lineRule="auto"/>
        <w:rPr>
          <w:rFonts w:ascii="Times New Roman" w:eastAsia="Times New Roman" w:hAnsi="Times New Roman" w:cs="Times New Roman"/>
          <w:kern w:val="0"/>
          <w:sz w:val="24"/>
          <w:szCs w:val="24"/>
          <w:lang w:eastAsia="en-GB"/>
          <w14:ligatures w14:val="none"/>
        </w:rPr>
      </w:pPr>
      <w:r w:rsidRPr="00020F3D">
        <w:rPr>
          <w:rFonts w:ascii="Times New Roman" w:eastAsia="Times New Roman" w:hAnsi="Times New Roman" w:cs="Times New Roman"/>
          <w:kern w:val="0"/>
          <w:sz w:val="24"/>
          <w:szCs w:val="24"/>
          <w:lang w:eastAsia="en-GB"/>
          <w14:ligatures w14:val="none"/>
        </w:rPr>
        <w:t xml:space="preserve">Quinn, F. and Elliott, C. (2019). </w:t>
      </w:r>
      <w:r w:rsidRPr="00020F3D">
        <w:rPr>
          <w:rFonts w:ascii="Times New Roman" w:eastAsia="Times New Roman" w:hAnsi="Times New Roman" w:cs="Times New Roman"/>
          <w:i/>
          <w:iCs/>
          <w:kern w:val="0"/>
          <w:sz w:val="24"/>
          <w:szCs w:val="24"/>
          <w:lang w:eastAsia="en-GB"/>
          <w14:ligatures w14:val="none"/>
        </w:rPr>
        <w:t>Elliott and Quinn’s contract law</w:t>
      </w:r>
      <w:r w:rsidRPr="00020F3D">
        <w:rPr>
          <w:rFonts w:ascii="Times New Roman" w:eastAsia="Times New Roman" w:hAnsi="Times New Roman" w:cs="Times New Roman"/>
          <w:kern w:val="0"/>
          <w:sz w:val="24"/>
          <w:szCs w:val="24"/>
          <w:lang w:eastAsia="en-GB"/>
          <w14:ligatures w14:val="none"/>
        </w:rPr>
        <w:t>. 12th ed. Harlow, England: Pearson, p.97.</w:t>
      </w:r>
    </w:p>
    <w:p w14:paraId="7E66B600" w14:textId="77777777" w:rsidR="00020F3D" w:rsidRPr="00020F3D" w:rsidRDefault="00020F3D" w:rsidP="00020F3D">
      <w:pPr>
        <w:spacing w:after="240" w:line="360" w:lineRule="auto"/>
        <w:rPr>
          <w:rFonts w:ascii="Times New Roman" w:eastAsia="Times New Roman" w:hAnsi="Times New Roman" w:cs="Times New Roman"/>
          <w:kern w:val="0"/>
          <w:sz w:val="24"/>
          <w:szCs w:val="24"/>
          <w:lang w:eastAsia="en-GB"/>
          <w14:ligatures w14:val="none"/>
        </w:rPr>
      </w:pPr>
      <w:r w:rsidRPr="00020F3D">
        <w:rPr>
          <w:rFonts w:ascii="Times New Roman" w:eastAsia="Times New Roman" w:hAnsi="Times New Roman" w:cs="Times New Roman"/>
          <w:kern w:val="0"/>
          <w:sz w:val="24"/>
          <w:szCs w:val="24"/>
          <w:lang w:eastAsia="en-GB"/>
          <w14:ligatures w14:val="none"/>
        </w:rPr>
        <w:t xml:space="preserve">Somji, Q. (2023). </w:t>
      </w:r>
      <w:r w:rsidRPr="00020F3D">
        <w:rPr>
          <w:rFonts w:ascii="Times New Roman" w:eastAsia="Times New Roman" w:hAnsi="Times New Roman" w:cs="Times New Roman"/>
          <w:i/>
          <w:iCs/>
          <w:kern w:val="0"/>
          <w:sz w:val="24"/>
          <w:szCs w:val="24"/>
          <w:lang w:eastAsia="en-GB"/>
          <w14:ligatures w14:val="none"/>
        </w:rPr>
        <w:t>A Guide on Contract Law: Offer and Acceptance by Expert Lawyers</w:t>
      </w:r>
      <w:r w:rsidRPr="00020F3D">
        <w:rPr>
          <w:rFonts w:ascii="Times New Roman" w:eastAsia="Times New Roman" w:hAnsi="Times New Roman" w:cs="Times New Roman"/>
          <w:kern w:val="0"/>
          <w:sz w:val="24"/>
          <w:szCs w:val="24"/>
          <w:lang w:eastAsia="en-GB"/>
          <w14:ligatures w14:val="none"/>
        </w:rPr>
        <w:t>. [online] Witan Solicitors. Available at: https://witansolicitors.co.uk/offer-acceptance/ [Accessed 28 Feb. 2024].</w:t>
      </w:r>
    </w:p>
    <w:p w14:paraId="4561276B" w14:textId="77777777" w:rsidR="00020F3D" w:rsidRDefault="00020F3D" w:rsidP="00020F3D">
      <w:pPr>
        <w:spacing w:after="240" w:line="360" w:lineRule="auto"/>
        <w:rPr>
          <w:rFonts w:ascii="Times New Roman" w:eastAsia="Times New Roman" w:hAnsi="Times New Roman" w:cs="Times New Roman"/>
          <w:kern w:val="0"/>
          <w:sz w:val="24"/>
          <w:szCs w:val="24"/>
          <w:lang w:eastAsia="en-GB"/>
          <w14:ligatures w14:val="none"/>
        </w:rPr>
      </w:pPr>
      <w:r w:rsidRPr="00020F3D">
        <w:rPr>
          <w:rFonts w:ascii="Times New Roman" w:eastAsia="Times New Roman" w:hAnsi="Times New Roman" w:cs="Times New Roman"/>
          <w:kern w:val="0"/>
          <w:sz w:val="24"/>
          <w:szCs w:val="24"/>
          <w:lang w:eastAsia="en-GB"/>
          <w14:ligatures w14:val="none"/>
        </w:rPr>
        <w:t xml:space="preserve">Study Smarter (2023). </w:t>
      </w:r>
      <w:r w:rsidRPr="00020F3D">
        <w:rPr>
          <w:rFonts w:ascii="Times New Roman" w:eastAsia="Times New Roman" w:hAnsi="Times New Roman" w:cs="Times New Roman"/>
          <w:i/>
          <w:iCs/>
          <w:kern w:val="0"/>
          <w:sz w:val="24"/>
          <w:szCs w:val="24"/>
          <w:lang w:eastAsia="en-GB"/>
          <w14:ligatures w14:val="none"/>
        </w:rPr>
        <w:t>Intention to Create Legal Relations: Agreements &amp; Importance</w:t>
      </w:r>
      <w:r w:rsidRPr="00020F3D">
        <w:rPr>
          <w:rFonts w:ascii="Times New Roman" w:eastAsia="Times New Roman" w:hAnsi="Times New Roman" w:cs="Times New Roman"/>
          <w:kern w:val="0"/>
          <w:sz w:val="24"/>
          <w:szCs w:val="24"/>
          <w:lang w:eastAsia="en-GB"/>
          <w14:ligatures w14:val="none"/>
        </w:rPr>
        <w:t xml:space="preserve">. [online] </w:t>
      </w:r>
      <w:proofErr w:type="spellStart"/>
      <w:r w:rsidRPr="00020F3D">
        <w:rPr>
          <w:rFonts w:ascii="Times New Roman" w:eastAsia="Times New Roman" w:hAnsi="Times New Roman" w:cs="Times New Roman"/>
          <w:kern w:val="0"/>
          <w:sz w:val="24"/>
          <w:szCs w:val="24"/>
          <w:lang w:eastAsia="en-GB"/>
          <w14:ligatures w14:val="none"/>
        </w:rPr>
        <w:t>StudySmarter</w:t>
      </w:r>
      <w:proofErr w:type="spellEnd"/>
      <w:r w:rsidRPr="00020F3D">
        <w:rPr>
          <w:rFonts w:ascii="Times New Roman" w:eastAsia="Times New Roman" w:hAnsi="Times New Roman" w:cs="Times New Roman"/>
          <w:kern w:val="0"/>
          <w:sz w:val="24"/>
          <w:szCs w:val="24"/>
          <w:lang w:eastAsia="en-GB"/>
          <w14:ligatures w14:val="none"/>
        </w:rPr>
        <w:t xml:space="preserve"> UK. Available at: https://www.studysmarter.co.uk/explanations/law/contract-law/intention-to-create-legal-relations/ [Accessed 2 Mar. 2024].</w:t>
      </w:r>
    </w:p>
    <w:p w14:paraId="3C876394" w14:textId="77777777" w:rsidR="00020F3D" w:rsidRDefault="00020F3D" w:rsidP="00020F3D">
      <w:pPr>
        <w:spacing w:after="240" w:line="360" w:lineRule="auto"/>
        <w:rPr>
          <w:rFonts w:ascii="Times New Roman" w:eastAsia="Times New Roman" w:hAnsi="Times New Roman" w:cs="Times New Roman"/>
          <w:kern w:val="0"/>
          <w:sz w:val="24"/>
          <w:szCs w:val="24"/>
          <w:lang w:eastAsia="en-GB"/>
          <w14:ligatures w14:val="none"/>
        </w:rPr>
      </w:pPr>
    </w:p>
    <w:p w14:paraId="13CC8794" w14:textId="39B64F56" w:rsidR="00020F3D" w:rsidRDefault="00020F3D" w:rsidP="00020F3D">
      <w:pPr>
        <w:spacing w:after="240" w:line="360" w:lineRule="auto"/>
        <w:outlineLvl w:val="0"/>
        <w:rPr>
          <w:rFonts w:ascii="Times New Roman" w:eastAsia="Times New Roman" w:hAnsi="Times New Roman" w:cs="Times New Roman"/>
          <w:b/>
          <w:bCs/>
          <w:kern w:val="36"/>
          <w:sz w:val="36"/>
          <w:szCs w:val="36"/>
          <w:lang w:eastAsia="en-GB"/>
          <w14:ligatures w14:val="none"/>
        </w:rPr>
      </w:pPr>
      <w:r>
        <w:rPr>
          <w:rFonts w:ascii="Times New Roman" w:eastAsia="Times New Roman" w:hAnsi="Times New Roman" w:cs="Times New Roman"/>
          <w:b/>
          <w:bCs/>
          <w:kern w:val="36"/>
          <w:sz w:val="36"/>
          <w:szCs w:val="36"/>
          <w:lang w:eastAsia="en-GB"/>
          <w14:ligatures w14:val="none"/>
        </w:rPr>
        <w:t>Case law</w:t>
      </w:r>
    </w:p>
    <w:p w14:paraId="2CC56961" w14:textId="77777777" w:rsidR="00020F3D" w:rsidRPr="00020F3D" w:rsidRDefault="00020F3D" w:rsidP="00020F3D">
      <w:pPr>
        <w:rPr>
          <w:rFonts w:ascii="Arial" w:hAnsi="Arial" w:cs="Arial"/>
          <w:color w:val="0D0D0D"/>
          <w:sz w:val="24"/>
          <w:szCs w:val="24"/>
          <w:shd w:val="clear" w:color="auto" w:fill="FFFFFF"/>
        </w:rPr>
      </w:pPr>
      <w:r w:rsidRPr="00020F3D">
        <w:rPr>
          <w:rFonts w:ascii="Arial" w:hAnsi="Arial" w:cs="Arial"/>
          <w:color w:val="0D0D0D"/>
          <w:sz w:val="24"/>
          <w:szCs w:val="24"/>
          <w:shd w:val="clear" w:color="auto" w:fill="FFFFFF"/>
        </w:rPr>
        <w:t>Chappell &amp; Co Ltd v Nestle Co Ltd [1960] AC 87.</w:t>
      </w:r>
    </w:p>
    <w:p w14:paraId="2C688754" w14:textId="11091D7F" w:rsidR="00020F3D" w:rsidRPr="00020F3D" w:rsidRDefault="00020F3D" w:rsidP="00020F3D">
      <w:pPr>
        <w:rPr>
          <w:rFonts w:ascii="Arial" w:hAnsi="Arial" w:cs="Arial"/>
          <w:color w:val="0D0D0D"/>
          <w:sz w:val="24"/>
          <w:szCs w:val="24"/>
          <w:shd w:val="clear" w:color="auto" w:fill="FFFFFF"/>
        </w:rPr>
      </w:pPr>
      <w:r w:rsidRPr="00020F3D">
        <w:rPr>
          <w:rFonts w:ascii="Arial" w:hAnsi="Arial" w:cs="Arial"/>
          <w:color w:val="0D0D0D"/>
          <w:sz w:val="24"/>
          <w:szCs w:val="24"/>
          <w:shd w:val="clear" w:color="auto" w:fill="FFFFFF"/>
        </w:rPr>
        <w:t>Hamer v. Sidway</w:t>
      </w:r>
      <w:r w:rsidRPr="00020F3D">
        <w:rPr>
          <w:rFonts w:ascii="Arial" w:hAnsi="Arial" w:cs="Arial"/>
          <w:color w:val="0D0D0D"/>
          <w:sz w:val="24"/>
          <w:szCs w:val="24"/>
          <w:shd w:val="clear" w:color="auto" w:fill="FFFFFF"/>
        </w:rPr>
        <w:t xml:space="preserve"> 124 N.Y. 538, 27 N.E. 256 (N.Y. 1891)</w:t>
      </w:r>
    </w:p>
    <w:p w14:paraId="411C7A3B" w14:textId="77777777" w:rsidR="00020F3D" w:rsidRPr="00020F3D" w:rsidRDefault="00020F3D" w:rsidP="00020F3D">
      <w:pPr>
        <w:rPr>
          <w:rFonts w:ascii="Arial" w:hAnsi="Arial" w:cs="Arial"/>
          <w:color w:val="0D0D0D"/>
          <w:sz w:val="24"/>
          <w:szCs w:val="24"/>
          <w:shd w:val="clear" w:color="auto" w:fill="FFFFFF"/>
        </w:rPr>
      </w:pPr>
      <w:r w:rsidRPr="00020F3D">
        <w:rPr>
          <w:rFonts w:ascii="Arial" w:hAnsi="Arial" w:cs="Arial"/>
          <w:color w:val="0D0D0D"/>
          <w:sz w:val="24"/>
          <w:szCs w:val="24"/>
          <w:shd w:val="clear" w:color="auto" w:fill="FFFFFF"/>
        </w:rPr>
        <w:t>Re McArdle (1951) [1951] Ch 669.</w:t>
      </w:r>
    </w:p>
    <w:p w14:paraId="7C8A05AB" w14:textId="77777777" w:rsidR="00020F3D" w:rsidRPr="00020F3D" w:rsidRDefault="00020F3D" w:rsidP="00020F3D">
      <w:pPr>
        <w:rPr>
          <w:rFonts w:ascii="Arial" w:hAnsi="Arial" w:cs="Arial"/>
          <w:color w:val="0D0D0D"/>
          <w:sz w:val="24"/>
          <w:szCs w:val="24"/>
          <w:shd w:val="clear" w:color="auto" w:fill="FFFFFF"/>
        </w:rPr>
      </w:pPr>
      <w:r w:rsidRPr="00020F3D">
        <w:rPr>
          <w:rFonts w:ascii="Arial" w:hAnsi="Arial" w:cs="Arial"/>
          <w:color w:val="0D0D0D"/>
          <w:sz w:val="24"/>
          <w:szCs w:val="24"/>
          <w:shd w:val="clear" w:color="auto" w:fill="FFFFFF"/>
        </w:rPr>
        <w:t>Thomas v Thomas (1842) 2 QB 851.</w:t>
      </w:r>
    </w:p>
    <w:p w14:paraId="560861F6" w14:textId="77777777" w:rsidR="00020F3D" w:rsidRPr="00020F3D" w:rsidRDefault="00020F3D" w:rsidP="00020F3D">
      <w:pPr>
        <w:rPr>
          <w:rFonts w:ascii="Arial" w:hAnsi="Arial" w:cs="Arial"/>
          <w:color w:val="0D0D0D"/>
          <w:sz w:val="24"/>
          <w:szCs w:val="24"/>
          <w:shd w:val="clear" w:color="auto" w:fill="FFFFFF"/>
        </w:rPr>
      </w:pPr>
      <w:r w:rsidRPr="00020F3D">
        <w:rPr>
          <w:rFonts w:ascii="Arial" w:hAnsi="Arial" w:cs="Arial"/>
          <w:color w:val="0D0D0D"/>
          <w:sz w:val="24"/>
          <w:szCs w:val="24"/>
          <w:shd w:val="clear" w:color="auto" w:fill="FFFFFF"/>
        </w:rPr>
        <w:t>Tweddle v Atkinson (1861) 1 B &amp; S 393.</w:t>
      </w:r>
    </w:p>
    <w:p w14:paraId="1CD51F7D" w14:textId="77777777" w:rsidR="00020F3D" w:rsidRPr="00020F3D" w:rsidRDefault="00020F3D" w:rsidP="00020F3D">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01DB19E8" w14:textId="77777777" w:rsidR="00020F3D" w:rsidRPr="00020F3D" w:rsidRDefault="00020F3D" w:rsidP="00020F3D">
      <w:pPr>
        <w:spacing w:after="240" w:line="360" w:lineRule="auto"/>
        <w:rPr>
          <w:rFonts w:ascii="Times New Roman" w:eastAsia="Times New Roman" w:hAnsi="Times New Roman" w:cs="Times New Roman"/>
          <w:kern w:val="0"/>
          <w:sz w:val="24"/>
          <w:szCs w:val="24"/>
          <w:lang w:eastAsia="en-GB"/>
          <w14:ligatures w14:val="none"/>
        </w:rPr>
      </w:pPr>
    </w:p>
    <w:p w14:paraId="4C380CAD" w14:textId="77777777" w:rsidR="0082090E" w:rsidRPr="0082090E" w:rsidRDefault="0082090E" w:rsidP="006169A8">
      <w:pPr>
        <w:rPr>
          <w:rFonts w:ascii="Arial" w:eastAsia="Times New Roman" w:hAnsi="Arial" w:cs="Arial"/>
          <w:kern w:val="0"/>
          <w:sz w:val="24"/>
          <w:szCs w:val="24"/>
          <w:lang w:eastAsia="en-GB"/>
          <w14:ligatures w14:val="none"/>
        </w:rPr>
      </w:pPr>
    </w:p>
    <w:sectPr w:rsidR="0082090E" w:rsidRPr="008209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77B"/>
    <w:rsid w:val="00020F3D"/>
    <w:rsid w:val="00024D4F"/>
    <w:rsid w:val="000B5FCA"/>
    <w:rsid w:val="00150D77"/>
    <w:rsid w:val="002A6ECF"/>
    <w:rsid w:val="004116B1"/>
    <w:rsid w:val="0043527A"/>
    <w:rsid w:val="004A277B"/>
    <w:rsid w:val="006169A8"/>
    <w:rsid w:val="006A705D"/>
    <w:rsid w:val="006C62D7"/>
    <w:rsid w:val="006F0E45"/>
    <w:rsid w:val="006F648F"/>
    <w:rsid w:val="007F569C"/>
    <w:rsid w:val="0082090E"/>
    <w:rsid w:val="008538DA"/>
    <w:rsid w:val="008B4DF2"/>
    <w:rsid w:val="008B4E9C"/>
    <w:rsid w:val="00A366B3"/>
    <w:rsid w:val="00A36905"/>
    <w:rsid w:val="00A96891"/>
    <w:rsid w:val="00AB2FB3"/>
    <w:rsid w:val="00AC09CF"/>
    <w:rsid w:val="00B051E6"/>
    <w:rsid w:val="00B37DA4"/>
    <w:rsid w:val="00B62B62"/>
    <w:rsid w:val="00BE07D2"/>
    <w:rsid w:val="00C32F68"/>
    <w:rsid w:val="00C3695C"/>
    <w:rsid w:val="00C53588"/>
    <w:rsid w:val="00DE2BFA"/>
    <w:rsid w:val="00EB027C"/>
    <w:rsid w:val="00EC006B"/>
    <w:rsid w:val="00F64869"/>
    <w:rsid w:val="00FF7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23BD3"/>
  <w15:chartTrackingRefBased/>
  <w15:docId w15:val="{6C0B0BDD-6847-481F-BFB3-8C72D809D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27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27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27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27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27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27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27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27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27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27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27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27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27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27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27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27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27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277B"/>
    <w:rPr>
      <w:rFonts w:eastAsiaTheme="majorEastAsia" w:cstheme="majorBidi"/>
      <w:color w:val="272727" w:themeColor="text1" w:themeTint="D8"/>
    </w:rPr>
  </w:style>
  <w:style w:type="paragraph" w:styleId="Title">
    <w:name w:val="Title"/>
    <w:basedOn w:val="Normal"/>
    <w:next w:val="Normal"/>
    <w:link w:val="TitleChar"/>
    <w:uiPriority w:val="10"/>
    <w:qFormat/>
    <w:rsid w:val="004A27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27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27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27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277B"/>
    <w:pPr>
      <w:spacing w:before="160"/>
      <w:jc w:val="center"/>
    </w:pPr>
    <w:rPr>
      <w:i/>
      <w:iCs/>
      <w:color w:val="404040" w:themeColor="text1" w:themeTint="BF"/>
    </w:rPr>
  </w:style>
  <w:style w:type="character" w:customStyle="1" w:styleId="QuoteChar">
    <w:name w:val="Quote Char"/>
    <w:basedOn w:val="DefaultParagraphFont"/>
    <w:link w:val="Quote"/>
    <w:uiPriority w:val="29"/>
    <w:rsid w:val="004A277B"/>
    <w:rPr>
      <w:i/>
      <w:iCs/>
      <w:color w:val="404040" w:themeColor="text1" w:themeTint="BF"/>
    </w:rPr>
  </w:style>
  <w:style w:type="paragraph" w:styleId="ListParagraph">
    <w:name w:val="List Paragraph"/>
    <w:basedOn w:val="Normal"/>
    <w:uiPriority w:val="34"/>
    <w:qFormat/>
    <w:rsid w:val="004A277B"/>
    <w:pPr>
      <w:ind w:left="720"/>
      <w:contextualSpacing/>
    </w:pPr>
  </w:style>
  <w:style w:type="character" w:styleId="IntenseEmphasis">
    <w:name w:val="Intense Emphasis"/>
    <w:basedOn w:val="DefaultParagraphFont"/>
    <w:uiPriority w:val="21"/>
    <w:qFormat/>
    <w:rsid w:val="004A277B"/>
    <w:rPr>
      <w:i/>
      <w:iCs/>
      <w:color w:val="0F4761" w:themeColor="accent1" w:themeShade="BF"/>
    </w:rPr>
  </w:style>
  <w:style w:type="paragraph" w:styleId="IntenseQuote">
    <w:name w:val="Intense Quote"/>
    <w:basedOn w:val="Normal"/>
    <w:next w:val="Normal"/>
    <w:link w:val="IntenseQuoteChar"/>
    <w:uiPriority w:val="30"/>
    <w:qFormat/>
    <w:rsid w:val="004A27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277B"/>
    <w:rPr>
      <w:i/>
      <w:iCs/>
      <w:color w:val="0F4761" w:themeColor="accent1" w:themeShade="BF"/>
    </w:rPr>
  </w:style>
  <w:style w:type="character" w:styleId="IntenseReference">
    <w:name w:val="Intense Reference"/>
    <w:basedOn w:val="DefaultParagraphFont"/>
    <w:uiPriority w:val="32"/>
    <w:qFormat/>
    <w:rsid w:val="004A277B"/>
    <w:rPr>
      <w:b/>
      <w:bCs/>
      <w:smallCaps/>
      <w:color w:val="0F4761" w:themeColor="accent1" w:themeShade="BF"/>
      <w:spacing w:val="5"/>
    </w:rPr>
  </w:style>
  <w:style w:type="paragraph" w:styleId="NormalWeb">
    <w:name w:val="Normal (Web)"/>
    <w:basedOn w:val="Normal"/>
    <w:uiPriority w:val="99"/>
    <w:semiHidden/>
    <w:unhideWhenUsed/>
    <w:rsid w:val="004A27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A36905"/>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A36905"/>
    <w:rPr>
      <w:rFonts w:ascii="Arial" w:eastAsia="Times New Roman" w:hAnsi="Arial" w:cs="Arial"/>
      <w:vanish/>
      <w:kern w:val="0"/>
      <w:sz w:val="16"/>
      <w:szCs w:val="16"/>
      <w:lang w:eastAsia="en-GB"/>
      <w14:ligatures w14:val="none"/>
    </w:rPr>
  </w:style>
  <w:style w:type="character" w:styleId="Emphasis">
    <w:name w:val="Emphasis"/>
    <w:basedOn w:val="DefaultParagraphFont"/>
    <w:uiPriority w:val="20"/>
    <w:qFormat/>
    <w:rsid w:val="002A6ECF"/>
    <w:rPr>
      <w:i/>
      <w:iCs/>
    </w:rPr>
  </w:style>
  <w:style w:type="character" w:customStyle="1" w:styleId="cf01">
    <w:name w:val="cf01"/>
    <w:basedOn w:val="DefaultParagraphFont"/>
    <w:rsid w:val="0082090E"/>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689230">
      <w:bodyDiv w:val="1"/>
      <w:marLeft w:val="0"/>
      <w:marRight w:val="0"/>
      <w:marTop w:val="0"/>
      <w:marBottom w:val="0"/>
      <w:divBdr>
        <w:top w:val="none" w:sz="0" w:space="0" w:color="auto"/>
        <w:left w:val="none" w:sz="0" w:space="0" w:color="auto"/>
        <w:bottom w:val="none" w:sz="0" w:space="0" w:color="auto"/>
        <w:right w:val="none" w:sz="0" w:space="0" w:color="auto"/>
      </w:divBdr>
    </w:div>
    <w:div w:id="241452016">
      <w:bodyDiv w:val="1"/>
      <w:marLeft w:val="0"/>
      <w:marRight w:val="0"/>
      <w:marTop w:val="0"/>
      <w:marBottom w:val="0"/>
      <w:divBdr>
        <w:top w:val="none" w:sz="0" w:space="0" w:color="auto"/>
        <w:left w:val="none" w:sz="0" w:space="0" w:color="auto"/>
        <w:bottom w:val="none" w:sz="0" w:space="0" w:color="auto"/>
        <w:right w:val="none" w:sz="0" w:space="0" w:color="auto"/>
      </w:divBdr>
      <w:divsChild>
        <w:div w:id="570193026">
          <w:marLeft w:val="0"/>
          <w:marRight w:val="0"/>
          <w:marTop w:val="0"/>
          <w:marBottom w:val="0"/>
          <w:divBdr>
            <w:top w:val="single" w:sz="2" w:space="0" w:color="E3E3E3"/>
            <w:left w:val="single" w:sz="2" w:space="0" w:color="E3E3E3"/>
            <w:bottom w:val="single" w:sz="2" w:space="0" w:color="E3E3E3"/>
            <w:right w:val="single" w:sz="2" w:space="0" w:color="E3E3E3"/>
          </w:divBdr>
          <w:divsChild>
            <w:div w:id="769814283">
              <w:marLeft w:val="0"/>
              <w:marRight w:val="0"/>
              <w:marTop w:val="0"/>
              <w:marBottom w:val="0"/>
              <w:divBdr>
                <w:top w:val="single" w:sz="2" w:space="0" w:color="E3E3E3"/>
                <w:left w:val="single" w:sz="2" w:space="0" w:color="E3E3E3"/>
                <w:bottom w:val="single" w:sz="2" w:space="0" w:color="E3E3E3"/>
                <w:right w:val="single" w:sz="2" w:space="0" w:color="E3E3E3"/>
              </w:divBdr>
              <w:divsChild>
                <w:div w:id="461966488">
                  <w:marLeft w:val="0"/>
                  <w:marRight w:val="0"/>
                  <w:marTop w:val="0"/>
                  <w:marBottom w:val="0"/>
                  <w:divBdr>
                    <w:top w:val="single" w:sz="2" w:space="0" w:color="E3E3E3"/>
                    <w:left w:val="single" w:sz="2" w:space="0" w:color="E3E3E3"/>
                    <w:bottom w:val="single" w:sz="2" w:space="0" w:color="E3E3E3"/>
                    <w:right w:val="single" w:sz="2" w:space="0" w:color="E3E3E3"/>
                  </w:divBdr>
                  <w:divsChild>
                    <w:div w:id="525414190">
                      <w:marLeft w:val="0"/>
                      <w:marRight w:val="0"/>
                      <w:marTop w:val="0"/>
                      <w:marBottom w:val="0"/>
                      <w:divBdr>
                        <w:top w:val="single" w:sz="2" w:space="0" w:color="E3E3E3"/>
                        <w:left w:val="single" w:sz="2" w:space="0" w:color="E3E3E3"/>
                        <w:bottom w:val="single" w:sz="2" w:space="0" w:color="E3E3E3"/>
                        <w:right w:val="single" w:sz="2" w:space="0" w:color="E3E3E3"/>
                      </w:divBdr>
                      <w:divsChild>
                        <w:div w:id="1861506498">
                          <w:marLeft w:val="0"/>
                          <w:marRight w:val="0"/>
                          <w:marTop w:val="0"/>
                          <w:marBottom w:val="0"/>
                          <w:divBdr>
                            <w:top w:val="single" w:sz="2" w:space="0" w:color="E3E3E3"/>
                            <w:left w:val="single" w:sz="2" w:space="0" w:color="E3E3E3"/>
                            <w:bottom w:val="single" w:sz="2" w:space="0" w:color="E3E3E3"/>
                            <w:right w:val="single" w:sz="2" w:space="0" w:color="E3E3E3"/>
                          </w:divBdr>
                          <w:divsChild>
                            <w:div w:id="1871990362">
                              <w:marLeft w:val="0"/>
                              <w:marRight w:val="0"/>
                              <w:marTop w:val="100"/>
                              <w:marBottom w:val="100"/>
                              <w:divBdr>
                                <w:top w:val="single" w:sz="2" w:space="0" w:color="E3E3E3"/>
                                <w:left w:val="single" w:sz="2" w:space="0" w:color="E3E3E3"/>
                                <w:bottom w:val="single" w:sz="2" w:space="0" w:color="E3E3E3"/>
                                <w:right w:val="single" w:sz="2" w:space="0" w:color="E3E3E3"/>
                              </w:divBdr>
                              <w:divsChild>
                                <w:div w:id="545874156">
                                  <w:marLeft w:val="0"/>
                                  <w:marRight w:val="0"/>
                                  <w:marTop w:val="0"/>
                                  <w:marBottom w:val="0"/>
                                  <w:divBdr>
                                    <w:top w:val="single" w:sz="2" w:space="0" w:color="E3E3E3"/>
                                    <w:left w:val="single" w:sz="2" w:space="0" w:color="E3E3E3"/>
                                    <w:bottom w:val="single" w:sz="2" w:space="0" w:color="E3E3E3"/>
                                    <w:right w:val="single" w:sz="2" w:space="0" w:color="E3E3E3"/>
                                  </w:divBdr>
                                  <w:divsChild>
                                    <w:div w:id="1092436564">
                                      <w:marLeft w:val="0"/>
                                      <w:marRight w:val="0"/>
                                      <w:marTop w:val="0"/>
                                      <w:marBottom w:val="0"/>
                                      <w:divBdr>
                                        <w:top w:val="single" w:sz="2" w:space="0" w:color="E3E3E3"/>
                                        <w:left w:val="single" w:sz="2" w:space="0" w:color="E3E3E3"/>
                                        <w:bottom w:val="single" w:sz="2" w:space="0" w:color="E3E3E3"/>
                                        <w:right w:val="single" w:sz="2" w:space="0" w:color="E3E3E3"/>
                                      </w:divBdr>
                                      <w:divsChild>
                                        <w:div w:id="1556812309">
                                          <w:marLeft w:val="0"/>
                                          <w:marRight w:val="0"/>
                                          <w:marTop w:val="0"/>
                                          <w:marBottom w:val="0"/>
                                          <w:divBdr>
                                            <w:top w:val="single" w:sz="2" w:space="0" w:color="E3E3E3"/>
                                            <w:left w:val="single" w:sz="2" w:space="0" w:color="E3E3E3"/>
                                            <w:bottom w:val="single" w:sz="2" w:space="0" w:color="E3E3E3"/>
                                            <w:right w:val="single" w:sz="2" w:space="0" w:color="E3E3E3"/>
                                          </w:divBdr>
                                          <w:divsChild>
                                            <w:div w:id="1694459840">
                                              <w:marLeft w:val="0"/>
                                              <w:marRight w:val="0"/>
                                              <w:marTop w:val="0"/>
                                              <w:marBottom w:val="0"/>
                                              <w:divBdr>
                                                <w:top w:val="single" w:sz="2" w:space="0" w:color="E3E3E3"/>
                                                <w:left w:val="single" w:sz="2" w:space="0" w:color="E3E3E3"/>
                                                <w:bottom w:val="single" w:sz="2" w:space="0" w:color="E3E3E3"/>
                                                <w:right w:val="single" w:sz="2" w:space="0" w:color="E3E3E3"/>
                                              </w:divBdr>
                                              <w:divsChild>
                                                <w:div w:id="1199078094">
                                                  <w:marLeft w:val="0"/>
                                                  <w:marRight w:val="0"/>
                                                  <w:marTop w:val="0"/>
                                                  <w:marBottom w:val="0"/>
                                                  <w:divBdr>
                                                    <w:top w:val="single" w:sz="2" w:space="0" w:color="E3E3E3"/>
                                                    <w:left w:val="single" w:sz="2" w:space="0" w:color="E3E3E3"/>
                                                    <w:bottom w:val="single" w:sz="2" w:space="0" w:color="E3E3E3"/>
                                                    <w:right w:val="single" w:sz="2" w:space="0" w:color="E3E3E3"/>
                                                  </w:divBdr>
                                                  <w:divsChild>
                                                    <w:div w:id="15593232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77835763">
          <w:marLeft w:val="0"/>
          <w:marRight w:val="0"/>
          <w:marTop w:val="0"/>
          <w:marBottom w:val="0"/>
          <w:divBdr>
            <w:top w:val="none" w:sz="0" w:space="0" w:color="auto"/>
            <w:left w:val="none" w:sz="0" w:space="0" w:color="auto"/>
            <w:bottom w:val="none" w:sz="0" w:space="0" w:color="auto"/>
            <w:right w:val="none" w:sz="0" w:space="0" w:color="auto"/>
          </w:divBdr>
        </w:div>
      </w:divsChild>
    </w:div>
    <w:div w:id="280889187">
      <w:bodyDiv w:val="1"/>
      <w:marLeft w:val="0"/>
      <w:marRight w:val="0"/>
      <w:marTop w:val="0"/>
      <w:marBottom w:val="0"/>
      <w:divBdr>
        <w:top w:val="none" w:sz="0" w:space="0" w:color="auto"/>
        <w:left w:val="none" w:sz="0" w:space="0" w:color="auto"/>
        <w:bottom w:val="none" w:sz="0" w:space="0" w:color="auto"/>
        <w:right w:val="none" w:sz="0" w:space="0" w:color="auto"/>
      </w:divBdr>
    </w:div>
    <w:div w:id="527370833">
      <w:bodyDiv w:val="1"/>
      <w:marLeft w:val="0"/>
      <w:marRight w:val="0"/>
      <w:marTop w:val="0"/>
      <w:marBottom w:val="0"/>
      <w:divBdr>
        <w:top w:val="none" w:sz="0" w:space="0" w:color="auto"/>
        <w:left w:val="none" w:sz="0" w:space="0" w:color="auto"/>
        <w:bottom w:val="none" w:sz="0" w:space="0" w:color="auto"/>
        <w:right w:val="none" w:sz="0" w:space="0" w:color="auto"/>
      </w:divBdr>
    </w:div>
    <w:div w:id="748892809">
      <w:bodyDiv w:val="1"/>
      <w:marLeft w:val="0"/>
      <w:marRight w:val="0"/>
      <w:marTop w:val="0"/>
      <w:marBottom w:val="0"/>
      <w:divBdr>
        <w:top w:val="none" w:sz="0" w:space="0" w:color="auto"/>
        <w:left w:val="none" w:sz="0" w:space="0" w:color="auto"/>
        <w:bottom w:val="none" w:sz="0" w:space="0" w:color="auto"/>
        <w:right w:val="none" w:sz="0" w:space="0" w:color="auto"/>
      </w:divBdr>
    </w:div>
    <w:div w:id="919214539">
      <w:bodyDiv w:val="1"/>
      <w:marLeft w:val="0"/>
      <w:marRight w:val="0"/>
      <w:marTop w:val="0"/>
      <w:marBottom w:val="0"/>
      <w:divBdr>
        <w:top w:val="none" w:sz="0" w:space="0" w:color="auto"/>
        <w:left w:val="none" w:sz="0" w:space="0" w:color="auto"/>
        <w:bottom w:val="none" w:sz="0" w:space="0" w:color="auto"/>
        <w:right w:val="none" w:sz="0" w:space="0" w:color="auto"/>
      </w:divBdr>
    </w:div>
    <w:div w:id="939877063">
      <w:bodyDiv w:val="1"/>
      <w:marLeft w:val="0"/>
      <w:marRight w:val="0"/>
      <w:marTop w:val="0"/>
      <w:marBottom w:val="0"/>
      <w:divBdr>
        <w:top w:val="none" w:sz="0" w:space="0" w:color="auto"/>
        <w:left w:val="none" w:sz="0" w:space="0" w:color="auto"/>
        <w:bottom w:val="none" w:sz="0" w:space="0" w:color="auto"/>
        <w:right w:val="none" w:sz="0" w:space="0" w:color="auto"/>
      </w:divBdr>
    </w:div>
    <w:div w:id="1319381615">
      <w:bodyDiv w:val="1"/>
      <w:marLeft w:val="0"/>
      <w:marRight w:val="0"/>
      <w:marTop w:val="0"/>
      <w:marBottom w:val="0"/>
      <w:divBdr>
        <w:top w:val="none" w:sz="0" w:space="0" w:color="auto"/>
        <w:left w:val="none" w:sz="0" w:space="0" w:color="auto"/>
        <w:bottom w:val="none" w:sz="0" w:space="0" w:color="auto"/>
        <w:right w:val="none" w:sz="0" w:space="0" w:color="auto"/>
      </w:divBdr>
    </w:div>
    <w:div w:id="1367754249">
      <w:bodyDiv w:val="1"/>
      <w:marLeft w:val="0"/>
      <w:marRight w:val="0"/>
      <w:marTop w:val="0"/>
      <w:marBottom w:val="0"/>
      <w:divBdr>
        <w:top w:val="none" w:sz="0" w:space="0" w:color="auto"/>
        <w:left w:val="none" w:sz="0" w:space="0" w:color="auto"/>
        <w:bottom w:val="none" w:sz="0" w:space="0" w:color="auto"/>
        <w:right w:val="none" w:sz="0" w:space="0" w:color="auto"/>
      </w:divBdr>
    </w:div>
    <w:div w:id="1384214874">
      <w:bodyDiv w:val="1"/>
      <w:marLeft w:val="0"/>
      <w:marRight w:val="0"/>
      <w:marTop w:val="0"/>
      <w:marBottom w:val="0"/>
      <w:divBdr>
        <w:top w:val="none" w:sz="0" w:space="0" w:color="auto"/>
        <w:left w:val="none" w:sz="0" w:space="0" w:color="auto"/>
        <w:bottom w:val="none" w:sz="0" w:space="0" w:color="auto"/>
        <w:right w:val="none" w:sz="0" w:space="0" w:color="auto"/>
      </w:divBdr>
      <w:divsChild>
        <w:div w:id="182404098">
          <w:marLeft w:val="0"/>
          <w:marRight w:val="0"/>
          <w:marTop w:val="0"/>
          <w:marBottom w:val="0"/>
          <w:divBdr>
            <w:top w:val="single" w:sz="2" w:space="0" w:color="E3E3E3"/>
            <w:left w:val="single" w:sz="2" w:space="0" w:color="E3E3E3"/>
            <w:bottom w:val="single" w:sz="2" w:space="0" w:color="E3E3E3"/>
            <w:right w:val="single" w:sz="2" w:space="0" w:color="E3E3E3"/>
          </w:divBdr>
          <w:divsChild>
            <w:div w:id="1870756232">
              <w:marLeft w:val="0"/>
              <w:marRight w:val="0"/>
              <w:marTop w:val="0"/>
              <w:marBottom w:val="0"/>
              <w:divBdr>
                <w:top w:val="single" w:sz="2" w:space="0" w:color="E3E3E3"/>
                <w:left w:val="single" w:sz="2" w:space="0" w:color="E3E3E3"/>
                <w:bottom w:val="single" w:sz="2" w:space="0" w:color="E3E3E3"/>
                <w:right w:val="single" w:sz="2" w:space="0" w:color="E3E3E3"/>
              </w:divBdr>
              <w:divsChild>
                <w:div w:id="215243061">
                  <w:marLeft w:val="0"/>
                  <w:marRight w:val="0"/>
                  <w:marTop w:val="0"/>
                  <w:marBottom w:val="0"/>
                  <w:divBdr>
                    <w:top w:val="single" w:sz="2" w:space="0" w:color="E3E3E3"/>
                    <w:left w:val="single" w:sz="2" w:space="0" w:color="E3E3E3"/>
                    <w:bottom w:val="single" w:sz="2" w:space="0" w:color="E3E3E3"/>
                    <w:right w:val="single" w:sz="2" w:space="0" w:color="E3E3E3"/>
                  </w:divBdr>
                  <w:divsChild>
                    <w:div w:id="368067095">
                      <w:marLeft w:val="0"/>
                      <w:marRight w:val="0"/>
                      <w:marTop w:val="0"/>
                      <w:marBottom w:val="0"/>
                      <w:divBdr>
                        <w:top w:val="single" w:sz="2" w:space="0" w:color="E3E3E3"/>
                        <w:left w:val="single" w:sz="2" w:space="0" w:color="E3E3E3"/>
                        <w:bottom w:val="single" w:sz="2" w:space="0" w:color="E3E3E3"/>
                        <w:right w:val="single" w:sz="2" w:space="0" w:color="E3E3E3"/>
                      </w:divBdr>
                      <w:divsChild>
                        <w:div w:id="1431003223">
                          <w:marLeft w:val="0"/>
                          <w:marRight w:val="0"/>
                          <w:marTop w:val="0"/>
                          <w:marBottom w:val="0"/>
                          <w:divBdr>
                            <w:top w:val="single" w:sz="2" w:space="0" w:color="E3E3E3"/>
                            <w:left w:val="single" w:sz="2" w:space="0" w:color="E3E3E3"/>
                            <w:bottom w:val="single" w:sz="2" w:space="0" w:color="E3E3E3"/>
                            <w:right w:val="single" w:sz="2" w:space="0" w:color="E3E3E3"/>
                          </w:divBdr>
                          <w:divsChild>
                            <w:div w:id="919412603">
                              <w:marLeft w:val="0"/>
                              <w:marRight w:val="0"/>
                              <w:marTop w:val="100"/>
                              <w:marBottom w:val="100"/>
                              <w:divBdr>
                                <w:top w:val="single" w:sz="2" w:space="0" w:color="E3E3E3"/>
                                <w:left w:val="single" w:sz="2" w:space="0" w:color="E3E3E3"/>
                                <w:bottom w:val="single" w:sz="2" w:space="0" w:color="E3E3E3"/>
                                <w:right w:val="single" w:sz="2" w:space="0" w:color="E3E3E3"/>
                              </w:divBdr>
                              <w:divsChild>
                                <w:div w:id="1842428953">
                                  <w:marLeft w:val="0"/>
                                  <w:marRight w:val="0"/>
                                  <w:marTop w:val="0"/>
                                  <w:marBottom w:val="0"/>
                                  <w:divBdr>
                                    <w:top w:val="single" w:sz="2" w:space="0" w:color="E3E3E3"/>
                                    <w:left w:val="single" w:sz="2" w:space="0" w:color="E3E3E3"/>
                                    <w:bottom w:val="single" w:sz="2" w:space="0" w:color="E3E3E3"/>
                                    <w:right w:val="single" w:sz="2" w:space="0" w:color="E3E3E3"/>
                                  </w:divBdr>
                                  <w:divsChild>
                                    <w:div w:id="402028682">
                                      <w:marLeft w:val="0"/>
                                      <w:marRight w:val="0"/>
                                      <w:marTop w:val="0"/>
                                      <w:marBottom w:val="0"/>
                                      <w:divBdr>
                                        <w:top w:val="single" w:sz="2" w:space="0" w:color="E3E3E3"/>
                                        <w:left w:val="single" w:sz="2" w:space="0" w:color="E3E3E3"/>
                                        <w:bottom w:val="single" w:sz="2" w:space="0" w:color="E3E3E3"/>
                                        <w:right w:val="single" w:sz="2" w:space="0" w:color="E3E3E3"/>
                                      </w:divBdr>
                                      <w:divsChild>
                                        <w:div w:id="1254044699">
                                          <w:marLeft w:val="0"/>
                                          <w:marRight w:val="0"/>
                                          <w:marTop w:val="0"/>
                                          <w:marBottom w:val="0"/>
                                          <w:divBdr>
                                            <w:top w:val="single" w:sz="2" w:space="0" w:color="E3E3E3"/>
                                            <w:left w:val="single" w:sz="2" w:space="0" w:color="E3E3E3"/>
                                            <w:bottom w:val="single" w:sz="2" w:space="0" w:color="E3E3E3"/>
                                            <w:right w:val="single" w:sz="2" w:space="0" w:color="E3E3E3"/>
                                          </w:divBdr>
                                          <w:divsChild>
                                            <w:div w:id="1639339893">
                                              <w:marLeft w:val="0"/>
                                              <w:marRight w:val="0"/>
                                              <w:marTop w:val="0"/>
                                              <w:marBottom w:val="0"/>
                                              <w:divBdr>
                                                <w:top w:val="single" w:sz="2" w:space="0" w:color="E3E3E3"/>
                                                <w:left w:val="single" w:sz="2" w:space="0" w:color="E3E3E3"/>
                                                <w:bottom w:val="single" w:sz="2" w:space="0" w:color="E3E3E3"/>
                                                <w:right w:val="single" w:sz="2" w:space="0" w:color="E3E3E3"/>
                                              </w:divBdr>
                                              <w:divsChild>
                                                <w:div w:id="645938780">
                                                  <w:marLeft w:val="0"/>
                                                  <w:marRight w:val="0"/>
                                                  <w:marTop w:val="0"/>
                                                  <w:marBottom w:val="0"/>
                                                  <w:divBdr>
                                                    <w:top w:val="single" w:sz="2" w:space="0" w:color="E3E3E3"/>
                                                    <w:left w:val="single" w:sz="2" w:space="0" w:color="E3E3E3"/>
                                                    <w:bottom w:val="single" w:sz="2" w:space="0" w:color="E3E3E3"/>
                                                    <w:right w:val="single" w:sz="2" w:space="0" w:color="E3E3E3"/>
                                                  </w:divBdr>
                                                  <w:divsChild>
                                                    <w:div w:id="10864604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33244194">
          <w:marLeft w:val="0"/>
          <w:marRight w:val="0"/>
          <w:marTop w:val="0"/>
          <w:marBottom w:val="0"/>
          <w:divBdr>
            <w:top w:val="none" w:sz="0" w:space="0" w:color="auto"/>
            <w:left w:val="none" w:sz="0" w:space="0" w:color="auto"/>
            <w:bottom w:val="none" w:sz="0" w:space="0" w:color="auto"/>
            <w:right w:val="none" w:sz="0" w:space="0" w:color="auto"/>
          </w:divBdr>
        </w:div>
      </w:divsChild>
    </w:div>
    <w:div w:id="1440031707">
      <w:bodyDiv w:val="1"/>
      <w:marLeft w:val="0"/>
      <w:marRight w:val="0"/>
      <w:marTop w:val="0"/>
      <w:marBottom w:val="0"/>
      <w:divBdr>
        <w:top w:val="none" w:sz="0" w:space="0" w:color="auto"/>
        <w:left w:val="none" w:sz="0" w:space="0" w:color="auto"/>
        <w:bottom w:val="none" w:sz="0" w:space="0" w:color="auto"/>
        <w:right w:val="none" w:sz="0" w:space="0" w:color="auto"/>
      </w:divBdr>
    </w:div>
    <w:div w:id="1457483359">
      <w:bodyDiv w:val="1"/>
      <w:marLeft w:val="0"/>
      <w:marRight w:val="0"/>
      <w:marTop w:val="0"/>
      <w:marBottom w:val="0"/>
      <w:divBdr>
        <w:top w:val="none" w:sz="0" w:space="0" w:color="auto"/>
        <w:left w:val="none" w:sz="0" w:space="0" w:color="auto"/>
        <w:bottom w:val="none" w:sz="0" w:space="0" w:color="auto"/>
        <w:right w:val="none" w:sz="0" w:space="0" w:color="auto"/>
      </w:divBdr>
    </w:div>
    <w:div w:id="1752771051">
      <w:bodyDiv w:val="1"/>
      <w:marLeft w:val="0"/>
      <w:marRight w:val="0"/>
      <w:marTop w:val="0"/>
      <w:marBottom w:val="0"/>
      <w:divBdr>
        <w:top w:val="none" w:sz="0" w:space="0" w:color="auto"/>
        <w:left w:val="none" w:sz="0" w:space="0" w:color="auto"/>
        <w:bottom w:val="none" w:sz="0" w:space="0" w:color="auto"/>
        <w:right w:val="none" w:sz="0" w:space="0" w:color="auto"/>
      </w:divBdr>
    </w:div>
    <w:div w:id="1761440747">
      <w:bodyDiv w:val="1"/>
      <w:marLeft w:val="0"/>
      <w:marRight w:val="0"/>
      <w:marTop w:val="0"/>
      <w:marBottom w:val="0"/>
      <w:divBdr>
        <w:top w:val="none" w:sz="0" w:space="0" w:color="auto"/>
        <w:left w:val="none" w:sz="0" w:space="0" w:color="auto"/>
        <w:bottom w:val="none" w:sz="0" w:space="0" w:color="auto"/>
        <w:right w:val="none" w:sz="0" w:space="0" w:color="auto"/>
      </w:divBdr>
    </w:div>
    <w:div w:id="1880313802">
      <w:bodyDiv w:val="1"/>
      <w:marLeft w:val="0"/>
      <w:marRight w:val="0"/>
      <w:marTop w:val="0"/>
      <w:marBottom w:val="0"/>
      <w:divBdr>
        <w:top w:val="none" w:sz="0" w:space="0" w:color="auto"/>
        <w:left w:val="none" w:sz="0" w:space="0" w:color="auto"/>
        <w:bottom w:val="none" w:sz="0" w:space="0" w:color="auto"/>
        <w:right w:val="none" w:sz="0" w:space="0" w:color="auto"/>
      </w:divBdr>
    </w:div>
    <w:div w:id="1938050540">
      <w:bodyDiv w:val="1"/>
      <w:marLeft w:val="0"/>
      <w:marRight w:val="0"/>
      <w:marTop w:val="0"/>
      <w:marBottom w:val="0"/>
      <w:divBdr>
        <w:top w:val="none" w:sz="0" w:space="0" w:color="auto"/>
        <w:left w:val="none" w:sz="0" w:space="0" w:color="auto"/>
        <w:bottom w:val="none" w:sz="0" w:space="0" w:color="auto"/>
        <w:right w:val="none" w:sz="0" w:space="0" w:color="auto"/>
      </w:divBdr>
      <w:divsChild>
        <w:div w:id="1539319493">
          <w:marLeft w:val="0"/>
          <w:marRight w:val="0"/>
          <w:marTop w:val="0"/>
          <w:marBottom w:val="0"/>
          <w:divBdr>
            <w:top w:val="none" w:sz="0" w:space="0" w:color="auto"/>
            <w:left w:val="none" w:sz="0" w:space="0" w:color="auto"/>
            <w:bottom w:val="none" w:sz="0" w:space="0" w:color="auto"/>
            <w:right w:val="none" w:sz="0" w:space="0" w:color="auto"/>
          </w:divBdr>
        </w:div>
      </w:divsChild>
    </w:div>
    <w:div w:id="1945070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TotalTime>
  <Pages>6</Pages>
  <Words>2467</Words>
  <Characters>14068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Howells (2110727)</dc:creator>
  <cp:keywords/>
  <dc:description/>
  <cp:lastModifiedBy>Lauren Howells (2110727)</cp:lastModifiedBy>
  <cp:revision>1</cp:revision>
  <dcterms:created xsi:type="dcterms:W3CDTF">2024-03-22T12:03:00Z</dcterms:created>
  <dcterms:modified xsi:type="dcterms:W3CDTF">2024-03-22T23:55:00Z</dcterms:modified>
</cp:coreProperties>
</file>