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1C3556" w14:textId="77777777" w:rsidR="00BA3E21" w:rsidRDefault="00BA3E21" w:rsidP="00BA3E21">
      <w:pPr>
        <w:pBdr>
          <w:top w:val="single" w:sz="18" w:space="1" w:color="auto"/>
          <w:left w:val="single" w:sz="18" w:space="4" w:color="auto"/>
          <w:bottom w:val="single" w:sz="18" w:space="1" w:color="auto"/>
          <w:right w:val="single" w:sz="18" w:space="4" w:color="auto"/>
        </w:pBdr>
        <w:rPr>
          <w:rFonts w:ascii="Arial" w:hAnsi="Arial" w:cs="Arial"/>
          <w:b/>
          <w:bCs/>
          <w:sz w:val="24"/>
          <w:szCs w:val="24"/>
        </w:rPr>
      </w:pPr>
    </w:p>
    <w:p w14:paraId="1F36F9E3" w14:textId="77777777" w:rsidR="00BA3E21" w:rsidRDefault="00BA3E21" w:rsidP="00BA3E21">
      <w:pPr>
        <w:pBdr>
          <w:top w:val="single" w:sz="18" w:space="1" w:color="auto"/>
          <w:left w:val="single" w:sz="18" w:space="4" w:color="auto"/>
          <w:bottom w:val="single" w:sz="18" w:space="1" w:color="auto"/>
          <w:right w:val="single" w:sz="18" w:space="4" w:color="auto"/>
        </w:pBdr>
        <w:rPr>
          <w:rFonts w:ascii="Arial" w:hAnsi="Arial" w:cs="Arial"/>
          <w:b/>
          <w:bCs/>
          <w:sz w:val="24"/>
          <w:szCs w:val="24"/>
        </w:rPr>
      </w:pPr>
    </w:p>
    <w:p w14:paraId="1B1D448C" w14:textId="77777777" w:rsidR="00BA3E21" w:rsidRDefault="00BA3E21" w:rsidP="00BA3E21">
      <w:pPr>
        <w:pBdr>
          <w:top w:val="single" w:sz="18" w:space="1" w:color="auto"/>
          <w:left w:val="single" w:sz="18" w:space="4" w:color="auto"/>
          <w:bottom w:val="single" w:sz="18" w:space="1" w:color="auto"/>
          <w:right w:val="single" w:sz="18" w:space="4" w:color="auto"/>
        </w:pBdr>
        <w:jc w:val="center"/>
        <w:rPr>
          <w:rFonts w:ascii="Arial" w:hAnsi="Arial" w:cs="Arial"/>
          <w:b/>
          <w:bCs/>
          <w:sz w:val="56"/>
          <w:szCs w:val="56"/>
        </w:rPr>
      </w:pPr>
    </w:p>
    <w:p w14:paraId="4CDB627C" w14:textId="7E5F6B33" w:rsidR="00BA3E21" w:rsidRPr="00D76F2B" w:rsidRDefault="00BA3E21" w:rsidP="00BA3E21">
      <w:pPr>
        <w:pBdr>
          <w:top w:val="single" w:sz="18" w:space="1" w:color="auto"/>
          <w:left w:val="single" w:sz="18" w:space="4" w:color="auto"/>
          <w:bottom w:val="single" w:sz="18" w:space="1" w:color="auto"/>
          <w:right w:val="single" w:sz="18" w:space="4" w:color="auto"/>
        </w:pBdr>
        <w:jc w:val="center"/>
        <w:rPr>
          <w:rFonts w:ascii="Arial" w:hAnsi="Arial" w:cs="Arial"/>
          <w:b/>
          <w:bCs/>
          <w:sz w:val="56"/>
          <w:szCs w:val="56"/>
        </w:rPr>
      </w:pPr>
      <w:r w:rsidRPr="00D76F2B">
        <w:rPr>
          <w:rFonts w:ascii="Arial" w:hAnsi="Arial" w:cs="Arial"/>
          <w:b/>
          <w:bCs/>
          <w:sz w:val="56"/>
          <w:szCs w:val="56"/>
        </w:rPr>
        <w:t xml:space="preserve">Assignment </w:t>
      </w:r>
      <w:r w:rsidR="005F25FC">
        <w:rPr>
          <w:rFonts w:ascii="Arial" w:hAnsi="Arial" w:cs="Arial"/>
          <w:b/>
          <w:bCs/>
          <w:sz w:val="56"/>
          <w:szCs w:val="56"/>
        </w:rPr>
        <w:t>4</w:t>
      </w:r>
    </w:p>
    <w:p w14:paraId="175E0EA8" w14:textId="77777777" w:rsidR="00BA3E21" w:rsidRDefault="00BA3E21" w:rsidP="00BA3E21">
      <w:pPr>
        <w:pBdr>
          <w:top w:val="single" w:sz="18" w:space="1" w:color="auto"/>
          <w:left w:val="single" w:sz="18" w:space="4" w:color="auto"/>
          <w:bottom w:val="single" w:sz="18" w:space="1" w:color="auto"/>
          <w:right w:val="single" w:sz="18" w:space="4" w:color="auto"/>
        </w:pBdr>
        <w:jc w:val="center"/>
        <w:rPr>
          <w:rFonts w:ascii="Arial" w:hAnsi="Arial" w:cs="Arial"/>
          <w:b/>
          <w:bCs/>
          <w:sz w:val="56"/>
          <w:szCs w:val="56"/>
        </w:rPr>
      </w:pPr>
    </w:p>
    <w:p w14:paraId="0E65142F" w14:textId="77777777" w:rsidR="00BA3E21" w:rsidRDefault="00BA3E21" w:rsidP="00BA3E21">
      <w:pPr>
        <w:pBdr>
          <w:top w:val="single" w:sz="18" w:space="1" w:color="auto"/>
          <w:left w:val="single" w:sz="18" w:space="4" w:color="auto"/>
          <w:bottom w:val="single" w:sz="18" w:space="1" w:color="auto"/>
          <w:right w:val="single" w:sz="18" w:space="4" w:color="auto"/>
        </w:pBdr>
        <w:jc w:val="center"/>
        <w:rPr>
          <w:rFonts w:ascii="Arial" w:hAnsi="Arial" w:cs="Arial"/>
          <w:b/>
          <w:bCs/>
          <w:sz w:val="56"/>
          <w:szCs w:val="56"/>
        </w:rPr>
      </w:pPr>
    </w:p>
    <w:p w14:paraId="56C3F7AF" w14:textId="518E83E0" w:rsidR="00BA3E21" w:rsidRPr="00D76F2B" w:rsidRDefault="00BA3E21" w:rsidP="00BA3E21">
      <w:pPr>
        <w:pBdr>
          <w:top w:val="single" w:sz="18" w:space="1" w:color="auto"/>
          <w:left w:val="single" w:sz="18" w:space="4" w:color="auto"/>
          <w:bottom w:val="single" w:sz="18" w:space="1" w:color="auto"/>
          <w:right w:val="single" w:sz="18" w:space="4" w:color="auto"/>
        </w:pBdr>
        <w:jc w:val="center"/>
        <w:rPr>
          <w:rFonts w:ascii="Arial" w:hAnsi="Arial" w:cs="Arial"/>
          <w:b/>
          <w:bCs/>
          <w:sz w:val="56"/>
          <w:szCs w:val="56"/>
        </w:rPr>
      </w:pPr>
      <w:r>
        <w:rPr>
          <w:rFonts w:ascii="Arial" w:hAnsi="Arial" w:cs="Arial"/>
          <w:b/>
          <w:bCs/>
          <w:sz w:val="56"/>
          <w:szCs w:val="56"/>
        </w:rPr>
        <w:t>5</w:t>
      </w:r>
      <w:r w:rsidR="000908B9">
        <w:rPr>
          <w:rFonts w:ascii="Arial" w:hAnsi="Arial" w:cs="Arial"/>
          <w:b/>
          <w:bCs/>
          <w:sz w:val="56"/>
          <w:szCs w:val="56"/>
        </w:rPr>
        <w:t>OS01</w:t>
      </w:r>
      <w:r>
        <w:rPr>
          <w:rFonts w:ascii="Arial" w:hAnsi="Arial" w:cs="Arial"/>
          <w:b/>
          <w:bCs/>
          <w:sz w:val="56"/>
          <w:szCs w:val="56"/>
        </w:rPr>
        <w:t xml:space="preserve"> – </w:t>
      </w:r>
      <w:r w:rsidR="000908B9">
        <w:rPr>
          <w:rFonts w:ascii="Arial" w:hAnsi="Arial" w:cs="Arial"/>
          <w:b/>
          <w:bCs/>
          <w:sz w:val="56"/>
          <w:szCs w:val="56"/>
        </w:rPr>
        <w:t>Specialist Employment Law</w:t>
      </w:r>
    </w:p>
    <w:p w14:paraId="3701DFA6" w14:textId="77777777" w:rsidR="00BA3E21" w:rsidRPr="00D76F2B" w:rsidRDefault="00BA3E21" w:rsidP="00BA3E21">
      <w:pPr>
        <w:pBdr>
          <w:top w:val="single" w:sz="18" w:space="1" w:color="auto"/>
          <w:left w:val="single" w:sz="18" w:space="4" w:color="auto"/>
          <w:bottom w:val="single" w:sz="18" w:space="1" w:color="auto"/>
          <w:right w:val="single" w:sz="18" w:space="4" w:color="auto"/>
        </w:pBdr>
        <w:jc w:val="center"/>
        <w:rPr>
          <w:rFonts w:ascii="Arial" w:hAnsi="Arial" w:cs="Arial"/>
          <w:b/>
          <w:bCs/>
          <w:sz w:val="56"/>
          <w:szCs w:val="56"/>
        </w:rPr>
      </w:pPr>
    </w:p>
    <w:p w14:paraId="5DEDAC6F" w14:textId="77777777" w:rsidR="00BA3E21" w:rsidRDefault="00BA3E21" w:rsidP="00BA3E21">
      <w:pPr>
        <w:pBdr>
          <w:top w:val="single" w:sz="18" w:space="1" w:color="auto"/>
          <w:left w:val="single" w:sz="18" w:space="4" w:color="auto"/>
          <w:bottom w:val="single" w:sz="18" w:space="1" w:color="auto"/>
          <w:right w:val="single" w:sz="18" w:space="4" w:color="auto"/>
        </w:pBdr>
        <w:jc w:val="center"/>
        <w:rPr>
          <w:rFonts w:ascii="Arial" w:hAnsi="Arial" w:cs="Arial"/>
          <w:b/>
          <w:bCs/>
          <w:sz w:val="56"/>
          <w:szCs w:val="56"/>
        </w:rPr>
      </w:pPr>
    </w:p>
    <w:p w14:paraId="01FD02F5" w14:textId="77777777" w:rsidR="00BA3E21" w:rsidRPr="00D76F2B" w:rsidRDefault="00BA3E21" w:rsidP="00BA3E21">
      <w:pPr>
        <w:pBdr>
          <w:top w:val="single" w:sz="18" w:space="1" w:color="auto"/>
          <w:left w:val="single" w:sz="18" w:space="4" w:color="auto"/>
          <w:bottom w:val="single" w:sz="18" w:space="1" w:color="auto"/>
          <w:right w:val="single" w:sz="18" w:space="4" w:color="auto"/>
        </w:pBdr>
        <w:jc w:val="center"/>
        <w:rPr>
          <w:rFonts w:ascii="Arial" w:hAnsi="Arial" w:cs="Arial"/>
          <w:b/>
          <w:bCs/>
          <w:sz w:val="56"/>
          <w:szCs w:val="56"/>
        </w:rPr>
      </w:pPr>
      <w:r w:rsidRPr="00D76F2B">
        <w:rPr>
          <w:rFonts w:ascii="Arial" w:hAnsi="Arial" w:cs="Arial"/>
          <w:b/>
          <w:bCs/>
          <w:sz w:val="56"/>
          <w:szCs w:val="56"/>
        </w:rPr>
        <w:t>Emma Lewis</w:t>
      </w:r>
    </w:p>
    <w:p w14:paraId="6267224E" w14:textId="77777777" w:rsidR="00BA3E21" w:rsidRPr="00D76F2B" w:rsidRDefault="00BA3E21" w:rsidP="00BA3E21">
      <w:pPr>
        <w:pBdr>
          <w:top w:val="single" w:sz="18" w:space="1" w:color="auto"/>
          <w:left w:val="single" w:sz="18" w:space="4" w:color="auto"/>
          <w:bottom w:val="single" w:sz="18" w:space="1" w:color="auto"/>
          <w:right w:val="single" w:sz="18" w:space="4" w:color="auto"/>
        </w:pBdr>
        <w:jc w:val="center"/>
        <w:rPr>
          <w:rFonts w:ascii="Arial" w:hAnsi="Arial" w:cs="Arial"/>
          <w:b/>
          <w:bCs/>
          <w:sz w:val="56"/>
          <w:szCs w:val="56"/>
        </w:rPr>
      </w:pPr>
    </w:p>
    <w:p w14:paraId="299BF81C" w14:textId="77777777" w:rsidR="00BA3E21" w:rsidRDefault="00BA3E21" w:rsidP="00BA3E21">
      <w:pPr>
        <w:pBdr>
          <w:top w:val="single" w:sz="18" w:space="1" w:color="auto"/>
          <w:left w:val="single" w:sz="18" w:space="4" w:color="auto"/>
          <w:bottom w:val="single" w:sz="18" w:space="1" w:color="auto"/>
          <w:right w:val="single" w:sz="18" w:space="4" w:color="auto"/>
        </w:pBdr>
        <w:jc w:val="center"/>
        <w:rPr>
          <w:rFonts w:ascii="Arial" w:hAnsi="Arial" w:cs="Arial"/>
          <w:b/>
          <w:bCs/>
          <w:sz w:val="56"/>
          <w:szCs w:val="56"/>
        </w:rPr>
      </w:pPr>
    </w:p>
    <w:p w14:paraId="5F8A189F" w14:textId="77777777" w:rsidR="00BA3E21" w:rsidRDefault="00BA3E21" w:rsidP="00BA3E21">
      <w:pPr>
        <w:pBdr>
          <w:top w:val="single" w:sz="18" w:space="1" w:color="auto"/>
          <w:left w:val="single" w:sz="18" w:space="4" w:color="auto"/>
          <w:bottom w:val="single" w:sz="18" w:space="1" w:color="auto"/>
          <w:right w:val="single" w:sz="18" w:space="4" w:color="auto"/>
        </w:pBdr>
        <w:jc w:val="center"/>
        <w:rPr>
          <w:rFonts w:ascii="Arial" w:hAnsi="Arial" w:cs="Arial"/>
          <w:b/>
          <w:bCs/>
          <w:sz w:val="56"/>
          <w:szCs w:val="56"/>
        </w:rPr>
      </w:pPr>
    </w:p>
    <w:p w14:paraId="68B40C62" w14:textId="6AEB048F" w:rsidR="000908B9" w:rsidRDefault="00BA3E21" w:rsidP="000908B9">
      <w:pPr>
        <w:pBdr>
          <w:top w:val="single" w:sz="18" w:space="1" w:color="auto"/>
          <w:left w:val="single" w:sz="18" w:space="4" w:color="auto"/>
          <w:bottom w:val="single" w:sz="18" w:space="1" w:color="auto"/>
          <w:right w:val="single" w:sz="18" w:space="4" w:color="auto"/>
        </w:pBdr>
        <w:jc w:val="right"/>
        <w:rPr>
          <w:rFonts w:ascii="Arial" w:hAnsi="Arial" w:cs="Arial"/>
          <w:b/>
          <w:bCs/>
          <w:sz w:val="48"/>
          <w:szCs w:val="48"/>
        </w:rPr>
      </w:pPr>
      <w:r>
        <w:rPr>
          <w:rFonts w:ascii="Arial" w:hAnsi="Arial" w:cs="Arial"/>
          <w:b/>
          <w:bCs/>
          <w:sz w:val="48"/>
          <w:szCs w:val="48"/>
        </w:rPr>
        <w:t>Submission</w:t>
      </w:r>
      <w:r w:rsidRPr="005B5229">
        <w:rPr>
          <w:rFonts w:ascii="Arial" w:hAnsi="Arial" w:cs="Arial"/>
          <w:b/>
          <w:bCs/>
          <w:sz w:val="48"/>
          <w:szCs w:val="48"/>
        </w:rPr>
        <w:t xml:space="preserve"> Date: </w:t>
      </w:r>
      <w:r w:rsidR="00491CD4">
        <w:rPr>
          <w:rFonts w:ascii="Arial" w:hAnsi="Arial" w:cs="Arial"/>
          <w:b/>
          <w:bCs/>
          <w:sz w:val="48"/>
          <w:szCs w:val="48"/>
        </w:rPr>
        <w:t>31</w:t>
      </w:r>
      <w:r w:rsidRPr="005B5229">
        <w:rPr>
          <w:rFonts w:ascii="Arial" w:hAnsi="Arial" w:cs="Arial"/>
          <w:b/>
          <w:bCs/>
          <w:sz w:val="48"/>
          <w:szCs w:val="48"/>
        </w:rPr>
        <w:t xml:space="preserve"> </w:t>
      </w:r>
      <w:r w:rsidR="00491CD4">
        <w:rPr>
          <w:rFonts w:ascii="Arial" w:hAnsi="Arial" w:cs="Arial"/>
          <w:b/>
          <w:bCs/>
          <w:sz w:val="48"/>
          <w:szCs w:val="48"/>
        </w:rPr>
        <w:t>May</w:t>
      </w:r>
      <w:r w:rsidRPr="005B5229">
        <w:rPr>
          <w:rFonts w:ascii="Arial" w:hAnsi="Arial" w:cs="Arial"/>
          <w:b/>
          <w:bCs/>
          <w:sz w:val="48"/>
          <w:szCs w:val="48"/>
        </w:rPr>
        <w:t xml:space="preserve"> 2026</w:t>
      </w:r>
    </w:p>
    <w:p w14:paraId="1DBED608" w14:textId="16D8CD63" w:rsidR="000908B9" w:rsidRDefault="000908B9" w:rsidP="000908B9">
      <w:pPr>
        <w:pBdr>
          <w:top w:val="single" w:sz="18" w:space="1" w:color="auto"/>
          <w:left w:val="single" w:sz="18" w:space="4" w:color="auto"/>
          <w:bottom w:val="single" w:sz="18" w:space="1" w:color="auto"/>
          <w:right w:val="single" w:sz="18" w:space="4" w:color="auto"/>
        </w:pBdr>
        <w:jc w:val="right"/>
        <w:rPr>
          <w:rFonts w:ascii="Arial" w:hAnsi="Arial" w:cs="Arial"/>
          <w:b/>
          <w:bCs/>
          <w:sz w:val="48"/>
          <w:szCs w:val="48"/>
        </w:rPr>
      </w:pPr>
      <w:r>
        <w:rPr>
          <w:rFonts w:ascii="Arial" w:hAnsi="Arial" w:cs="Arial"/>
          <w:b/>
          <w:bCs/>
          <w:sz w:val="48"/>
          <w:szCs w:val="48"/>
        </w:rPr>
        <w:t>CIPD Membership Number:</w:t>
      </w:r>
      <w:r w:rsidR="005F25FC">
        <w:rPr>
          <w:rFonts w:ascii="Arial" w:hAnsi="Arial" w:cs="Arial"/>
          <w:b/>
          <w:bCs/>
          <w:sz w:val="48"/>
          <w:szCs w:val="48"/>
        </w:rPr>
        <w:t xml:space="preserve"> </w:t>
      </w:r>
      <w:r w:rsidR="004D27F3">
        <w:rPr>
          <w:rFonts w:ascii="Arial" w:hAnsi="Arial" w:cs="Arial"/>
          <w:b/>
          <w:bCs/>
          <w:sz w:val="48"/>
          <w:szCs w:val="48"/>
        </w:rPr>
        <w:t>9199</w:t>
      </w:r>
      <w:r w:rsidR="005F25FC">
        <w:rPr>
          <w:rFonts w:ascii="Arial" w:hAnsi="Arial" w:cs="Arial"/>
          <w:b/>
          <w:bCs/>
          <w:sz w:val="48"/>
          <w:szCs w:val="48"/>
        </w:rPr>
        <w:t>0973</w:t>
      </w:r>
    </w:p>
    <w:p w14:paraId="5DE5A6BD" w14:textId="77777777" w:rsidR="00927345" w:rsidRPr="005B5229" w:rsidRDefault="00927345" w:rsidP="000908B9">
      <w:pPr>
        <w:pBdr>
          <w:top w:val="single" w:sz="18" w:space="1" w:color="auto"/>
          <w:left w:val="single" w:sz="18" w:space="4" w:color="auto"/>
          <w:bottom w:val="single" w:sz="18" w:space="1" w:color="auto"/>
          <w:right w:val="single" w:sz="18" w:space="4" w:color="auto"/>
        </w:pBdr>
        <w:jc w:val="right"/>
        <w:rPr>
          <w:rFonts w:ascii="Arial" w:hAnsi="Arial" w:cs="Arial"/>
          <w:b/>
          <w:bCs/>
          <w:sz w:val="48"/>
          <w:szCs w:val="48"/>
        </w:rPr>
      </w:pPr>
    </w:p>
    <w:p w14:paraId="1C9F2875" w14:textId="77777777" w:rsidR="003151C9" w:rsidRDefault="003151C9"/>
    <w:p w14:paraId="54CFAD39" w14:textId="77777777" w:rsidR="00DD0A12" w:rsidRPr="006C3527" w:rsidRDefault="00DD0A12" w:rsidP="00DD0A12">
      <w:pPr>
        <w:rPr>
          <w:rFonts w:ascii="Arial" w:hAnsi="Arial" w:cs="Arial"/>
          <w:b/>
          <w:bCs/>
          <w:sz w:val="24"/>
          <w:szCs w:val="24"/>
        </w:rPr>
      </w:pPr>
      <w:r w:rsidRPr="006C3527">
        <w:rPr>
          <w:rFonts w:ascii="Arial" w:hAnsi="Arial" w:cs="Arial"/>
          <w:b/>
          <w:bCs/>
          <w:sz w:val="24"/>
          <w:szCs w:val="24"/>
        </w:rPr>
        <w:lastRenderedPageBreak/>
        <w:t>Email 1 (AC1.1)</w:t>
      </w:r>
    </w:p>
    <w:p w14:paraId="17F3CA66" w14:textId="6EB95618" w:rsidR="00DD0A12" w:rsidRPr="006C3527" w:rsidRDefault="00DD0A12" w:rsidP="00DD0A12">
      <w:pPr>
        <w:rPr>
          <w:rFonts w:ascii="Arial" w:hAnsi="Arial" w:cs="Arial"/>
          <w:sz w:val="24"/>
          <w:szCs w:val="24"/>
        </w:rPr>
      </w:pPr>
      <w:r w:rsidRPr="006C3527">
        <w:rPr>
          <w:rFonts w:ascii="Arial" w:hAnsi="Arial" w:cs="Arial"/>
          <w:sz w:val="24"/>
          <w:szCs w:val="24"/>
        </w:rPr>
        <w:t>It is understandable to feel frustrated that so much time can be taken up by employment regulation, however, employment regulation has an important role in creating fair, safe and sustainable workplaces. Any time spent on it not usually wasted time (Daniels, 2022).</w:t>
      </w:r>
    </w:p>
    <w:p w14:paraId="7EA85F47" w14:textId="77777777" w:rsidR="00DD0A12" w:rsidRPr="006C3527" w:rsidRDefault="00DD0A12" w:rsidP="00DD0A12">
      <w:pPr>
        <w:rPr>
          <w:rFonts w:ascii="Arial" w:hAnsi="Arial" w:cs="Arial"/>
          <w:sz w:val="24"/>
          <w:szCs w:val="24"/>
        </w:rPr>
      </w:pPr>
      <w:r w:rsidRPr="006C3527">
        <w:rPr>
          <w:rFonts w:ascii="Arial" w:hAnsi="Arial" w:cs="Arial"/>
          <w:sz w:val="24"/>
          <w:szCs w:val="24"/>
        </w:rPr>
        <w:t xml:space="preserve">Without </w:t>
      </w:r>
      <w:proofErr w:type="gramStart"/>
      <w:r w:rsidRPr="006C3527">
        <w:rPr>
          <w:rFonts w:ascii="Arial" w:hAnsi="Arial" w:cs="Arial"/>
          <w:sz w:val="24"/>
          <w:szCs w:val="24"/>
        </w:rPr>
        <w:t>it</w:t>
      </w:r>
      <w:proofErr w:type="gramEnd"/>
      <w:r w:rsidRPr="006C3527">
        <w:rPr>
          <w:rFonts w:ascii="Arial" w:hAnsi="Arial" w:cs="Arial"/>
          <w:sz w:val="24"/>
          <w:szCs w:val="24"/>
        </w:rPr>
        <w:t xml:space="preserve"> employees would be more exposed to exploitation or inconsistent treatment if there were not employment regulations (Daniels, 2022). For a business, regulations provide a clear standard of fairness and consistency. This can help to build trust, wellbeing and engagement (CIPD, 2025). Compliance activity can feel reactive for a business, however, it can help with the employee’s experience by making sure they are treated lawfully and fairly (Daniels, 2022).</w:t>
      </w:r>
    </w:p>
    <w:p w14:paraId="1C5C17CA" w14:textId="77777777" w:rsidR="00DD0A12" w:rsidRPr="006C3527" w:rsidRDefault="00DD0A12" w:rsidP="00DD0A12">
      <w:pPr>
        <w:rPr>
          <w:rFonts w:ascii="Arial" w:hAnsi="Arial" w:cs="Arial"/>
          <w:sz w:val="24"/>
          <w:szCs w:val="24"/>
        </w:rPr>
      </w:pPr>
      <w:r w:rsidRPr="006C3527">
        <w:rPr>
          <w:rFonts w:ascii="Arial" w:hAnsi="Arial" w:cs="Arial"/>
          <w:sz w:val="24"/>
          <w:szCs w:val="24"/>
        </w:rPr>
        <w:t>Employment law also plays an important role in balancing the relationship between employers and employees. Employers have the control over decision making, pay and working arrangements. Regulating this helps to give employees enforceable rights and access to redress (Daniels, 2022). Processes such as grievances, disciplinaries and statutory procedures can be time</w:t>
      </w:r>
      <w:r w:rsidRPr="006C3527">
        <w:rPr>
          <w:rFonts w:ascii="Arial" w:hAnsi="Arial" w:cs="Arial"/>
          <w:sz w:val="24"/>
          <w:szCs w:val="24"/>
        </w:rPr>
        <w:noBreakHyphen/>
        <w:t>consuming. However, they promote transparency and procedural fairness. Longer term, this helps protect employee relations and the business’s reputation by reducing the risk of arbitrary or discriminatory decisions (Armstrong and Taylor, 2023).</w:t>
      </w:r>
    </w:p>
    <w:p w14:paraId="14095091" w14:textId="77777777" w:rsidR="00DD0A12" w:rsidRPr="006C3527" w:rsidRDefault="00DD0A12" w:rsidP="00DD0A12">
      <w:pPr>
        <w:rPr>
          <w:rFonts w:ascii="Arial" w:hAnsi="Arial" w:cs="Arial"/>
          <w:sz w:val="24"/>
          <w:szCs w:val="24"/>
        </w:rPr>
      </w:pPr>
      <w:r w:rsidRPr="006C3527">
        <w:rPr>
          <w:rFonts w:ascii="Arial" w:hAnsi="Arial" w:cs="Arial"/>
          <w:sz w:val="24"/>
          <w:szCs w:val="24"/>
        </w:rPr>
        <w:t>Some employers will see being regulated as restrictive. However, the way it can protect a business far outweighs any perceived loss of flexibility.</w:t>
      </w:r>
    </w:p>
    <w:p w14:paraId="44647649" w14:textId="77777777" w:rsidR="00DD0A12" w:rsidRPr="006C3527" w:rsidRDefault="00DD0A12" w:rsidP="00DD0A12">
      <w:pPr>
        <w:rPr>
          <w:rFonts w:ascii="Arial" w:hAnsi="Arial" w:cs="Arial"/>
          <w:sz w:val="24"/>
          <w:szCs w:val="24"/>
        </w:rPr>
      </w:pPr>
      <w:r w:rsidRPr="006C3527">
        <w:rPr>
          <w:rFonts w:ascii="Arial" w:hAnsi="Arial" w:cs="Arial"/>
          <w:sz w:val="24"/>
          <w:szCs w:val="24"/>
        </w:rPr>
        <w:t>Regulation also shows clear processes for employers. Legal frameworks that are clear can help businesses to understand their responsibilities. It can also help a business manage any employee issues with more confidence. Being compliant can take time and expertise, however it can help to stop more serious issues arising for example, employment tribunal claims, financial penalties and reputational damage. Looking at it this way, regulatory work is preventative rather than unproductive. It reduces risk and supports sustainable people management (Armstrong and Taylor, 2023).</w:t>
      </w:r>
    </w:p>
    <w:p w14:paraId="5D1A9D6B" w14:textId="77777777" w:rsidR="00DD0A12" w:rsidRPr="006C3527" w:rsidRDefault="00DD0A12" w:rsidP="00DD0A12">
      <w:pPr>
        <w:rPr>
          <w:rFonts w:ascii="Arial" w:hAnsi="Arial" w:cs="Arial"/>
          <w:sz w:val="24"/>
          <w:szCs w:val="24"/>
        </w:rPr>
      </w:pPr>
      <w:proofErr w:type="gramStart"/>
      <w:r w:rsidRPr="006C3527">
        <w:rPr>
          <w:rFonts w:ascii="Arial" w:hAnsi="Arial" w:cs="Arial"/>
          <w:sz w:val="24"/>
          <w:szCs w:val="24"/>
        </w:rPr>
        <w:t>It can be seen that any</w:t>
      </w:r>
      <w:proofErr w:type="gramEnd"/>
      <w:r w:rsidRPr="006C3527">
        <w:rPr>
          <w:rFonts w:ascii="Arial" w:hAnsi="Arial" w:cs="Arial"/>
          <w:sz w:val="24"/>
          <w:szCs w:val="24"/>
        </w:rPr>
        <w:t xml:space="preserve"> time spent on compliance in the short term will benefit the NHS in the long term by reducing conflict. It will also help with stronger employee relations and lower risk.</w:t>
      </w:r>
    </w:p>
    <w:p w14:paraId="6115F5F9" w14:textId="77777777" w:rsidR="00DD0A12" w:rsidRPr="006C3527" w:rsidRDefault="00DD0A12" w:rsidP="00DD0A12">
      <w:pPr>
        <w:rPr>
          <w:rFonts w:ascii="Arial" w:hAnsi="Arial" w:cs="Arial"/>
          <w:sz w:val="24"/>
          <w:szCs w:val="24"/>
        </w:rPr>
      </w:pPr>
      <w:r w:rsidRPr="006C3527">
        <w:rPr>
          <w:rFonts w:ascii="Arial" w:hAnsi="Arial" w:cs="Arial"/>
          <w:sz w:val="24"/>
          <w:szCs w:val="24"/>
        </w:rPr>
        <w:t>Employment regulation does come with its challenges for businesses. Having to comply can increase costs and administrative burden. In fast moving environments it may reduce the flexibility in a business, for example scheduling, contracting or performance management might be affected (Armstrong and Taylor, 2023). These pressures can be challenging for smaller businesses with limited HR support (CIPD, 2017). Therefore, regulations should be seen as necessary to protect against things such as exploitation, discrimination and unsafe working practices. (People Management, 2025).</w:t>
      </w:r>
    </w:p>
    <w:p w14:paraId="228A4513" w14:textId="77777777" w:rsidR="00DD0A12" w:rsidRPr="006C3527" w:rsidRDefault="00DD0A12" w:rsidP="00DD0A12">
      <w:pPr>
        <w:rPr>
          <w:rFonts w:ascii="Arial" w:hAnsi="Arial" w:cs="Arial"/>
          <w:sz w:val="24"/>
          <w:szCs w:val="24"/>
        </w:rPr>
      </w:pPr>
      <w:proofErr w:type="gramStart"/>
      <w:r w:rsidRPr="006C3527">
        <w:rPr>
          <w:rFonts w:ascii="Arial" w:hAnsi="Arial" w:cs="Arial"/>
          <w:sz w:val="24"/>
          <w:szCs w:val="24"/>
        </w:rPr>
        <w:lastRenderedPageBreak/>
        <w:t>It can be seen that employment</w:t>
      </w:r>
      <w:proofErr w:type="gramEnd"/>
      <w:r w:rsidRPr="006C3527">
        <w:rPr>
          <w:rFonts w:ascii="Arial" w:hAnsi="Arial" w:cs="Arial"/>
          <w:sz w:val="24"/>
          <w:szCs w:val="24"/>
        </w:rPr>
        <w:t xml:space="preserve"> regulations can increase paperwork and process requirements. However, its role in preventing unfair treatment and legal risk makes it a necessary part of effective people management.</w:t>
      </w:r>
    </w:p>
    <w:p w14:paraId="692A6209" w14:textId="77777777" w:rsidR="00761762" w:rsidRPr="006C3527" w:rsidRDefault="00761762">
      <w:pPr>
        <w:rPr>
          <w:rFonts w:ascii="Arial" w:hAnsi="Arial" w:cs="Arial"/>
          <w:b/>
          <w:bCs/>
          <w:sz w:val="24"/>
          <w:szCs w:val="24"/>
        </w:rPr>
      </w:pPr>
    </w:p>
    <w:p w14:paraId="0912B2D1" w14:textId="77777777" w:rsidR="00761762" w:rsidRPr="006C3527" w:rsidRDefault="00761762">
      <w:pPr>
        <w:rPr>
          <w:rFonts w:ascii="Arial" w:hAnsi="Arial" w:cs="Arial"/>
          <w:b/>
          <w:bCs/>
          <w:sz w:val="24"/>
          <w:szCs w:val="24"/>
        </w:rPr>
      </w:pPr>
    </w:p>
    <w:p w14:paraId="42B63CFF" w14:textId="77777777" w:rsidR="00DD0A12" w:rsidRPr="006C3527" w:rsidRDefault="00DD0A12">
      <w:pPr>
        <w:rPr>
          <w:rFonts w:ascii="Arial" w:hAnsi="Arial" w:cs="Arial"/>
          <w:b/>
          <w:bCs/>
          <w:sz w:val="24"/>
          <w:szCs w:val="24"/>
        </w:rPr>
      </w:pPr>
    </w:p>
    <w:p w14:paraId="3D6AA8A7" w14:textId="77777777" w:rsidR="00DD0A12" w:rsidRPr="006C3527" w:rsidRDefault="00DD0A12">
      <w:pPr>
        <w:rPr>
          <w:rFonts w:ascii="Arial" w:hAnsi="Arial" w:cs="Arial"/>
          <w:b/>
          <w:bCs/>
          <w:sz w:val="24"/>
          <w:szCs w:val="24"/>
        </w:rPr>
      </w:pPr>
    </w:p>
    <w:p w14:paraId="64A0E3A4" w14:textId="77777777" w:rsidR="00DD0A12" w:rsidRPr="006C3527" w:rsidRDefault="00DD0A12">
      <w:pPr>
        <w:rPr>
          <w:rFonts w:ascii="Arial" w:hAnsi="Arial" w:cs="Arial"/>
          <w:b/>
          <w:bCs/>
          <w:sz w:val="24"/>
          <w:szCs w:val="24"/>
        </w:rPr>
      </w:pPr>
    </w:p>
    <w:p w14:paraId="2E259F06" w14:textId="77777777" w:rsidR="00DD0A12" w:rsidRPr="006C3527" w:rsidRDefault="00DD0A12">
      <w:pPr>
        <w:rPr>
          <w:rFonts w:ascii="Arial" w:hAnsi="Arial" w:cs="Arial"/>
          <w:b/>
          <w:bCs/>
          <w:sz w:val="24"/>
          <w:szCs w:val="24"/>
        </w:rPr>
      </w:pPr>
    </w:p>
    <w:p w14:paraId="1D08E206" w14:textId="77777777" w:rsidR="00DD0A12" w:rsidRPr="006C3527" w:rsidRDefault="00DD0A12">
      <w:pPr>
        <w:rPr>
          <w:rFonts w:ascii="Arial" w:hAnsi="Arial" w:cs="Arial"/>
          <w:b/>
          <w:bCs/>
          <w:sz w:val="24"/>
          <w:szCs w:val="24"/>
        </w:rPr>
      </w:pPr>
    </w:p>
    <w:p w14:paraId="702C5CD5" w14:textId="77777777" w:rsidR="00DD0A12" w:rsidRPr="006C3527" w:rsidRDefault="00DD0A12">
      <w:pPr>
        <w:rPr>
          <w:rFonts w:ascii="Arial" w:hAnsi="Arial" w:cs="Arial"/>
          <w:b/>
          <w:bCs/>
          <w:sz w:val="24"/>
          <w:szCs w:val="24"/>
        </w:rPr>
      </w:pPr>
    </w:p>
    <w:p w14:paraId="1C5BBDC6" w14:textId="77777777" w:rsidR="00DD0A12" w:rsidRPr="006C3527" w:rsidRDefault="00DD0A12">
      <w:pPr>
        <w:rPr>
          <w:rFonts w:ascii="Arial" w:hAnsi="Arial" w:cs="Arial"/>
          <w:b/>
          <w:bCs/>
          <w:sz w:val="24"/>
          <w:szCs w:val="24"/>
        </w:rPr>
      </w:pPr>
    </w:p>
    <w:p w14:paraId="48952823" w14:textId="77777777" w:rsidR="00DD0A12" w:rsidRPr="006C3527" w:rsidRDefault="00DD0A12">
      <w:pPr>
        <w:rPr>
          <w:rFonts w:ascii="Arial" w:hAnsi="Arial" w:cs="Arial"/>
          <w:b/>
          <w:bCs/>
          <w:sz w:val="24"/>
          <w:szCs w:val="24"/>
        </w:rPr>
      </w:pPr>
    </w:p>
    <w:p w14:paraId="15D1E346" w14:textId="77777777" w:rsidR="00DD0A12" w:rsidRPr="006C3527" w:rsidRDefault="00DD0A12">
      <w:pPr>
        <w:rPr>
          <w:rFonts w:ascii="Arial" w:hAnsi="Arial" w:cs="Arial"/>
          <w:b/>
          <w:bCs/>
          <w:sz w:val="24"/>
          <w:szCs w:val="24"/>
        </w:rPr>
      </w:pPr>
    </w:p>
    <w:p w14:paraId="5B4B90D8" w14:textId="77777777" w:rsidR="00DD0A12" w:rsidRPr="006C3527" w:rsidRDefault="00DD0A12">
      <w:pPr>
        <w:rPr>
          <w:rFonts w:ascii="Arial" w:hAnsi="Arial" w:cs="Arial"/>
          <w:b/>
          <w:bCs/>
          <w:sz w:val="24"/>
          <w:szCs w:val="24"/>
        </w:rPr>
      </w:pPr>
    </w:p>
    <w:p w14:paraId="18A24E90" w14:textId="77777777" w:rsidR="00DD0A12" w:rsidRPr="006C3527" w:rsidRDefault="00DD0A12">
      <w:pPr>
        <w:rPr>
          <w:rFonts w:ascii="Arial" w:hAnsi="Arial" w:cs="Arial"/>
          <w:b/>
          <w:bCs/>
          <w:sz w:val="24"/>
          <w:szCs w:val="24"/>
        </w:rPr>
      </w:pPr>
    </w:p>
    <w:p w14:paraId="6CF6FFFB" w14:textId="77777777" w:rsidR="00DD0A12" w:rsidRPr="006C3527" w:rsidRDefault="00DD0A12">
      <w:pPr>
        <w:rPr>
          <w:rFonts w:ascii="Arial" w:hAnsi="Arial" w:cs="Arial"/>
          <w:b/>
          <w:bCs/>
          <w:sz w:val="24"/>
          <w:szCs w:val="24"/>
        </w:rPr>
      </w:pPr>
    </w:p>
    <w:p w14:paraId="253DD2E9" w14:textId="77777777" w:rsidR="00DD0A12" w:rsidRPr="006C3527" w:rsidRDefault="00DD0A12">
      <w:pPr>
        <w:rPr>
          <w:rFonts w:ascii="Arial" w:hAnsi="Arial" w:cs="Arial"/>
          <w:b/>
          <w:bCs/>
          <w:sz w:val="24"/>
          <w:szCs w:val="24"/>
        </w:rPr>
      </w:pPr>
    </w:p>
    <w:p w14:paraId="1CAD9BB4" w14:textId="77777777" w:rsidR="00DD0A12" w:rsidRPr="006C3527" w:rsidRDefault="00DD0A12">
      <w:pPr>
        <w:rPr>
          <w:rFonts w:ascii="Arial" w:hAnsi="Arial" w:cs="Arial"/>
          <w:b/>
          <w:bCs/>
          <w:sz w:val="24"/>
          <w:szCs w:val="24"/>
        </w:rPr>
      </w:pPr>
    </w:p>
    <w:p w14:paraId="329AD147" w14:textId="77777777" w:rsidR="00DD0A12" w:rsidRPr="006C3527" w:rsidRDefault="00DD0A12">
      <w:pPr>
        <w:rPr>
          <w:rFonts w:ascii="Arial" w:hAnsi="Arial" w:cs="Arial"/>
          <w:b/>
          <w:bCs/>
          <w:sz w:val="24"/>
          <w:szCs w:val="24"/>
        </w:rPr>
      </w:pPr>
    </w:p>
    <w:p w14:paraId="6248265D" w14:textId="77777777" w:rsidR="00DD0A12" w:rsidRPr="006C3527" w:rsidRDefault="00DD0A12">
      <w:pPr>
        <w:rPr>
          <w:rFonts w:ascii="Arial" w:hAnsi="Arial" w:cs="Arial"/>
          <w:b/>
          <w:bCs/>
          <w:sz w:val="24"/>
          <w:szCs w:val="24"/>
        </w:rPr>
      </w:pPr>
    </w:p>
    <w:p w14:paraId="38BF8BE6" w14:textId="77777777" w:rsidR="00DD0A12" w:rsidRPr="006C3527" w:rsidRDefault="00DD0A12">
      <w:pPr>
        <w:rPr>
          <w:rFonts w:ascii="Arial" w:hAnsi="Arial" w:cs="Arial"/>
          <w:b/>
          <w:bCs/>
          <w:sz w:val="24"/>
          <w:szCs w:val="24"/>
        </w:rPr>
      </w:pPr>
    </w:p>
    <w:p w14:paraId="2C4A5BE7" w14:textId="77777777" w:rsidR="00DD0A12" w:rsidRPr="006C3527" w:rsidRDefault="00DD0A12">
      <w:pPr>
        <w:rPr>
          <w:rFonts w:ascii="Arial" w:hAnsi="Arial" w:cs="Arial"/>
          <w:b/>
          <w:bCs/>
          <w:sz w:val="24"/>
          <w:szCs w:val="24"/>
        </w:rPr>
      </w:pPr>
    </w:p>
    <w:p w14:paraId="14FC30AC" w14:textId="77777777" w:rsidR="00DD0A12" w:rsidRPr="006C3527" w:rsidRDefault="00DD0A12">
      <w:pPr>
        <w:rPr>
          <w:rFonts w:ascii="Arial" w:hAnsi="Arial" w:cs="Arial"/>
          <w:b/>
          <w:bCs/>
          <w:sz w:val="24"/>
          <w:szCs w:val="24"/>
        </w:rPr>
      </w:pPr>
    </w:p>
    <w:p w14:paraId="29877D8A" w14:textId="77777777" w:rsidR="00DD0A12" w:rsidRPr="006C3527" w:rsidRDefault="00DD0A12">
      <w:pPr>
        <w:rPr>
          <w:rFonts w:ascii="Arial" w:hAnsi="Arial" w:cs="Arial"/>
          <w:b/>
          <w:bCs/>
          <w:sz w:val="24"/>
          <w:szCs w:val="24"/>
        </w:rPr>
      </w:pPr>
    </w:p>
    <w:p w14:paraId="520980AF" w14:textId="77777777" w:rsidR="00DD0A12" w:rsidRPr="006C3527" w:rsidRDefault="00DD0A12">
      <w:pPr>
        <w:rPr>
          <w:rFonts w:ascii="Arial" w:hAnsi="Arial" w:cs="Arial"/>
          <w:b/>
          <w:bCs/>
          <w:sz w:val="24"/>
          <w:szCs w:val="24"/>
        </w:rPr>
      </w:pPr>
    </w:p>
    <w:p w14:paraId="35E1AF78" w14:textId="77777777" w:rsidR="00DD0A12" w:rsidRPr="006C3527" w:rsidRDefault="00DD0A12">
      <w:pPr>
        <w:rPr>
          <w:rFonts w:ascii="Arial" w:hAnsi="Arial" w:cs="Arial"/>
          <w:b/>
          <w:bCs/>
          <w:sz w:val="24"/>
          <w:szCs w:val="24"/>
        </w:rPr>
      </w:pPr>
    </w:p>
    <w:p w14:paraId="047CD136" w14:textId="77777777" w:rsidR="00DD0A12" w:rsidRPr="006C3527" w:rsidRDefault="00DD0A12">
      <w:pPr>
        <w:rPr>
          <w:rFonts w:ascii="Arial" w:hAnsi="Arial" w:cs="Arial"/>
          <w:b/>
          <w:bCs/>
          <w:sz w:val="24"/>
          <w:szCs w:val="24"/>
        </w:rPr>
      </w:pPr>
    </w:p>
    <w:p w14:paraId="20C89C84" w14:textId="77777777" w:rsidR="00DD0A12" w:rsidRPr="006C3527" w:rsidRDefault="00DD0A12">
      <w:pPr>
        <w:rPr>
          <w:rFonts w:ascii="Arial" w:hAnsi="Arial" w:cs="Arial"/>
          <w:b/>
          <w:bCs/>
          <w:sz w:val="24"/>
          <w:szCs w:val="24"/>
        </w:rPr>
      </w:pPr>
    </w:p>
    <w:p w14:paraId="08CE4B1D" w14:textId="77777777" w:rsidR="00DD0A12" w:rsidRPr="006C3527" w:rsidRDefault="00DD0A12">
      <w:pPr>
        <w:rPr>
          <w:rFonts w:ascii="Arial" w:hAnsi="Arial" w:cs="Arial"/>
          <w:b/>
          <w:bCs/>
          <w:sz w:val="24"/>
          <w:szCs w:val="24"/>
        </w:rPr>
      </w:pPr>
    </w:p>
    <w:p w14:paraId="25613820" w14:textId="77777777" w:rsidR="00DD0A12" w:rsidRPr="006C3527" w:rsidRDefault="00DD0A12">
      <w:pPr>
        <w:rPr>
          <w:rFonts w:ascii="Arial" w:hAnsi="Arial" w:cs="Arial"/>
          <w:b/>
          <w:bCs/>
          <w:sz w:val="24"/>
          <w:szCs w:val="24"/>
        </w:rPr>
      </w:pPr>
    </w:p>
    <w:p w14:paraId="538F785B" w14:textId="77777777" w:rsidR="00DD0A12" w:rsidRPr="006C3527" w:rsidRDefault="00DD0A12" w:rsidP="00DD0A12">
      <w:pPr>
        <w:rPr>
          <w:rFonts w:ascii="Arial" w:hAnsi="Arial" w:cs="Arial"/>
          <w:b/>
          <w:bCs/>
          <w:sz w:val="24"/>
          <w:szCs w:val="24"/>
        </w:rPr>
      </w:pPr>
      <w:r w:rsidRPr="006C3527">
        <w:rPr>
          <w:rFonts w:ascii="Arial" w:hAnsi="Arial" w:cs="Arial"/>
          <w:b/>
          <w:bCs/>
          <w:sz w:val="24"/>
          <w:szCs w:val="24"/>
        </w:rPr>
        <w:lastRenderedPageBreak/>
        <w:t>Email 2 (AC1.2)</w:t>
      </w:r>
    </w:p>
    <w:p w14:paraId="4DAB572B" w14:textId="03666140" w:rsidR="00DD0A12" w:rsidRPr="006C3527" w:rsidRDefault="00DD0A12" w:rsidP="00DD0A12">
      <w:pPr>
        <w:rPr>
          <w:rFonts w:ascii="Arial" w:hAnsi="Arial" w:cs="Arial"/>
          <w:sz w:val="24"/>
          <w:szCs w:val="24"/>
        </w:rPr>
      </w:pPr>
      <w:r w:rsidRPr="006C3527">
        <w:rPr>
          <w:rFonts w:ascii="Arial" w:hAnsi="Arial" w:cs="Arial"/>
          <w:sz w:val="24"/>
          <w:szCs w:val="24"/>
        </w:rPr>
        <w:t xml:space="preserve">Employment tribunals apply employment legislation and relevant case law to the facts of each dispute. Appeals are heard in Employment Appeal Tribunals. The Court of Appeal and Supreme Court are also used when allowed. </w:t>
      </w:r>
    </w:p>
    <w:p w14:paraId="30F6DAB2" w14:textId="1CE68593" w:rsidR="00DD0A12" w:rsidRPr="006C3527" w:rsidRDefault="00DD0A12" w:rsidP="00DD0A12">
      <w:pPr>
        <w:rPr>
          <w:rFonts w:ascii="Arial" w:hAnsi="Arial" w:cs="Arial"/>
          <w:sz w:val="24"/>
          <w:szCs w:val="24"/>
        </w:rPr>
      </w:pPr>
      <w:r w:rsidRPr="006C3527">
        <w:rPr>
          <w:rFonts w:ascii="Arial" w:hAnsi="Arial" w:cs="Arial"/>
          <w:sz w:val="24"/>
          <w:szCs w:val="24"/>
        </w:rPr>
        <w:t xml:space="preserve">Good law is a legal rule or judgment that is still valid and can be relied on. It stops being good law if it is overturned by a higher court or replaced by legislation. </w:t>
      </w:r>
    </w:p>
    <w:p w14:paraId="2DA178D9" w14:textId="6607A88E" w:rsidR="00DD0A12" w:rsidRPr="006C3527" w:rsidRDefault="00DD0A12" w:rsidP="00DD0A12">
      <w:pPr>
        <w:rPr>
          <w:rFonts w:ascii="Arial" w:hAnsi="Arial" w:cs="Arial"/>
          <w:sz w:val="24"/>
          <w:szCs w:val="24"/>
        </w:rPr>
      </w:pPr>
      <w:r w:rsidRPr="006C3527">
        <w:rPr>
          <w:rFonts w:ascii="Arial" w:hAnsi="Arial" w:cs="Arial"/>
          <w:sz w:val="24"/>
          <w:szCs w:val="24"/>
        </w:rPr>
        <w:t xml:space="preserve">Before Brexit, UK courts had to follow ECJ judgments when interpreting EU law, including EU-derived employment rights such as working time, discrimination and TUPE (European Communities Act 1972, s 2). After exit, pre-transition ECJ judgments were largely carried over as retained EU case law, so they generally remain good law unless and until a UK court departs from them under the post-Brexit rules (European Union (Withdrawal) Act 2018; European Union (Withdrawal Agreement) Act 2020). </w:t>
      </w:r>
    </w:p>
    <w:p w14:paraId="43B6670B" w14:textId="19FAFE7E" w:rsidR="00DD0A12" w:rsidRPr="006C3527" w:rsidRDefault="00DD0A12" w:rsidP="00DD0A12">
      <w:pPr>
        <w:rPr>
          <w:rFonts w:ascii="Arial" w:hAnsi="Arial" w:cs="Arial"/>
          <w:sz w:val="24"/>
          <w:szCs w:val="24"/>
        </w:rPr>
      </w:pPr>
      <w:r w:rsidRPr="006C3527">
        <w:rPr>
          <w:rFonts w:ascii="Arial" w:hAnsi="Arial" w:cs="Arial"/>
          <w:sz w:val="24"/>
          <w:szCs w:val="24"/>
        </w:rPr>
        <w:t xml:space="preserve">In most cases, tribunals and lower courts must still follow pre-2020 ECJ case law to maintain legal certainty (European Union (Withdrawal) Act 2018). The main exceptions are the Supreme Court and, in some cases, the Court of Appeal, which may depart where they consider it right to do so (European Union (Withdrawal) Act 2018 (Relevant Court) (Retained EU Case Law) Regulations 2020 (SI 2020/1525)). </w:t>
      </w:r>
    </w:p>
    <w:p w14:paraId="41370050" w14:textId="00070F3C" w:rsidR="00DD0A12" w:rsidRPr="006C3527" w:rsidRDefault="00DD0A12" w:rsidP="00DD0A12">
      <w:pPr>
        <w:rPr>
          <w:rFonts w:ascii="Arial" w:hAnsi="Arial" w:cs="Arial"/>
          <w:sz w:val="24"/>
          <w:szCs w:val="24"/>
        </w:rPr>
      </w:pPr>
      <w:r w:rsidRPr="006C3527">
        <w:rPr>
          <w:rFonts w:ascii="Arial" w:hAnsi="Arial" w:cs="Arial"/>
          <w:sz w:val="24"/>
          <w:szCs w:val="24"/>
        </w:rPr>
        <w:t xml:space="preserve">Any ECJ judgments made after 31 December 2020 are no longer binding on UK courts (EU (Withdrawal) Act 2018). Judges can take them into account if they find them persuasive, but they are not required to follow them. </w:t>
      </w:r>
    </w:p>
    <w:p w14:paraId="7410D79A" w14:textId="689FFFF9" w:rsidR="00DD0A12" w:rsidRPr="006C3527" w:rsidRDefault="00DD0A12" w:rsidP="00DD0A12">
      <w:pPr>
        <w:rPr>
          <w:rFonts w:ascii="Arial" w:hAnsi="Arial" w:cs="Arial"/>
          <w:sz w:val="24"/>
          <w:szCs w:val="24"/>
        </w:rPr>
      </w:pPr>
      <w:r w:rsidRPr="006C3527">
        <w:rPr>
          <w:rFonts w:ascii="Arial" w:hAnsi="Arial" w:cs="Arial"/>
          <w:sz w:val="24"/>
          <w:szCs w:val="24"/>
        </w:rPr>
        <w:t xml:space="preserve">For example, in </w:t>
      </w:r>
      <w:proofErr w:type="spellStart"/>
      <w:r w:rsidRPr="006C3527">
        <w:rPr>
          <w:rFonts w:ascii="Arial" w:hAnsi="Arial" w:cs="Arial"/>
          <w:sz w:val="24"/>
          <w:szCs w:val="24"/>
        </w:rPr>
        <w:t>Federación</w:t>
      </w:r>
      <w:proofErr w:type="spellEnd"/>
      <w:r w:rsidRPr="006C3527">
        <w:rPr>
          <w:rFonts w:ascii="Arial" w:hAnsi="Arial" w:cs="Arial"/>
          <w:sz w:val="24"/>
          <w:szCs w:val="24"/>
        </w:rPr>
        <w:t xml:space="preserve"> de </w:t>
      </w:r>
      <w:proofErr w:type="spellStart"/>
      <w:r w:rsidRPr="006C3527">
        <w:rPr>
          <w:rFonts w:ascii="Arial" w:hAnsi="Arial" w:cs="Arial"/>
          <w:sz w:val="24"/>
          <w:szCs w:val="24"/>
        </w:rPr>
        <w:t>Servicios</w:t>
      </w:r>
      <w:proofErr w:type="spellEnd"/>
      <w:r w:rsidRPr="006C3527">
        <w:rPr>
          <w:rFonts w:ascii="Arial" w:hAnsi="Arial" w:cs="Arial"/>
          <w:sz w:val="24"/>
          <w:szCs w:val="24"/>
        </w:rPr>
        <w:t xml:space="preserve"> de </w:t>
      </w:r>
      <w:proofErr w:type="spellStart"/>
      <w:r w:rsidRPr="006C3527">
        <w:rPr>
          <w:rFonts w:ascii="Arial" w:hAnsi="Arial" w:cs="Arial"/>
          <w:sz w:val="24"/>
          <w:szCs w:val="24"/>
        </w:rPr>
        <w:t>Comisiones</w:t>
      </w:r>
      <w:proofErr w:type="spellEnd"/>
      <w:r w:rsidRPr="006C3527">
        <w:rPr>
          <w:rFonts w:ascii="Arial" w:hAnsi="Arial" w:cs="Arial"/>
          <w:sz w:val="24"/>
          <w:szCs w:val="24"/>
        </w:rPr>
        <w:t xml:space="preserve"> </w:t>
      </w:r>
      <w:proofErr w:type="spellStart"/>
      <w:r w:rsidRPr="006C3527">
        <w:rPr>
          <w:rFonts w:ascii="Arial" w:hAnsi="Arial" w:cs="Arial"/>
          <w:sz w:val="24"/>
          <w:szCs w:val="24"/>
        </w:rPr>
        <w:t>Obreras</w:t>
      </w:r>
      <w:proofErr w:type="spellEnd"/>
      <w:r w:rsidRPr="006C3527">
        <w:rPr>
          <w:rFonts w:ascii="Arial" w:hAnsi="Arial" w:cs="Arial"/>
          <w:sz w:val="24"/>
          <w:szCs w:val="24"/>
        </w:rPr>
        <w:t xml:space="preserve"> (CCOO) v Deutsche Bank SAE (Case C-55/18, EU:C:2019:402), the ECJ said Member States must require an objective, reliable and accessible system for recording each worker’s daily working time. Because it predates the end of the transition period, it forms part of retained EU case law and can still be relied on in UK working time disputes unless a higher UK court departs from it (European Union (Withdrawal) Act 2018). </w:t>
      </w:r>
    </w:p>
    <w:p w14:paraId="452C24A8" w14:textId="77777777" w:rsidR="00DD0A12" w:rsidRPr="006C3527" w:rsidRDefault="00DD0A12" w:rsidP="00DD0A12">
      <w:pPr>
        <w:rPr>
          <w:rFonts w:ascii="Arial" w:hAnsi="Arial" w:cs="Arial"/>
          <w:sz w:val="24"/>
          <w:szCs w:val="24"/>
        </w:rPr>
      </w:pPr>
      <w:r w:rsidRPr="006C3527">
        <w:rPr>
          <w:rFonts w:ascii="Arial" w:hAnsi="Arial" w:cs="Arial"/>
          <w:sz w:val="24"/>
          <w:szCs w:val="24"/>
        </w:rPr>
        <w:t>In summary, most pre-Brexit ECJ judgments remain good law in the UK as retained EU case law, so they cannot simply be ignored. However, they are no longer automatically binding in the same way, because the Supreme Court and sometimes the Court of Appeal can depart from them.</w:t>
      </w:r>
    </w:p>
    <w:p w14:paraId="72CA3CE8" w14:textId="77777777" w:rsidR="00DD0A12" w:rsidRPr="006C3527" w:rsidRDefault="00DD0A12">
      <w:pPr>
        <w:rPr>
          <w:rFonts w:ascii="Arial" w:hAnsi="Arial" w:cs="Arial"/>
          <w:b/>
          <w:bCs/>
          <w:sz w:val="24"/>
          <w:szCs w:val="24"/>
        </w:rPr>
      </w:pPr>
    </w:p>
    <w:p w14:paraId="544083FA" w14:textId="77777777" w:rsidR="00DD0A12" w:rsidRPr="006C3527" w:rsidRDefault="00DD0A12">
      <w:pPr>
        <w:rPr>
          <w:rFonts w:ascii="Arial" w:hAnsi="Arial" w:cs="Arial"/>
          <w:b/>
          <w:bCs/>
          <w:sz w:val="24"/>
          <w:szCs w:val="24"/>
        </w:rPr>
      </w:pPr>
    </w:p>
    <w:p w14:paraId="7BF82A0B" w14:textId="77777777" w:rsidR="00DD0A12" w:rsidRPr="006C3527" w:rsidRDefault="00DD0A12">
      <w:pPr>
        <w:rPr>
          <w:rFonts w:ascii="Arial" w:hAnsi="Arial" w:cs="Arial"/>
          <w:b/>
          <w:bCs/>
          <w:sz w:val="24"/>
          <w:szCs w:val="24"/>
        </w:rPr>
      </w:pPr>
    </w:p>
    <w:p w14:paraId="7B7BE596" w14:textId="77777777" w:rsidR="00DD0A12" w:rsidRPr="006C3527" w:rsidRDefault="00DD0A12">
      <w:pPr>
        <w:rPr>
          <w:rFonts w:ascii="Arial" w:hAnsi="Arial" w:cs="Arial"/>
          <w:b/>
          <w:bCs/>
          <w:sz w:val="24"/>
          <w:szCs w:val="24"/>
        </w:rPr>
      </w:pPr>
    </w:p>
    <w:p w14:paraId="0181A8CC" w14:textId="77777777" w:rsidR="00DD0A12" w:rsidRPr="006C3527" w:rsidRDefault="00DD0A12">
      <w:pPr>
        <w:rPr>
          <w:rFonts w:ascii="Arial" w:hAnsi="Arial" w:cs="Arial"/>
          <w:b/>
          <w:bCs/>
          <w:sz w:val="24"/>
          <w:szCs w:val="24"/>
        </w:rPr>
      </w:pPr>
    </w:p>
    <w:p w14:paraId="23C37E21" w14:textId="77777777" w:rsidR="00DD0A12" w:rsidRPr="006C3527" w:rsidRDefault="00DD0A12">
      <w:pPr>
        <w:rPr>
          <w:rFonts w:ascii="Arial" w:hAnsi="Arial" w:cs="Arial"/>
          <w:b/>
          <w:bCs/>
          <w:sz w:val="24"/>
          <w:szCs w:val="24"/>
        </w:rPr>
      </w:pPr>
    </w:p>
    <w:p w14:paraId="79A6449B" w14:textId="77777777" w:rsidR="00DD0A12" w:rsidRPr="006C3527" w:rsidRDefault="00DD0A12">
      <w:pPr>
        <w:rPr>
          <w:rFonts w:ascii="Arial" w:hAnsi="Arial" w:cs="Arial"/>
          <w:b/>
          <w:bCs/>
          <w:sz w:val="24"/>
          <w:szCs w:val="24"/>
        </w:rPr>
      </w:pPr>
    </w:p>
    <w:p w14:paraId="5047BD4E" w14:textId="77777777" w:rsidR="00DD0A12" w:rsidRPr="006C3527" w:rsidRDefault="00DD0A12" w:rsidP="00DD0A12">
      <w:pPr>
        <w:rPr>
          <w:rFonts w:ascii="Arial" w:hAnsi="Arial" w:cs="Arial"/>
          <w:b/>
          <w:bCs/>
          <w:sz w:val="24"/>
          <w:szCs w:val="24"/>
        </w:rPr>
      </w:pPr>
      <w:r w:rsidRPr="006C3527">
        <w:rPr>
          <w:rFonts w:ascii="Arial" w:hAnsi="Arial" w:cs="Arial"/>
          <w:b/>
          <w:bCs/>
          <w:sz w:val="24"/>
          <w:szCs w:val="24"/>
        </w:rPr>
        <w:lastRenderedPageBreak/>
        <w:t>Email 3 (AC 2.1)</w:t>
      </w:r>
    </w:p>
    <w:p w14:paraId="446FC340" w14:textId="77777777" w:rsidR="006C3527" w:rsidRPr="006C3527" w:rsidRDefault="006C3527" w:rsidP="006C3527">
      <w:pPr>
        <w:rPr>
          <w:rFonts w:ascii="Arial" w:hAnsi="Arial" w:cs="Arial"/>
          <w:sz w:val="24"/>
          <w:szCs w:val="24"/>
          <w:lang w:eastAsia="en-GB"/>
        </w:rPr>
      </w:pPr>
      <w:r w:rsidRPr="006C3527">
        <w:rPr>
          <w:rFonts w:ascii="Arial" w:hAnsi="Arial" w:cs="Arial"/>
          <w:sz w:val="24"/>
          <w:szCs w:val="24"/>
        </w:rPr>
        <w:t>In short, you can only specify must be a man or must be a woman in very limited circumstances, so it is worth being clear on the rules before wording an advert.</w:t>
      </w:r>
    </w:p>
    <w:p w14:paraId="1308E60B" w14:textId="77777777" w:rsidR="00491CD4" w:rsidRPr="006C3527" w:rsidRDefault="00491CD4" w:rsidP="006C3527">
      <w:pPr>
        <w:rPr>
          <w:rFonts w:ascii="Arial" w:hAnsi="Arial" w:cs="Arial"/>
          <w:sz w:val="24"/>
          <w:szCs w:val="24"/>
          <w:lang w:eastAsia="en-GB"/>
        </w:rPr>
      </w:pPr>
      <w:r w:rsidRPr="006C3527">
        <w:rPr>
          <w:rFonts w:ascii="Arial" w:hAnsi="Arial" w:cs="Arial"/>
          <w:sz w:val="24"/>
          <w:szCs w:val="24"/>
        </w:rPr>
        <w:t xml:space="preserve">Generally, recruitment decisions should be based on the person’s skills, experience and ability to do the job, not on protected characteristics like sex. That is why the Equality Act 2010 generally makes it unlawful to advertise a role as being for a man or for a woman, as this would usually be direct sex discrimination (Daniels, 6th ed., </w:t>
      </w:r>
      <w:proofErr w:type="spellStart"/>
      <w:r w:rsidRPr="006C3527">
        <w:rPr>
          <w:rFonts w:ascii="Arial" w:hAnsi="Arial" w:cs="Arial"/>
          <w:sz w:val="24"/>
          <w:szCs w:val="24"/>
        </w:rPr>
        <w:t>ch.</w:t>
      </w:r>
      <w:proofErr w:type="spellEnd"/>
      <w:r w:rsidRPr="006C3527">
        <w:rPr>
          <w:rFonts w:ascii="Arial" w:hAnsi="Arial" w:cs="Arial"/>
          <w:sz w:val="24"/>
          <w:szCs w:val="24"/>
        </w:rPr>
        <w:t xml:space="preserve"> 6; Equality Act 2010, s.13; EHRC, 2011; ACAS, no date).</w:t>
      </w:r>
    </w:p>
    <w:p w14:paraId="054F4E07" w14:textId="77777777" w:rsidR="006C3527" w:rsidRPr="006C3527" w:rsidRDefault="006C3527" w:rsidP="006C3527">
      <w:pPr>
        <w:rPr>
          <w:rFonts w:ascii="Arial" w:hAnsi="Arial" w:cs="Arial"/>
          <w:sz w:val="24"/>
          <w:szCs w:val="24"/>
          <w:lang w:eastAsia="en-GB"/>
        </w:rPr>
      </w:pPr>
      <w:r w:rsidRPr="006C3527">
        <w:rPr>
          <w:rFonts w:ascii="Arial" w:hAnsi="Arial" w:cs="Arial"/>
          <w:sz w:val="24"/>
          <w:szCs w:val="24"/>
        </w:rPr>
        <w:t>The main exception is where there is a genuine occupational requirement (Equality Act 2010; Equality Act 2010 Explanatory Notes, 2010). In practice, this means you may restrict the role to a particular sex only if (a) being that sex is essential because of the nature/context of the work and (b) applying the restriction is a proportionate way to achieve a legitimate aim (Equality Act 2010; Equality Act 2010 Explanatory Notes, 2010). It is a high threshold, and it will not apply just because it feels easier or preferable.</w:t>
      </w:r>
      <w:r w:rsidRPr="006C3527">
        <w:rPr>
          <w:rFonts w:ascii="Arial" w:hAnsi="Arial" w:cs="Arial"/>
          <w:sz w:val="24"/>
          <w:szCs w:val="24"/>
        </w:rPr>
        <w:br/>
      </w:r>
      <w:r w:rsidRPr="006C3527">
        <w:rPr>
          <w:rFonts w:ascii="Arial" w:hAnsi="Arial" w:cs="Arial"/>
          <w:sz w:val="24"/>
          <w:szCs w:val="24"/>
        </w:rPr>
        <w:br/>
        <w:t>For example, if the role involves providing intimate personal care to vulnerable women, restricting recruitment to women may be justifiable to protect service users’ dignity, privacy and wellbeing (Equality Act 2010 Explanatory Notes, 2010). Another common example is acting roles, where authenticity of casting can make sex a genuine requirement for the part (Equality Act 2010 Explanatory Notes, 2010).</w:t>
      </w:r>
    </w:p>
    <w:p w14:paraId="4C4E7143" w14:textId="200E0B3C" w:rsidR="00491CD4" w:rsidRPr="006C3527" w:rsidRDefault="00491CD4" w:rsidP="006C3527">
      <w:pPr>
        <w:rPr>
          <w:rFonts w:ascii="Arial" w:hAnsi="Arial" w:cs="Arial"/>
          <w:sz w:val="24"/>
          <w:szCs w:val="24"/>
          <w:lang w:eastAsia="en-GB"/>
        </w:rPr>
      </w:pPr>
      <w:r w:rsidRPr="006C3527">
        <w:rPr>
          <w:rFonts w:ascii="Arial" w:hAnsi="Arial" w:cs="Arial"/>
          <w:sz w:val="24"/>
          <w:szCs w:val="24"/>
        </w:rPr>
        <w:t>By contrast, it would not be lawful to restrict a vacancy because of stereotypes or preferences (EHRC, 2011; ACAS, n</w:t>
      </w:r>
      <w:r>
        <w:rPr>
          <w:rFonts w:ascii="Arial" w:hAnsi="Arial" w:cs="Arial"/>
          <w:sz w:val="24"/>
          <w:szCs w:val="24"/>
        </w:rPr>
        <w:t xml:space="preserve">o </w:t>
      </w:r>
      <w:r w:rsidRPr="006C3527">
        <w:rPr>
          <w:rFonts w:ascii="Arial" w:hAnsi="Arial" w:cs="Arial"/>
          <w:sz w:val="24"/>
          <w:szCs w:val="24"/>
        </w:rPr>
        <w:t>d</w:t>
      </w:r>
      <w:r>
        <w:rPr>
          <w:rFonts w:ascii="Arial" w:hAnsi="Arial" w:cs="Arial"/>
          <w:sz w:val="24"/>
          <w:szCs w:val="24"/>
        </w:rPr>
        <w:t>ate</w:t>
      </w:r>
      <w:r w:rsidRPr="006C3527">
        <w:rPr>
          <w:rFonts w:ascii="Arial" w:hAnsi="Arial" w:cs="Arial"/>
          <w:sz w:val="24"/>
          <w:szCs w:val="24"/>
        </w:rPr>
        <w:t xml:space="preserve">). For example, saying a managerial or technical role must be filled by a man because the team is male-dominated, or by a woman because clients prefer it, would not meet the test (EHRC, 2011; ACAS, no date). This is illustrated by </w:t>
      </w:r>
      <w:r w:rsidRPr="006C3527">
        <w:rPr>
          <w:rFonts w:ascii="Arial" w:hAnsi="Arial" w:cs="Arial"/>
          <w:i/>
          <w:iCs/>
          <w:sz w:val="24"/>
          <w:szCs w:val="24"/>
        </w:rPr>
        <w:t>Etam plc v Rowan</w:t>
      </w:r>
      <w:r w:rsidRPr="006C3527">
        <w:rPr>
          <w:rFonts w:ascii="Arial" w:hAnsi="Arial" w:cs="Arial"/>
          <w:sz w:val="24"/>
          <w:szCs w:val="24"/>
        </w:rPr>
        <w:t xml:space="preserve"> [1989] IRLR 150, where a male applicant for a sales assistant role in a women’s clothing shop was excluded because of changing-room duties, but the tribunal found the exception did not apply because he could do the main parts of the job and any privacy-sensitive tasks could be covered by female colleagues without difficulty (</w:t>
      </w:r>
      <w:r w:rsidRPr="006C3527">
        <w:rPr>
          <w:rFonts w:ascii="Arial" w:hAnsi="Arial" w:cs="Arial"/>
          <w:i/>
          <w:iCs/>
          <w:sz w:val="24"/>
          <w:szCs w:val="24"/>
        </w:rPr>
        <w:t>Etam plc v Rowan</w:t>
      </w:r>
      <w:r w:rsidRPr="006C3527">
        <w:rPr>
          <w:rFonts w:ascii="Arial" w:hAnsi="Arial" w:cs="Arial"/>
          <w:sz w:val="24"/>
          <w:szCs w:val="24"/>
        </w:rPr>
        <w:t xml:space="preserve"> [1989] IRLR 150; EHRC, 2011; ACAS, no date).</w:t>
      </w:r>
    </w:p>
    <w:p w14:paraId="63C84B17" w14:textId="77777777" w:rsidR="006C3527" w:rsidRPr="006C3527" w:rsidRDefault="006C3527" w:rsidP="006C3527">
      <w:pPr>
        <w:rPr>
          <w:rFonts w:ascii="Arial" w:hAnsi="Arial" w:cs="Arial"/>
          <w:sz w:val="24"/>
          <w:szCs w:val="24"/>
          <w:lang w:eastAsia="en-GB"/>
        </w:rPr>
      </w:pPr>
      <w:r w:rsidRPr="006C3527">
        <w:rPr>
          <w:rFonts w:ascii="Arial" w:hAnsi="Arial" w:cs="Arial"/>
          <w:sz w:val="24"/>
          <w:szCs w:val="24"/>
        </w:rPr>
        <w:t>Even where an occupational requirement might apply, it must relate directly to the specific role you’re recruiting for and should be kept under review (Equality Act 2010; EHRC, 2011). You should also be able to show, if challenged, why the requirement is necessary and why there is not a less discriminatory way of achieving the same aim (Equality Act 2010; EHRC, 2011).</w:t>
      </w:r>
    </w:p>
    <w:p w14:paraId="50CFD5BE" w14:textId="77777777" w:rsidR="00DD0A12" w:rsidRPr="006C3527" w:rsidRDefault="00DD0A12">
      <w:pPr>
        <w:rPr>
          <w:rFonts w:ascii="Arial" w:hAnsi="Arial" w:cs="Arial"/>
          <w:b/>
          <w:bCs/>
          <w:sz w:val="24"/>
          <w:szCs w:val="24"/>
        </w:rPr>
      </w:pPr>
    </w:p>
    <w:p w14:paraId="40DB684F" w14:textId="77777777" w:rsidR="006C3527" w:rsidRPr="006C3527" w:rsidRDefault="006C3527">
      <w:pPr>
        <w:rPr>
          <w:rFonts w:ascii="Arial" w:hAnsi="Arial" w:cs="Arial"/>
          <w:b/>
          <w:bCs/>
          <w:sz w:val="24"/>
          <w:szCs w:val="24"/>
        </w:rPr>
      </w:pPr>
    </w:p>
    <w:p w14:paraId="1A355B1D" w14:textId="77777777" w:rsidR="006C3527" w:rsidRPr="006C3527" w:rsidRDefault="006C3527">
      <w:pPr>
        <w:rPr>
          <w:rFonts w:ascii="Arial" w:hAnsi="Arial" w:cs="Arial"/>
          <w:b/>
          <w:bCs/>
          <w:sz w:val="24"/>
          <w:szCs w:val="24"/>
        </w:rPr>
      </w:pPr>
    </w:p>
    <w:p w14:paraId="56E8DEF0" w14:textId="77777777" w:rsidR="006C3527" w:rsidRPr="006C3527" w:rsidRDefault="006C3527">
      <w:pPr>
        <w:rPr>
          <w:rFonts w:ascii="Arial" w:hAnsi="Arial" w:cs="Arial"/>
          <w:b/>
          <w:bCs/>
          <w:sz w:val="24"/>
          <w:szCs w:val="24"/>
        </w:rPr>
      </w:pPr>
    </w:p>
    <w:p w14:paraId="09888B4F" w14:textId="77777777" w:rsidR="006C3527" w:rsidRPr="006C3527" w:rsidRDefault="006C3527">
      <w:pPr>
        <w:rPr>
          <w:rFonts w:ascii="Arial" w:hAnsi="Arial" w:cs="Arial"/>
          <w:b/>
          <w:bCs/>
          <w:sz w:val="24"/>
          <w:szCs w:val="24"/>
        </w:rPr>
      </w:pPr>
    </w:p>
    <w:p w14:paraId="6E408FE9" w14:textId="77777777" w:rsidR="00DD0A12" w:rsidRPr="006C3527" w:rsidRDefault="00DD0A12" w:rsidP="00DD0A12">
      <w:pPr>
        <w:rPr>
          <w:rFonts w:ascii="Arial" w:hAnsi="Arial" w:cs="Arial"/>
          <w:b/>
          <w:bCs/>
          <w:sz w:val="24"/>
          <w:szCs w:val="24"/>
        </w:rPr>
      </w:pPr>
      <w:r w:rsidRPr="006C3527">
        <w:rPr>
          <w:rFonts w:ascii="Arial" w:hAnsi="Arial" w:cs="Arial"/>
          <w:b/>
          <w:bCs/>
          <w:sz w:val="24"/>
          <w:szCs w:val="24"/>
        </w:rPr>
        <w:lastRenderedPageBreak/>
        <w:t>Email 4 (AC2.2)</w:t>
      </w:r>
    </w:p>
    <w:p w14:paraId="044C974E" w14:textId="77777777" w:rsidR="00DD0A12" w:rsidRPr="006C3527" w:rsidRDefault="00DD0A12" w:rsidP="00DD0A12">
      <w:pPr>
        <w:rPr>
          <w:rFonts w:ascii="Arial" w:hAnsi="Arial" w:cs="Arial"/>
          <w:sz w:val="24"/>
          <w:szCs w:val="24"/>
          <w:lang w:eastAsia="en-GB"/>
        </w:rPr>
      </w:pPr>
      <w:r w:rsidRPr="006C3527">
        <w:rPr>
          <w:rFonts w:ascii="Arial" w:hAnsi="Arial" w:cs="Arial"/>
          <w:sz w:val="24"/>
          <w:szCs w:val="24"/>
        </w:rPr>
        <w:t>I can see why you’d like to use surplus funds to recognise the two HCAs, but upgrading only them to Grade B creates legal risk if their day-to-day work is essentially the same as other HCAs who remain on Grade A.</w:t>
      </w:r>
    </w:p>
    <w:p w14:paraId="412F49E7" w14:textId="77777777" w:rsidR="00491CD4" w:rsidRPr="006C3527" w:rsidRDefault="00491CD4" w:rsidP="00DD0A12">
      <w:pPr>
        <w:rPr>
          <w:rFonts w:ascii="Arial" w:hAnsi="Arial" w:cs="Arial"/>
          <w:sz w:val="24"/>
          <w:szCs w:val="24"/>
          <w:lang w:eastAsia="en-GB"/>
        </w:rPr>
      </w:pPr>
      <w:r w:rsidRPr="006C3527">
        <w:rPr>
          <w:rFonts w:ascii="Arial" w:hAnsi="Arial" w:cs="Arial"/>
          <w:sz w:val="24"/>
          <w:szCs w:val="24"/>
        </w:rPr>
        <w:t>Under the Equality Act 2010, staff are entitled to equal pay for equal work (ACAS, no date.; EHRC, 2011) for the same or broadly similar work, or work rated as equivalent under job evaluation. Claims usually rely on an actual comparator of the opposite sex on the same or broadly similar contractual terms (ACAS, no date.; EHRC, 2011). If the comparator is paid more for equal work, an “equality clause” is implied so the lower-paid employee’s terms are treated as modified to match, including potential back pay/arrears (EHRC, 2011).</w:t>
      </w:r>
    </w:p>
    <w:p w14:paraId="28098FB5" w14:textId="77777777" w:rsidR="00DD0A12" w:rsidRPr="006C3527" w:rsidRDefault="00DD0A12" w:rsidP="00DD0A12">
      <w:pPr>
        <w:rPr>
          <w:rFonts w:ascii="Arial" w:hAnsi="Arial" w:cs="Arial"/>
          <w:sz w:val="24"/>
          <w:szCs w:val="24"/>
          <w:lang w:eastAsia="en-GB"/>
        </w:rPr>
      </w:pPr>
      <w:r w:rsidRPr="006C3527">
        <w:rPr>
          <w:rFonts w:ascii="Arial" w:hAnsi="Arial" w:cs="Arial"/>
          <w:sz w:val="24"/>
          <w:szCs w:val="24"/>
        </w:rPr>
        <w:t xml:space="preserve">To defend any pay difference, the Trust would need a material factor genuinely unrelated to sex (Equality Act 2010; EHRC, 2011). A one-off budget surplus is unlikely to meet this test. Given that around 80% of HCAs are women, the Trust would also need to show objective justification if the approach disadvantages women in practice (Equality Act 2010; Equality Act 2010 Explanatory Notes, para 237). That would require evidence that Grade B reflects genuinely </w:t>
      </w:r>
      <w:proofErr w:type="gramStart"/>
      <w:r w:rsidRPr="006C3527">
        <w:rPr>
          <w:rFonts w:ascii="Arial" w:hAnsi="Arial" w:cs="Arial"/>
          <w:sz w:val="24"/>
          <w:szCs w:val="24"/>
        </w:rPr>
        <w:t>higher level</w:t>
      </w:r>
      <w:proofErr w:type="gramEnd"/>
      <w:r w:rsidRPr="006C3527">
        <w:rPr>
          <w:rFonts w:ascii="Arial" w:hAnsi="Arial" w:cs="Arial"/>
          <w:sz w:val="24"/>
          <w:szCs w:val="24"/>
        </w:rPr>
        <w:t xml:space="preserve"> duties, for example, additional responsibility or specialist skills, and/or that the role has been properly evaluated at a higher grade, with only those performing that work paid at Grade B (EHRC, 2011).</w:t>
      </w:r>
    </w:p>
    <w:p w14:paraId="11DAE3AE" w14:textId="77777777" w:rsidR="00DD0A12" w:rsidRPr="006C3527" w:rsidRDefault="00DD0A12" w:rsidP="00DD0A12">
      <w:pPr>
        <w:rPr>
          <w:rFonts w:ascii="Arial" w:hAnsi="Arial" w:cs="Arial"/>
          <w:sz w:val="24"/>
          <w:szCs w:val="24"/>
          <w:lang w:eastAsia="en-GB"/>
        </w:rPr>
      </w:pPr>
      <w:r w:rsidRPr="006C3527">
        <w:rPr>
          <w:rFonts w:ascii="Arial" w:hAnsi="Arial" w:cs="Arial"/>
          <w:sz w:val="24"/>
          <w:szCs w:val="24"/>
        </w:rPr>
        <w:t>There is also a risk of indirect sex discrimination if upgrading only the two male HCAs cannot be objectively justified, given the workforce profile (Equality Act 2010; ACAS, no date).</w:t>
      </w:r>
    </w:p>
    <w:p w14:paraId="155D4449" w14:textId="77777777" w:rsidR="00DD0A12" w:rsidRPr="006C3527" w:rsidRDefault="00DD0A12" w:rsidP="00DD0A12">
      <w:pPr>
        <w:rPr>
          <w:rFonts w:ascii="Arial" w:hAnsi="Arial" w:cs="Arial"/>
          <w:sz w:val="24"/>
          <w:szCs w:val="24"/>
          <w:lang w:eastAsia="en-GB"/>
        </w:rPr>
      </w:pPr>
      <w:r w:rsidRPr="006C3527">
        <w:rPr>
          <w:rFonts w:ascii="Arial" w:hAnsi="Arial" w:cs="Arial"/>
          <w:sz w:val="24"/>
          <w:szCs w:val="24"/>
        </w:rPr>
        <w:t>Beyond legal exposure, an un-evaluated upgrade for two individuals is likely to raise understandable concerns about fairness and progression.</w:t>
      </w:r>
    </w:p>
    <w:p w14:paraId="36114F3B" w14:textId="77777777" w:rsidR="00DD0A12" w:rsidRPr="006C3527" w:rsidRDefault="00DD0A12" w:rsidP="00DD0A12">
      <w:pPr>
        <w:rPr>
          <w:rFonts w:ascii="Arial" w:hAnsi="Arial" w:cs="Arial"/>
          <w:sz w:val="24"/>
          <w:szCs w:val="24"/>
          <w:lang w:eastAsia="en-GB"/>
        </w:rPr>
      </w:pPr>
      <w:r w:rsidRPr="006C3527">
        <w:rPr>
          <w:rFonts w:ascii="Arial" w:hAnsi="Arial" w:cs="Arial"/>
          <w:sz w:val="24"/>
          <w:szCs w:val="24"/>
        </w:rPr>
        <w:t>If you think these two HCAs are already working at Grade B level, the safer route is to confirm the duties and whether this is genuinely different from the standard Grade A HCA role and use the Trust’s job evaluation/re-grading process. If Grade B posts are justified, opportunities should be transparent and open to others who meet the criteria. If the aim is simply to recognise good performance, consider non-contractual recognition that does not create a permanent pay differential.</w:t>
      </w:r>
    </w:p>
    <w:p w14:paraId="51195270" w14:textId="77777777" w:rsidR="00DD0A12" w:rsidRPr="006C3527" w:rsidRDefault="00DD0A12" w:rsidP="00DD0A12">
      <w:pPr>
        <w:rPr>
          <w:rFonts w:ascii="Arial" w:hAnsi="Arial" w:cs="Arial"/>
          <w:sz w:val="24"/>
          <w:szCs w:val="24"/>
          <w:lang w:eastAsia="en-GB"/>
        </w:rPr>
      </w:pPr>
      <w:r w:rsidRPr="006C3527">
        <w:rPr>
          <w:rFonts w:ascii="Arial" w:hAnsi="Arial" w:cs="Arial"/>
          <w:sz w:val="24"/>
          <w:szCs w:val="24"/>
        </w:rPr>
        <w:t>On that basis, I would not approve the upgrade as proposed. Unless the Trust can evidence through proper evaluation that Grade B reflects a genuinely higher-graded role, moving only these two HCAs creates a significant equal pay risk and would be difficult to justify.</w:t>
      </w:r>
    </w:p>
    <w:p w14:paraId="38A85885" w14:textId="77777777" w:rsidR="00761762" w:rsidRPr="006C3527" w:rsidRDefault="00761762">
      <w:pPr>
        <w:rPr>
          <w:rFonts w:ascii="Arial" w:hAnsi="Arial" w:cs="Arial"/>
          <w:b/>
          <w:bCs/>
          <w:sz w:val="24"/>
          <w:szCs w:val="24"/>
        </w:rPr>
      </w:pPr>
    </w:p>
    <w:p w14:paraId="26F4179B" w14:textId="77777777" w:rsidR="00DD0A12" w:rsidRPr="006C3527" w:rsidRDefault="00DD0A12">
      <w:pPr>
        <w:rPr>
          <w:rFonts w:ascii="Arial" w:hAnsi="Arial" w:cs="Arial"/>
          <w:b/>
          <w:bCs/>
          <w:sz w:val="24"/>
          <w:szCs w:val="24"/>
        </w:rPr>
      </w:pPr>
    </w:p>
    <w:p w14:paraId="40D32F82" w14:textId="77777777" w:rsidR="00DD0A12" w:rsidRPr="006C3527" w:rsidRDefault="00DD0A12">
      <w:pPr>
        <w:rPr>
          <w:rFonts w:ascii="Arial" w:hAnsi="Arial" w:cs="Arial"/>
          <w:b/>
          <w:bCs/>
          <w:sz w:val="24"/>
          <w:szCs w:val="24"/>
        </w:rPr>
      </w:pPr>
    </w:p>
    <w:p w14:paraId="2505CDCC" w14:textId="77777777" w:rsidR="00DD0A12" w:rsidRPr="006C3527" w:rsidRDefault="00DD0A12">
      <w:pPr>
        <w:rPr>
          <w:rFonts w:ascii="Arial" w:hAnsi="Arial" w:cs="Arial"/>
          <w:b/>
          <w:bCs/>
          <w:sz w:val="24"/>
          <w:szCs w:val="24"/>
        </w:rPr>
      </w:pPr>
    </w:p>
    <w:p w14:paraId="330BDD26" w14:textId="77777777" w:rsidR="00DD0A12" w:rsidRPr="006C3527" w:rsidRDefault="00DD0A12">
      <w:pPr>
        <w:rPr>
          <w:rFonts w:ascii="Arial" w:hAnsi="Arial" w:cs="Arial"/>
          <w:b/>
          <w:bCs/>
          <w:sz w:val="24"/>
          <w:szCs w:val="24"/>
        </w:rPr>
      </w:pPr>
    </w:p>
    <w:p w14:paraId="41F480D0" w14:textId="77777777" w:rsidR="00DD0A12" w:rsidRPr="006C3527" w:rsidRDefault="00DD0A12" w:rsidP="00DD0A12">
      <w:pPr>
        <w:rPr>
          <w:rFonts w:ascii="Arial" w:hAnsi="Arial" w:cs="Arial"/>
          <w:b/>
          <w:bCs/>
          <w:sz w:val="24"/>
          <w:szCs w:val="24"/>
        </w:rPr>
      </w:pPr>
      <w:r w:rsidRPr="006C3527">
        <w:rPr>
          <w:rFonts w:ascii="Arial" w:hAnsi="Arial" w:cs="Arial"/>
          <w:b/>
          <w:bCs/>
          <w:sz w:val="24"/>
          <w:szCs w:val="24"/>
        </w:rPr>
        <w:lastRenderedPageBreak/>
        <w:t>Email 5 (AC3.1)</w:t>
      </w:r>
    </w:p>
    <w:p w14:paraId="275CC6DC" w14:textId="77777777" w:rsidR="006C3527" w:rsidRPr="006C3527" w:rsidRDefault="006C3527" w:rsidP="006C3527">
      <w:pPr>
        <w:spacing w:line="240" w:lineRule="auto"/>
        <w:rPr>
          <w:rFonts w:ascii="Arial" w:hAnsi="Arial" w:cs="Arial"/>
          <w:sz w:val="24"/>
          <w:szCs w:val="24"/>
        </w:rPr>
      </w:pPr>
      <w:r w:rsidRPr="006C3527">
        <w:rPr>
          <w:rFonts w:ascii="Arial" w:hAnsi="Arial" w:cs="Arial"/>
          <w:sz w:val="24"/>
          <w:szCs w:val="24"/>
        </w:rPr>
        <w:t>A constructive dismissal claim is where an employee resigns because the employer has committed a serious breach of contract (Western Excavating (ECC) Ltd v Sharp [1978] ICR 221; Daniels, 2024). In law, that is treated as the employer having dismissed them (Employment Rights Act 1996). The breach can be of a written term, for example working hours, or an implied term, for example the duty to maintain trust and confidence (Malik v Bank of Credit and Commerce International SA [1998] AC 20; CIPD, 2026).</w:t>
      </w:r>
    </w:p>
    <w:p w14:paraId="2D45AADB" w14:textId="77777777" w:rsidR="006C3527" w:rsidRPr="006C3527" w:rsidRDefault="006C3527" w:rsidP="006C3527">
      <w:pPr>
        <w:spacing w:line="240" w:lineRule="auto"/>
        <w:rPr>
          <w:rFonts w:ascii="Arial" w:hAnsi="Arial" w:cs="Arial"/>
          <w:sz w:val="24"/>
          <w:szCs w:val="24"/>
        </w:rPr>
      </w:pPr>
      <w:r w:rsidRPr="006C3527">
        <w:rPr>
          <w:rFonts w:ascii="Arial" w:hAnsi="Arial" w:cs="Arial"/>
          <w:sz w:val="24"/>
          <w:szCs w:val="24"/>
        </w:rPr>
        <w:t>Working hours are usually a basic contractual term, therefore changing them can be enough to bring about a constructive dismissal claim if the Trust does not have a clear contractual right to change hours and did not get the employee’s agreement (Daniels, 2024; CIPD, 2026).</w:t>
      </w:r>
    </w:p>
    <w:p w14:paraId="64B87197" w14:textId="77777777" w:rsidR="006C3527" w:rsidRPr="006C3527" w:rsidRDefault="006C3527" w:rsidP="006C3527">
      <w:pPr>
        <w:spacing w:line="240" w:lineRule="auto"/>
        <w:rPr>
          <w:rFonts w:ascii="Arial" w:hAnsi="Arial" w:cs="Arial"/>
          <w:sz w:val="24"/>
          <w:szCs w:val="24"/>
        </w:rPr>
      </w:pPr>
      <w:r w:rsidRPr="006C3527">
        <w:rPr>
          <w:rFonts w:ascii="Arial" w:hAnsi="Arial" w:cs="Arial"/>
          <w:sz w:val="24"/>
          <w:szCs w:val="24"/>
        </w:rPr>
        <w:t>The Trust needs to act reasonably even if the contract allows some flexibility. A sudden change that was introduced without proper consultation, can breach the implied term of trust and confidence (Malik v Bank of Credit and Commerce International SA [1998] AC 20), for example where the Trust has acted without reasonable and proper cause and in a way that seriously damages the working relationship with the employee (Daniels, 2024; People Management, 2024).</w:t>
      </w:r>
      <w:r w:rsidRPr="006C3527">
        <w:rPr>
          <w:rFonts w:ascii="Arial" w:hAnsi="Arial" w:cs="Arial"/>
          <w:sz w:val="24"/>
          <w:szCs w:val="24"/>
        </w:rPr>
        <w:br/>
        <w:t>For a constructive dismissal claim to succeed, the former employee has to show that they resigned because of the change or how the change was imposed. It also must show that they resigned reasonably quickly. If they carry on working for too long without making it clear they are working “under protest”, a Tribunal could decide they accepted the change (Daniels, 2024).</w:t>
      </w:r>
    </w:p>
    <w:p w14:paraId="5CB68102" w14:textId="77777777" w:rsidR="00491CD4" w:rsidRPr="006C3527" w:rsidRDefault="00491CD4" w:rsidP="006C3527">
      <w:pPr>
        <w:spacing w:line="240" w:lineRule="auto"/>
        <w:rPr>
          <w:rFonts w:ascii="Arial" w:hAnsi="Arial" w:cs="Arial"/>
          <w:sz w:val="24"/>
          <w:szCs w:val="24"/>
        </w:rPr>
      </w:pPr>
      <w:r w:rsidRPr="006C3527">
        <w:rPr>
          <w:rFonts w:ascii="Arial" w:hAnsi="Arial" w:cs="Arial"/>
          <w:sz w:val="24"/>
          <w:szCs w:val="24"/>
        </w:rPr>
        <w:t xml:space="preserve">A constructive unfair dismissal claim must have started within three months minus one day of the effective date of termination (Employment Rights Act 1996); CIPD, 2026). This date is normally the date the resignation takes effect. The claimant must also notify ACAS and go through Early Conciliation first (Employment Tribunals Act 1996; Employment Tribunals (Early Conciliation: Exemptions and Rules of Procedure) Regulations 2014). Early Conciliation can pause the deadline of a claim. </w:t>
      </w:r>
    </w:p>
    <w:p w14:paraId="4FE7E9D6" w14:textId="77777777" w:rsidR="006C3527" w:rsidRPr="006C3527" w:rsidRDefault="006C3527" w:rsidP="006C3527">
      <w:pPr>
        <w:spacing w:line="240" w:lineRule="auto"/>
        <w:rPr>
          <w:rFonts w:ascii="Arial" w:hAnsi="Arial" w:cs="Arial"/>
          <w:sz w:val="24"/>
          <w:szCs w:val="24"/>
        </w:rPr>
      </w:pPr>
      <w:r w:rsidRPr="006C3527">
        <w:rPr>
          <w:rFonts w:ascii="Arial" w:hAnsi="Arial" w:cs="Arial"/>
          <w:sz w:val="24"/>
          <w:szCs w:val="24"/>
        </w:rPr>
        <w:t>The Tribunal then uses the adjusted date shown on the ACAS certificate. A constructive dismissal claim would be supported if a business tried to significantly change the employee’s working hours without getting the change properly agreed or justified under the contract that was issued. It would also be supported if the change of working hours was done in a way that damages trust and confidence (Daniels, 2024; CIPD, 2026). Whether a claim is successful depends on the wording of the contract, the reason for the change and the consultation process. It also depends on the impact on the individual and how quickly they resigned in response.</w:t>
      </w:r>
    </w:p>
    <w:p w14:paraId="6AA4739F" w14:textId="77777777" w:rsidR="00DD0A12" w:rsidRPr="006C3527" w:rsidRDefault="00DD0A12">
      <w:pPr>
        <w:rPr>
          <w:rFonts w:ascii="Arial" w:hAnsi="Arial" w:cs="Arial"/>
          <w:b/>
          <w:bCs/>
          <w:sz w:val="24"/>
          <w:szCs w:val="24"/>
        </w:rPr>
      </w:pPr>
    </w:p>
    <w:p w14:paraId="456D7742" w14:textId="77777777" w:rsidR="006C3527" w:rsidRPr="006C3527" w:rsidRDefault="006C3527">
      <w:pPr>
        <w:rPr>
          <w:rFonts w:ascii="Arial" w:hAnsi="Arial" w:cs="Arial"/>
          <w:b/>
          <w:bCs/>
          <w:sz w:val="24"/>
          <w:szCs w:val="24"/>
        </w:rPr>
      </w:pPr>
    </w:p>
    <w:p w14:paraId="1E6DDE8E" w14:textId="77777777" w:rsidR="00DD0A12" w:rsidRPr="006C3527" w:rsidRDefault="00DD0A12">
      <w:pPr>
        <w:rPr>
          <w:rFonts w:ascii="Arial" w:hAnsi="Arial" w:cs="Arial"/>
          <w:b/>
          <w:bCs/>
          <w:sz w:val="24"/>
          <w:szCs w:val="24"/>
        </w:rPr>
      </w:pPr>
    </w:p>
    <w:p w14:paraId="28760A96" w14:textId="77777777" w:rsidR="00DD0A12" w:rsidRPr="006C3527" w:rsidRDefault="00DD0A12">
      <w:pPr>
        <w:rPr>
          <w:rFonts w:ascii="Arial" w:hAnsi="Arial" w:cs="Arial"/>
          <w:b/>
          <w:bCs/>
          <w:sz w:val="24"/>
          <w:szCs w:val="24"/>
        </w:rPr>
      </w:pPr>
    </w:p>
    <w:p w14:paraId="10CB225A" w14:textId="77777777" w:rsidR="00DD0A12" w:rsidRPr="006C3527" w:rsidRDefault="00DD0A12">
      <w:pPr>
        <w:rPr>
          <w:rFonts w:ascii="Arial" w:hAnsi="Arial" w:cs="Arial"/>
          <w:b/>
          <w:bCs/>
          <w:sz w:val="24"/>
          <w:szCs w:val="24"/>
        </w:rPr>
      </w:pPr>
    </w:p>
    <w:p w14:paraId="60311EE8" w14:textId="77777777" w:rsidR="00DD0A12" w:rsidRPr="006C3527" w:rsidRDefault="00DD0A12">
      <w:pPr>
        <w:rPr>
          <w:rFonts w:ascii="Arial" w:hAnsi="Arial" w:cs="Arial"/>
          <w:b/>
          <w:bCs/>
          <w:sz w:val="24"/>
          <w:szCs w:val="24"/>
        </w:rPr>
      </w:pPr>
    </w:p>
    <w:p w14:paraId="5000E64B" w14:textId="77777777" w:rsidR="00DD0A12" w:rsidRPr="006C3527" w:rsidRDefault="00DD0A12" w:rsidP="00DD0A12">
      <w:pPr>
        <w:rPr>
          <w:rFonts w:ascii="Arial" w:hAnsi="Arial" w:cs="Arial"/>
          <w:b/>
          <w:bCs/>
          <w:sz w:val="24"/>
          <w:szCs w:val="24"/>
        </w:rPr>
      </w:pPr>
      <w:r w:rsidRPr="006C3527">
        <w:rPr>
          <w:rFonts w:ascii="Arial" w:hAnsi="Arial" w:cs="Arial"/>
          <w:b/>
          <w:bCs/>
          <w:sz w:val="24"/>
          <w:szCs w:val="24"/>
        </w:rPr>
        <w:lastRenderedPageBreak/>
        <w:t>Email 6 (AC 3.2)</w:t>
      </w:r>
    </w:p>
    <w:p w14:paraId="1994FBFD" w14:textId="77777777" w:rsidR="00DD0A12" w:rsidRPr="006C3527" w:rsidRDefault="00DD0A12" w:rsidP="00DD0A12">
      <w:pPr>
        <w:rPr>
          <w:rFonts w:ascii="Arial" w:hAnsi="Arial" w:cs="Arial"/>
          <w:sz w:val="24"/>
          <w:szCs w:val="24"/>
        </w:rPr>
      </w:pPr>
      <w:r w:rsidRPr="006C3527">
        <w:rPr>
          <w:rFonts w:ascii="Arial" w:hAnsi="Arial" w:cs="Arial"/>
          <w:sz w:val="24"/>
          <w:szCs w:val="24"/>
        </w:rPr>
        <w:t>I understand that you would like to move quickly, but there are some significant legal requirements around redundancy that mean the approach you’ve suggested would carry a high level of legal risk.</w:t>
      </w:r>
    </w:p>
    <w:p w14:paraId="0393CE6A" w14:textId="77777777" w:rsidR="00DD0A12" w:rsidRPr="006C3527" w:rsidRDefault="00DD0A12" w:rsidP="00DD0A12">
      <w:pPr>
        <w:rPr>
          <w:rFonts w:ascii="Arial" w:hAnsi="Arial" w:cs="Arial"/>
          <w:sz w:val="24"/>
          <w:szCs w:val="24"/>
        </w:rPr>
      </w:pPr>
      <w:r w:rsidRPr="006C3527">
        <w:rPr>
          <w:rFonts w:ascii="Arial" w:hAnsi="Arial" w:cs="Arial"/>
          <w:sz w:val="24"/>
          <w:szCs w:val="24"/>
        </w:rPr>
        <w:t>Redundancy is potentially a fair reason for dismissal under the Employment Rights Act 1996. However, fairness relies not only on having a genuine redundancy situation, but also on a business following a fair process. Where the Trust is proposing to remove 50 posts, they are obliged to carry out collective redundancy consultations. Employers proposing 20 or more redundancies within a 90-day period must consult collectively with appropriate representatives before dismissals take effect (CIPD, 2026).</w:t>
      </w:r>
    </w:p>
    <w:p w14:paraId="58626025" w14:textId="77777777" w:rsidR="00DD0A12" w:rsidRPr="006C3527" w:rsidRDefault="00DD0A12" w:rsidP="00DD0A12">
      <w:pPr>
        <w:rPr>
          <w:rFonts w:ascii="Arial" w:hAnsi="Arial" w:cs="Arial"/>
          <w:sz w:val="24"/>
          <w:szCs w:val="24"/>
        </w:rPr>
      </w:pPr>
      <w:r w:rsidRPr="006C3527">
        <w:rPr>
          <w:rFonts w:ascii="Arial" w:hAnsi="Arial" w:cs="Arial"/>
          <w:sz w:val="24"/>
          <w:szCs w:val="24"/>
        </w:rPr>
        <w:t>As the Trust recognises trade unions, they should consult with them rather than just communicating with their employees. The consultation must start as soon as possible. When there are 20 to 99 proposed redundancies, it should be least 30 days before the first dismissal takes effect (Daniels, 2022). The consultation process must be meaningful and take place while proposals are still open to discussion. This includes consulting on the reasons for redundancy, ways of avoiding dismissals, reducing the numbers affected and limiting the impact on employees (CIPD, 2026).</w:t>
      </w:r>
    </w:p>
    <w:p w14:paraId="510F48A7" w14:textId="77777777" w:rsidR="00DD0A12" w:rsidRPr="006C3527" w:rsidRDefault="00DD0A12" w:rsidP="00DD0A12">
      <w:pPr>
        <w:rPr>
          <w:rFonts w:ascii="Arial" w:hAnsi="Arial" w:cs="Arial"/>
          <w:sz w:val="24"/>
          <w:szCs w:val="24"/>
        </w:rPr>
      </w:pPr>
      <w:r w:rsidRPr="006C3527">
        <w:rPr>
          <w:rFonts w:ascii="Arial" w:hAnsi="Arial" w:cs="Arial"/>
          <w:sz w:val="24"/>
          <w:szCs w:val="24"/>
        </w:rPr>
        <w:t>There is also a legal problem with the suggestion of “simply dismissing the poorest performers”. Redundancy arises from a reduced need for employees to carry out work of a particular kind, not from concerns about individual capability. Although performance may sometimes form part of a selection matrix, the criteria used must be objective, fair and consistently applied.</w:t>
      </w:r>
    </w:p>
    <w:p w14:paraId="52630702" w14:textId="77777777" w:rsidR="00DD0A12" w:rsidRPr="006C3527" w:rsidRDefault="00DD0A12" w:rsidP="00DD0A12">
      <w:pPr>
        <w:rPr>
          <w:rFonts w:ascii="Arial" w:hAnsi="Arial" w:cs="Arial"/>
          <w:sz w:val="24"/>
          <w:szCs w:val="24"/>
        </w:rPr>
      </w:pPr>
      <w:r w:rsidRPr="006C3527">
        <w:rPr>
          <w:rFonts w:ascii="Arial" w:hAnsi="Arial" w:cs="Arial"/>
          <w:sz w:val="24"/>
          <w:szCs w:val="24"/>
        </w:rPr>
        <w:t>In addition to collective consultation, the Trust should also carry out individual consultation with affected employees before any final decision to dismiss is made (Daniels, 2022). A fair redundancy process normally includes meaningful individual meetings, alternative roles should be considered, fair selection methods used and the opportunity for employees to challenge the scoring or raise their concerns (CIPD, 2026).</w:t>
      </w:r>
    </w:p>
    <w:p w14:paraId="3C10B77C" w14:textId="77777777" w:rsidR="00DD0A12" w:rsidRPr="006C3527" w:rsidRDefault="00DD0A12" w:rsidP="00DD0A12">
      <w:pPr>
        <w:rPr>
          <w:rFonts w:ascii="Arial" w:hAnsi="Arial" w:cs="Arial"/>
          <w:sz w:val="24"/>
          <w:szCs w:val="24"/>
        </w:rPr>
      </w:pPr>
      <w:r w:rsidRPr="006C3527">
        <w:rPr>
          <w:rFonts w:ascii="Arial" w:hAnsi="Arial" w:cs="Arial"/>
          <w:sz w:val="24"/>
          <w:szCs w:val="24"/>
        </w:rPr>
        <w:t>Failing to collectively consult can lead to a protective award (Daniels, 2022). Also, an unfair or poorly handled selection and consultation process can result in unfair dismissal claims, as well as wider employee relations and reputational damage for the Trust (CIPD, 2026).</w:t>
      </w:r>
      <w:r w:rsidRPr="006C3527">
        <w:rPr>
          <w:rFonts w:ascii="Arial" w:hAnsi="Arial" w:cs="Arial"/>
          <w:sz w:val="24"/>
          <w:szCs w:val="24"/>
        </w:rPr>
        <w:br/>
      </w:r>
      <w:r w:rsidRPr="006C3527">
        <w:rPr>
          <w:rFonts w:ascii="Arial" w:hAnsi="Arial" w:cs="Arial"/>
          <w:sz w:val="24"/>
          <w:szCs w:val="24"/>
        </w:rPr>
        <w:br/>
        <w:t>The best way forward is to confirm the reason for the redundancies, identify the roles at risk and start consultation with the recognised trade unions as early as possible. The Trust can then move through selection, individual meetings and any alternatives before making final decisions.</w:t>
      </w:r>
    </w:p>
    <w:p w14:paraId="3072E5AF" w14:textId="77777777" w:rsidR="006C3527" w:rsidRPr="006C3527" w:rsidRDefault="006C3527" w:rsidP="00DD0A12">
      <w:pPr>
        <w:rPr>
          <w:rFonts w:ascii="Arial" w:hAnsi="Arial" w:cs="Arial"/>
          <w:sz w:val="24"/>
          <w:szCs w:val="24"/>
        </w:rPr>
      </w:pPr>
    </w:p>
    <w:p w14:paraId="7AA727DC" w14:textId="77777777" w:rsidR="006C3527" w:rsidRPr="006C3527" w:rsidRDefault="006C3527" w:rsidP="00DD0A12">
      <w:pPr>
        <w:rPr>
          <w:rFonts w:ascii="Arial" w:hAnsi="Arial" w:cs="Arial"/>
          <w:sz w:val="24"/>
          <w:szCs w:val="24"/>
        </w:rPr>
      </w:pPr>
    </w:p>
    <w:p w14:paraId="1D609FFF" w14:textId="77777777" w:rsidR="006C3527" w:rsidRPr="006C3527" w:rsidRDefault="006C3527" w:rsidP="00DD0A12">
      <w:pPr>
        <w:rPr>
          <w:rFonts w:ascii="Arial" w:hAnsi="Arial" w:cs="Arial"/>
          <w:sz w:val="24"/>
          <w:szCs w:val="24"/>
        </w:rPr>
      </w:pPr>
    </w:p>
    <w:p w14:paraId="00359881" w14:textId="77777777" w:rsidR="00DD0A12" w:rsidRPr="006C3527" w:rsidRDefault="00DD0A12" w:rsidP="00DD0A12">
      <w:pPr>
        <w:rPr>
          <w:rFonts w:ascii="Arial" w:hAnsi="Arial" w:cs="Arial"/>
          <w:b/>
          <w:bCs/>
          <w:sz w:val="24"/>
          <w:szCs w:val="24"/>
        </w:rPr>
      </w:pPr>
      <w:r w:rsidRPr="006C3527">
        <w:rPr>
          <w:rFonts w:ascii="Arial" w:hAnsi="Arial" w:cs="Arial"/>
          <w:b/>
          <w:bCs/>
          <w:sz w:val="24"/>
          <w:szCs w:val="24"/>
        </w:rPr>
        <w:lastRenderedPageBreak/>
        <w:t>Email 7 (AC 3.3)</w:t>
      </w:r>
    </w:p>
    <w:p w14:paraId="5BEB27C0" w14:textId="77777777" w:rsidR="00DD0A12" w:rsidRPr="006C3527" w:rsidRDefault="00DD0A12" w:rsidP="00DD0A12">
      <w:pPr>
        <w:rPr>
          <w:rFonts w:ascii="Arial" w:hAnsi="Arial" w:cs="Arial"/>
          <w:sz w:val="24"/>
          <w:szCs w:val="24"/>
        </w:rPr>
      </w:pPr>
      <w:r w:rsidRPr="006C3527">
        <w:rPr>
          <w:rFonts w:ascii="Arial" w:hAnsi="Arial" w:cs="Arial"/>
          <w:sz w:val="24"/>
          <w:szCs w:val="24"/>
        </w:rPr>
        <w:t>If the pharmacy merger goes ahead, the key employee protection framework is the Transfer of Undertakings (Protection of Employment) Regulations 2006 (TUPE) (SI 2006/246), which safeguard staff during a business/service transfer (TUPE 2006).</w:t>
      </w:r>
    </w:p>
    <w:p w14:paraId="6760D00F" w14:textId="67B72A53" w:rsidR="00DD0A12" w:rsidRPr="006C3527" w:rsidRDefault="00DD0A12" w:rsidP="00DD0A12">
      <w:pPr>
        <w:rPr>
          <w:rFonts w:ascii="Arial" w:hAnsi="Arial" w:cs="Arial"/>
          <w:sz w:val="24"/>
          <w:szCs w:val="24"/>
        </w:rPr>
      </w:pPr>
      <w:r w:rsidRPr="006C3527">
        <w:rPr>
          <w:rFonts w:ascii="Arial" w:hAnsi="Arial" w:cs="Arial"/>
          <w:sz w:val="24"/>
          <w:szCs w:val="24"/>
        </w:rPr>
        <w:t xml:space="preserve">TUPE may apply because the neighbouring Trust’s pharmacy activities could move to our Trust and continue in broadly the same form as a centralised service. This is important as </w:t>
      </w:r>
      <w:r w:rsidR="00491CD4" w:rsidRPr="006C3527">
        <w:rPr>
          <w:rFonts w:ascii="Arial" w:hAnsi="Arial" w:cs="Arial"/>
          <w:sz w:val="24"/>
          <w:szCs w:val="24"/>
        </w:rPr>
        <w:t>legally;</w:t>
      </w:r>
      <w:r w:rsidRPr="006C3527">
        <w:rPr>
          <w:rFonts w:ascii="Arial" w:hAnsi="Arial" w:cs="Arial"/>
          <w:sz w:val="24"/>
          <w:szCs w:val="24"/>
        </w:rPr>
        <w:t xml:space="preserve"> the focus is on what is transferring and not just if the Trust has described the arrangement as a merger (TUPE 2006).</w:t>
      </w:r>
    </w:p>
    <w:p w14:paraId="081AAB17" w14:textId="77777777" w:rsidR="00DD0A12" w:rsidRPr="006C3527" w:rsidRDefault="00DD0A12" w:rsidP="00DD0A12">
      <w:pPr>
        <w:rPr>
          <w:rFonts w:ascii="Arial" w:hAnsi="Arial" w:cs="Arial"/>
          <w:sz w:val="24"/>
          <w:szCs w:val="24"/>
        </w:rPr>
      </w:pPr>
      <w:r w:rsidRPr="006C3527">
        <w:rPr>
          <w:rFonts w:ascii="Arial" w:hAnsi="Arial" w:cs="Arial"/>
          <w:sz w:val="24"/>
          <w:szCs w:val="24"/>
        </w:rPr>
        <w:t>If TUPE applies, the employees affected would move automatically to the new employer by operation of law. Once they have moved to their new employer their continuous employment remains and service-related rights carry over unchanged. This means that, for most purposes, staff are treated as if their employment has always been with the receiving Trust, which is significant for rights linked to length of service such as unfair dismissal and redundancy protection (TUPE 2006).</w:t>
      </w:r>
    </w:p>
    <w:p w14:paraId="02224A74" w14:textId="77777777" w:rsidR="00DD0A12" w:rsidRPr="006C3527" w:rsidRDefault="00DD0A12" w:rsidP="00DD0A12">
      <w:pPr>
        <w:rPr>
          <w:rFonts w:ascii="Arial" w:hAnsi="Arial" w:cs="Arial"/>
          <w:sz w:val="24"/>
          <w:szCs w:val="24"/>
        </w:rPr>
      </w:pPr>
      <w:r w:rsidRPr="006C3527">
        <w:rPr>
          <w:rFonts w:ascii="Arial" w:hAnsi="Arial" w:cs="Arial"/>
          <w:sz w:val="24"/>
          <w:szCs w:val="24"/>
        </w:rPr>
        <w:t>Contractual terms such as pay, hours, holiday and benefits transfer with employees. The general rule is that the receiving employer cannot use the transfer itself as a reason to reduce or rewrite those terms. Changes are generally void if the sole or principal reason is the transfer, unless justified by a genuine ETO reason involving workforce change. This would create a clear risk for the Trust if changes after transfer are not handled carefully.</w:t>
      </w:r>
    </w:p>
    <w:p w14:paraId="788F0759" w14:textId="77777777" w:rsidR="00DD0A12" w:rsidRPr="006C3527" w:rsidRDefault="00DD0A12" w:rsidP="00DD0A12">
      <w:pPr>
        <w:rPr>
          <w:rFonts w:ascii="Arial" w:hAnsi="Arial" w:cs="Arial"/>
          <w:sz w:val="24"/>
          <w:szCs w:val="24"/>
        </w:rPr>
      </w:pPr>
      <w:r w:rsidRPr="006C3527">
        <w:rPr>
          <w:rFonts w:ascii="Arial" w:hAnsi="Arial" w:cs="Arial"/>
          <w:sz w:val="24"/>
          <w:szCs w:val="24"/>
        </w:rPr>
        <w:t>If the Trust dismissed employees where the only or main reason is the transfer, this would normally be automatically unfair, unless there is a genuine ETO reason involving workforce changes (TUPE 2006). This gives employees protection against being dismissed simply because services are being reorganised or brought together under a different employer. This also creates clear risks for the Trust if they mishandle the transfer, including automatic unfair dismissal claims and disputes where post-transfer changes result in termination (Daniels, 2023; CIPD, 2024).</w:t>
      </w:r>
    </w:p>
    <w:p w14:paraId="2219DEEB" w14:textId="77777777" w:rsidR="00DD0A12" w:rsidRPr="006C3527" w:rsidRDefault="00DD0A12" w:rsidP="00DD0A12">
      <w:pPr>
        <w:rPr>
          <w:rFonts w:ascii="Arial" w:hAnsi="Arial" w:cs="Arial"/>
          <w:sz w:val="24"/>
          <w:szCs w:val="24"/>
        </w:rPr>
      </w:pPr>
      <w:r w:rsidRPr="006C3527">
        <w:rPr>
          <w:rFonts w:ascii="Arial" w:hAnsi="Arial" w:cs="Arial"/>
          <w:sz w:val="24"/>
          <w:szCs w:val="24"/>
        </w:rPr>
        <w:t>Both Trusts must inform and, where required, consult recognised unions or elected representatives about the transfer and any proposed measures (TUPE 2006, reg. 15). This includes giving enough information about what is expected to happen, when it is likely to happen and whether any workplace measures are proposed for affected staff. Non-compliance can lead to a protective award, so this is not just a procedural step but a key part of managing legal and employee relations risk (Daniels, 2023).</w:t>
      </w:r>
      <w:r w:rsidRPr="006C3527">
        <w:rPr>
          <w:rFonts w:ascii="Arial" w:hAnsi="Arial" w:cs="Arial"/>
          <w:sz w:val="24"/>
          <w:szCs w:val="24"/>
        </w:rPr>
        <w:br/>
      </w:r>
      <w:r w:rsidRPr="006C3527">
        <w:rPr>
          <w:rFonts w:ascii="Arial" w:hAnsi="Arial" w:cs="Arial"/>
          <w:sz w:val="24"/>
          <w:szCs w:val="24"/>
        </w:rPr>
        <w:br/>
        <w:t>Finally, if the merger goes ahead and TUPE applies, the employees affected would transfer automatically on their existing terms. Both Trusts must also meet their information and consultation duties. Advice would be to build any issues into negotiations early to manage risk and maintain staff confidence.</w:t>
      </w:r>
    </w:p>
    <w:p w14:paraId="3D3FB49E" w14:textId="77777777" w:rsidR="00DD0A12" w:rsidRPr="006C3527" w:rsidRDefault="00DD0A12">
      <w:pPr>
        <w:rPr>
          <w:rFonts w:ascii="Arial" w:hAnsi="Arial" w:cs="Arial"/>
          <w:b/>
          <w:bCs/>
          <w:sz w:val="24"/>
          <w:szCs w:val="24"/>
        </w:rPr>
      </w:pPr>
    </w:p>
    <w:p w14:paraId="283C18B2" w14:textId="77777777" w:rsidR="00DD0A12" w:rsidRPr="006C3527" w:rsidRDefault="00DD0A12">
      <w:pPr>
        <w:rPr>
          <w:rFonts w:ascii="Arial" w:hAnsi="Arial" w:cs="Arial"/>
          <w:b/>
          <w:bCs/>
          <w:sz w:val="24"/>
          <w:szCs w:val="24"/>
        </w:rPr>
      </w:pPr>
    </w:p>
    <w:p w14:paraId="31A2FF6B" w14:textId="77777777" w:rsidR="00DD0A12" w:rsidRPr="006C3527" w:rsidRDefault="00DD0A12">
      <w:pPr>
        <w:rPr>
          <w:rFonts w:ascii="Arial" w:hAnsi="Arial" w:cs="Arial"/>
          <w:b/>
          <w:bCs/>
          <w:sz w:val="24"/>
          <w:szCs w:val="24"/>
        </w:rPr>
      </w:pPr>
    </w:p>
    <w:p w14:paraId="44DE6924" w14:textId="77777777" w:rsidR="00DD0A12" w:rsidRPr="006C3527" w:rsidRDefault="00DD0A12" w:rsidP="00DD0A12">
      <w:pPr>
        <w:rPr>
          <w:rFonts w:ascii="Arial" w:hAnsi="Arial" w:cs="Arial"/>
          <w:b/>
          <w:bCs/>
          <w:sz w:val="24"/>
          <w:szCs w:val="24"/>
        </w:rPr>
      </w:pPr>
      <w:r w:rsidRPr="006C3527">
        <w:rPr>
          <w:rFonts w:ascii="Arial" w:hAnsi="Arial" w:cs="Arial"/>
          <w:b/>
          <w:bCs/>
          <w:sz w:val="24"/>
          <w:szCs w:val="24"/>
        </w:rPr>
        <w:lastRenderedPageBreak/>
        <w:t>Email 8 (AC 4.1)</w:t>
      </w:r>
    </w:p>
    <w:p w14:paraId="437D5C4B" w14:textId="77777777" w:rsidR="00DD0A12" w:rsidRPr="006C3527" w:rsidRDefault="00DD0A12" w:rsidP="00DD0A12">
      <w:pPr>
        <w:rPr>
          <w:rFonts w:ascii="Arial" w:hAnsi="Arial" w:cs="Arial"/>
          <w:sz w:val="24"/>
          <w:szCs w:val="24"/>
        </w:rPr>
      </w:pPr>
      <w:r w:rsidRPr="006C3527">
        <w:rPr>
          <w:rFonts w:ascii="Arial" w:hAnsi="Arial" w:cs="Arial"/>
          <w:sz w:val="24"/>
          <w:szCs w:val="24"/>
        </w:rPr>
        <w:t xml:space="preserve">All workers, including casual, bank and zero-hours staff are entitled to 5.6 </w:t>
      </w:r>
      <w:proofErr w:type="gramStart"/>
      <w:r w:rsidRPr="006C3527">
        <w:rPr>
          <w:rFonts w:ascii="Arial" w:hAnsi="Arial" w:cs="Arial"/>
          <w:sz w:val="24"/>
          <w:szCs w:val="24"/>
        </w:rPr>
        <w:t>weeks’</w:t>
      </w:r>
      <w:proofErr w:type="gramEnd"/>
      <w:r w:rsidRPr="006C3527">
        <w:rPr>
          <w:rFonts w:ascii="Arial" w:hAnsi="Arial" w:cs="Arial"/>
          <w:sz w:val="24"/>
          <w:szCs w:val="24"/>
        </w:rPr>
        <w:t xml:space="preserve"> paid annual leave (Working Time Regulations 1998, regs 13 and 13A; GOV.UK, 2026). This also applies where working patterns are irregular.</w:t>
      </w:r>
    </w:p>
    <w:p w14:paraId="3B4A7E37" w14:textId="77777777" w:rsidR="00DD0A12" w:rsidRPr="006C3527" w:rsidRDefault="00DD0A12" w:rsidP="00DD0A12">
      <w:pPr>
        <w:rPr>
          <w:rFonts w:ascii="Arial" w:hAnsi="Arial" w:cs="Arial"/>
          <w:sz w:val="24"/>
          <w:szCs w:val="24"/>
        </w:rPr>
      </w:pPr>
      <w:r w:rsidRPr="006C3527">
        <w:rPr>
          <w:rFonts w:ascii="Arial" w:hAnsi="Arial" w:cs="Arial"/>
          <w:sz w:val="24"/>
          <w:szCs w:val="24"/>
        </w:rPr>
        <w:t xml:space="preserve">Bank staff can be described as workers that are engaged on a casual, as needed basis. They are usually called on from a pool of staff to cover shifts where an employee has called in sick, for example. As nurse bank staff have no fixed hours and may work different shifts each week, they are likely to be irregular hours workers. Holiday pay should therefore reflect what they usually </w:t>
      </w:r>
      <w:proofErr w:type="gramStart"/>
      <w:r w:rsidRPr="006C3527">
        <w:rPr>
          <w:rFonts w:ascii="Arial" w:hAnsi="Arial" w:cs="Arial"/>
          <w:sz w:val="24"/>
          <w:szCs w:val="24"/>
        </w:rPr>
        <w:t>earn</w:t>
      </w:r>
      <w:proofErr w:type="gramEnd"/>
      <w:r w:rsidRPr="006C3527">
        <w:rPr>
          <w:rFonts w:ascii="Arial" w:hAnsi="Arial" w:cs="Arial"/>
          <w:sz w:val="24"/>
          <w:szCs w:val="24"/>
        </w:rPr>
        <w:t xml:space="preserve"> so they are not disadvantaged for taking leave.</w:t>
      </w:r>
    </w:p>
    <w:p w14:paraId="33D8DD12" w14:textId="77777777" w:rsidR="00DD0A12" w:rsidRPr="006C3527" w:rsidRDefault="00DD0A12" w:rsidP="00DD0A12">
      <w:pPr>
        <w:rPr>
          <w:rFonts w:ascii="Arial" w:hAnsi="Arial" w:cs="Arial"/>
          <w:sz w:val="24"/>
          <w:szCs w:val="24"/>
        </w:rPr>
      </w:pPr>
      <w:r w:rsidRPr="006C3527">
        <w:rPr>
          <w:rFonts w:ascii="Arial" w:hAnsi="Arial" w:cs="Arial"/>
          <w:sz w:val="24"/>
          <w:szCs w:val="24"/>
        </w:rPr>
        <w:t>The key principle is that holiday pay should reflect normal remuneration. For workers with variable hours, this is usually worked out using the statutory week’s pay rules by looking back at the last 52 paid weeks, ignoring unpaid weeks (Working Time Regulations 1998, reg 16). Case law has confirmed that holiday pay should include elements of pay that are normally received, such as regular overtime and enhancements (Bear Scotland Ltd v Fulton [2015] ICR 221; Lock v British Gas Trading Ltd [2014] CJEU C-539/12). This is especially relevant for nursing staff working unsocial hours.</w:t>
      </w:r>
    </w:p>
    <w:p w14:paraId="21A5D442" w14:textId="77777777" w:rsidR="00DD0A12" w:rsidRPr="006C3527" w:rsidRDefault="00DD0A12" w:rsidP="00DD0A12">
      <w:pPr>
        <w:rPr>
          <w:rFonts w:ascii="Arial" w:hAnsi="Arial" w:cs="Arial"/>
          <w:sz w:val="24"/>
          <w:szCs w:val="24"/>
          <w:lang w:eastAsia="en-GB"/>
        </w:rPr>
      </w:pPr>
      <w:r w:rsidRPr="006C3527">
        <w:rPr>
          <w:rFonts w:ascii="Arial" w:hAnsi="Arial" w:cs="Arial"/>
          <w:sz w:val="24"/>
          <w:szCs w:val="24"/>
        </w:rPr>
        <w:t>The Trust can use an accrual method for irregular hours and part-year workers on any holiday years beginning on or after 1 April 2024 (Working Time Regulations 1998, reg 15B; GOV.UK, 2026). This is commonly expressed as 12.07% of hours worked. These reforms were introduced following the issues highlighted in Harpur Trust v Brazel [2022] UKSC 21 about calculating holiday entitlement for workers with atypical working patterns.</w:t>
      </w:r>
    </w:p>
    <w:p w14:paraId="71CC9DD9" w14:textId="77777777" w:rsidR="00DD0A12" w:rsidRPr="006C3527" w:rsidRDefault="00DD0A12" w:rsidP="00DD0A12">
      <w:pPr>
        <w:rPr>
          <w:rFonts w:ascii="Arial" w:hAnsi="Arial" w:cs="Arial"/>
          <w:sz w:val="24"/>
          <w:szCs w:val="24"/>
          <w:lang w:eastAsia="en-GB"/>
        </w:rPr>
      </w:pPr>
      <w:r w:rsidRPr="006C3527">
        <w:rPr>
          <w:rFonts w:ascii="Arial" w:hAnsi="Arial" w:cs="Arial"/>
          <w:sz w:val="24"/>
          <w:szCs w:val="24"/>
        </w:rPr>
        <w:t>For the same holiday years, rolled-up holiday pay is also allowed for irregular hours and part-year workers (Working Time Regulations 1998, reg 16A; GOV.UK, 2026). If rolled-up holiday pay is given it must be shown separately on the payslip. This can be practical for bank staff, but it must be transparent to remain lawful.</w:t>
      </w:r>
    </w:p>
    <w:p w14:paraId="51D07EAC" w14:textId="77777777" w:rsidR="00DD0A12" w:rsidRPr="006C3527" w:rsidRDefault="00DD0A12" w:rsidP="00DD0A12">
      <w:pPr>
        <w:rPr>
          <w:rFonts w:ascii="Arial" w:hAnsi="Arial" w:cs="Arial"/>
          <w:sz w:val="24"/>
          <w:szCs w:val="24"/>
        </w:rPr>
      </w:pPr>
      <w:r w:rsidRPr="006C3527">
        <w:rPr>
          <w:rFonts w:ascii="Arial" w:hAnsi="Arial" w:cs="Arial"/>
          <w:sz w:val="24"/>
          <w:szCs w:val="24"/>
        </w:rPr>
        <w:t>What is not lawful is failing to pay holiday pay at all or paying it at a flat rate that does not reflect actual earnings. That could lead to unlawful deduction from wages claims and breach the Working Time Regulations 1998 (Employment Rights Act 1996, Part II; Working Time Regulations 1998, regs 13, 13A and 16).</w:t>
      </w:r>
    </w:p>
    <w:p w14:paraId="46987B9A" w14:textId="77777777" w:rsidR="00DD0A12" w:rsidRPr="006C3527" w:rsidRDefault="00DD0A12" w:rsidP="00DD0A12">
      <w:pPr>
        <w:rPr>
          <w:rFonts w:ascii="Arial" w:hAnsi="Arial" w:cs="Arial"/>
          <w:sz w:val="24"/>
          <w:szCs w:val="24"/>
        </w:rPr>
      </w:pPr>
      <w:r w:rsidRPr="006C3527">
        <w:rPr>
          <w:rFonts w:ascii="Arial" w:hAnsi="Arial" w:cs="Arial"/>
          <w:sz w:val="24"/>
          <w:szCs w:val="24"/>
        </w:rPr>
        <w:t>In practice, to keep things fair and lawful for nurse bank staff, we should either calculate holiday pay using the 52-week average when leave is taken or use the 12.07% accrual or rolled-up method, with this clearly shown on payslips. The main statutory rights are the right to be paid annual leave, the right to holiday pay based on normal remuneration, and the right not to suffer unlawful deductions from wages if holiday pay is underpaid.</w:t>
      </w:r>
    </w:p>
    <w:p w14:paraId="4C8C7E84" w14:textId="77777777" w:rsidR="00DD0A12" w:rsidRPr="006C3527" w:rsidRDefault="00DD0A12">
      <w:pPr>
        <w:rPr>
          <w:rFonts w:ascii="Arial" w:hAnsi="Arial" w:cs="Arial"/>
          <w:b/>
          <w:bCs/>
          <w:sz w:val="24"/>
          <w:szCs w:val="24"/>
        </w:rPr>
      </w:pPr>
    </w:p>
    <w:p w14:paraId="46424F6E" w14:textId="77777777" w:rsidR="00DD0A12" w:rsidRPr="006C3527" w:rsidRDefault="00DD0A12">
      <w:pPr>
        <w:rPr>
          <w:rFonts w:ascii="Arial" w:hAnsi="Arial" w:cs="Arial"/>
          <w:b/>
          <w:bCs/>
          <w:sz w:val="24"/>
          <w:szCs w:val="24"/>
        </w:rPr>
      </w:pPr>
    </w:p>
    <w:p w14:paraId="5F4A4CD7" w14:textId="77777777" w:rsidR="00DD0A12" w:rsidRPr="006C3527" w:rsidRDefault="00DD0A12">
      <w:pPr>
        <w:rPr>
          <w:rFonts w:ascii="Arial" w:hAnsi="Arial" w:cs="Arial"/>
          <w:b/>
          <w:bCs/>
          <w:sz w:val="24"/>
          <w:szCs w:val="24"/>
        </w:rPr>
      </w:pPr>
    </w:p>
    <w:p w14:paraId="565CE114" w14:textId="77777777" w:rsidR="00DD0A12" w:rsidRPr="006C3527" w:rsidRDefault="00DD0A12" w:rsidP="00DD0A12">
      <w:pPr>
        <w:rPr>
          <w:rFonts w:ascii="Arial" w:hAnsi="Arial" w:cs="Arial"/>
          <w:b/>
          <w:bCs/>
          <w:sz w:val="24"/>
          <w:szCs w:val="24"/>
        </w:rPr>
      </w:pPr>
      <w:r w:rsidRPr="006C3527">
        <w:rPr>
          <w:rFonts w:ascii="Arial" w:hAnsi="Arial" w:cs="Arial"/>
          <w:b/>
          <w:bCs/>
          <w:sz w:val="24"/>
          <w:szCs w:val="24"/>
        </w:rPr>
        <w:lastRenderedPageBreak/>
        <w:t>Email 9 (AC 4.2)</w:t>
      </w:r>
    </w:p>
    <w:p w14:paraId="0DAD11F8" w14:textId="77777777" w:rsidR="00DD0A12" w:rsidRPr="006C3527" w:rsidRDefault="00DD0A12" w:rsidP="00DD0A12">
      <w:pPr>
        <w:rPr>
          <w:rFonts w:ascii="Arial" w:hAnsi="Arial" w:cs="Arial"/>
          <w:sz w:val="24"/>
          <w:szCs w:val="24"/>
        </w:rPr>
      </w:pPr>
      <w:r w:rsidRPr="006C3527">
        <w:rPr>
          <w:rFonts w:ascii="Arial" w:hAnsi="Arial" w:cs="Arial"/>
          <w:sz w:val="24"/>
          <w:szCs w:val="24"/>
        </w:rPr>
        <w:t>Maternity leave and shared parental leave both give time off after birth, but they differ in who can take the leave, how it can be taken and how pay works.</w:t>
      </w:r>
    </w:p>
    <w:p w14:paraId="43971DFA" w14:textId="77777777" w:rsidR="00DD0A12" w:rsidRPr="006C3527" w:rsidRDefault="00DD0A12" w:rsidP="00DD0A12">
      <w:pPr>
        <w:rPr>
          <w:rFonts w:ascii="Arial" w:hAnsi="Arial" w:cs="Arial"/>
          <w:sz w:val="24"/>
          <w:szCs w:val="24"/>
        </w:rPr>
      </w:pPr>
      <w:r w:rsidRPr="006C3527">
        <w:rPr>
          <w:rFonts w:ascii="Arial" w:hAnsi="Arial" w:cs="Arial"/>
          <w:sz w:val="24"/>
          <w:szCs w:val="24"/>
        </w:rPr>
        <w:t xml:space="preserve">Maternity leave is your individual entitlement as the person who is pregnant. Employees can take up to 52 weeks, usually as one continuous period. After the birth you must take at least two weeks off (or four weeks if you work in a factory) (ACAS, 2026; GOV.UK, 2026b). You continue to build up annual </w:t>
      </w:r>
      <w:proofErr w:type="gramStart"/>
      <w:r w:rsidRPr="006C3527">
        <w:rPr>
          <w:rFonts w:ascii="Arial" w:hAnsi="Arial" w:cs="Arial"/>
          <w:sz w:val="24"/>
          <w:szCs w:val="24"/>
        </w:rPr>
        <w:t>leave</w:t>
      </w:r>
      <w:proofErr w:type="gramEnd"/>
      <w:r w:rsidRPr="006C3527">
        <w:rPr>
          <w:rFonts w:ascii="Arial" w:hAnsi="Arial" w:cs="Arial"/>
          <w:sz w:val="24"/>
          <w:szCs w:val="24"/>
        </w:rPr>
        <w:t xml:space="preserve"> and you have the right to return to work (ACAS, 2026; Employment Rights Act 1996). You may qualify for Statutory Maternity Pay for up to 39 weeks, depending on earnings and service and some employers enhance this (GOV.UK, 2026b).</w:t>
      </w:r>
    </w:p>
    <w:p w14:paraId="1765D338" w14:textId="77777777" w:rsidR="00DD0A12" w:rsidRPr="006C3527" w:rsidRDefault="00DD0A12" w:rsidP="00DD0A12">
      <w:pPr>
        <w:rPr>
          <w:rFonts w:ascii="Arial" w:hAnsi="Arial" w:cs="Arial"/>
          <w:sz w:val="24"/>
          <w:szCs w:val="24"/>
        </w:rPr>
      </w:pPr>
      <w:r w:rsidRPr="006C3527">
        <w:rPr>
          <w:rFonts w:ascii="Arial" w:hAnsi="Arial" w:cs="Arial"/>
          <w:sz w:val="24"/>
          <w:szCs w:val="24"/>
        </w:rPr>
        <w:t>After the compulsory two weeks maternity leave, any maternity leave that has not been taken can be changed into SPL and shared between an employee and their partner (ACAS, 2026). There can be up to 50 weeks of leave and up to 37 weeks of pay that can be shared (GOV.UK, 2026a). SPL can be taken in separate blocks, and both parents can be off at the same time (ACAS, 2026; GOV.UK, 2026a). This does involve more notice and eligibility requirements (GOV.UK, 2026a; ACAS, 2026).</w:t>
      </w:r>
    </w:p>
    <w:p w14:paraId="3864C530" w14:textId="77777777" w:rsidR="00DD0A12" w:rsidRPr="006C3527" w:rsidRDefault="00DD0A12" w:rsidP="00DD0A12">
      <w:pPr>
        <w:rPr>
          <w:rFonts w:ascii="Arial" w:hAnsi="Arial" w:cs="Arial"/>
          <w:sz w:val="24"/>
          <w:szCs w:val="24"/>
        </w:rPr>
      </w:pPr>
      <w:r w:rsidRPr="006C3527">
        <w:rPr>
          <w:rFonts w:ascii="Arial" w:hAnsi="Arial" w:cs="Arial"/>
          <w:sz w:val="24"/>
          <w:szCs w:val="24"/>
        </w:rPr>
        <w:t>Statutory Shared Parental Pay is paid at the statutory rate (or 90% of average weekly earnings if lower) and matches Statutory Maternity Pay after the first 6 weeks of SMP (GOV.UK, 2026c). Because enhanced maternity pay is more common than enhanced shared parental pay, it is worth checking your employer’s policy (ACAS, 2026).</w:t>
      </w:r>
    </w:p>
    <w:p w14:paraId="505849C8" w14:textId="77777777" w:rsidR="00491CD4" w:rsidRPr="006C3527" w:rsidRDefault="00491CD4" w:rsidP="00DD0A12">
      <w:pPr>
        <w:rPr>
          <w:rFonts w:ascii="Arial" w:hAnsi="Arial" w:cs="Arial"/>
          <w:sz w:val="24"/>
          <w:szCs w:val="24"/>
        </w:rPr>
      </w:pPr>
      <w:r w:rsidRPr="006C3527">
        <w:rPr>
          <w:rFonts w:ascii="Arial" w:hAnsi="Arial" w:cs="Arial"/>
          <w:sz w:val="24"/>
          <w:szCs w:val="24"/>
        </w:rPr>
        <w:t>Maternity leave can be seen as the simpler option as it is your individual right and is usually taken as one continuous period (ACAS, 2026; GOV.UK, 2026b). SPL does need more planning. It might also be less financially beneficial if an employer offers enhanced maternity pay but not enhanced shared parental pay (ACAS, 2026; GOV.UK, 2026a). Any final advice given would also need to into account your personal circumstances, including your family arrangements, finances and how you and your partner want to share childcare.</w:t>
      </w:r>
    </w:p>
    <w:p w14:paraId="66135E63" w14:textId="77777777" w:rsidR="00491CD4" w:rsidRPr="006C3527" w:rsidRDefault="00491CD4" w:rsidP="00DD0A12">
      <w:pPr>
        <w:rPr>
          <w:rFonts w:ascii="Arial" w:hAnsi="Arial" w:cs="Arial"/>
          <w:sz w:val="24"/>
          <w:szCs w:val="24"/>
        </w:rPr>
      </w:pPr>
      <w:r w:rsidRPr="006C3527">
        <w:rPr>
          <w:rFonts w:ascii="Arial" w:hAnsi="Arial" w:cs="Arial"/>
          <w:sz w:val="24"/>
          <w:szCs w:val="24"/>
        </w:rPr>
        <w:t>Simply put, maternity, paternity and adoption rights are there to make sure eligible employees can take time off when a child is born or placed with them and in some cases receive statutory pay (GOV.UK, 2026; ACAS, 2026; CIPD, 2026). While they are off, an employee’s main employment rights are protected, including their continuous service, annual leave and the right to return to work (Employment Rights Act 1996; ACAS, 2026). Also, they should not be treated unfairly for using these rights (Equality Act 2010; ACAS, 2026).</w:t>
      </w:r>
    </w:p>
    <w:p w14:paraId="0DE647CB" w14:textId="77777777" w:rsidR="00DD0A12" w:rsidRDefault="00DD0A12">
      <w:pPr>
        <w:rPr>
          <w:rFonts w:ascii="Arial" w:hAnsi="Arial" w:cs="Arial"/>
          <w:b/>
          <w:bCs/>
          <w:sz w:val="24"/>
          <w:szCs w:val="24"/>
        </w:rPr>
      </w:pPr>
    </w:p>
    <w:p w14:paraId="45988951" w14:textId="77777777" w:rsidR="006C3527" w:rsidRDefault="006C3527">
      <w:pPr>
        <w:rPr>
          <w:rFonts w:ascii="Arial" w:hAnsi="Arial" w:cs="Arial"/>
          <w:b/>
          <w:bCs/>
          <w:sz w:val="24"/>
          <w:szCs w:val="24"/>
        </w:rPr>
      </w:pPr>
    </w:p>
    <w:p w14:paraId="1FEF6FE8" w14:textId="77777777" w:rsidR="006C3527" w:rsidRDefault="006C3527">
      <w:pPr>
        <w:rPr>
          <w:rFonts w:ascii="Arial" w:hAnsi="Arial" w:cs="Arial"/>
          <w:b/>
          <w:bCs/>
          <w:sz w:val="24"/>
          <w:szCs w:val="24"/>
        </w:rPr>
      </w:pPr>
    </w:p>
    <w:p w14:paraId="3136D850" w14:textId="77777777" w:rsidR="006C3527" w:rsidRPr="006C3527" w:rsidRDefault="006C3527">
      <w:pPr>
        <w:rPr>
          <w:rFonts w:ascii="Arial" w:hAnsi="Arial" w:cs="Arial"/>
          <w:b/>
          <w:bCs/>
          <w:sz w:val="24"/>
          <w:szCs w:val="24"/>
        </w:rPr>
      </w:pPr>
    </w:p>
    <w:p w14:paraId="2D1FFD97" w14:textId="77777777" w:rsidR="00DD0A12" w:rsidRPr="006C3527" w:rsidRDefault="00DD0A12">
      <w:pPr>
        <w:rPr>
          <w:rFonts w:ascii="Arial" w:hAnsi="Arial" w:cs="Arial"/>
          <w:b/>
          <w:bCs/>
          <w:sz w:val="24"/>
          <w:szCs w:val="24"/>
        </w:rPr>
      </w:pPr>
    </w:p>
    <w:p w14:paraId="220AA465" w14:textId="77777777" w:rsidR="00DD0A12" w:rsidRPr="006C3527" w:rsidRDefault="00DD0A12" w:rsidP="00DD0A12">
      <w:pPr>
        <w:rPr>
          <w:rFonts w:ascii="Arial" w:hAnsi="Arial" w:cs="Arial"/>
          <w:b/>
          <w:bCs/>
          <w:sz w:val="24"/>
          <w:szCs w:val="24"/>
        </w:rPr>
      </w:pPr>
      <w:r w:rsidRPr="006C3527">
        <w:rPr>
          <w:rFonts w:ascii="Arial" w:hAnsi="Arial" w:cs="Arial"/>
          <w:b/>
          <w:bCs/>
          <w:sz w:val="24"/>
          <w:szCs w:val="24"/>
        </w:rPr>
        <w:lastRenderedPageBreak/>
        <w:t>Email 10 (AC 4.3)</w:t>
      </w:r>
    </w:p>
    <w:p w14:paraId="51CA7C96" w14:textId="77777777" w:rsidR="00DD0A12" w:rsidRPr="006C3527" w:rsidRDefault="00DD0A12" w:rsidP="00DD0A12">
      <w:pPr>
        <w:rPr>
          <w:rFonts w:ascii="Arial" w:hAnsi="Arial" w:cs="Arial"/>
          <w:sz w:val="24"/>
          <w:szCs w:val="24"/>
        </w:rPr>
      </w:pPr>
      <w:r w:rsidRPr="006C3527">
        <w:rPr>
          <w:rFonts w:ascii="Arial" w:hAnsi="Arial" w:cs="Arial"/>
          <w:sz w:val="24"/>
          <w:szCs w:val="24"/>
        </w:rPr>
        <w:t>Firstly, it helps to be clear on what the law does and does not say. In the UK, employees have a day one right to request flexible working. This includes working from home part of the week (Flexible Working (Amendment) Regulations 2023, reg. 1). It is a right to ask but not a right to have it automatically agreed (Daniels, 2022; ACAS, 2024; CIPD, 2025).</w:t>
      </w:r>
    </w:p>
    <w:p w14:paraId="601A70F7" w14:textId="77777777" w:rsidR="00DD0A12" w:rsidRPr="006C3527" w:rsidRDefault="00DD0A12" w:rsidP="00DD0A12">
      <w:pPr>
        <w:rPr>
          <w:rFonts w:ascii="Arial" w:hAnsi="Arial" w:cs="Arial"/>
          <w:sz w:val="24"/>
          <w:szCs w:val="24"/>
        </w:rPr>
      </w:pPr>
      <w:r w:rsidRPr="006C3527">
        <w:rPr>
          <w:rFonts w:ascii="Arial" w:hAnsi="Arial" w:cs="Arial"/>
          <w:sz w:val="24"/>
          <w:szCs w:val="24"/>
        </w:rPr>
        <w:t xml:space="preserve">Once the request comes in, the Trust </w:t>
      </w:r>
      <w:proofErr w:type="gramStart"/>
      <w:r w:rsidRPr="006C3527">
        <w:rPr>
          <w:rFonts w:ascii="Arial" w:hAnsi="Arial" w:cs="Arial"/>
          <w:sz w:val="24"/>
          <w:szCs w:val="24"/>
        </w:rPr>
        <w:t>has to</w:t>
      </w:r>
      <w:proofErr w:type="gramEnd"/>
      <w:r w:rsidRPr="006C3527">
        <w:rPr>
          <w:rFonts w:ascii="Arial" w:hAnsi="Arial" w:cs="Arial"/>
          <w:sz w:val="24"/>
          <w:szCs w:val="24"/>
        </w:rPr>
        <w:t xml:space="preserve"> handle it reasonably (ACAS, 2024; CIPD, 2025). In practice that means considering it properly, speaking to the employee if it is not an immediate yes and consulting before any refusal (ACAS, 2024). A final decision be made within two months, which includes any appeal process the Trust chooses to offer (Employment Rights Act 1996, s.80G).</w:t>
      </w:r>
    </w:p>
    <w:p w14:paraId="716C91D6" w14:textId="77777777" w:rsidR="00DD0A12" w:rsidRPr="006C3527" w:rsidRDefault="00DD0A12" w:rsidP="00DD0A12">
      <w:pPr>
        <w:rPr>
          <w:rFonts w:ascii="Arial" w:hAnsi="Arial" w:cs="Arial"/>
          <w:sz w:val="24"/>
          <w:szCs w:val="24"/>
        </w:rPr>
      </w:pPr>
      <w:r w:rsidRPr="006C3527">
        <w:rPr>
          <w:rFonts w:ascii="Arial" w:hAnsi="Arial" w:cs="Arial"/>
          <w:sz w:val="24"/>
          <w:szCs w:val="24"/>
        </w:rPr>
        <w:t>The Trust can refuse, but only for one of the permitted business reasons in the legislation, for example if homeworking would have a detrimental impact on quality or performance or the ability to meet demand (Employment Rights Act 1996). While the manager may be concerned that agreeing to this request could encourage similar requests from other staff, that concern would only stand up if there is evidence that agreeing to the request would cause a genuine detrimental impact on service delivery, performance or quality (Employment Rights Act 1996; CIPD, 2025). The evidence is important. It needs to be about the role and this service, not a general concern about what other people might ask for later (CIPD, 2025).</w:t>
      </w:r>
    </w:p>
    <w:p w14:paraId="6D23C456" w14:textId="77777777" w:rsidR="00DD0A12" w:rsidRPr="006C3527" w:rsidRDefault="00DD0A12" w:rsidP="00DD0A12">
      <w:pPr>
        <w:rPr>
          <w:rFonts w:ascii="Arial" w:hAnsi="Arial" w:cs="Arial"/>
          <w:sz w:val="24"/>
          <w:szCs w:val="24"/>
        </w:rPr>
      </w:pPr>
      <w:r w:rsidRPr="006C3527">
        <w:rPr>
          <w:rFonts w:ascii="Arial" w:hAnsi="Arial" w:cs="Arial"/>
          <w:sz w:val="24"/>
          <w:szCs w:val="24"/>
        </w:rPr>
        <w:t>If the Trust does not handle the request correctly, by refusing without consultation or without a permitted reason for example, the employee may be able to go to an Employment Tribunal (Employment Rights Act 1996; ACAS, 2024). Also be careful about blanket refusals: they can create indirect discrimination risk, particularly for staff with caring responsibilities or health needs (Equality Act 2010).</w:t>
      </w:r>
    </w:p>
    <w:p w14:paraId="1030125A" w14:textId="77777777" w:rsidR="00DD0A12" w:rsidRPr="006C3527" w:rsidRDefault="00DD0A12" w:rsidP="00DD0A12">
      <w:pPr>
        <w:rPr>
          <w:rFonts w:ascii="Arial" w:hAnsi="Arial" w:cs="Arial"/>
          <w:sz w:val="24"/>
          <w:szCs w:val="24"/>
        </w:rPr>
      </w:pPr>
      <w:r w:rsidRPr="006C3527">
        <w:rPr>
          <w:rFonts w:ascii="Arial" w:hAnsi="Arial" w:cs="Arial"/>
          <w:sz w:val="24"/>
          <w:szCs w:val="24"/>
        </w:rPr>
        <w:t>A sensible next step is a conversation: what work can be done from home, what must be on site, and what controls would protect service quality. If needed, suggest a trial period with clear measures (ACAS, 2024). If, after that, the Trust genuinely cannot make it work, it can refuse so long as the reason given is clear, evidence</w:t>
      </w:r>
      <w:r w:rsidRPr="006C3527">
        <w:rPr>
          <w:rFonts w:ascii="Arial" w:hAnsi="Arial" w:cs="Arial"/>
          <w:sz w:val="24"/>
          <w:szCs w:val="24"/>
        </w:rPr>
        <w:noBreakHyphen/>
        <w:t>based, and fits within the statutory grounds (Employment Rights Act 1996; ACAS, 2024).</w:t>
      </w:r>
    </w:p>
    <w:p w14:paraId="3D7988D1" w14:textId="77777777" w:rsidR="00DD0A12" w:rsidRPr="006C3527" w:rsidRDefault="00DD0A12">
      <w:pPr>
        <w:rPr>
          <w:rFonts w:ascii="Arial" w:hAnsi="Arial" w:cs="Arial"/>
          <w:sz w:val="24"/>
          <w:szCs w:val="24"/>
        </w:rPr>
      </w:pPr>
      <w:r w:rsidRPr="006C3527">
        <w:rPr>
          <w:rFonts w:ascii="Arial" w:hAnsi="Arial" w:cs="Arial"/>
          <w:sz w:val="24"/>
          <w:szCs w:val="24"/>
        </w:rPr>
        <w:t>So, your colleague does not have to agree to three days at home, but they do have to take the request seriously, consult before refusing, and base any decision on valid business reasons rather than precedent (Employment Rights Act 1996; ACAS, 2024). Done well, it keeps the Trust compliant and helps the team feel treated fairly (CIPD, 2025).</w:t>
      </w:r>
    </w:p>
    <w:p w14:paraId="6A31DB0E" w14:textId="77777777" w:rsidR="00DD0A12" w:rsidRDefault="00DD0A12">
      <w:pPr>
        <w:rPr>
          <w:rFonts w:ascii="Arial" w:hAnsi="Arial" w:cs="Arial"/>
          <w:sz w:val="24"/>
          <w:szCs w:val="24"/>
        </w:rPr>
      </w:pPr>
    </w:p>
    <w:p w14:paraId="3F9CED65" w14:textId="77777777" w:rsidR="00DD0A12" w:rsidRDefault="00DD0A12">
      <w:pPr>
        <w:rPr>
          <w:rFonts w:ascii="Arial" w:hAnsi="Arial" w:cs="Arial"/>
          <w:sz w:val="24"/>
          <w:szCs w:val="24"/>
        </w:rPr>
      </w:pPr>
    </w:p>
    <w:p w14:paraId="12E5B7EE" w14:textId="77777777" w:rsidR="006C3527" w:rsidRDefault="006C3527">
      <w:pPr>
        <w:rPr>
          <w:rFonts w:ascii="Arial" w:hAnsi="Arial" w:cs="Arial"/>
          <w:sz w:val="24"/>
          <w:szCs w:val="24"/>
        </w:rPr>
      </w:pPr>
    </w:p>
    <w:p w14:paraId="21899B0B" w14:textId="77777777" w:rsidR="006C3527" w:rsidRDefault="006C3527">
      <w:pPr>
        <w:rPr>
          <w:rFonts w:ascii="Arial" w:hAnsi="Arial" w:cs="Arial"/>
          <w:sz w:val="24"/>
          <w:szCs w:val="24"/>
        </w:rPr>
      </w:pPr>
    </w:p>
    <w:p w14:paraId="22E8116A" w14:textId="77777777" w:rsidR="006C3527" w:rsidRDefault="006C3527">
      <w:pPr>
        <w:rPr>
          <w:rFonts w:ascii="Arial" w:hAnsi="Arial" w:cs="Arial"/>
          <w:sz w:val="24"/>
          <w:szCs w:val="24"/>
        </w:rPr>
      </w:pPr>
    </w:p>
    <w:p w14:paraId="0FE19D24" w14:textId="31AC63B3" w:rsidR="00D41C96" w:rsidRPr="00DD0A12" w:rsidRDefault="00D41C96">
      <w:pPr>
        <w:rPr>
          <w:rFonts w:ascii="Arial" w:hAnsi="Arial" w:cs="Arial"/>
          <w:sz w:val="24"/>
          <w:szCs w:val="24"/>
        </w:rPr>
      </w:pPr>
      <w:r>
        <w:rPr>
          <w:rFonts w:ascii="Arial" w:hAnsi="Arial" w:cs="Arial"/>
          <w:b/>
          <w:bCs/>
          <w:sz w:val="24"/>
          <w:szCs w:val="24"/>
        </w:rPr>
        <w:lastRenderedPageBreak/>
        <w:t>Reference list</w:t>
      </w:r>
    </w:p>
    <w:p w14:paraId="065BB999" w14:textId="77777777" w:rsidR="00491CD4" w:rsidRDefault="00491CD4">
      <w:pPr>
        <w:rPr>
          <w:lang w:eastAsia="en-GB"/>
        </w:rPr>
      </w:pPr>
      <w:r>
        <w:rPr>
          <w:rFonts w:ascii="Arial" w:hAnsi="Arial" w:cs="Arial"/>
          <w:sz w:val="24"/>
          <w:szCs w:val="24"/>
        </w:rPr>
        <w:t xml:space="preserve">ACAS (no date) </w:t>
      </w:r>
      <w:r>
        <w:rPr>
          <w:rFonts w:ascii="Arial" w:hAnsi="Arial" w:cs="Arial"/>
          <w:i/>
          <w:iCs/>
          <w:sz w:val="24"/>
          <w:szCs w:val="24"/>
        </w:rPr>
        <w:t>Discrimination and the law</w:t>
      </w:r>
      <w:r>
        <w:rPr>
          <w:rFonts w:ascii="Arial" w:hAnsi="Arial" w:cs="Arial"/>
          <w:sz w:val="24"/>
          <w:szCs w:val="24"/>
        </w:rPr>
        <w:t>. Available at: https://www.acas.org.uk/discrimination-and-the-law (Accessed: 31 May 2026).</w:t>
      </w:r>
    </w:p>
    <w:p w14:paraId="6E6B511A" w14:textId="77777777" w:rsidR="00491CD4" w:rsidRDefault="00491CD4">
      <w:pPr>
        <w:rPr>
          <w:lang w:eastAsia="en-GB"/>
        </w:rPr>
      </w:pPr>
      <w:r>
        <w:rPr>
          <w:rFonts w:ascii="Arial" w:hAnsi="Arial" w:cs="Arial"/>
          <w:sz w:val="24"/>
          <w:szCs w:val="24"/>
        </w:rPr>
        <w:t xml:space="preserve">ACAS (no date) </w:t>
      </w:r>
      <w:r>
        <w:rPr>
          <w:rFonts w:ascii="Arial" w:hAnsi="Arial" w:cs="Arial"/>
          <w:i/>
          <w:iCs/>
          <w:sz w:val="24"/>
          <w:szCs w:val="24"/>
        </w:rPr>
        <w:t>Equal pay and the law</w:t>
      </w:r>
      <w:r>
        <w:rPr>
          <w:rFonts w:ascii="Arial" w:hAnsi="Arial" w:cs="Arial"/>
          <w:sz w:val="24"/>
          <w:szCs w:val="24"/>
        </w:rPr>
        <w:t>. Available at: https://www.acas.org.uk/equal-pay/equal-pay-law (Accessed: 31 May 2026).</w:t>
      </w:r>
    </w:p>
    <w:p w14:paraId="7FCF061F" w14:textId="05311180" w:rsidR="00D41C96" w:rsidRDefault="00D41C96">
      <w:pPr>
        <w:rPr>
          <w:lang w:eastAsia="en-GB"/>
        </w:rPr>
      </w:pPr>
      <w:r>
        <w:rPr>
          <w:rFonts w:ascii="Arial" w:hAnsi="Arial" w:cs="Arial"/>
          <w:sz w:val="24"/>
          <w:szCs w:val="24"/>
        </w:rPr>
        <w:t xml:space="preserve">ACAS (2024) </w:t>
      </w:r>
      <w:r>
        <w:rPr>
          <w:rFonts w:ascii="Arial" w:hAnsi="Arial" w:cs="Arial"/>
          <w:i/>
          <w:iCs/>
          <w:sz w:val="24"/>
          <w:szCs w:val="24"/>
        </w:rPr>
        <w:t>Code of practice on requests for flexible working</w:t>
      </w:r>
      <w:r>
        <w:rPr>
          <w:rFonts w:ascii="Arial" w:hAnsi="Arial" w:cs="Arial"/>
          <w:sz w:val="24"/>
          <w:szCs w:val="24"/>
        </w:rPr>
        <w:t>. Available at: https://www.acas.org.uk/acas-code-of-practice-on-flexible-working-requests/html (Accessed: 19 May 2026).</w:t>
      </w:r>
    </w:p>
    <w:p w14:paraId="604DA1A7" w14:textId="77777777" w:rsidR="00491CD4" w:rsidRDefault="00491CD4">
      <w:pPr>
        <w:rPr>
          <w:lang w:eastAsia="en-GB"/>
        </w:rPr>
      </w:pPr>
      <w:r>
        <w:rPr>
          <w:rFonts w:ascii="Arial" w:hAnsi="Arial" w:cs="Arial"/>
          <w:sz w:val="24"/>
          <w:szCs w:val="24"/>
        </w:rPr>
        <w:t xml:space="preserve">ACAS (2026) </w:t>
      </w:r>
      <w:r>
        <w:rPr>
          <w:rFonts w:ascii="Arial" w:hAnsi="Arial" w:cs="Arial"/>
          <w:i/>
          <w:iCs/>
          <w:sz w:val="24"/>
          <w:szCs w:val="24"/>
        </w:rPr>
        <w:t>Statutory flexible working requests: The right to request</w:t>
      </w:r>
      <w:r>
        <w:rPr>
          <w:rFonts w:ascii="Arial" w:hAnsi="Arial" w:cs="Arial"/>
          <w:sz w:val="24"/>
          <w:szCs w:val="24"/>
        </w:rPr>
        <w:t>. Available at: https://www.acas.org.uk/statutory-flexible-working-requests/the-right-to-request (Accessed: 31 May 2026).</w:t>
      </w:r>
    </w:p>
    <w:p w14:paraId="5A919820" w14:textId="77777777" w:rsidR="00D41C96" w:rsidRDefault="00D41C96">
      <w:pPr>
        <w:rPr>
          <w:lang w:eastAsia="en-GB"/>
        </w:rPr>
      </w:pPr>
      <w:r>
        <w:rPr>
          <w:rFonts w:ascii="Arial" w:hAnsi="Arial" w:cs="Arial"/>
          <w:sz w:val="24"/>
          <w:szCs w:val="24"/>
        </w:rPr>
        <w:t xml:space="preserve">ACAS (2026) </w:t>
      </w:r>
      <w:r>
        <w:rPr>
          <w:rFonts w:ascii="Arial" w:hAnsi="Arial" w:cs="Arial"/>
          <w:i/>
          <w:iCs/>
          <w:sz w:val="24"/>
          <w:szCs w:val="24"/>
        </w:rPr>
        <w:t>Maternity, paternity and adoption leave</w:t>
      </w:r>
      <w:r>
        <w:rPr>
          <w:rFonts w:ascii="Arial" w:hAnsi="Arial" w:cs="Arial"/>
          <w:sz w:val="24"/>
          <w:szCs w:val="24"/>
        </w:rPr>
        <w:t>. Available at: https://www.acas.org.uk/maternity-paternity-and-adoption-leave (Accessed: 20 May 2026).</w:t>
      </w:r>
    </w:p>
    <w:p w14:paraId="1CAACEE1" w14:textId="77777777" w:rsidR="00D41C96" w:rsidRDefault="00D41C96">
      <w:pPr>
        <w:rPr>
          <w:rFonts w:ascii="Arial" w:hAnsi="Arial" w:cs="Arial"/>
          <w:sz w:val="24"/>
          <w:szCs w:val="24"/>
        </w:rPr>
      </w:pPr>
      <w:r>
        <w:rPr>
          <w:rFonts w:ascii="Arial" w:hAnsi="Arial" w:cs="Arial"/>
          <w:sz w:val="24"/>
          <w:szCs w:val="24"/>
        </w:rPr>
        <w:t xml:space="preserve">Armstrong, M. and Taylor, S. (2023) </w:t>
      </w:r>
      <w:r>
        <w:rPr>
          <w:rFonts w:ascii="Arial" w:hAnsi="Arial" w:cs="Arial"/>
          <w:i/>
          <w:iCs/>
          <w:sz w:val="24"/>
          <w:szCs w:val="24"/>
        </w:rPr>
        <w:t>Armstrong’s handbook of human resource management practice: A guide to the theory and practice of people management</w:t>
      </w:r>
      <w:r>
        <w:rPr>
          <w:rFonts w:ascii="Arial" w:hAnsi="Arial" w:cs="Arial"/>
          <w:sz w:val="24"/>
          <w:szCs w:val="24"/>
        </w:rPr>
        <w:t xml:space="preserve">. 16th </w:t>
      </w:r>
      <w:proofErr w:type="spellStart"/>
      <w:r>
        <w:rPr>
          <w:rFonts w:ascii="Arial" w:hAnsi="Arial" w:cs="Arial"/>
          <w:sz w:val="24"/>
          <w:szCs w:val="24"/>
        </w:rPr>
        <w:t>edn</w:t>
      </w:r>
      <w:proofErr w:type="spellEnd"/>
      <w:r>
        <w:rPr>
          <w:rFonts w:ascii="Arial" w:hAnsi="Arial" w:cs="Arial"/>
          <w:sz w:val="24"/>
          <w:szCs w:val="24"/>
        </w:rPr>
        <w:t>. London: Kogan Page.</w:t>
      </w:r>
    </w:p>
    <w:p w14:paraId="4D420432" w14:textId="77777777" w:rsidR="00761762" w:rsidRDefault="00761762" w:rsidP="00761762">
      <w:pPr>
        <w:rPr>
          <w:lang w:eastAsia="en-GB"/>
        </w:rPr>
      </w:pPr>
      <w:r>
        <w:rPr>
          <w:rFonts w:ascii="Arial" w:hAnsi="Arial" w:cs="Arial"/>
          <w:sz w:val="24"/>
          <w:szCs w:val="24"/>
        </w:rPr>
        <w:t xml:space="preserve">CIPD (2017) </w:t>
      </w:r>
      <w:r>
        <w:rPr>
          <w:rFonts w:ascii="Arial" w:hAnsi="Arial" w:cs="Arial"/>
          <w:i/>
          <w:iCs/>
          <w:sz w:val="24"/>
          <w:szCs w:val="24"/>
        </w:rPr>
        <w:t>Employment law factsheet</w:t>
      </w:r>
      <w:r>
        <w:rPr>
          <w:rFonts w:ascii="Arial" w:hAnsi="Arial" w:cs="Arial"/>
          <w:sz w:val="24"/>
          <w:szCs w:val="24"/>
        </w:rPr>
        <w:t>. London: Chartered Institute of Personnel and Development.</w:t>
      </w:r>
    </w:p>
    <w:p w14:paraId="78A7CFAC" w14:textId="77777777" w:rsidR="00761762" w:rsidRDefault="00761762" w:rsidP="00761762">
      <w:pPr>
        <w:rPr>
          <w:lang w:eastAsia="en-GB"/>
        </w:rPr>
      </w:pPr>
      <w:r>
        <w:rPr>
          <w:rFonts w:ascii="Arial" w:hAnsi="Arial" w:cs="Arial"/>
          <w:sz w:val="24"/>
          <w:szCs w:val="24"/>
        </w:rPr>
        <w:t xml:space="preserve">CIPD (2024) </w:t>
      </w:r>
      <w:r>
        <w:rPr>
          <w:rFonts w:ascii="Arial" w:hAnsi="Arial" w:cs="Arial"/>
          <w:i/>
          <w:iCs/>
          <w:sz w:val="24"/>
          <w:szCs w:val="24"/>
        </w:rPr>
        <w:t>TUPE factsheet</w:t>
      </w:r>
      <w:r>
        <w:rPr>
          <w:rFonts w:ascii="Arial" w:hAnsi="Arial" w:cs="Arial"/>
          <w:sz w:val="24"/>
          <w:szCs w:val="24"/>
        </w:rPr>
        <w:t>. London: Chartered Institute of Personnel and Development.</w:t>
      </w:r>
    </w:p>
    <w:p w14:paraId="24F45E86" w14:textId="77777777" w:rsidR="00491CD4" w:rsidRDefault="00491CD4" w:rsidP="00761762">
      <w:pPr>
        <w:rPr>
          <w:lang w:eastAsia="en-GB"/>
        </w:rPr>
      </w:pPr>
      <w:r>
        <w:rPr>
          <w:rFonts w:ascii="Arial" w:hAnsi="Arial" w:cs="Arial"/>
          <w:sz w:val="24"/>
          <w:szCs w:val="24"/>
        </w:rPr>
        <w:t xml:space="preserve">CIPD (2025) </w:t>
      </w:r>
      <w:r>
        <w:rPr>
          <w:rFonts w:ascii="Arial" w:hAnsi="Arial" w:cs="Arial"/>
          <w:i/>
          <w:iCs/>
          <w:sz w:val="24"/>
          <w:szCs w:val="24"/>
        </w:rPr>
        <w:t>Flexible and hybrid working practices in 2025</w:t>
      </w:r>
      <w:r>
        <w:rPr>
          <w:rFonts w:ascii="Arial" w:hAnsi="Arial" w:cs="Arial"/>
          <w:sz w:val="24"/>
          <w:szCs w:val="24"/>
        </w:rPr>
        <w:t>. London: Chartered Institute of Personnel and Development.</w:t>
      </w:r>
    </w:p>
    <w:p w14:paraId="4DDAEEAE" w14:textId="77777777" w:rsidR="00491CD4" w:rsidRDefault="00491CD4" w:rsidP="00761762">
      <w:pPr>
        <w:rPr>
          <w:lang w:eastAsia="en-GB"/>
        </w:rPr>
      </w:pPr>
      <w:r>
        <w:rPr>
          <w:rFonts w:ascii="Arial" w:hAnsi="Arial" w:cs="Arial"/>
          <w:sz w:val="24"/>
          <w:szCs w:val="24"/>
        </w:rPr>
        <w:t xml:space="preserve">CIPD (2026) </w:t>
      </w:r>
      <w:r>
        <w:rPr>
          <w:rFonts w:ascii="Arial" w:hAnsi="Arial" w:cs="Arial"/>
          <w:i/>
          <w:iCs/>
          <w:sz w:val="24"/>
          <w:szCs w:val="24"/>
        </w:rPr>
        <w:t>Constructive dismissal</w:t>
      </w:r>
      <w:r>
        <w:rPr>
          <w:rFonts w:ascii="Arial" w:hAnsi="Arial" w:cs="Arial"/>
          <w:sz w:val="24"/>
          <w:szCs w:val="24"/>
        </w:rPr>
        <w:t>. London: Chartered Institute of Personnel and Development.</w:t>
      </w:r>
    </w:p>
    <w:p w14:paraId="6303654C" w14:textId="77777777" w:rsidR="00491CD4" w:rsidRDefault="00491CD4" w:rsidP="00761762">
      <w:pPr>
        <w:rPr>
          <w:lang w:eastAsia="en-GB"/>
        </w:rPr>
      </w:pPr>
      <w:r>
        <w:rPr>
          <w:rFonts w:ascii="Arial" w:hAnsi="Arial" w:cs="Arial"/>
          <w:sz w:val="24"/>
          <w:szCs w:val="24"/>
        </w:rPr>
        <w:t xml:space="preserve">CIPD (2026) </w:t>
      </w:r>
      <w:r>
        <w:rPr>
          <w:rFonts w:ascii="Arial" w:hAnsi="Arial" w:cs="Arial"/>
          <w:i/>
          <w:iCs/>
          <w:sz w:val="24"/>
          <w:szCs w:val="24"/>
        </w:rPr>
        <w:t>Maternity, paternity and adoption rights</w:t>
      </w:r>
      <w:r>
        <w:rPr>
          <w:rFonts w:ascii="Arial" w:hAnsi="Arial" w:cs="Arial"/>
          <w:sz w:val="24"/>
          <w:szCs w:val="24"/>
        </w:rPr>
        <w:t>. London: Chartered Institute of Personnel and Development.</w:t>
      </w:r>
    </w:p>
    <w:p w14:paraId="6984404C" w14:textId="77777777" w:rsidR="00D41C96" w:rsidRDefault="00D41C96">
      <w:pPr>
        <w:rPr>
          <w:lang w:eastAsia="en-GB"/>
        </w:rPr>
      </w:pPr>
      <w:r>
        <w:rPr>
          <w:rFonts w:ascii="Arial" w:hAnsi="Arial" w:cs="Arial"/>
          <w:sz w:val="24"/>
          <w:szCs w:val="24"/>
        </w:rPr>
        <w:t xml:space="preserve">Daniels, K. (2022) </w:t>
      </w:r>
      <w:r>
        <w:rPr>
          <w:rFonts w:ascii="Arial" w:hAnsi="Arial" w:cs="Arial"/>
          <w:i/>
          <w:iCs/>
          <w:sz w:val="24"/>
          <w:szCs w:val="24"/>
        </w:rPr>
        <w:t>Introduction to employment law: Fundamentals for HR and business students</w:t>
      </w:r>
      <w:r>
        <w:rPr>
          <w:rFonts w:ascii="Arial" w:hAnsi="Arial" w:cs="Arial"/>
          <w:sz w:val="24"/>
          <w:szCs w:val="24"/>
        </w:rPr>
        <w:t xml:space="preserve">. 6th </w:t>
      </w:r>
      <w:proofErr w:type="spellStart"/>
      <w:r>
        <w:rPr>
          <w:rFonts w:ascii="Arial" w:hAnsi="Arial" w:cs="Arial"/>
          <w:sz w:val="24"/>
          <w:szCs w:val="24"/>
        </w:rPr>
        <w:t>edn</w:t>
      </w:r>
      <w:proofErr w:type="spellEnd"/>
      <w:r>
        <w:rPr>
          <w:rFonts w:ascii="Arial" w:hAnsi="Arial" w:cs="Arial"/>
          <w:sz w:val="24"/>
          <w:szCs w:val="24"/>
        </w:rPr>
        <w:t>. London: Kogan Page.</w:t>
      </w:r>
    </w:p>
    <w:p w14:paraId="6F6EB79A" w14:textId="77777777" w:rsidR="00D41C96" w:rsidRDefault="00D41C96">
      <w:pPr>
        <w:rPr>
          <w:lang w:eastAsia="en-GB"/>
        </w:rPr>
      </w:pPr>
      <w:r>
        <w:rPr>
          <w:rFonts w:ascii="Arial" w:hAnsi="Arial" w:cs="Arial"/>
          <w:sz w:val="24"/>
          <w:szCs w:val="24"/>
        </w:rPr>
        <w:t xml:space="preserve">Daniels, K. (2024) </w:t>
      </w:r>
      <w:r>
        <w:rPr>
          <w:rFonts w:ascii="Arial" w:hAnsi="Arial" w:cs="Arial"/>
          <w:i/>
          <w:iCs/>
          <w:sz w:val="24"/>
          <w:szCs w:val="24"/>
        </w:rPr>
        <w:t>Introduction to employment law: Fundamentals for HR and business students</w:t>
      </w:r>
      <w:r>
        <w:rPr>
          <w:rFonts w:ascii="Arial" w:hAnsi="Arial" w:cs="Arial"/>
          <w:sz w:val="24"/>
          <w:szCs w:val="24"/>
        </w:rPr>
        <w:t xml:space="preserve">. 7th </w:t>
      </w:r>
      <w:proofErr w:type="spellStart"/>
      <w:r>
        <w:rPr>
          <w:rFonts w:ascii="Arial" w:hAnsi="Arial" w:cs="Arial"/>
          <w:sz w:val="24"/>
          <w:szCs w:val="24"/>
        </w:rPr>
        <w:t>edn</w:t>
      </w:r>
      <w:proofErr w:type="spellEnd"/>
      <w:r>
        <w:rPr>
          <w:rFonts w:ascii="Arial" w:hAnsi="Arial" w:cs="Arial"/>
          <w:sz w:val="24"/>
          <w:szCs w:val="24"/>
        </w:rPr>
        <w:t>. London: Kogan Page.</w:t>
      </w:r>
    </w:p>
    <w:p w14:paraId="38DA711F" w14:textId="77777777" w:rsidR="00D41C96" w:rsidRDefault="00D41C96">
      <w:pPr>
        <w:rPr>
          <w:lang w:eastAsia="en-GB"/>
        </w:rPr>
      </w:pPr>
      <w:r>
        <w:rPr>
          <w:rFonts w:ascii="Arial" w:hAnsi="Arial" w:cs="Arial"/>
          <w:sz w:val="24"/>
          <w:szCs w:val="24"/>
        </w:rPr>
        <w:t xml:space="preserve">Equality and Human Rights Commission (2011) </w:t>
      </w:r>
      <w:r>
        <w:rPr>
          <w:rFonts w:ascii="Arial" w:hAnsi="Arial" w:cs="Arial"/>
          <w:i/>
          <w:iCs/>
          <w:sz w:val="24"/>
          <w:szCs w:val="24"/>
        </w:rPr>
        <w:t>Employment statutory code of practice</w:t>
      </w:r>
      <w:r>
        <w:rPr>
          <w:rFonts w:ascii="Arial" w:hAnsi="Arial" w:cs="Arial"/>
          <w:sz w:val="24"/>
          <w:szCs w:val="24"/>
        </w:rPr>
        <w:t>. London: The Stationery Office.</w:t>
      </w:r>
    </w:p>
    <w:p w14:paraId="3A1514BE" w14:textId="0F46AAC8" w:rsidR="00D41C96" w:rsidRDefault="00D41C96">
      <w:pPr>
        <w:rPr>
          <w:lang w:eastAsia="en-GB"/>
        </w:rPr>
      </w:pPr>
      <w:r>
        <w:rPr>
          <w:rFonts w:ascii="Arial" w:hAnsi="Arial" w:cs="Arial"/>
          <w:sz w:val="24"/>
          <w:szCs w:val="24"/>
        </w:rPr>
        <w:t xml:space="preserve">GOV.UK (2026a) </w:t>
      </w:r>
      <w:r>
        <w:rPr>
          <w:rFonts w:ascii="Arial" w:hAnsi="Arial" w:cs="Arial"/>
          <w:i/>
          <w:iCs/>
          <w:sz w:val="24"/>
          <w:szCs w:val="24"/>
        </w:rPr>
        <w:t>Shared parental leave and pay</w:t>
      </w:r>
      <w:r>
        <w:rPr>
          <w:rFonts w:ascii="Arial" w:hAnsi="Arial" w:cs="Arial"/>
          <w:sz w:val="24"/>
          <w:szCs w:val="24"/>
        </w:rPr>
        <w:t>. Available at: https://www.gov.uk/shared-parental-leave-and-pay (Accessed: 10 May 2026).</w:t>
      </w:r>
    </w:p>
    <w:p w14:paraId="1AFF6539" w14:textId="522E49C9" w:rsidR="00D41C96" w:rsidRDefault="00D41C96">
      <w:pPr>
        <w:rPr>
          <w:lang w:eastAsia="en-GB"/>
        </w:rPr>
      </w:pPr>
      <w:r>
        <w:rPr>
          <w:rFonts w:ascii="Arial" w:hAnsi="Arial" w:cs="Arial"/>
          <w:sz w:val="24"/>
          <w:szCs w:val="24"/>
        </w:rPr>
        <w:t xml:space="preserve">GOV.UK (2026b) </w:t>
      </w:r>
      <w:r>
        <w:rPr>
          <w:rFonts w:ascii="Arial" w:hAnsi="Arial" w:cs="Arial"/>
          <w:i/>
          <w:iCs/>
          <w:sz w:val="24"/>
          <w:szCs w:val="24"/>
        </w:rPr>
        <w:t>Maternity pay and leave</w:t>
      </w:r>
      <w:r>
        <w:rPr>
          <w:rFonts w:ascii="Arial" w:hAnsi="Arial" w:cs="Arial"/>
          <w:sz w:val="24"/>
          <w:szCs w:val="24"/>
        </w:rPr>
        <w:t>. Available at: https://www.gov.uk/maternity-pay-leave (Accessed: 13 May 2026).</w:t>
      </w:r>
    </w:p>
    <w:p w14:paraId="1A918101" w14:textId="592C7B7B" w:rsidR="00D41C96" w:rsidRDefault="00D41C96">
      <w:pPr>
        <w:rPr>
          <w:lang w:eastAsia="en-GB"/>
        </w:rPr>
      </w:pPr>
      <w:r>
        <w:rPr>
          <w:rFonts w:ascii="Arial" w:hAnsi="Arial" w:cs="Arial"/>
          <w:sz w:val="24"/>
          <w:szCs w:val="24"/>
        </w:rPr>
        <w:lastRenderedPageBreak/>
        <w:t xml:space="preserve">GOV.UK (2026c) </w:t>
      </w:r>
      <w:r>
        <w:rPr>
          <w:rFonts w:ascii="Arial" w:hAnsi="Arial" w:cs="Arial"/>
          <w:i/>
          <w:iCs/>
          <w:sz w:val="24"/>
          <w:szCs w:val="24"/>
        </w:rPr>
        <w:t>Calculate holiday entitlement</w:t>
      </w:r>
      <w:r>
        <w:rPr>
          <w:rFonts w:ascii="Arial" w:hAnsi="Arial" w:cs="Arial"/>
          <w:sz w:val="24"/>
          <w:szCs w:val="24"/>
        </w:rPr>
        <w:t>. Available at: https://www.gov.uk/calculate-your-holiday-entitlement (Accessed: 8 May 2026).</w:t>
      </w:r>
    </w:p>
    <w:p w14:paraId="3F88E520" w14:textId="77777777" w:rsidR="00491CD4" w:rsidRDefault="00491CD4">
      <w:pPr>
        <w:rPr>
          <w:lang w:eastAsia="en-GB"/>
        </w:rPr>
      </w:pPr>
      <w:r>
        <w:rPr>
          <w:rFonts w:ascii="Arial" w:hAnsi="Arial" w:cs="Arial"/>
          <w:sz w:val="24"/>
          <w:szCs w:val="24"/>
        </w:rPr>
        <w:t xml:space="preserve">People Management (2024) </w:t>
      </w:r>
      <w:r>
        <w:rPr>
          <w:rFonts w:ascii="Arial" w:hAnsi="Arial" w:cs="Arial"/>
          <w:i/>
          <w:iCs/>
          <w:sz w:val="24"/>
          <w:szCs w:val="24"/>
        </w:rPr>
        <w:t>Constructive dismissal</w:t>
      </w:r>
      <w:r>
        <w:rPr>
          <w:rFonts w:ascii="Arial" w:hAnsi="Arial" w:cs="Arial"/>
          <w:sz w:val="24"/>
          <w:szCs w:val="24"/>
        </w:rPr>
        <w:t>. Available at: https://www.peoplemanagement.co.uk/ (Accessed: 31 May 2026).</w:t>
      </w:r>
    </w:p>
    <w:p w14:paraId="10465A39" w14:textId="77777777" w:rsidR="00D41C96" w:rsidRDefault="00D41C96">
      <w:pPr>
        <w:rPr>
          <w:lang w:eastAsia="en-GB"/>
        </w:rPr>
      </w:pPr>
      <w:r>
        <w:rPr>
          <w:rFonts w:ascii="Arial" w:hAnsi="Arial" w:cs="Arial"/>
          <w:b/>
          <w:bCs/>
          <w:sz w:val="24"/>
          <w:szCs w:val="24"/>
        </w:rPr>
        <w:t>Case law</w:t>
      </w:r>
    </w:p>
    <w:p w14:paraId="099E584E" w14:textId="77777777" w:rsidR="00D41C96" w:rsidRDefault="00D41C96">
      <w:pPr>
        <w:rPr>
          <w:lang w:eastAsia="en-GB"/>
        </w:rPr>
      </w:pPr>
      <w:r>
        <w:rPr>
          <w:rFonts w:ascii="Arial" w:hAnsi="Arial" w:cs="Arial"/>
          <w:i/>
          <w:iCs/>
          <w:sz w:val="24"/>
          <w:szCs w:val="24"/>
        </w:rPr>
        <w:t>Bear Scotland Ltd v Fulton</w:t>
      </w:r>
      <w:r>
        <w:rPr>
          <w:rFonts w:ascii="Arial" w:hAnsi="Arial" w:cs="Arial"/>
          <w:sz w:val="24"/>
          <w:szCs w:val="24"/>
        </w:rPr>
        <w:t xml:space="preserve"> [2015] ICR 221.</w:t>
      </w:r>
    </w:p>
    <w:p w14:paraId="221F1C37" w14:textId="77777777" w:rsidR="00D41C96" w:rsidRDefault="00D41C96">
      <w:pPr>
        <w:rPr>
          <w:lang w:eastAsia="en-GB"/>
        </w:rPr>
      </w:pPr>
      <w:r>
        <w:rPr>
          <w:rFonts w:ascii="Arial" w:hAnsi="Arial" w:cs="Arial"/>
          <w:i/>
          <w:iCs/>
          <w:sz w:val="24"/>
          <w:szCs w:val="24"/>
        </w:rPr>
        <w:t>Etam plc v Rowan</w:t>
      </w:r>
      <w:r>
        <w:rPr>
          <w:rFonts w:ascii="Arial" w:hAnsi="Arial" w:cs="Arial"/>
          <w:sz w:val="24"/>
          <w:szCs w:val="24"/>
        </w:rPr>
        <w:t xml:space="preserve"> [1989] IRLR 150.</w:t>
      </w:r>
    </w:p>
    <w:p w14:paraId="02E0C6D8" w14:textId="77777777" w:rsidR="00D41C96" w:rsidRDefault="00D41C96">
      <w:pPr>
        <w:rPr>
          <w:lang w:eastAsia="en-GB"/>
        </w:rPr>
      </w:pPr>
      <w:proofErr w:type="spellStart"/>
      <w:r>
        <w:rPr>
          <w:rFonts w:ascii="Arial" w:hAnsi="Arial" w:cs="Arial"/>
          <w:i/>
          <w:iCs/>
          <w:sz w:val="24"/>
          <w:szCs w:val="24"/>
        </w:rPr>
        <w:t>Federación</w:t>
      </w:r>
      <w:proofErr w:type="spellEnd"/>
      <w:r>
        <w:rPr>
          <w:rFonts w:ascii="Arial" w:hAnsi="Arial" w:cs="Arial"/>
          <w:i/>
          <w:iCs/>
          <w:sz w:val="24"/>
          <w:szCs w:val="24"/>
        </w:rPr>
        <w:t xml:space="preserve"> de </w:t>
      </w:r>
      <w:proofErr w:type="spellStart"/>
      <w:r>
        <w:rPr>
          <w:rFonts w:ascii="Arial" w:hAnsi="Arial" w:cs="Arial"/>
          <w:i/>
          <w:iCs/>
          <w:sz w:val="24"/>
          <w:szCs w:val="24"/>
        </w:rPr>
        <w:t>Servicios</w:t>
      </w:r>
      <w:proofErr w:type="spellEnd"/>
      <w:r>
        <w:rPr>
          <w:rFonts w:ascii="Arial" w:hAnsi="Arial" w:cs="Arial"/>
          <w:i/>
          <w:iCs/>
          <w:sz w:val="24"/>
          <w:szCs w:val="24"/>
        </w:rPr>
        <w:t xml:space="preserve"> de </w:t>
      </w:r>
      <w:proofErr w:type="spellStart"/>
      <w:r>
        <w:rPr>
          <w:rFonts w:ascii="Arial" w:hAnsi="Arial" w:cs="Arial"/>
          <w:i/>
          <w:iCs/>
          <w:sz w:val="24"/>
          <w:szCs w:val="24"/>
        </w:rPr>
        <w:t>Comisiones</w:t>
      </w:r>
      <w:proofErr w:type="spellEnd"/>
      <w:r>
        <w:rPr>
          <w:rFonts w:ascii="Arial" w:hAnsi="Arial" w:cs="Arial"/>
          <w:i/>
          <w:iCs/>
          <w:sz w:val="24"/>
          <w:szCs w:val="24"/>
        </w:rPr>
        <w:t xml:space="preserve"> </w:t>
      </w:r>
      <w:proofErr w:type="spellStart"/>
      <w:r>
        <w:rPr>
          <w:rFonts w:ascii="Arial" w:hAnsi="Arial" w:cs="Arial"/>
          <w:i/>
          <w:iCs/>
          <w:sz w:val="24"/>
          <w:szCs w:val="24"/>
        </w:rPr>
        <w:t>Obreras</w:t>
      </w:r>
      <w:proofErr w:type="spellEnd"/>
      <w:r>
        <w:rPr>
          <w:rFonts w:ascii="Arial" w:hAnsi="Arial" w:cs="Arial"/>
          <w:i/>
          <w:iCs/>
          <w:sz w:val="24"/>
          <w:szCs w:val="24"/>
        </w:rPr>
        <w:t xml:space="preserve"> (CCOO) v Deutsche Bank SAE</w:t>
      </w:r>
      <w:r>
        <w:rPr>
          <w:rFonts w:ascii="Arial" w:hAnsi="Arial" w:cs="Arial"/>
          <w:sz w:val="24"/>
          <w:szCs w:val="24"/>
        </w:rPr>
        <w:t xml:space="preserve"> (Case C-55/18) EU:</w:t>
      </w:r>
      <w:proofErr w:type="gramStart"/>
      <w:r>
        <w:rPr>
          <w:rFonts w:ascii="Arial" w:hAnsi="Arial" w:cs="Arial"/>
          <w:sz w:val="24"/>
          <w:szCs w:val="24"/>
        </w:rPr>
        <w:t>C:2019:402</w:t>
      </w:r>
      <w:proofErr w:type="gramEnd"/>
      <w:r>
        <w:rPr>
          <w:rFonts w:ascii="Arial" w:hAnsi="Arial" w:cs="Arial"/>
          <w:sz w:val="24"/>
          <w:szCs w:val="24"/>
        </w:rPr>
        <w:t>.</w:t>
      </w:r>
    </w:p>
    <w:p w14:paraId="78BBD00C" w14:textId="77777777" w:rsidR="00D41C96" w:rsidRDefault="00D41C96">
      <w:pPr>
        <w:rPr>
          <w:lang w:eastAsia="en-GB"/>
        </w:rPr>
      </w:pPr>
      <w:r>
        <w:rPr>
          <w:rFonts w:ascii="Arial" w:hAnsi="Arial" w:cs="Arial"/>
          <w:i/>
          <w:iCs/>
          <w:sz w:val="24"/>
          <w:szCs w:val="24"/>
        </w:rPr>
        <w:t>Harpur Trust v Brazel</w:t>
      </w:r>
      <w:r>
        <w:rPr>
          <w:rFonts w:ascii="Arial" w:hAnsi="Arial" w:cs="Arial"/>
          <w:sz w:val="24"/>
          <w:szCs w:val="24"/>
        </w:rPr>
        <w:t xml:space="preserve"> [2022] UKSC 21.</w:t>
      </w:r>
    </w:p>
    <w:p w14:paraId="6B5F7EE8" w14:textId="77777777" w:rsidR="00D41C96" w:rsidRDefault="00D41C96">
      <w:pPr>
        <w:rPr>
          <w:lang w:eastAsia="en-GB"/>
        </w:rPr>
      </w:pPr>
      <w:r>
        <w:rPr>
          <w:rFonts w:ascii="Arial" w:hAnsi="Arial" w:cs="Arial"/>
          <w:i/>
          <w:iCs/>
          <w:sz w:val="24"/>
          <w:szCs w:val="24"/>
        </w:rPr>
        <w:t>Lock v British Gas Trading Ltd</w:t>
      </w:r>
      <w:r>
        <w:rPr>
          <w:rFonts w:ascii="Arial" w:hAnsi="Arial" w:cs="Arial"/>
          <w:sz w:val="24"/>
          <w:szCs w:val="24"/>
        </w:rPr>
        <w:t xml:space="preserve"> (Case C-539/12) [2014] CJEU.</w:t>
      </w:r>
    </w:p>
    <w:p w14:paraId="7A4CB396" w14:textId="77777777" w:rsidR="00D41C96" w:rsidRDefault="00D41C96">
      <w:pPr>
        <w:rPr>
          <w:lang w:eastAsia="en-GB"/>
        </w:rPr>
      </w:pPr>
      <w:r>
        <w:rPr>
          <w:rFonts w:ascii="Arial" w:hAnsi="Arial" w:cs="Arial"/>
          <w:i/>
          <w:iCs/>
          <w:sz w:val="24"/>
          <w:szCs w:val="24"/>
        </w:rPr>
        <w:t>Malik v Bank of Credit and Commerce International SA</w:t>
      </w:r>
      <w:r>
        <w:rPr>
          <w:rFonts w:ascii="Arial" w:hAnsi="Arial" w:cs="Arial"/>
          <w:sz w:val="24"/>
          <w:szCs w:val="24"/>
        </w:rPr>
        <w:t xml:space="preserve"> [1998] AC 20.</w:t>
      </w:r>
    </w:p>
    <w:p w14:paraId="3CAF4961" w14:textId="77777777" w:rsidR="00D41C96" w:rsidRDefault="00D41C96">
      <w:pPr>
        <w:rPr>
          <w:lang w:eastAsia="en-GB"/>
        </w:rPr>
      </w:pPr>
      <w:r>
        <w:rPr>
          <w:rFonts w:ascii="Arial" w:hAnsi="Arial" w:cs="Arial"/>
          <w:i/>
          <w:iCs/>
          <w:sz w:val="24"/>
          <w:szCs w:val="24"/>
        </w:rPr>
        <w:t>Western Excavating (ECC) Ltd v Sharp</w:t>
      </w:r>
      <w:r>
        <w:rPr>
          <w:rFonts w:ascii="Arial" w:hAnsi="Arial" w:cs="Arial"/>
          <w:sz w:val="24"/>
          <w:szCs w:val="24"/>
        </w:rPr>
        <w:t xml:space="preserve"> [1978] ICR 221.</w:t>
      </w:r>
    </w:p>
    <w:p w14:paraId="36E0619E" w14:textId="77777777" w:rsidR="00D41C96" w:rsidRDefault="00D41C96">
      <w:pPr>
        <w:rPr>
          <w:lang w:eastAsia="en-GB"/>
        </w:rPr>
      </w:pPr>
      <w:r>
        <w:rPr>
          <w:rFonts w:ascii="Arial" w:hAnsi="Arial" w:cs="Arial"/>
          <w:b/>
          <w:bCs/>
          <w:sz w:val="24"/>
          <w:szCs w:val="24"/>
        </w:rPr>
        <w:t>Legislation</w:t>
      </w:r>
    </w:p>
    <w:p w14:paraId="49510FB3" w14:textId="77777777" w:rsidR="00D41C96" w:rsidRDefault="00D41C96">
      <w:pPr>
        <w:rPr>
          <w:lang w:eastAsia="en-GB"/>
        </w:rPr>
      </w:pPr>
      <w:r>
        <w:rPr>
          <w:rFonts w:ascii="Arial" w:hAnsi="Arial" w:cs="Arial"/>
          <w:sz w:val="24"/>
          <w:szCs w:val="24"/>
        </w:rPr>
        <w:t>Employment Rights Act 1996, c.18.</w:t>
      </w:r>
    </w:p>
    <w:p w14:paraId="5953F7D5" w14:textId="77777777" w:rsidR="00D41C96" w:rsidRDefault="00D41C96">
      <w:pPr>
        <w:rPr>
          <w:lang w:eastAsia="en-GB"/>
        </w:rPr>
      </w:pPr>
      <w:r>
        <w:rPr>
          <w:rFonts w:ascii="Arial" w:hAnsi="Arial" w:cs="Arial"/>
          <w:sz w:val="24"/>
          <w:szCs w:val="24"/>
        </w:rPr>
        <w:t>Employment Tribunals Act 1996, c.17.</w:t>
      </w:r>
    </w:p>
    <w:p w14:paraId="598E613F" w14:textId="77777777" w:rsidR="00D41C96" w:rsidRDefault="00D41C96">
      <w:pPr>
        <w:rPr>
          <w:lang w:eastAsia="en-GB"/>
        </w:rPr>
      </w:pPr>
      <w:r>
        <w:rPr>
          <w:rFonts w:ascii="Arial" w:hAnsi="Arial" w:cs="Arial"/>
          <w:sz w:val="24"/>
          <w:szCs w:val="24"/>
        </w:rPr>
        <w:t>Employment Tribunals (Early Conciliation: Exemptions and Rules of Procedure) Regulations 2014, SI 2014/254.</w:t>
      </w:r>
    </w:p>
    <w:p w14:paraId="4D418863" w14:textId="77777777" w:rsidR="00D41C96" w:rsidRDefault="00D41C96">
      <w:pPr>
        <w:rPr>
          <w:lang w:eastAsia="en-GB"/>
        </w:rPr>
      </w:pPr>
      <w:r>
        <w:rPr>
          <w:rFonts w:ascii="Arial" w:hAnsi="Arial" w:cs="Arial"/>
          <w:sz w:val="24"/>
          <w:szCs w:val="24"/>
        </w:rPr>
        <w:t>Equality Act 2010, c.15.</w:t>
      </w:r>
    </w:p>
    <w:p w14:paraId="60A43897" w14:textId="77777777" w:rsidR="00D41C96" w:rsidRDefault="00D41C96">
      <w:pPr>
        <w:rPr>
          <w:lang w:eastAsia="en-GB"/>
        </w:rPr>
      </w:pPr>
      <w:r>
        <w:rPr>
          <w:rFonts w:ascii="Arial" w:hAnsi="Arial" w:cs="Arial"/>
          <w:sz w:val="24"/>
          <w:szCs w:val="24"/>
        </w:rPr>
        <w:t>European Communities Act 1972, c.68.</w:t>
      </w:r>
    </w:p>
    <w:p w14:paraId="3CF6AD0B" w14:textId="77777777" w:rsidR="00D41C96" w:rsidRDefault="00D41C96">
      <w:pPr>
        <w:rPr>
          <w:lang w:eastAsia="en-GB"/>
        </w:rPr>
      </w:pPr>
      <w:r>
        <w:rPr>
          <w:rFonts w:ascii="Arial" w:hAnsi="Arial" w:cs="Arial"/>
          <w:sz w:val="24"/>
          <w:szCs w:val="24"/>
        </w:rPr>
        <w:t>European Union (Withdrawal) Act 2018, c.16.</w:t>
      </w:r>
    </w:p>
    <w:p w14:paraId="7581005B" w14:textId="77777777" w:rsidR="00D41C96" w:rsidRDefault="00D41C96">
      <w:pPr>
        <w:rPr>
          <w:lang w:eastAsia="en-GB"/>
        </w:rPr>
      </w:pPr>
      <w:r>
        <w:rPr>
          <w:rFonts w:ascii="Arial" w:hAnsi="Arial" w:cs="Arial"/>
          <w:sz w:val="24"/>
          <w:szCs w:val="24"/>
        </w:rPr>
        <w:t>European Union (Withdrawal Agreement) Act 2020, c.1.</w:t>
      </w:r>
    </w:p>
    <w:p w14:paraId="520134ED" w14:textId="77777777" w:rsidR="00D41C96" w:rsidRDefault="00D41C96">
      <w:pPr>
        <w:rPr>
          <w:lang w:eastAsia="en-GB"/>
        </w:rPr>
      </w:pPr>
      <w:r>
        <w:rPr>
          <w:rFonts w:ascii="Arial" w:hAnsi="Arial" w:cs="Arial"/>
          <w:sz w:val="24"/>
          <w:szCs w:val="24"/>
        </w:rPr>
        <w:t>European Union (Withdrawal) Act 2018 (Relevant Court) (Retained EU Case Law) Regulations 2020, SI 2020/1525.</w:t>
      </w:r>
    </w:p>
    <w:p w14:paraId="414ECC86" w14:textId="77777777" w:rsidR="00D41C96" w:rsidRDefault="00D41C96">
      <w:pPr>
        <w:rPr>
          <w:lang w:eastAsia="en-GB"/>
        </w:rPr>
      </w:pPr>
      <w:r>
        <w:rPr>
          <w:rFonts w:ascii="Arial" w:hAnsi="Arial" w:cs="Arial"/>
          <w:sz w:val="24"/>
          <w:szCs w:val="24"/>
        </w:rPr>
        <w:t>Flexible Working (Amendment) Regulations 2023, SI 2023/1328.</w:t>
      </w:r>
    </w:p>
    <w:p w14:paraId="56EEE09B" w14:textId="77777777" w:rsidR="00D41C96" w:rsidRDefault="00D41C96">
      <w:pPr>
        <w:rPr>
          <w:lang w:eastAsia="en-GB"/>
        </w:rPr>
      </w:pPr>
      <w:r>
        <w:rPr>
          <w:rFonts w:ascii="Arial" w:hAnsi="Arial" w:cs="Arial"/>
          <w:sz w:val="24"/>
          <w:szCs w:val="24"/>
        </w:rPr>
        <w:t>Transfer of Undertakings (Protection of Employment) Regulations 2006, SI 2006/246.</w:t>
      </w:r>
    </w:p>
    <w:p w14:paraId="3DA008CE" w14:textId="77777777" w:rsidR="00D41C96" w:rsidRDefault="00D41C96">
      <w:pPr>
        <w:rPr>
          <w:lang w:eastAsia="en-GB"/>
        </w:rPr>
      </w:pPr>
      <w:r>
        <w:rPr>
          <w:rFonts w:ascii="Arial" w:hAnsi="Arial" w:cs="Arial"/>
          <w:sz w:val="24"/>
          <w:szCs w:val="24"/>
        </w:rPr>
        <w:t>Working Time Regulations 1998, SI 1998/1833.</w:t>
      </w:r>
    </w:p>
    <w:p w14:paraId="0F83990F" w14:textId="77777777" w:rsidR="00D41C96" w:rsidRDefault="00D41C96"/>
    <w:sectPr w:rsidR="00D41C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A4642F"/>
    <w:multiLevelType w:val="hybridMultilevel"/>
    <w:tmpl w:val="61765BA4"/>
    <w:lvl w:ilvl="0" w:tplc="389C179E">
      <w:start w:val="1"/>
      <w:numFmt w:val="bullet"/>
      <w:lvlText w:val=""/>
      <w:lvlJc w:val="left"/>
      <w:pPr>
        <w:ind w:left="795" w:hanging="360"/>
      </w:pPr>
      <w:rPr>
        <w:rFonts w:ascii="Symbol" w:hAnsi="Symbol" w:hint="default"/>
        <w:color w:val="004147"/>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16cid:durableId="2017536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55E"/>
    <w:rsid w:val="000908B9"/>
    <w:rsid w:val="00192F23"/>
    <w:rsid w:val="003151C9"/>
    <w:rsid w:val="0038799B"/>
    <w:rsid w:val="003D3E05"/>
    <w:rsid w:val="00432AEE"/>
    <w:rsid w:val="00491CD4"/>
    <w:rsid w:val="004D27F3"/>
    <w:rsid w:val="0052655E"/>
    <w:rsid w:val="005F25FC"/>
    <w:rsid w:val="00646889"/>
    <w:rsid w:val="00671969"/>
    <w:rsid w:val="006C3527"/>
    <w:rsid w:val="00761762"/>
    <w:rsid w:val="0078336C"/>
    <w:rsid w:val="00826BAE"/>
    <w:rsid w:val="00832242"/>
    <w:rsid w:val="00842BCE"/>
    <w:rsid w:val="00852EB9"/>
    <w:rsid w:val="00875425"/>
    <w:rsid w:val="008A4DD7"/>
    <w:rsid w:val="00914D72"/>
    <w:rsid w:val="00927345"/>
    <w:rsid w:val="0096233D"/>
    <w:rsid w:val="00975EC0"/>
    <w:rsid w:val="00A81929"/>
    <w:rsid w:val="00AA5A5D"/>
    <w:rsid w:val="00B61CD0"/>
    <w:rsid w:val="00BA3E21"/>
    <w:rsid w:val="00C237C4"/>
    <w:rsid w:val="00C86301"/>
    <w:rsid w:val="00D41C96"/>
    <w:rsid w:val="00DD0A12"/>
    <w:rsid w:val="00FC3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C14F0"/>
  <w15:chartTrackingRefBased/>
  <w15:docId w15:val="{47DCFE7C-9153-48A0-92A0-8A927CA9A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E21"/>
  </w:style>
  <w:style w:type="paragraph" w:styleId="Heading1">
    <w:name w:val="heading 1"/>
    <w:basedOn w:val="Normal"/>
    <w:next w:val="Normal"/>
    <w:link w:val="Heading1Char"/>
    <w:uiPriority w:val="9"/>
    <w:qFormat/>
    <w:rsid w:val="005265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65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65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65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65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65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65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65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65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5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65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65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65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65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65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65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65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655E"/>
    <w:rPr>
      <w:rFonts w:eastAsiaTheme="majorEastAsia" w:cstheme="majorBidi"/>
      <w:color w:val="272727" w:themeColor="text1" w:themeTint="D8"/>
    </w:rPr>
  </w:style>
  <w:style w:type="paragraph" w:styleId="Title">
    <w:name w:val="Title"/>
    <w:basedOn w:val="Normal"/>
    <w:next w:val="Normal"/>
    <w:link w:val="TitleChar"/>
    <w:uiPriority w:val="10"/>
    <w:qFormat/>
    <w:rsid w:val="005265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65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65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65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655E"/>
    <w:pPr>
      <w:spacing w:before="160"/>
      <w:jc w:val="center"/>
    </w:pPr>
    <w:rPr>
      <w:i/>
      <w:iCs/>
      <w:color w:val="404040" w:themeColor="text1" w:themeTint="BF"/>
    </w:rPr>
  </w:style>
  <w:style w:type="character" w:customStyle="1" w:styleId="QuoteChar">
    <w:name w:val="Quote Char"/>
    <w:basedOn w:val="DefaultParagraphFont"/>
    <w:link w:val="Quote"/>
    <w:uiPriority w:val="29"/>
    <w:rsid w:val="0052655E"/>
    <w:rPr>
      <w:i/>
      <w:iCs/>
      <w:color w:val="404040" w:themeColor="text1" w:themeTint="BF"/>
    </w:rPr>
  </w:style>
  <w:style w:type="paragraph" w:styleId="ListParagraph">
    <w:name w:val="List Paragraph"/>
    <w:basedOn w:val="Normal"/>
    <w:uiPriority w:val="34"/>
    <w:qFormat/>
    <w:rsid w:val="0052655E"/>
    <w:pPr>
      <w:ind w:left="720"/>
      <w:contextualSpacing/>
    </w:pPr>
  </w:style>
  <w:style w:type="character" w:styleId="IntenseEmphasis">
    <w:name w:val="Intense Emphasis"/>
    <w:basedOn w:val="DefaultParagraphFont"/>
    <w:uiPriority w:val="21"/>
    <w:qFormat/>
    <w:rsid w:val="0052655E"/>
    <w:rPr>
      <w:i/>
      <w:iCs/>
      <w:color w:val="0F4761" w:themeColor="accent1" w:themeShade="BF"/>
    </w:rPr>
  </w:style>
  <w:style w:type="paragraph" w:styleId="IntenseQuote">
    <w:name w:val="Intense Quote"/>
    <w:basedOn w:val="Normal"/>
    <w:next w:val="Normal"/>
    <w:link w:val="IntenseQuoteChar"/>
    <w:uiPriority w:val="30"/>
    <w:qFormat/>
    <w:rsid w:val="005265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655E"/>
    <w:rPr>
      <w:i/>
      <w:iCs/>
      <w:color w:val="0F4761" w:themeColor="accent1" w:themeShade="BF"/>
    </w:rPr>
  </w:style>
  <w:style w:type="character" w:styleId="IntenseReference">
    <w:name w:val="Intense Reference"/>
    <w:basedOn w:val="DefaultParagraphFont"/>
    <w:uiPriority w:val="32"/>
    <w:qFormat/>
    <w:rsid w:val="0052655E"/>
    <w:rPr>
      <w:b/>
      <w:bCs/>
      <w:smallCaps/>
      <w:color w:val="0F4761" w:themeColor="accent1" w:themeShade="BF"/>
      <w:spacing w:val="5"/>
    </w:rPr>
  </w:style>
  <w:style w:type="paragraph" w:customStyle="1" w:styleId="Listparag">
    <w:name w:val="List parag"/>
    <w:basedOn w:val="ListParagraph"/>
    <w:link w:val="ListparagChar"/>
    <w:qFormat/>
    <w:rsid w:val="0096233D"/>
    <w:pPr>
      <w:spacing w:after="120" w:line="264" w:lineRule="auto"/>
      <w:ind w:left="0"/>
      <w:contextualSpacing w:val="0"/>
    </w:pPr>
    <w:rPr>
      <w:rFonts w:eastAsia="Times New Roman" w:cstheme="minorHAnsi"/>
      <w:color w:val="000000"/>
      <w:kern w:val="0"/>
      <w:lang w:eastAsia="en-GB"/>
      <w14:ligatures w14:val="none"/>
    </w:rPr>
  </w:style>
  <w:style w:type="character" w:customStyle="1" w:styleId="ListparagChar">
    <w:name w:val="List parag Char"/>
    <w:basedOn w:val="DefaultParagraphFont"/>
    <w:link w:val="Listparag"/>
    <w:rsid w:val="0096233D"/>
    <w:rPr>
      <w:rFonts w:eastAsia="Times New Roman" w:cstheme="minorHAnsi"/>
      <w:color w:val="000000"/>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49</TotalTime>
  <Pages>14</Pages>
  <Words>4666</Words>
  <Characters>25716</Characters>
  <Application>Microsoft Office Word</Application>
  <DocSecurity>0</DocSecurity>
  <Lines>918</Lines>
  <Paragraphs>394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dc:creator>
  <cp:keywords/>
  <dc:description/>
  <cp:lastModifiedBy>Emma Lewis</cp:lastModifiedBy>
  <cp:revision>16</cp:revision>
  <dcterms:created xsi:type="dcterms:W3CDTF">2026-05-20T15:32:00Z</dcterms:created>
  <dcterms:modified xsi:type="dcterms:W3CDTF">2026-05-31T15:54:00Z</dcterms:modified>
</cp:coreProperties>
</file>