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F2A185" w14:textId="77777777" w:rsidR="00422711" w:rsidRPr="00422711" w:rsidRDefault="00422711" w:rsidP="00422711">
      <w:pPr>
        <w:spacing w:line="240" w:lineRule="auto"/>
        <w:rPr>
          <w:rFonts w:ascii="Arial" w:hAnsi="Arial" w:cs="Arial"/>
          <w:b/>
          <w:bCs/>
          <w:sz w:val="22"/>
          <w:szCs w:val="22"/>
        </w:rPr>
      </w:pPr>
      <w:r w:rsidRPr="00422711">
        <w:rPr>
          <w:rFonts w:ascii="Arial" w:hAnsi="Arial" w:cs="Arial"/>
          <w:b/>
          <w:bCs/>
          <w:sz w:val="22"/>
          <w:szCs w:val="22"/>
        </w:rPr>
        <w:t>PCDA Assignment 2</w:t>
      </w:r>
    </w:p>
    <w:p w14:paraId="4765C6E1" w14:textId="77777777" w:rsidR="00422711" w:rsidRDefault="00422711" w:rsidP="00B729E1">
      <w:pPr>
        <w:spacing w:line="240" w:lineRule="auto"/>
        <w:rPr>
          <w:rFonts w:ascii="Arial" w:hAnsi="Arial" w:cs="Arial"/>
          <w:b/>
          <w:bCs/>
          <w:sz w:val="22"/>
          <w:szCs w:val="22"/>
        </w:rPr>
      </w:pPr>
    </w:p>
    <w:p w14:paraId="360855C4" w14:textId="20D93227" w:rsidR="00B729E1" w:rsidRDefault="00B24825" w:rsidP="00B729E1">
      <w:pPr>
        <w:spacing w:line="240" w:lineRule="auto"/>
        <w:rPr>
          <w:rFonts w:ascii="Arial" w:hAnsi="Arial" w:cs="Arial"/>
          <w:b/>
          <w:bCs/>
          <w:sz w:val="22"/>
          <w:szCs w:val="22"/>
        </w:rPr>
      </w:pPr>
      <w:r w:rsidRPr="00B24825">
        <w:rPr>
          <w:rFonts w:ascii="Arial" w:hAnsi="Arial" w:cs="Arial"/>
          <w:b/>
          <w:bCs/>
          <w:sz w:val="22"/>
          <w:szCs w:val="22"/>
        </w:rPr>
        <w:t>Essay one:</w:t>
      </w:r>
    </w:p>
    <w:p w14:paraId="23F76BCD" w14:textId="237AB898"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How effectively has the police service adapted to accommodate diversity within the UK? Consider the police force itself and/or the way police engage with diverse communities.</w:t>
      </w:r>
    </w:p>
    <w:p w14:paraId="56CE4177" w14:textId="77777777" w:rsidR="00B729E1" w:rsidRDefault="00B729E1" w:rsidP="00B729E1">
      <w:pPr>
        <w:spacing w:after="0" w:line="240" w:lineRule="auto"/>
        <w:rPr>
          <w:rFonts w:ascii="Arial" w:eastAsia="Times New Roman" w:hAnsi="Arial" w:cs="Arial"/>
          <w:b/>
          <w:bCs/>
          <w:kern w:val="0"/>
          <w:sz w:val="22"/>
          <w:szCs w:val="22"/>
          <w:lang w:eastAsia="en-GB"/>
          <w14:ligatures w14:val="none"/>
        </w:rPr>
      </w:pPr>
    </w:p>
    <w:p w14:paraId="2DBE8718" w14:textId="5C8927C4"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Introduction</w:t>
      </w:r>
    </w:p>
    <w:p w14:paraId="01516EBA" w14:textId="77777777"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p>
    <w:p w14:paraId="2C11823B" w14:textId="41E85091"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What is diversity?</w:t>
      </w:r>
    </w:p>
    <w:p w14:paraId="36BDCECD"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2AB36AC0"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The Cambridge dictionary defines diversity as </w:t>
      </w:r>
    </w:p>
    <w:p w14:paraId="4013027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453853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“the fact of many different types of things or people being included in something; a range of different things or people.”</w:t>
      </w:r>
    </w:p>
    <w:p w14:paraId="0329BED0"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A1959D9" w14:textId="47A68C19"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In the context of police force it refers to both employing and serving a diverse array of people and communities from a wide range of backgrounds, ethnicities, religions, races, sexualities etc.</w:t>
      </w:r>
      <w:r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408385175"/>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Cam24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(Cambridge University Press &amp; Assessment , 2024)</w:t>
          </w:r>
          <w:r w:rsidRPr="00B24825">
            <w:rPr>
              <w:rFonts w:ascii="Arial" w:eastAsia="Times New Roman" w:hAnsi="Arial" w:cs="Arial"/>
              <w:kern w:val="0"/>
              <w:sz w:val="22"/>
              <w:szCs w:val="22"/>
              <w:lang w:eastAsia="en-GB"/>
              <w14:ligatures w14:val="none"/>
            </w:rPr>
            <w:fldChar w:fldCharType="end"/>
          </w:r>
        </w:sdtContent>
      </w:sdt>
    </w:p>
    <w:p w14:paraId="099892B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D40D80F"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7BAD9B07" w14:textId="5CB4845F"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How were they previously</w:t>
      </w:r>
    </w:p>
    <w:p w14:paraId="4E2144B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6D5707C2"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Accusations of racism within the police forces across the UK have been present for some time, in some cases these have even led to reform or legislative changes.</w:t>
      </w:r>
    </w:p>
    <w:p w14:paraId="3ED19C6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A6A103C" w14:textId="0978A0A4"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Brixton</w:t>
      </w:r>
    </w:p>
    <w:p w14:paraId="21FD881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165AC05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One of the more prominent examples of this being the 1981 Brixton riot. The 1981 Brixton riot (or Brixton uprising as it’s sometimes referred to) occurred between the 10</w:t>
      </w:r>
      <w:r w:rsidRPr="00B24825">
        <w:rPr>
          <w:rFonts w:ascii="Arial" w:eastAsia="Times New Roman" w:hAnsi="Arial" w:cs="Arial"/>
          <w:kern w:val="0"/>
          <w:sz w:val="22"/>
          <w:szCs w:val="22"/>
          <w:vertAlign w:val="superscript"/>
          <w:lang w:eastAsia="en-GB"/>
          <w14:ligatures w14:val="none"/>
        </w:rPr>
        <w:t>th</w:t>
      </w:r>
      <w:r w:rsidRPr="00B24825">
        <w:rPr>
          <w:rFonts w:ascii="Arial" w:eastAsia="Times New Roman" w:hAnsi="Arial" w:cs="Arial"/>
          <w:kern w:val="0"/>
          <w:sz w:val="22"/>
          <w:szCs w:val="22"/>
          <w:lang w:eastAsia="en-GB"/>
          <w14:ligatures w14:val="none"/>
        </w:rPr>
        <w:t xml:space="preserve"> and the 12</w:t>
      </w:r>
      <w:r w:rsidRPr="00B24825">
        <w:rPr>
          <w:rFonts w:ascii="Arial" w:eastAsia="Times New Roman" w:hAnsi="Arial" w:cs="Arial"/>
          <w:kern w:val="0"/>
          <w:sz w:val="22"/>
          <w:szCs w:val="22"/>
          <w:vertAlign w:val="superscript"/>
          <w:lang w:eastAsia="en-GB"/>
          <w14:ligatures w14:val="none"/>
        </w:rPr>
        <w:t>th</w:t>
      </w:r>
      <w:r w:rsidRPr="00B24825">
        <w:rPr>
          <w:rFonts w:ascii="Arial" w:eastAsia="Times New Roman" w:hAnsi="Arial" w:cs="Arial"/>
          <w:kern w:val="0"/>
          <w:sz w:val="22"/>
          <w:szCs w:val="22"/>
          <w:lang w:eastAsia="en-GB"/>
          <w14:ligatures w14:val="none"/>
        </w:rPr>
        <w:t xml:space="preserve"> of April 1981.</w:t>
      </w:r>
    </w:p>
    <w:p w14:paraId="32915EE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DF1F46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Tensions had been simmering between the predominantly white police officers and the local African-Caribbean community in the Brixton area for some time.</w:t>
      </w:r>
    </w:p>
    <w:p w14:paraId="163A916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FE9D34B"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This boiled over after the police began OPERATION SWAMP 81, an operation that was intended to reduce crime in the area but a 5 day period led to the stop and search of 983 people under what was referred to as ‘sus law’ (powers under the Vagrancy Act 1824) These powers allowed the officers to search individuals when they believed an individual was acting suspiciously. The local community accused the police if using these powers disproportionately against black people, this assertion was later backed up by the Scarman report.</w:t>
      </w:r>
    </w:p>
    <w:p w14:paraId="285BD624"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234BB31F" w14:textId="5EF6391A"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The resulting fallout from this led to riot resulting in 100s of injured, damaged property and 82 arrests.</w:t>
      </w:r>
      <w:r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503559284"/>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Met23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(Met Police, 2023)</w:t>
          </w:r>
          <w:r w:rsidRPr="00B24825">
            <w:rPr>
              <w:rFonts w:ascii="Arial" w:eastAsia="Times New Roman" w:hAnsi="Arial" w:cs="Arial"/>
              <w:kern w:val="0"/>
              <w:sz w:val="22"/>
              <w:szCs w:val="22"/>
              <w:lang w:eastAsia="en-GB"/>
              <w14:ligatures w14:val="none"/>
            </w:rPr>
            <w:fldChar w:fldCharType="end"/>
          </w:r>
        </w:sdtContent>
      </w:sdt>
    </w:p>
    <w:p w14:paraId="2A23661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45AD69FA" w14:textId="26F98FEF"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The subsequent Scarman report and the riot itself led to introduction of the Police And Criminal Evidence act which among other things included powers and guidelines in order to reduce the random and discriminatory nature of the searches that led to the Brixton riots.</w:t>
      </w:r>
    </w:p>
    <w:p w14:paraId="28C76387" w14:textId="77777777" w:rsidR="00B24825" w:rsidRPr="00B24825" w:rsidRDefault="0071303A" w:rsidP="00B729E1">
      <w:pPr>
        <w:spacing w:after="0" w:line="240" w:lineRule="auto"/>
        <w:rPr>
          <w:rFonts w:ascii="Arial" w:eastAsia="Times New Roman" w:hAnsi="Arial" w:cs="Arial"/>
          <w:kern w:val="0"/>
          <w:sz w:val="22"/>
          <w:szCs w:val="22"/>
          <w:lang w:eastAsia="en-GB"/>
          <w14:ligatures w14:val="none"/>
        </w:rPr>
      </w:pPr>
      <w:sdt>
        <w:sdtPr>
          <w:rPr>
            <w:rFonts w:ascii="Arial" w:eastAsia="Times New Roman" w:hAnsi="Arial" w:cs="Arial"/>
            <w:kern w:val="0"/>
            <w:sz w:val="22"/>
            <w:szCs w:val="22"/>
            <w:lang w:eastAsia="en-GB"/>
            <w14:ligatures w14:val="none"/>
          </w:rPr>
          <w:id w:val="-297536031"/>
          <w:citation/>
        </w:sdtPr>
        <w:sdtEndPr/>
        <w:sdtContent>
          <w:r w:rsidR="00B24825" w:rsidRPr="00B24825">
            <w:rPr>
              <w:rFonts w:ascii="Arial" w:eastAsia="Times New Roman" w:hAnsi="Arial" w:cs="Arial"/>
              <w:kern w:val="0"/>
              <w:sz w:val="22"/>
              <w:szCs w:val="22"/>
              <w:lang w:eastAsia="en-GB"/>
              <w14:ligatures w14:val="none"/>
            </w:rPr>
            <w:fldChar w:fldCharType="begin"/>
          </w:r>
          <w:r w:rsidR="00B24825" w:rsidRPr="00B24825">
            <w:rPr>
              <w:rFonts w:ascii="Arial" w:eastAsia="Times New Roman" w:hAnsi="Arial" w:cs="Arial"/>
              <w:kern w:val="0"/>
              <w:sz w:val="22"/>
              <w:szCs w:val="22"/>
              <w:lang w:eastAsia="en-GB"/>
              <w14:ligatures w14:val="none"/>
            </w:rPr>
            <w:instrText xml:space="preserve"> CITATION Sca82 \l 2057 </w:instrText>
          </w:r>
          <w:r w:rsidR="00B24825" w:rsidRPr="00B24825">
            <w:rPr>
              <w:rFonts w:ascii="Arial" w:eastAsia="Times New Roman" w:hAnsi="Arial" w:cs="Arial"/>
              <w:kern w:val="0"/>
              <w:sz w:val="22"/>
              <w:szCs w:val="22"/>
              <w:lang w:eastAsia="en-GB"/>
              <w14:ligatures w14:val="none"/>
            </w:rPr>
            <w:fldChar w:fldCharType="separate"/>
          </w:r>
          <w:r w:rsidR="00B24825" w:rsidRPr="00B24825">
            <w:rPr>
              <w:rFonts w:ascii="Arial" w:eastAsia="Times New Roman" w:hAnsi="Arial" w:cs="Arial"/>
              <w:noProof/>
              <w:kern w:val="0"/>
              <w:sz w:val="22"/>
              <w:szCs w:val="22"/>
              <w:lang w:eastAsia="en-GB"/>
              <w14:ligatures w14:val="none"/>
            </w:rPr>
            <w:t>(Scarman, 1982)</w:t>
          </w:r>
          <w:r w:rsidR="00B24825" w:rsidRPr="00B24825">
            <w:rPr>
              <w:rFonts w:ascii="Arial" w:eastAsia="Times New Roman" w:hAnsi="Arial" w:cs="Arial"/>
              <w:kern w:val="0"/>
              <w:sz w:val="22"/>
              <w:szCs w:val="22"/>
              <w:lang w:eastAsia="en-GB"/>
              <w14:ligatures w14:val="none"/>
            </w:rPr>
            <w:fldChar w:fldCharType="end"/>
          </w:r>
        </w:sdtContent>
      </w:sdt>
    </w:p>
    <w:p w14:paraId="0442055E"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E25BED5" w14:textId="3D8060D8"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lastRenderedPageBreak/>
        <w:t>Even after these reforms stop and search continues to be a key point of debate when discussing racism in policing.</w:t>
      </w:r>
      <w:r w:rsidRPr="00EC52C9">
        <w:rPr>
          <w:rFonts w:ascii="Arial" w:eastAsia="Times New Roman" w:hAnsi="Arial" w:cs="Arial"/>
          <w:kern w:val="0"/>
          <w:sz w:val="22"/>
          <w:szCs w:val="22"/>
          <w:lang w:eastAsia="en-GB"/>
          <w14:ligatures w14:val="none"/>
        </w:rPr>
        <w:t xml:space="preserve"> </w:t>
      </w:r>
      <w:r w:rsidRPr="00B24825">
        <w:rPr>
          <w:rFonts w:ascii="Arial" w:eastAsia="Times New Roman" w:hAnsi="Arial" w:cs="Arial"/>
          <w:kern w:val="0"/>
          <w:sz w:val="22"/>
          <w:szCs w:val="22"/>
          <w:lang w:eastAsia="en-GB"/>
          <w14:ligatures w14:val="none"/>
        </w:rPr>
        <w:t>Unfortunately, as of 2020 figures show that black people are still around ten times more likely to be stopped than white people.</w:t>
      </w:r>
    </w:p>
    <w:p w14:paraId="4916C58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9A47ED9" w14:textId="77777777" w:rsidR="00B24825" w:rsidRPr="00B24825" w:rsidRDefault="0071303A" w:rsidP="00B729E1">
      <w:pPr>
        <w:spacing w:after="0" w:line="240" w:lineRule="auto"/>
        <w:rPr>
          <w:rFonts w:ascii="Arial" w:eastAsia="Times New Roman" w:hAnsi="Arial" w:cs="Arial"/>
          <w:kern w:val="0"/>
          <w:sz w:val="22"/>
          <w:szCs w:val="22"/>
          <w:lang w:eastAsia="en-GB"/>
          <w14:ligatures w14:val="none"/>
        </w:rPr>
      </w:pPr>
      <w:sdt>
        <w:sdtPr>
          <w:rPr>
            <w:rFonts w:ascii="Arial" w:eastAsia="Times New Roman" w:hAnsi="Arial" w:cs="Arial"/>
            <w:kern w:val="0"/>
            <w:sz w:val="22"/>
            <w:szCs w:val="22"/>
            <w:lang w:eastAsia="en-GB"/>
            <w14:ligatures w14:val="none"/>
          </w:rPr>
          <w:id w:val="-2107575578"/>
          <w:citation/>
        </w:sdtPr>
        <w:sdtEndPr/>
        <w:sdtContent>
          <w:r w:rsidR="00B24825" w:rsidRPr="00B24825">
            <w:rPr>
              <w:rFonts w:ascii="Arial" w:eastAsia="Times New Roman" w:hAnsi="Arial" w:cs="Arial"/>
              <w:kern w:val="0"/>
              <w:sz w:val="22"/>
              <w:szCs w:val="22"/>
              <w:lang w:eastAsia="en-GB"/>
              <w14:ligatures w14:val="none"/>
            </w:rPr>
            <w:fldChar w:fldCharType="begin"/>
          </w:r>
          <w:r w:rsidR="00B24825" w:rsidRPr="00B24825">
            <w:rPr>
              <w:rFonts w:ascii="Arial" w:eastAsia="Times New Roman" w:hAnsi="Arial" w:cs="Arial"/>
              <w:kern w:val="0"/>
              <w:sz w:val="22"/>
              <w:szCs w:val="22"/>
              <w:lang w:eastAsia="en-GB"/>
              <w14:ligatures w14:val="none"/>
            </w:rPr>
            <w:instrText xml:space="preserve"> CITATION GOV24 \l 2057 </w:instrText>
          </w:r>
          <w:r w:rsidR="00B24825" w:rsidRPr="00B24825">
            <w:rPr>
              <w:rFonts w:ascii="Arial" w:eastAsia="Times New Roman" w:hAnsi="Arial" w:cs="Arial"/>
              <w:kern w:val="0"/>
              <w:sz w:val="22"/>
              <w:szCs w:val="22"/>
              <w:lang w:eastAsia="en-GB"/>
              <w14:ligatures w14:val="none"/>
            </w:rPr>
            <w:fldChar w:fldCharType="separate"/>
          </w:r>
          <w:r w:rsidR="00B24825" w:rsidRPr="00B24825">
            <w:rPr>
              <w:rFonts w:ascii="Arial" w:eastAsia="Times New Roman" w:hAnsi="Arial" w:cs="Arial"/>
              <w:noProof/>
              <w:kern w:val="0"/>
              <w:sz w:val="22"/>
              <w:szCs w:val="22"/>
              <w:lang w:eastAsia="en-GB"/>
              <w14:ligatures w14:val="none"/>
            </w:rPr>
            <w:t>(GOV.UK, 2024)</w:t>
          </w:r>
          <w:r w:rsidR="00B24825" w:rsidRPr="00B24825">
            <w:rPr>
              <w:rFonts w:ascii="Arial" w:eastAsia="Times New Roman" w:hAnsi="Arial" w:cs="Arial"/>
              <w:kern w:val="0"/>
              <w:sz w:val="22"/>
              <w:szCs w:val="22"/>
              <w:lang w:eastAsia="en-GB"/>
              <w14:ligatures w14:val="none"/>
            </w:rPr>
            <w:fldChar w:fldCharType="end"/>
          </w:r>
        </w:sdtContent>
      </w:sdt>
      <w:r w:rsidR="00B24825" w:rsidRPr="00B24825">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444451090"/>
          <w:citation/>
        </w:sdtPr>
        <w:sdtEndPr/>
        <w:sdtContent>
          <w:r w:rsidR="00B24825" w:rsidRPr="00B24825">
            <w:rPr>
              <w:rFonts w:ascii="Arial" w:eastAsia="Times New Roman" w:hAnsi="Arial" w:cs="Arial"/>
              <w:kern w:val="0"/>
              <w:sz w:val="22"/>
              <w:szCs w:val="22"/>
              <w:lang w:eastAsia="en-GB"/>
              <w14:ligatures w14:val="none"/>
            </w:rPr>
            <w:fldChar w:fldCharType="begin"/>
          </w:r>
          <w:r w:rsidR="00B24825" w:rsidRPr="00B24825">
            <w:rPr>
              <w:rFonts w:ascii="Arial" w:eastAsia="Times New Roman" w:hAnsi="Arial" w:cs="Arial"/>
              <w:kern w:val="0"/>
              <w:sz w:val="22"/>
              <w:szCs w:val="22"/>
              <w:lang w:eastAsia="en-GB"/>
              <w14:ligatures w14:val="none"/>
            </w:rPr>
            <w:instrText xml:space="preserve"> CITATION Jos21 \l 2057 </w:instrText>
          </w:r>
          <w:r w:rsidR="00B24825" w:rsidRPr="00B24825">
            <w:rPr>
              <w:rFonts w:ascii="Arial" w:eastAsia="Times New Roman" w:hAnsi="Arial" w:cs="Arial"/>
              <w:kern w:val="0"/>
              <w:sz w:val="22"/>
              <w:szCs w:val="22"/>
              <w:lang w:eastAsia="en-GB"/>
              <w14:ligatures w14:val="none"/>
            </w:rPr>
            <w:fldChar w:fldCharType="separate"/>
          </w:r>
          <w:r w:rsidR="00B24825" w:rsidRPr="00B24825">
            <w:rPr>
              <w:rFonts w:ascii="Arial" w:eastAsia="Times New Roman" w:hAnsi="Arial" w:cs="Arial"/>
              <w:noProof/>
              <w:kern w:val="0"/>
              <w:sz w:val="22"/>
              <w:szCs w:val="22"/>
              <w:lang w:eastAsia="en-GB"/>
              <w14:ligatures w14:val="none"/>
            </w:rPr>
            <w:t>(Joseph–Salisbury, 2021)</w:t>
          </w:r>
          <w:r w:rsidR="00B24825" w:rsidRPr="00B24825">
            <w:rPr>
              <w:rFonts w:ascii="Arial" w:eastAsia="Times New Roman" w:hAnsi="Arial" w:cs="Arial"/>
              <w:kern w:val="0"/>
              <w:sz w:val="22"/>
              <w:szCs w:val="22"/>
              <w:lang w:eastAsia="en-GB"/>
              <w14:ligatures w14:val="none"/>
            </w:rPr>
            <w:fldChar w:fldCharType="end"/>
          </w:r>
        </w:sdtContent>
      </w:sdt>
    </w:p>
    <w:p w14:paraId="06A3042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This issue is not exclusive to stop and searches, use of tasers is on average 7.7 more times to be used on black people than white people. Black people are also more likely to be arrested than white people and be subject to greater use of force in general. </w:t>
      </w:r>
      <w:sdt>
        <w:sdtPr>
          <w:rPr>
            <w:rFonts w:ascii="Arial" w:eastAsia="Times New Roman" w:hAnsi="Arial" w:cs="Arial"/>
            <w:kern w:val="0"/>
            <w:sz w:val="22"/>
            <w:szCs w:val="22"/>
            <w:lang w:eastAsia="en-GB"/>
            <w14:ligatures w14:val="none"/>
          </w:rPr>
          <w:id w:val="-689365898"/>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The20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(Guardian, 2020)</w:t>
          </w:r>
          <w:r w:rsidRPr="00B24825">
            <w:rPr>
              <w:rFonts w:ascii="Arial" w:eastAsia="Times New Roman" w:hAnsi="Arial" w:cs="Arial"/>
              <w:kern w:val="0"/>
              <w:sz w:val="22"/>
              <w:szCs w:val="22"/>
              <w:lang w:eastAsia="en-GB"/>
              <w14:ligatures w14:val="none"/>
            </w:rPr>
            <w:fldChar w:fldCharType="end"/>
          </w:r>
        </w:sdtContent>
      </w:sdt>
    </w:p>
    <w:p w14:paraId="36E32449"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7E1954F9" w14:textId="633C0C74"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 xml:space="preserve">Those from Black, Asian and Minority Ethnic’ deaths in police custody where force or restraint were used was 2 times higher than that of white people. </w:t>
      </w:r>
      <w:sdt>
        <w:sdtPr>
          <w:rPr>
            <w:rFonts w:ascii="Arial" w:eastAsia="Times New Roman" w:hAnsi="Arial" w:cs="Arial"/>
            <w:kern w:val="0"/>
            <w:sz w:val="22"/>
            <w:szCs w:val="22"/>
            <w:lang w:eastAsia="en-GB"/>
            <w14:ligatures w14:val="none"/>
          </w:rPr>
          <w:id w:val="1500693357"/>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INQ20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(INQUEST , 2020)</w:t>
          </w:r>
          <w:r w:rsidRPr="00B24825">
            <w:rPr>
              <w:rFonts w:ascii="Arial" w:eastAsia="Times New Roman" w:hAnsi="Arial" w:cs="Arial"/>
              <w:kern w:val="0"/>
              <w:sz w:val="22"/>
              <w:szCs w:val="22"/>
              <w:lang w:eastAsia="en-GB"/>
              <w14:ligatures w14:val="none"/>
            </w:rPr>
            <w:fldChar w:fldCharType="end"/>
          </w:r>
        </w:sdtContent>
      </w:sdt>
    </w:p>
    <w:p w14:paraId="2CDDCAD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3BB9A02"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To this day many still believe that issues of discrimination and poor handling of cases handle involving individuals is prevalent in the police and while studies and high profile incidents have led to some positive change, many would argue that the police force still has a ways to go in improving in the way it engages with divers communities.</w:t>
      </w:r>
    </w:p>
    <w:p w14:paraId="5F101AE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7E46058" w14:textId="0522A7D6"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What is the current state of diversity in the police force</w:t>
      </w:r>
    </w:p>
    <w:p w14:paraId="5F50B65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66FB4B8"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Part of the polices drive to become more diverse and better represent the public it serves has been to increase the proportion of BAME people within the police force.</w:t>
      </w:r>
    </w:p>
    <w:p w14:paraId="7674C88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63FC0DD" w14:textId="10194B3C"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Unfortunately progress in this area has unfortunately been very slow, National Black Police Association found that between 2009 to 2018 the proportion of officer who are BAME had only gone up from 4.4% to 6.6%. In addition to this they were disproportionately positioned at the lower ranks and were unrepresented both at higher ranks and in specialist policing areas such as CID, Dog handlers, Special branch and Firearms.</w:t>
      </w:r>
      <w:r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1367719329"/>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Nat18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(National Black Police Association, 2018)</w:t>
          </w:r>
          <w:r w:rsidRPr="00B24825">
            <w:rPr>
              <w:rFonts w:ascii="Arial" w:eastAsia="Times New Roman" w:hAnsi="Arial" w:cs="Arial"/>
              <w:kern w:val="0"/>
              <w:sz w:val="22"/>
              <w:szCs w:val="22"/>
              <w:lang w:eastAsia="en-GB"/>
              <w14:ligatures w14:val="none"/>
            </w:rPr>
            <w:fldChar w:fldCharType="end"/>
          </w:r>
        </w:sdtContent>
      </w:sdt>
    </w:p>
    <w:p w14:paraId="46D6AD1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34BBE84F"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As such while the police continues to push to improve the diversity of it’s force through recruitment it is clear that more work needs to be done.</w:t>
      </w:r>
    </w:p>
    <w:p w14:paraId="27CBF013"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5C5C66B" w14:textId="77777777"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LGBT</w:t>
      </w:r>
    </w:p>
    <w:p w14:paraId="1F59D59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4637F62"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Similar to BAME people officers have had issues interacting with the LGBT community in the past which has unfortunately led to fraught relations and mistrust.</w:t>
      </w:r>
    </w:p>
    <w:p w14:paraId="081AACAB"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25EDC57"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Studies in England and Wales have found that people largely have a negative perception of the police when it came to interacting with the LGBT+ community in part due to historic issues between the police and members of the LGBT+ community.</w:t>
      </w:r>
    </w:p>
    <w:p w14:paraId="0C379C4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4C72D26B"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This stigma is in turn making it harder for the police to engage with LGBT+ communities and for police to increase LGBT+ officers in the force. It also in turn makes it more difficult for individuals from those communities to come forward and report hate crimes or incidents to the police.</w:t>
      </w:r>
    </w:p>
    <w:p w14:paraId="67240AFD" w14:textId="53D14A80"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In one survey of 242 LGBT+ people it was found that whiles 71% had experienced a hate crime or incident only 4% of them had then gone on to report this to the police, even LGBT+ officers have been found to be hesitant in reporting when they’ve been the victim of hate crimes or incidents. This shows a serious and problematic mistrust in the police.</w:t>
      </w:r>
      <w:r w:rsidRPr="00EC52C9">
        <w:rPr>
          <w:rFonts w:ascii="Arial" w:eastAsia="Times New Roman" w:hAnsi="Arial" w:cs="Arial"/>
          <w:kern w:val="0"/>
          <w:sz w:val="22"/>
          <w:szCs w:val="22"/>
          <w:lang w:eastAsia="en-GB"/>
          <w14:ligatures w14:val="none"/>
        </w:rPr>
        <w:t xml:space="preserve"> </w:t>
      </w:r>
      <w:sdt>
        <w:sdtPr>
          <w:rPr>
            <w:rFonts w:ascii="Arial" w:eastAsia="Times New Roman" w:hAnsi="Arial" w:cs="Arial"/>
            <w:kern w:val="0"/>
            <w:sz w:val="22"/>
            <w:szCs w:val="22"/>
            <w:lang w:eastAsia="en-GB"/>
            <w14:ligatures w14:val="none"/>
          </w:rPr>
          <w:id w:val="821315209"/>
          <w:citation/>
        </w:sdtPr>
        <w:sdtEndPr/>
        <w:sdtContent>
          <w:r w:rsidRPr="00B24825">
            <w:rPr>
              <w:rFonts w:ascii="Arial" w:eastAsia="Times New Roman" w:hAnsi="Arial" w:cs="Arial"/>
              <w:kern w:val="0"/>
              <w:sz w:val="22"/>
              <w:szCs w:val="22"/>
              <w:lang w:eastAsia="en-GB"/>
              <w14:ligatures w14:val="none"/>
            </w:rPr>
            <w:fldChar w:fldCharType="begin"/>
          </w:r>
          <w:r w:rsidRPr="00B24825">
            <w:rPr>
              <w:rFonts w:ascii="Arial" w:eastAsia="Times New Roman" w:hAnsi="Arial" w:cs="Arial"/>
              <w:kern w:val="0"/>
              <w:sz w:val="22"/>
              <w:szCs w:val="22"/>
              <w:lang w:eastAsia="en-GB"/>
              <w14:ligatures w14:val="none"/>
            </w:rPr>
            <w:instrText xml:space="preserve"> CITATION Pic20 \l 2057 </w:instrText>
          </w:r>
          <w:r w:rsidRPr="00B24825">
            <w:rPr>
              <w:rFonts w:ascii="Arial" w:eastAsia="Times New Roman" w:hAnsi="Arial" w:cs="Arial"/>
              <w:kern w:val="0"/>
              <w:sz w:val="22"/>
              <w:szCs w:val="22"/>
              <w:lang w:eastAsia="en-GB"/>
              <w14:ligatures w14:val="none"/>
            </w:rPr>
            <w:fldChar w:fldCharType="separate"/>
          </w:r>
          <w:r w:rsidRPr="00B24825">
            <w:rPr>
              <w:rFonts w:ascii="Arial" w:eastAsia="Times New Roman" w:hAnsi="Arial" w:cs="Arial"/>
              <w:noProof/>
              <w:kern w:val="0"/>
              <w:sz w:val="22"/>
              <w:szCs w:val="22"/>
              <w:lang w:eastAsia="en-GB"/>
              <w14:ligatures w14:val="none"/>
            </w:rPr>
            <w:t>(Pickles, 2020)</w:t>
          </w:r>
          <w:r w:rsidRPr="00B24825">
            <w:rPr>
              <w:rFonts w:ascii="Arial" w:eastAsia="Times New Roman" w:hAnsi="Arial" w:cs="Arial"/>
              <w:kern w:val="0"/>
              <w:sz w:val="22"/>
              <w:szCs w:val="22"/>
              <w:lang w:eastAsia="en-GB"/>
              <w14:ligatures w14:val="none"/>
            </w:rPr>
            <w:fldChar w:fldCharType="end"/>
          </w:r>
        </w:sdtContent>
      </w:sdt>
    </w:p>
    <w:p w14:paraId="6CC674F5"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1481CE2C"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The police forces within the UK are actively looking to curb this issue by opening dialogs with LGBT+ communities and employing LGB&amp;T liaison officers and community engagement officers in order to improve and mend relations between the police and LGBT communities.</w:t>
      </w:r>
    </w:p>
    <w:p w14:paraId="52CF2881"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7051B161"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090ED240"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C43E226" w14:textId="77777777" w:rsidR="00A52D1A" w:rsidRDefault="00A52D1A" w:rsidP="00B729E1">
      <w:pPr>
        <w:spacing w:after="0" w:line="240" w:lineRule="auto"/>
        <w:rPr>
          <w:rFonts w:ascii="Arial" w:eastAsia="Times New Roman" w:hAnsi="Arial" w:cs="Arial"/>
          <w:b/>
          <w:bCs/>
          <w:kern w:val="0"/>
          <w:sz w:val="22"/>
          <w:szCs w:val="22"/>
          <w:lang w:eastAsia="en-GB"/>
          <w14:ligatures w14:val="none"/>
        </w:rPr>
      </w:pPr>
    </w:p>
    <w:p w14:paraId="18A4860B" w14:textId="61357E87" w:rsidR="00B24825" w:rsidRPr="00B24825" w:rsidRDefault="00A52D1A"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Conclusion</w:t>
      </w:r>
    </w:p>
    <w:p w14:paraId="7AB70E96"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5BB79257" w14:textId="4C989CD0" w:rsidR="00B24825" w:rsidRPr="00EC52C9" w:rsidRDefault="00B24825" w:rsidP="00B729E1">
      <w:pPr>
        <w:spacing w:after="0" w:line="240" w:lineRule="auto"/>
        <w:rPr>
          <w:rFonts w:ascii="Arial" w:eastAsia="Times New Roman" w:hAnsi="Arial" w:cs="Arial"/>
          <w:kern w:val="0"/>
          <w:sz w:val="22"/>
          <w:szCs w:val="22"/>
          <w:lang w:eastAsia="en-GB"/>
          <w14:ligatures w14:val="none"/>
        </w:rPr>
      </w:pPr>
      <w:r w:rsidRPr="00B24825">
        <w:rPr>
          <w:rFonts w:ascii="Arial" w:eastAsia="Times New Roman" w:hAnsi="Arial" w:cs="Arial"/>
          <w:kern w:val="0"/>
          <w:sz w:val="22"/>
          <w:szCs w:val="22"/>
          <w:lang w:eastAsia="en-GB"/>
          <w14:ligatures w14:val="none"/>
        </w:rPr>
        <w:t>In conclusion, while there has been some effort by police over the past few decades to improve the police services ability to accommodate diversity in the UK both within and without the police force such as with BAME and LGBT communities, improvement has unfortunately been slow and it’s likely it will be a long and ongoing effort to improve the effectiveness of police accommodating diversity.</w:t>
      </w:r>
    </w:p>
    <w:p w14:paraId="70DF7584" w14:textId="77777777" w:rsidR="00B729E1" w:rsidRDefault="00B729E1" w:rsidP="00B729E1">
      <w:pPr>
        <w:spacing w:line="240" w:lineRule="auto"/>
        <w:rPr>
          <w:rFonts w:ascii="Arial" w:eastAsia="Times New Roman" w:hAnsi="Arial" w:cs="Arial"/>
          <w:kern w:val="0"/>
          <w:sz w:val="22"/>
          <w:szCs w:val="22"/>
          <w:lang w:eastAsia="en-GB"/>
          <w14:ligatures w14:val="none"/>
        </w:rPr>
      </w:pPr>
    </w:p>
    <w:p w14:paraId="4AF246DD" w14:textId="4735AA9F" w:rsidR="00EC52C9" w:rsidRPr="00B729E1" w:rsidRDefault="00EC52C9" w:rsidP="00B729E1">
      <w:pPr>
        <w:spacing w:line="240" w:lineRule="auto"/>
        <w:rPr>
          <w:rFonts w:ascii="Arial" w:eastAsia="Times New Roman" w:hAnsi="Arial" w:cs="Arial"/>
          <w:b/>
          <w:bCs/>
          <w:kern w:val="0"/>
          <w:sz w:val="22"/>
          <w:szCs w:val="22"/>
          <w:lang w:eastAsia="en-GB"/>
          <w14:ligatures w14:val="none"/>
        </w:rPr>
      </w:pPr>
      <w:r w:rsidRPr="00B729E1">
        <w:rPr>
          <w:rFonts w:ascii="Arial" w:eastAsia="Times New Roman" w:hAnsi="Arial" w:cs="Arial"/>
          <w:b/>
          <w:bCs/>
          <w:kern w:val="0"/>
          <w:sz w:val="22"/>
          <w:szCs w:val="22"/>
          <w:lang w:eastAsia="en-GB"/>
          <w14:ligatures w14:val="none"/>
        </w:rPr>
        <w:t>Word count - 933</w:t>
      </w:r>
    </w:p>
    <w:p w14:paraId="38488C3A" w14:textId="77777777" w:rsidR="00B729E1" w:rsidRDefault="00B729E1" w:rsidP="00B729E1">
      <w:pPr>
        <w:spacing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513F8BDF" w14:textId="47AC4E66"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lastRenderedPageBreak/>
        <w:t>Essay two:</w:t>
      </w:r>
    </w:p>
    <w:p w14:paraId="441E4247" w14:textId="11AC748C" w:rsidR="00B24825" w:rsidRPr="00B24825" w:rsidRDefault="00B24825" w:rsidP="00B729E1">
      <w:pPr>
        <w:spacing w:after="0" w:line="240" w:lineRule="auto"/>
        <w:rPr>
          <w:rFonts w:ascii="Arial" w:eastAsia="Times New Roman" w:hAnsi="Arial" w:cs="Arial"/>
          <w:b/>
          <w:bCs/>
          <w:kern w:val="0"/>
          <w:sz w:val="22"/>
          <w:szCs w:val="22"/>
          <w:lang w:eastAsia="en-GB"/>
          <w14:ligatures w14:val="none"/>
        </w:rPr>
      </w:pPr>
      <w:r w:rsidRPr="00B24825">
        <w:rPr>
          <w:rFonts w:ascii="Arial" w:eastAsia="Times New Roman" w:hAnsi="Arial" w:cs="Arial"/>
          <w:b/>
          <w:bCs/>
          <w:kern w:val="0"/>
          <w:sz w:val="22"/>
          <w:szCs w:val="22"/>
          <w:lang w:eastAsia="en-GB"/>
          <w14:ligatures w14:val="none"/>
        </w:rPr>
        <w:t>Response policing – Why is it important to manage mental wellbeing in policing? What can be the consequences if mental wellbeing is not managed appropriately?</w:t>
      </w:r>
    </w:p>
    <w:p w14:paraId="7B8C334A" w14:textId="77777777" w:rsidR="00B24825" w:rsidRPr="00B24825" w:rsidRDefault="00B24825" w:rsidP="00B729E1">
      <w:pPr>
        <w:spacing w:after="0" w:line="240" w:lineRule="auto"/>
        <w:rPr>
          <w:rFonts w:ascii="Arial" w:eastAsia="Times New Roman" w:hAnsi="Arial" w:cs="Arial"/>
          <w:kern w:val="0"/>
          <w:sz w:val="22"/>
          <w:szCs w:val="22"/>
          <w:lang w:eastAsia="en-GB"/>
          <w14:ligatures w14:val="none"/>
        </w:rPr>
      </w:pPr>
    </w:p>
    <w:p w14:paraId="6275A8FE"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Introduction</w:t>
      </w:r>
    </w:p>
    <w:p w14:paraId="56E1085D"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Response policing in the UK is a very stressful and demanding role where officers frequently respond to high stress situations such as traumatic incidents, handling public safety and respond to emergencies on a daily basis.</w:t>
      </w:r>
    </w:p>
    <w:p w14:paraId="120ACDCD"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This can have a significant toll on the mental health of police officers, in this essay we will be exploring both the importance of managing the mental wellbeing of officers in response  policing as well as the consequences of failing to do so, with academic research to support this essay. </w:t>
      </w:r>
    </w:p>
    <w:p w14:paraId="4385E82C" w14:textId="77777777" w:rsidR="00B24825" w:rsidRPr="00B24825" w:rsidRDefault="00B24825" w:rsidP="00B729E1">
      <w:pPr>
        <w:spacing w:line="240" w:lineRule="auto"/>
        <w:rPr>
          <w:rFonts w:ascii="Arial" w:hAnsi="Arial" w:cs="Arial"/>
          <w:sz w:val="22"/>
          <w:szCs w:val="22"/>
        </w:rPr>
      </w:pPr>
    </w:p>
    <w:p w14:paraId="0328AA64"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The Role of Mental Wellbeing in Policing</w:t>
      </w:r>
    </w:p>
    <w:p w14:paraId="4A1D7FF7" w14:textId="20D3F890"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Maintaining Mental wellbeing  is essential in maintaining an individuals overall health and wellbeing, in policing mental wellbeing is especially important as a large amount of the role is mentally draining and stressful in nature, an officer can potentially </w:t>
      </w:r>
      <w:r w:rsidRPr="00EC52C9">
        <w:rPr>
          <w:rFonts w:ascii="Arial" w:hAnsi="Arial" w:cs="Arial"/>
          <w:sz w:val="22"/>
          <w:szCs w:val="22"/>
        </w:rPr>
        <w:t>expect</w:t>
      </w:r>
      <w:r w:rsidRPr="00B24825">
        <w:rPr>
          <w:rFonts w:ascii="Arial" w:hAnsi="Arial" w:cs="Arial"/>
          <w:sz w:val="22"/>
          <w:szCs w:val="22"/>
        </w:rPr>
        <w:t xml:space="preserve"> to be involved in situations where they are exposed to violent and dangerous </w:t>
      </w:r>
      <w:r w:rsidRPr="00EC52C9">
        <w:rPr>
          <w:rFonts w:ascii="Arial" w:hAnsi="Arial" w:cs="Arial"/>
          <w:sz w:val="22"/>
          <w:szCs w:val="22"/>
        </w:rPr>
        <w:t>situations</w:t>
      </w:r>
      <w:r w:rsidRPr="00B24825">
        <w:rPr>
          <w:rFonts w:ascii="Arial" w:hAnsi="Arial" w:cs="Arial"/>
          <w:sz w:val="22"/>
          <w:szCs w:val="22"/>
        </w:rPr>
        <w:t>, high pressure situations and other traumatic events.</w:t>
      </w:r>
    </w:p>
    <w:p w14:paraId="68C30511"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A study by Patterson (2003) found that police officers have a greatly increased chance of suffering from mental health issues such as anxiety, post-traumatic stress disorder (PTSD) and depression when compared to the general population.</w:t>
      </w:r>
    </w:p>
    <w:p w14:paraId="1CA641F5"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These conditions can reduce job performance, compromise decision-making and at it’s worst has the potential to result in severe consequences for both the officer and the public.</w:t>
      </w:r>
    </w:p>
    <w:p w14:paraId="313D133F"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The Impact of Mental Wellbeing on Police Performance</w:t>
      </w:r>
    </w:p>
    <w:p w14:paraId="0F18170E"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Research by Violanti et al. (2016) has found that the performance of police officers in conducting their duties is directly linked to their mental wellbeing. The study highlighted that officers experiencing issues with poor mental health were far more likely to exhibit aggressive behaviour, make errors in judgement and suffer from difficulties in managing stress.</w:t>
      </w:r>
    </w:p>
    <w:p w14:paraId="2A392C49"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This in turn can lead to poor community relations, improper or excessive use of force and an overall deterioration in the quality of policing services.</w:t>
      </w:r>
    </w:p>
    <w:p w14:paraId="6E64A8D6"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In addition to this a research by Anderson et al. (2015) shows that police officers with unmanaged mental health issues are also more likely to suffer from burnout, absenteeism, and turnover resulting in increased strains on funding in police forces and compromised effectiveness in responding to emergencies.</w:t>
      </w:r>
    </w:p>
    <w:p w14:paraId="26ADFC0D"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Consequences of Neglecting Mental Wellbeing in Policing</w:t>
      </w:r>
    </w:p>
    <w:p w14:paraId="7BAB3E2F"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There are severe consequences to failing to manage the mental wellbeing of officers and not just for the individual officer but also the broader community as a whole. </w:t>
      </w:r>
    </w:p>
    <w:p w14:paraId="737D8B81"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It’s been found that long-term psychological damage can occur as a result of neglecting mental well-being. Reasearchers have found that police officers who get exposed to traumatic events repeatedly without receiving appropriate mental health support are more likely to suffer from chronic PTSD. Komarovskaya et al. (2011)</w:t>
      </w:r>
    </w:p>
    <w:p w14:paraId="325DCC93"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This can severely compromise an officers ability to function in both a professional and personal setting, not only will this effect the quality of life, potentially forcing them into a </w:t>
      </w:r>
      <w:r w:rsidRPr="00B24825">
        <w:rPr>
          <w:rFonts w:ascii="Arial" w:hAnsi="Arial" w:cs="Arial"/>
          <w:sz w:val="22"/>
          <w:szCs w:val="22"/>
        </w:rPr>
        <w:lastRenderedPageBreak/>
        <w:t>medical discharge or early retirement of the officer but it also increases the strain on an already overburdened and under resourced mental health service.</w:t>
      </w:r>
    </w:p>
    <w:p w14:paraId="537DEEDB"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Another more notable and even more concerning of these consequence is the increased risk of suicides with police officers.</w:t>
      </w:r>
    </w:p>
    <w:p w14:paraId="21411E07"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The Office for National Statistics (ONS) reported in 2019 that police officers in the UK have a higher suicide rate than the general population.</w:t>
      </w:r>
    </w:p>
    <w:p w14:paraId="5A29BD8B"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Studies have found that untreated mental health conditions, combined with easier access to firearms and other means of self-harm have contributed to the increased risk of suicide. by Marzuk et al. (2012)</w:t>
      </w:r>
    </w:p>
    <w:p w14:paraId="0E5976E2" w14:textId="77777777" w:rsidR="00B24825" w:rsidRPr="00B24825" w:rsidRDefault="00B24825" w:rsidP="00B729E1">
      <w:pPr>
        <w:spacing w:line="240" w:lineRule="auto"/>
        <w:rPr>
          <w:rFonts w:ascii="Arial" w:hAnsi="Arial" w:cs="Arial"/>
          <w:sz w:val="22"/>
          <w:szCs w:val="22"/>
        </w:rPr>
      </w:pPr>
    </w:p>
    <w:p w14:paraId="19327978"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The Importance of Mental Health Support in Policing</w:t>
      </w:r>
    </w:p>
    <w:p w14:paraId="406AC15E"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When considering the serious ramifications of failing to manage mental wellbeing, it is very important for police services in the UK to recognise the importance of prioritising mental health support for their officers.</w:t>
      </w:r>
    </w:p>
    <w:p w14:paraId="5A8905A5"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In 2019 the Police wellbeing Service (NPWS) was established for that very purpose, it was established with the aim of providing mental health resources, training, and support to police officers in the UK.</w:t>
      </w:r>
    </w:p>
    <w:p w14:paraId="55AA6441"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NPWS have found that early intervention and access to mental health services can dramatically reduce the likelihood of officers developing mental health issues or for said mental health issues escalating, thus reducing impact on mental wellbeing and improve occupation performance and satisfaction.</w:t>
      </w:r>
    </w:p>
    <w:p w14:paraId="04D4FF3D"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Various academic studies have shown this to be accurate, one study by McCreary and Thompson (2006) shows that police officers who engaged with the stress management programs became less stressed.</w:t>
      </w:r>
    </w:p>
    <w:p w14:paraId="7A5070AB"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Another study by Tuckey et al. (2012) has found that peer support programs, where police officers get support from colleagues specially trained in mental health awareness, are able to diminish the stigma associated with seeking help for mental health and encourage early intervention resulting in officer being more likely to seek treatment when needed.</w:t>
      </w:r>
    </w:p>
    <w:p w14:paraId="7AFF4215" w14:textId="77777777" w:rsidR="00B24825" w:rsidRPr="00B24825" w:rsidRDefault="00B24825" w:rsidP="00B729E1">
      <w:pPr>
        <w:spacing w:line="240" w:lineRule="auto"/>
        <w:rPr>
          <w:rFonts w:ascii="Arial" w:hAnsi="Arial" w:cs="Arial"/>
          <w:sz w:val="22"/>
          <w:szCs w:val="22"/>
        </w:rPr>
      </w:pPr>
    </w:p>
    <w:p w14:paraId="2D972A79"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Recommendations for Improving Mental Wellbeing in Policing</w:t>
      </w:r>
    </w:p>
    <w:p w14:paraId="1B452DC4"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Based on academic research, there are several key recommendations that I would make to improve mental wellbeing in response policing.</w:t>
      </w:r>
    </w:p>
    <w:p w14:paraId="47F96875"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t>Readily available access to mental health resources</w:t>
      </w:r>
    </w:p>
    <w:p w14:paraId="46292972"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Prevention is the best medicine and ready access to mental health resources such as peer support networks, counselling services and stress management programs, as well as keeping the barrier to entry low by maintaining strict confidentiality for officers that use the resources and reducing the stigma associated with seeking help.</w:t>
      </w:r>
    </w:p>
    <w:p w14:paraId="3427C532" w14:textId="77777777" w:rsidR="00B24825" w:rsidRPr="00B24825" w:rsidRDefault="00B24825" w:rsidP="00B729E1">
      <w:pPr>
        <w:spacing w:line="240" w:lineRule="auto"/>
        <w:rPr>
          <w:rFonts w:ascii="Arial" w:hAnsi="Arial" w:cs="Arial"/>
          <w:sz w:val="22"/>
          <w:szCs w:val="22"/>
        </w:rPr>
      </w:pPr>
    </w:p>
    <w:p w14:paraId="74C4CD47"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t>Frequent and periodic Mental Health Assessments.</w:t>
      </w:r>
    </w:p>
    <w:p w14:paraId="3D040CE3"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 xml:space="preserve">As with mental health resources Its important for police forces to implement regular mental health screenings in order to identify early signs of mental health problems like anxiety, depression or stress before it can develop into serious mental health issues for officers. </w:t>
      </w:r>
    </w:p>
    <w:p w14:paraId="5F6F301D" w14:textId="77777777" w:rsidR="00B24825" w:rsidRPr="00B24825" w:rsidRDefault="00B24825" w:rsidP="00B729E1">
      <w:pPr>
        <w:spacing w:line="240" w:lineRule="auto"/>
        <w:rPr>
          <w:rFonts w:ascii="Arial" w:hAnsi="Arial" w:cs="Arial"/>
          <w:sz w:val="22"/>
          <w:szCs w:val="22"/>
        </w:rPr>
      </w:pPr>
    </w:p>
    <w:p w14:paraId="4795A599"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lastRenderedPageBreak/>
        <w:t>Leadership training and support</w:t>
      </w:r>
    </w:p>
    <w:p w14:paraId="52FEA8FC"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Police leadership should be responsible for developing a workplace where officers can have open and frank conversations about mental health as well as have sufficient training to identify when officers are struggling with mental health or if said mental health is impacting their job performance as well as be able to provide support to said officers.</w:t>
      </w:r>
    </w:p>
    <w:p w14:paraId="0EA5B38D" w14:textId="77777777" w:rsidR="00B24825" w:rsidRPr="00B24825" w:rsidRDefault="00B24825" w:rsidP="00B729E1">
      <w:pPr>
        <w:spacing w:line="240" w:lineRule="auto"/>
        <w:rPr>
          <w:rFonts w:ascii="Arial" w:hAnsi="Arial" w:cs="Arial"/>
          <w:sz w:val="22"/>
          <w:szCs w:val="22"/>
        </w:rPr>
      </w:pPr>
    </w:p>
    <w:p w14:paraId="05E5E033" w14:textId="77777777" w:rsidR="00B24825" w:rsidRPr="00B24825" w:rsidRDefault="00B24825" w:rsidP="00B729E1">
      <w:pPr>
        <w:numPr>
          <w:ilvl w:val="0"/>
          <w:numId w:val="1"/>
        </w:numPr>
        <w:spacing w:line="240" w:lineRule="auto"/>
        <w:contextualSpacing/>
        <w:rPr>
          <w:rFonts w:ascii="Arial" w:hAnsi="Arial" w:cs="Arial"/>
          <w:b/>
          <w:bCs/>
          <w:sz w:val="22"/>
          <w:szCs w:val="22"/>
        </w:rPr>
      </w:pPr>
      <w:r w:rsidRPr="00B24825">
        <w:rPr>
          <w:rFonts w:ascii="Arial" w:hAnsi="Arial" w:cs="Arial"/>
          <w:b/>
          <w:bCs/>
          <w:sz w:val="22"/>
          <w:szCs w:val="22"/>
        </w:rPr>
        <w:t>Education and training for officers.</w:t>
      </w:r>
    </w:p>
    <w:p w14:paraId="5ED6ABF0"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Increased training of mental health awareness and coping techniques should be made required learning for officers, that way police officers can be better equipped to recognise the signs of poor mental health in their colleagues and themselves as well as better manage their own mental wellbeing.</w:t>
      </w:r>
    </w:p>
    <w:p w14:paraId="6C8F04DB" w14:textId="77777777" w:rsidR="00B24825" w:rsidRPr="00B24825" w:rsidRDefault="00B24825" w:rsidP="00B729E1">
      <w:pPr>
        <w:spacing w:line="240" w:lineRule="auto"/>
        <w:rPr>
          <w:rFonts w:ascii="Arial" w:hAnsi="Arial" w:cs="Arial"/>
          <w:sz w:val="22"/>
          <w:szCs w:val="22"/>
        </w:rPr>
      </w:pPr>
    </w:p>
    <w:p w14:paraId="45BA2A43"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Conclusion</w:t>
      </w:r>
    </w:p>
    <w:p w14:paraId="11F42AFA" w14:textId="77777777" w:rsidR="00B24825" w:rsidRPr="00B24825" w:rsidRDefault="00B24825" w:rsidP="00B729E1">
      <w:pPr>
        <w:spacing w:line="240" w:lineRule="auto"/>
        <w:rPr>
          <w:rFonts w:ascii="Arial" w:hAnsi="Arial" w:cs="Arial"/>
          <w:sz w:val="22"/>
          <w:szCs w:val="22"/>
        </w:rPr>
      </w:pPr>
      <w:r w:rsidRPr="00B24825">
        <w:rPr>
          <w:rFonts w:ascii="Arial" w:hAnsi="Arial" w:cs="Arial"/>
          <w:sz w:val="22"/>
          <w:szCs w:val="22"/>
        </w:rPr>
        <w:t>Maintaining the mental wellbeing of those in law enforcement is necessary in order to maintain the mental wellbeing of those working in front line policing. Failing to do so can lead to issues such as loss of job performance, increased risk of suicide and lead to long term mental health issues.</w:t>
      </w:r>
    </w:p>
    <w:p w14:paraId="4851733F" w14:textId="77777777" w:rsidR="00B729E1" w:rsidRDefault="00B24825" w:rsidP="00B729E1">
      <w:pPr>
        <w:spacing w:line="240" w:lineRule="auto"/>
        <w:rPr>
          <w:rFonts w:ascii="Arial" w:hAnsi="Arial" w:cs="Arial"/>
          <w:sz w:val="22"/>
          <w:szCs w:val="22"/>
        </w:rPr>
      </w:pPr>
      <w:r w:rsidRPr="00B24825">
        <w:rPr>
          <w:rFonts w:ascii="Arial" w:hAnsi="Arial" w:cs="Arial"/>
          <w:sz w:val="22"/>
          <w:szCs w:val="22"/>
        </w:rPr>
        <w:t>By implementing better help, resources, training and making leadership more aware the risks of poor mental wellbeing can be managed and minimised, leading to improved mental wellbeing for officers and improving their job performance long term.</w:t>
      </w:r>
      <w:r w:rsidR="00B729E1">
        <w:rPr>
          <w:rFonts w:ascii="Arial" w:hAnsi="Arial" w:cs="Arial"/>
          <w:sz w:val="22"/>
          <w:szCs w:val="22"/>
        </w:rPr>
        <w:t xml:space="preserve"> </w:t>
      </w:r>
    </w:p>
    <w:p w14:paraId="764BF2EE" w14:textId="77777777" w:rsidR="00B729E1" w:rsidRDefault="00B729E1" w:rsidP="00B729E1">
      <w:pPr>
        <w:spacing w:line="240" w:lineRule="auto"/>
        <w:rPr>
          <w:rFonts w:ascii="Arial" w:hAnsi="Arial" w:cs="Arial"/>
          <w:sz w:val="22"/>
          <w:szCs w:val="22"/>
        </w:rPr>
      </w:pPr>
    </w:p>
    <w:p w14:paraId="5F217C1B" w14:textId="77BF05BC" w:rsidR="00B24825" w:rsidRPr="00EC52C9" w:rsidRDefault="00B729E1" w:rsidP="00B729E1">
      <w:pPr>
        <w:spacing w:line="240" w:lineRule="auto"/>
        <w:rPr>
          <w:rFonts w:ascii="Arial" w:hAnsi="Arial" w:cs="Arial"/>
          <w:sz w:val="22"/>
          <w:szCs w:val="22"/>
        </w:rPr>
      </w:pPr>
      <w:r w:rsidRPr="00B729E1">
        <w:rPr>
          <w:rFonts w:ascii="Arial" w:hAnsi="Arial" w:cs="Arial"/>
          <w:b/>
          <w:bCs/>
          <w:sz w:val="22"/>
          <w:szCs w:val="22"/>
        </w:rPr>
        <w:t>Word count -1096</w:t>
      </w:r>
    </w:p>
    <w:p w14:paraId="5E858250" w14:textId="42E52B6D" w:rsidR="00B24825" w:rsidRPr="00EC52C9" w:rsidRDefault="00B24825" w:rsidP="00B729E1">
      <w:pPr>
        <w:spacing w:line="240" w:lineRule="auto"/>
        <w:rPr>
          <w:rFonts w:ascii="Arial" w:hAnsi="Arial" w:cs="Arial"/>
          <w:sz w:val="22"/>
          <w:szCs w:val="22"/>
        </w:rPr>
      </w:pPr>
      <w:r w:rsidRPr="00EC52C9">
        <w:rPr>
          <w:rFonts w:ascii="Arial" w:hAnsi="Arial" w:cs="Arial"/>
          <w:sz w:val="22"/>
          <w:szCs w:val="22"/>
        </w:rPr>
        <w:br w:type="page"/>
      </w:r>
    </w:p>
    <w:p w14:paraId="76A7C57D" w14:textId="666BBF19"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lastRenderedPageBreak/>
        <w:t xml:space="preserve">Essay </w:t>
      </w:r>
      <w:r w:rsidRPr="00EC52C9">
        <w:rPr>
          <w:rFonts w:ascii="Arial" w:hAnsi="Arial" w:cs="Arial"/>
          <w:b/>
          <w:bCs/>
          <w:sz w:val="22"/>
          <w:szCs w:val="22"/>
        </w:rPr>
        <w:t>three</w:t>
      </w:r>
      <w:r w:rsidRPr="00B24825">
        <w:rPr>
          <w:rFonts w:ascii="Arial" w:hAnsi="Arial" w:cs="Arial"/>
          <w:b/>
          <w:bCs/>
          <w:sz w:val="22"/>
          <w:szCs w:val="22"/>
        </w:rPr>
        <w:t xml:space="preserve">: </w:t>
      </w:r>
    </w:p>
    <w:p w14:paraId="1D505229" w14:textId="77777777" w:rsidR="00B24825" w:rsidRPr="00B24825" w:rsidRDefault="00B24825" w:rsidP="00B729E1">
      <w:pPr>
        <w:spacing w:line="240" w:lineRule="auto"/>
        <w:rPr>
          <w:rFonts w:ascii="Arial" w:hAnsi="Arial" w:cs="Arial"/>
          <w:b/>
          <w:bCs/>
          <w:sz w:val="22"/>
          <w:szCs w:val="22"/>
        </w:rPr>
      </w:pPr>
      <w:r w:rsidRPr="00B24825">
        <w:rPr>
          <w:rFonts w:ascii="Arial" w:hAnsi="Arial" w:cs="Arial"/>
          <w:b/>
          <w:bCs/>
          <w:sz w:val="22"/>
          <w:szCs w:val="22"/>
        </w:rPr>
        <w:t>Outline potential links between serious and organised crime and public protection issues. What characteristics make some people more vulnerable to exploitation by serious and organised crime gangs?</w:t>
      </w:r>
    </w:p>
    <w:p w14:paraId="6CBFD1CE" w14:textId="77777777" w:rsidR="00B24825" w:rsidRPr="00B24825" w:rsidRDefault="00B24825" w:rsidP="00B729E1">
      <w:pPr>
        <w:spacing w:line="240" w:lineRule="auto"/>
        <w:rPr>
          <w:rFonts w:ascii="Arial" w:hAnsi="Arial" w:cs="Arial"/>
          <w:sz w:val="22"/>
          <w:szCs w:val="22"/>
        </w:rPr>
      </w:pPr>
    </w:p>
    <w:p w14:paraId="36E21F69" w14:textId="77777777" w:rsidR="00406A22" w:rsidRPr="00406A22" w:rsidRDefault="00406A22" w:rsidP="00B729E1">
      <w:pPr>
        <w:spacing w:line="240" w:lineRule="auto"/>
        <w:rPr>
          <w:rFonts w:ascii="Arial" w:hAnsi="Arial" w:cs="Arial"/>
          <w:b/>
          <w:bCs/>
          <w:sz w:val="22"/>
          <w:szCs w:val="22"/>
        </w:rPr>
      </w:pPr>
      <w:r w:rsidRPr="00406A22">
        <w:rPr>
          <w:rFonts w:ascii="Arial" w:hAnsi="Arial" w:cs="Arial"/>
          <w:b/>
          <w:bCs/>
          <w:sz w:val="22"/>
          <w:szCs w:val="22"/>
        </w:rPr>
        <w:t>Introduction</w:t>
      </w:r>
    </w:p>
    <w:p w14:paraId="1BDBCA73" w14:textId="77777777" w:rsidR="00406A22" w:rsidRPr="00406A22" w:rsidRDefault="00406A22" w:rsidP="00B729E1">
      <w:pPr>
        <w:spacing w:line="240" w:lineRule="auto"/>
        <w:rPr>
          <w:rFonts w:ascii="Arial" w:hAnsi="Arial" w:cs="Arial"/>
          <w:b/>
          <w:bCs/>
          <w:sz w:val="22"/>
          <w:szCs w:val="22"/>
        </w:rPr>
      </w:pPr>
      <w:r w:rsidRPr="00406A22">
        <w:rPr>
          <w:rFonts w:ascii="Arial" w:hAnsi="Arial" w:cs="Arial"/>
          <w:sz w:val="22"/>
          <w:szCs w:val="22"/>
        </w:rPr>
        <w:t>In this essay I will be discussing the potential links between serious organised crime and protection issues, first it’s important to ask, what is serious and organised crime?</w:t>
      </w:r>
    </w:p>
    <w:p w14:paraId="59F2664F"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Serious and organised crime is defined by the United Kingdoms Home Office as </w:t>
      </w:r>
    </w:p>
    <w:p w14:paraId="434BB7F2"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“individuals planning, co-ordinating and committing serious offences, whether individually, in groups and/or as part of transnational networks.” </w:t>
      </w:r>
      <w:sdt>
        <w:sdtPr>
          <w:rPr>
            <w:rFonts w:ascii="Arial" w:hAnsi="Arial" w:cs="Arial"/>
            <w:sz w:val="22"/>
            <w:szCs w:val="22"/>
          </w:rPr>
          <w:id w:val="-709947944"/>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Hom14 \l 2057 </w:instrText>
          </w:r>
          <w:r w:rsidRPr="00406A22">
            <w:rPr>
              <w:rFonts w:ascii="Arial" w:hAnsi="Arial" w:cs="Arial"/>
              <w:sz w:val="22"/>
              <w:szCs w:val="22"/>
            </w:rPr>
            <w:fldChar w:fldCharType="separate"/>
          </w:r>
          <w:r w:rsidRPr="00406A22">
            <w:rPr>
              <w:rFonts w:ascii="Arial" w:hAnsi="Arial" w:cs="Arial"/>
              <w:sz w:val="22"/>
              <w:szCs w:val="22"/>
            </w:rPr>
            <w:t>(Home Office, 2014)</w:t>
          </w:r>
          <w:r w:rsidRPr="00406A22">
            <w:rPr>
              <w:rFonts w:ascii="Arial" w:hAnsi="Arial" w:cs="Arial"/>
              <w:sz w:val="22"/>
              <w:szCs w:val="22"/>
            </w:rPr>
            <w:fldChar w:fldCharType="end"/>
          </w:r>
        </w:sdtContent>
      </w:sdt>
    </w:p>
    <w:p w14:paraId="4ADC912F"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These serious offences come in the form of fraud, illegal firearms and drugs, child sexual exploitation and abuse, money laundering, economic crime, corruption, bribery, modern slavery, human trafficking and organised immigration crime. </w:t>
      </w:r>
      <w:sdt>
        <w:sdtPr>
          <w:rPr>
            <w:rFonts w:ascii="Arial" w:hAnsi="Arial" w:cs="Arial"/>
            <w:sz w:val="22"/>
            <w:szCs w:val="22"/>
          </w:rPr>
          <w:id w:val="-312181745"/>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CITATION Ser14 \l 2057 </w:instrText>
          </w:r>
          <w:r w:rsidRPr="00406A22">
            <w:rPr>
              <w:rFonts w:ascii="Arial" w:hAnsi="Arial" w:cs="Arial"/>
              <w:sz w:val="22"/>
              <w:szCs w:val="22"/>
            </w:rPr>
            <w:fldChar w:fldCharType="separate"/>
          </w:r>
          <w:r w:rsidRPr="00406A22">
            <w:rPr>
              <w:rFonts w:ascii="Arial" w:hAnsi="Arial" w:cs="Arial"/>
              <w:sz w:val="22"/>
              <w:szCs w:val="22"/>
            </w:rPr>
            <w:t>(Home Office, 2014)</w:t>
          </w:r>
          <w:r w:rsidRPr="00406A22">
            <w:rPr>
              <w:rFonts w:ascii="Arial" w:hAnsi="Arial" w:cs="Arial"/>
              <w:sz w:val="22"/>
              <w:szCs w:val="22"/>
            </w:rPr>
            <w:fldChar w:fldCharType="end"/>
          </w:r>
        </w:sdtContent>
      </w:sdt>
    </w:p>
    <w:p w14:paraId="0ABAA2DA"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Serious and organised crimes represent a threat to the general public not only because of the offences themselves but also a tendency to coerce and target vulnerable individuals as both accomplices and victims.</w:t>
      </w:r>
    </w:p>
    <w:p w14:paraId="35063274" w14:textId="77777777" w:rsidR="00406A22" w:rsidRPr="00406A22" w:rsidRDefault="00406A22" w:rsidP="00B729E1">
      <w:pPr>
        <w:spacing w:line="240" w:lineRule="auto"/>
        <w:rPr>
          <w:rFonts w:ascii="Arial" w:hAnsi="Arial" w:cs="Arial"/>
          <w:sz w:val="22"/>
          <w:szCs w:val="22"/>
        </w:rPr>
      </w:pPr>
    </w:p>
    <w:p w14:paraId="49CA5AE4" w14:textId="40FC8A00" w:rsidR="00406A22" w:rsidRPr="00406A22" w:rsidRDefault="00A52D1A" w:rsidP="00B729E1">
      <w:pPr>
        <w:spacing w:line="240" w:lineRule="auto"/>
        <w:rPr>
          <w:rFonts w:ascii="Arial" w:hAnsi="Arial" w:cs="Arial"/>
          <w:b/>
          <w:bCs/>
          <w:sz w:val="22"/>
          <w:szCs w:val="22"/>
        </w:rPr>
      </w:pPr>
      <w:r w:rsidRPr="00406A22">
        <w:rPr>
          <w:rFonts w:ascii="Arial" w:hAnsi="Arial" w:cs="Arial"/>
          <w:b/>
          <w:bCs/>
          <w:sz w:val="22"/>
          <w:szCs w:val="22"/>
        </w:rPr>
        <w:t>Who tends to get targeted more</w:t>
      </w:r>
    </w:p>
    <w:p w14:paraId="730DB2FE"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Studies show that children, young adults and vulnerable adults may be targeted for a number of reasons. </w:t>
      </w:r>
      <w:sdt>
        <w:sdtPr>
          <w:rPr>
            <w:rFonts w:ascii="Arial" w:hAnsi="Arial" w:cs="Arial"/>
            <w:sz w:val="22"/>
            <w:szCs w:val="22"/>
          </w:rPr>
          <w:id w:val="1196507324"/>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Ang22 \l 2057 </w:instrText>
          </w:r>
          <w:r w:rsidRPr="00406A22">
            <w:rPr>
              <w:rFonts w:ascii="Arial" w:hAnsi="Arial" w:cs="Arial"/>
              <w:sz w:val="22"/>
              <w:szCs w:val="22"/>
            </w:rPr>
            <w:fldChar w:fldCharType="separate"/>
          </w:r>
          <w:r w:rsidRPr="00406A22">
            <w:rPr>
              <w:rFonts w:ascii="Arial" w:hAnsi="Arial" w:cs="Arial"/>
              <w:sz w:val="22"/>
              <w:szCs w:val="22"/>
            </w:rPr>
            <w:t>(Anggraini, 2022)</w:t>
          </w:r>
          <w:r w:rsidRPr="00406A22">
            <w:rPr>
              <w:rFonts w:ascii="Arial" w:hAnsi="Arial" w:cs="Arial"/>
              <w:sz w:val="22"/>
              <w:szCs w:val="22"/>
            </w:rPr>
            <w:fldChar w:fldCharType="end"/>
          </w:r>
        </w:sdtContent>
      </w:sdt>
    </w:p>
    <w:p w14:paraId="6F98B621"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Children and young adults in particular are often targeted for criminal exploitation, criminal exploitation in this case being defined as below;</w:t>
      </w:r>
    </w:p>
    <w:p w14:paraId="508FF391"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“Criminal exploitation is child abuse where children and young people are manipulated and coerced into committing crimes.” </w:t>
      </w:r>
      <w:sdt>
        <w:sdtPr>
          <w:rPr>
            <w:rFonts w:ascii="Arial" w:hAnsi="Arial" w:cs="Arial"/>
            <w:sz w:val="22"/>
            <w:szCs w:val="22"/>
          </w:rPr>
          <w:id w:val="-1806230483"/>
          <w:citation/>
        </w:sdtPr>
        <w:sdtEndPr/>
        <w:sdtContent>
          <w:r w:rsidRPr="00406A22">
            <w:rPr>
              <w:rFonts w:ascii="Arial" w:hAnsi="Arial" w:cs="Arial"/>
              <w:sz w:val="22"/>
              <w:szCs w:val="22"/>
            </w:rPr>
            <w:fldChar w:fldCharType="begin"/>
          </w:r>
          <w:r w:rsidRPr="00406A22">
            <w:rPr>
              <w:rFonts w:ascii="Arial" w:hAnsi="Arial" w:cs="Arial"/>
              <w:sz w:val="22"/>
              <w:szCs w:val="22"/>
              <w:u w:val="single"/>
            </w:rPr>
            <w:instrText xml:space="preserve"> CITATION NSP24 \l 2057 </w:instrText>
          </w:r>
          <w:r w:rsidRPr="00406A22">
            <w:rPr>
              <w:rFonts w:ascii="Arial" w:hAnsi="Arial" w:cs="Arial"/>
              <w:sz w:val="22"/>
              <w:szCs w:val="22"/>
            </w:rPr>
            <w:fldChar w:fldCharType="separate"/>
          </w:r>
          <w:r w:rsidRPr="00406A22">
            <w:rPr>
              <w:rFonts w:ascii="Arial" w:hAnsi="Arial" w:cs="Arial"/>
              <w:sz w:val="22"/>
              <w:szCs w:val="22"/>
            </w:rPr>
            <w:t>(NSPCC.ORG, 2024)</w:t>
          </w:r>
          <w:r w:rsidRPr="00406A22">
            <w:rPr>
              <w:rFonts w:ascii="Arial" w:hAnsi="Arial" w:cs="Arial"/>
              <w:sz w:val="22"/>
              <w:szCs w:val="22"/>
            </w:rPr>
            <w:fldChar w:fldCharType="end"/>
          </w:r>
        </w:sdtContent>
      </w:sdt>
      <w:r w:rsidRPr="00406A22">
        <w:rPr>
          <w:rFonts w:ascii="Arial" w:hAnsi="Arial" w:cs="Arial"/>
          <w:sz w:val="22"/>
          <w:szCs w:val="22"/>
        </w:rPr>
        <w:t xml:space="preserve"> </w:t>
      </w:r>
      <w:sdt>
        <w:sdtPr>
          <w:rPr>
            <w:rFonts w:ascii="Arial" w:hAnsi="Arial" w:cs="Arial"/>
            <w:sz w:val="22"/>
            <w:szCs w:val="22"/>
          </w:rPr>
          <w:id w:val="450367999"/>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Ann19 \l 2057 </w:instrText>
          </w:r>
          <w:r w:rsidRPr="00406A22">
            <w:rPr>
              <w:rFonts w:ascii="Arial" w:hAnsi="Arial" w:cs="Arial"/>
              <w:sz w:val="22"/>
              <w:szCs w:val="22"/>
            </w:rPr>
            <w:fldChar w:fldCharType="separate"/>
          </w:r>
          <w:r w:rsidRPr="00406A22">
            <w:rPr>
              <w:rFonts w:ascii="Arial" w:hAnsi="Arial" w:cs="Arial"/>
              <w:sz w:val="22"/>
              <w:szCs w:val="22"/>
            </w:rPr>
            <w:t>(Longfield, 2019)</w:t>
          </w:r>
          <w:r w:rsidRPr="00406A22">
            <w:rPr>
              <w:rFonts w:ascii="Arial" w:hAnsi="Arial" w:cs="Arial"/>
              <w:sz w:val="22"/>
              <w:szCs w:val="22"/>
            </w:rPr>
            <w:fldChar w:fldCharType="end"/>
          </w:r>
        </w:sdtContent>
      </w:sdt>
    </w:p>
    <w:p w14:paraId="3D7FEAF3"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Studies have found that in the case of children, there are a lot of factors that lead to or increase the likelihood of a child being exploited include the following;  </w:t>
      </w:r>
    </w:p>
    <w:p w14:paraId="6F654DFB"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“economic problems, bad environmental influences, low education, social factors, lack of public and government awareness, being easily deceived, weak parental supervision, and weak law enforcement.” </w:t>
      </w:r>
      <w:sdt>
        <w:sdtPr>
          <w:rPr>
            <w:rFonts w:ascii="Arial" w:hAnsi="Arial" w:cs="Arial"/>
            <w:sz w:val="22"/>
            <w:szCs w:val="22"/>
          </w:rPr>
          <w:id w:val="-747881231"/>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Ang22 \l 2057 </w:instrText>
          </w:r>
          <w:r w:rsidRPr="00406A22">
            <w:rPr>
              <w:rFonts w:ascii="Arial" w:hAnsi="Arial" w:cs="Arial"/>
              <w:sz w:val="22"/>
              <w:szCs w:val="22"/>
            </w:rPr>
            <w:fldChar w:fldCharType="separate"/>
          </w:r>
          <w:r w:rsidRPr="00406A22">
            <w:rPr>
              <w:rFonts w:ascii="Arial" w:hAnsi="Arial" w:cs="Arial"/>
              <w:sz w:val="22"/>
              <w:szCs w:val="22"/>
            </w:rPr>
            <w:t>(Anggraini, CRIME OF EXPLOITATION CRIME ANALYSIS OF CHILD WORK AS HOUSEHOLD SERVICE, 2022)</w:t>
          </w:r>
          <w:r w:rsidRPr="00406A22">
            <w:rPr>
              <w:rFonts w:ascii="Arial" w:hAnsi="Arial" w:cs="Arial"/>
              <w:sz w:val="22"/>
              <w:szCs w:val="22"/>
            </w:rPr>
            <w:fldChar w:fldCharType="end"/>
          </w:r>
        </w:sdtContent>
      </w:sdt>
      <w:r w:rsidRPr="00406A22">
        <w:rPr>
          <w:rFonts w:ascii="Arial" w:hAnsi="Arial" w:cs="Arial"/>
          <w:sz w:val="22"/>
          <w:szCs w:val="22"/>
        </w:rPr>
        <w:t xml:space="preserve"> </w:t>
      </w:r>
      <w:sdt>
        <w:sdtPr>
          <w:rPr>
            <w:rFonts w:ascii="Arial" w:hAnsi="Arial" w:cs="Arial"/>
            <w:sz w:val="22"/>
            <w:szCs w:val="22"/>
          </w:rPr>
          <w:id w:val="-1125305524"/>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Rav21 \l 2057 </w:instrText>
          </w:r>
          <w:r w:rsidRPr="00406A22">
            <w:rPr>
              <w:rFonts w:ascii="Arial" w:hAnsi="Arial" w:cs="Arial"/>
              <w:sz w:val="22"/>
              <w:szCs w:val="22"/>
            </w:rPr>
            <w:fldChar w:fldCharType="separate"/>
          </w:r>
          <w:r w:rsidRPr="00406A22">
            <w:rPr>
              <w:rFonts w:ascii="Arial" w:hAnsi="Arial" w:cs="Arial"/>
              <w:sz w:val="22"/>
              <w:szCs w:val="22"/>
            </w:rPr>
            <w:t>(Ravenscroft, Salisbury, Voela, &amp; Watts, 2021)</w:t>
          </w:r>
          <w:r w:rsidRPr="00406A22">
            <w:rPr>
              <w:rFonts w:ascii="Arial" w:hAnsi="Arial" w:cs="Arial"/>
              <w:sz w:val="22"/>
              <w:szCs w:val="22"/>
            </w:rPr>
            <w:fldChar w:fldCharType="end"/>
          </w:r>
        </w:sdtContent>
      </w:sdt>
    </w:p>
    <w:p w14:paraId="1C6D90FE" w14:textId="4291D74C" w:rsidR="00406A22" w:rsidRPr="00406A22" w:rsidRDefault="00A52D1A" w:rsidP="00B729E1">
      <w:pPr>
        <w:spacing w:line="240" w:lineRule="auto"/>
        <w:rPr>
          <w:rFonts w:ascii="Arial" w:hAnsi="Arial" w:cs="Arial"/>
          <w:b/>
          <w:bCs/>
          <w:sz w:val="22"/>
          <w:szCs w:val="22"/>
        </w:rPr>
      </w:pPr>
      <w:r w:rsidRPr="00406A22">
        <w:rPr>
          <w:rFonts w:ascii="Arial" w:hAnsi="Arial" w:cs="Arial"/>
          <w:b/>
          <w:bCs/>
          <w:sz w:val="22"/>
          <w:szCs w:val="22"/>
        </w:rPr>
        <w:t>County lines</w:t>
      </w:r>
    </w:p>
    <w:p w14:paraId="32602F06"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Another area of criminality where children and young adults are particularly vulnerable is in cases of County lines. “County Lines is the police term for urban gangs exploiting young people into moving drugs from a hub, normally a large city, into other markets - suburban areas and market and coastal towns - using dedicated mobile phone lines or “deal lines”. Children as young as 12 years old have been exploited into carrying drugs for gangs. This can involve children being trafficked away from their home area, staying in accommodation and selling and manufacturing drugs. This can include:</w:t>
      </w:r>
    </w:p>
    <w:p w14:paraId="2EF8CF59" w14:textId="77777777" w:rsidR="00406A22" w:rsidRPr="00406A22" w:rsidRDefault="00406A22" w:rsidP="00B729E1">
      <w:pPr>
        <w:numPr>
          <w:ilvl w:val="0"/>
          <w:numId w:val="2"/>
        </w:numPr>
        <w:spacing w:line="240" w:lineRule="auto"/>
        <w:rPr>
          <w:rFonts w:ascii="Arial" w:hAnsi="Arial" w:cs="Arial"/>
          <w:sz w:val="22"/>
          <w:szCs w:val="22"/>
        </w:rPr>
      </w:pPr>
      <w:r w:rsidRPr="00406A22">
        <w:rPr>
          <w:rFonts w:ascii="Arial" w:hAnsi="Arial" w:cs="Arial"/>
          <w:sz w:val="22"/>
          <w:szCs w:val="22"/>
        </w:rPr>
        <w:t>Airbnb and short term private rental properties</w:t>
      </w:r>
    </w:p>
    <w:p w14:paraId="1A375ED4" w14:textId="77777777" w:rsidR="00406A22" w:rsidRPr="00406A22" w:rsidRDefault="00406A22" w:rsidP="00B729E1">
      <w:pPr>
        <w:numPr>
          <w:ilvl w:val="0"/>
          <w:numId w:val="2"/>
        </w:numPr>
        <w:spacing w:line="240" w:lineRule="auto"/>
        <w:rPr>
          <w:rFonts w:ascii="Arial" w:hAnsi="Arial" w:cs="Arial"/>
          <w:sz w:val="22"/>
          <w:szCs w:val="22"/>
        </w:rPr>
      </w:pPr>
      <w:r w:rsidRPr="00406A22">
        <w:rPr>
          <w:rFonts w:ascii="Arial" w:hAnsi="Arial" w:cs="Arial"/>
          <w:sz w:val="22"/>
          <w:szCs w:val="22"/>
        </w:rPr>
        <w:t>budget hotels</w:t>
      </w:r>
    </w:p>
    <w:p w14:paraId="593DA828" w14:textId="77777777" w:rsidR="00406A22" w:rsidRPr="00406A22" w:rsidRDefault="00406A22" w:rsidP="00B729E1">
      <w:pPr>
        <w:numPr>
          <w:ilvl w:val="0"/>
          <w:numId w:val="2"/>
        </w:numPr>
        <w:spacing w:line="240" w:lineRule="auto"/>
        <w:rPr>
          <w:rFonts w:ascii="Arial" w:hAnsi="Arial" w:cs="Arial"/>
          <w:sz w:val="22"/>
          <w:szCs w:val="22"/>
        </w:rPr>
      </w:pPr>
      <w:r w:rsidRPr="00406A22">
        <w:rPr>
          <w:rFonts w:ascii="Arial" w:hAnsi="Arial" w:cs="Arial"/>
          <w:sz w:val="22"/>
          <w:szCs w:val="22"/>
        </w:rPr>
        <w:lastRenderedPageBreak/>
        <w:t>the home of a drug user, or other vulnerable person, that is taken over by a criminal gang- this may be referred to as cuckooing.”</w:t>
      </w:r>
    </w:p>
    <w:p w14:paraId="2D68E8C4" w14:textId="77777777" w:rsidR="00406A22" w:rsidRPr="00406A22" w:rsidRDefault="0071303A" w:rsidP="00B729E1">
      <w:pPr>
        <w:spacing w:line="240" w:lineRule="auto"/>
        <w:rPr>
          <w:rFonts w:ascii="Arial" w:hAnsi="Arial" w:cs="Arial"/>
          <w:sz w:val="22"/>
          <w:szCs w:val="22"/>
        </w:rPr>
      </w:pPr>
      <w:sdt>
        <w:sdtPr>
          <w:rPr>
            <w:rFonts w:ascii="Arial" w:hAnsi="Arial" w:cs="Arial"/>
            <w:sz w:val="22"/>
            <w:szCs w:val="22"/>
          </w:rPr>
          <w:id w:val="-831145777"/>
          <w:citation/>
        </w:sdtPr>
        <w:sdtEndPr/>
        <w:sdtContent>
          <w:r w:rsidR="00406A22" w:rsidRPr="00406A22">
            <w:rPr>
              <w:rFonts w:ascii="Arial" w:hAnsi="Arial" w:cs="Arial"/>
              <w:sz w:val="22"/>
              <w:szCs w:val="22"/>
            </w:rPr>
            <w:fldChar w:fldCharType="begin"/>
          </w:r>
          <w:r w:rsidR="00406A22" w:rsidRPr="00406A22">
            <w:rPr>
              <w:rFonts w:ascii="Arial" w:hAnsi="Arial" w:cs="Arial"/>
              <w:sz w:val="22"/>
              <w:szCs w:val="22"/>
            </w:rPr>
            <w:instrText xml:space="preserve"> CITATION NSP24 \l 2057 </w:instrText>
          </w:r>
          <w:r w:rsidR="00406A22" w:rsidRPr="00406A22">
            <w:rPr>
              <w:rFonts w:ascii="Arial" w:hAnsi="Arial" w:cs="Arial"/>
              <w:sz w:val="22"/>
              <w:szCs w:val="22"/>
            </w:rPr>
            <w:fldChar w:fldCharType="separate"/>
          </w:r>
          <w:r w:rsidR="00406A22" w:rsidRPr="00406A22">
            <w:rPr>
              <w:rFonts w:ascii="Arial" w:hAnsi="Arial" w:cs="Arial"/>
              <w:sz w:val="22"/>
              <w:szCs w:val="22"/>
            </w:rPr>
            <w:t>(NSPCC.ORG, 2024)</w:t>
          </w:r>
          <w:r w:rsidR="00406A22" w:rsidRPr="00406A22">
            <w:rPr>
              <w:rFonts w:ascii="Arial" w:hAnsi="Arial" w:cs="Arial"/>
              <w:sz w:val="22"/>
              <w:szCs w:val="22"/>
            </w:rPr>
            <w:fldChar w:fldCharType="end"/>
          </w:r>
        </w:sdtContent>
      </w:sdt>
      <w:r w:rsidR="00406A22" w:rsidRPr="00406A22">
        <w:rPr>
          <w:rFonts w:ascii="Arial" w:hAnsi="Arial" w:cs="Arial"/>
          <w:sz w:val="22"/>
          <w:szCs w:val="22"/>
        </w:rPr>
        <w:t xml:space="preserve"> CUCKOOING </w:t>
      </w:r>
      <w:sdt>
        <w:sdtPr>
          <w:rPr>
            <w:rFonts w:ascii="Arial" w:hAnsi="Arial" w:cs="Arial"/>
            <w:sz w:val="22"/>
            <w:szCs w:val="22"/>
          </w:rPr>
          <w:id w:val="-456716731"/>
          <w:citation/>
        </w:sdtPr>
        <w:sdtEndPr/>
        <w:sdtContent>
          <w:r w:rsidR="00406A22" w:rsidRPr="00406A22">
            <w:rPr>
              <w:rFonts w:ascii="Arial" w:hAnsi="Arial" w:cs="Arial"/>
              <w:sz w:val="22"/>
              <w:szCs w:val="22"/>
            </w:rPr>
            <w:fldChar w:fldCharType="begin"/>
          </w:r>
          <w:r w:rsidR="00406A22" w:rsidRPr="00406A22">
            <w:rPr>
              <w:rFonts w:ascii="Arial" w:hAnsi="Arial" w:cs="Arial"/>
              <w:sz w:val="22"/>
              <w:szCs w:val="22"/>
            </w:rPr>
            <w:instrText xml:space="preserve"> CITATION Coo18 \l 2057 </w:instrText>
          </w:r>
          <w:r w:rsidR="00406A22" w:rsidRPr="00406A22">
            <w:rPr>
              <w:rFonts w:ascii="Arial" w:hAnsi="Arial" w:cs="Arial"/>
              <w:sz w:val="22"/>
              <w:szCs w:val="22"/>
            </w:rPr>
            <w:fldChar w:fldCharType="separate"/>
          </w:r>
          <w:r w:rsidR="00406A22" w:rsidRPr="00406A22">
            <w:rPr>
              <w:rFonts w:ascii="Arial" w:hAnsi="Arial" w:cs="Arial"/>
              <w:sz w:val="22"/>
              <w:szCs w:val="22"/>
            </w:rPr>
            <w:t>(Coomber, 2018)</w:t>
          </w:r>
          <w:r w:rsidR="00406A22" w:rsidRPr="00406A22">
            <w:rPr>
              <w:rFonts w:ascii="Arial" w:hAnsi="Arial" w:cs="Arial"/>
              <w:sz w:val="22"/>
              <w:szCs w:val="22"/>
            </w:rPr>
            <w:fldChar w:fldCharType="end"/>
          </w:r>
        </w:sdtContent>
      </w:sdt>
      <w:r w:rsidR="00406A22" w:rsidRPr="00406A22">
        <w:rPr>
          <w:rFonts w:ascii="Arial" w:hAnsi="Arial" w:cs="Arial"/>
          <w:sz w:val="22"/>
          <w:szCs w:val="22"/>
        </w:rPr>
        <w:t xml:space="preserve"> </w:t>
      </w:r>
    </w:p>
    <w:p w14:paraId="2CB65FB3"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Cuckooing is defined as </w:t>
      </w:r>
    </w:p>
    <w:p w14:paraId="6B822E37"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“situation where a county lines dealer ‘takes over’ accommodation located in the provincial drugs market, using it as a local dealing base” </w:t>
      </w:r>
      <w:sdt>
        <w:sdtPr>
          <w:rPr>
            <w:rFonts w:ascii="Arial" w:hAnsi="Arial" w:cs="Arial"/>
            <w:sz w:val="22"/>
            <w:szCs w:val="22"/>
          </w:rPr>
          <w:id w:val="-1193992988"/>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Joh17 \l 2057 </w:instrText>
          </w:r>
          <w:r w:rsidRPr="00406A22">
            <w:rPr>
              <w:rFonts w:ascii="Arial" w:hAnsi="Arial" w:cs="Arial"/>
              <w:sz w:val="22"/>
              <w:szCs w:val="22"/>
            </w:rPr>
            <w:fldChar w:fldCharType="separate"/>
          </w:r>
          <w:r w:rsidRPr="00406A22">
            <w:rPr>
              <w:rFonts w:ascii="Arial" w:hAnsi="Arial" w:cs="Arial"/>
              <w:sz w:val="22"/>
              <w:szCs w:val="22"/>
            </w:rPr>
            <w:t>(Butera, 2017)</w:t>
          </w:r>
          <w:r w:rsidRPr="00406A22">
            <w:rPr>
              <w:rFonts w:ascii="Arial" w:hAnsi="Arial" w:cs="Arial"/>
              <w:sz w:val="22"/>
              <w:szCs w:val="22"/>
            </w:rPr>
            <w:fldChar w:fldCharType="end"/>
          </w:r>
        </w:sdtContent>
      </w:sdt>
      <w:r w:rsidRPr="00406A22">
        <w:rPr>
          <w:rFonts w:ascii="Arial" w:hAnsi="Arial" w:cs="Arial"/>
          <w:sz w:val="22"/>
          <w:szCs w:val="22"/>
        </w:rPr>
        <w:t xml:space="preserve"> </w:t>
      </w:r>
      <w:sdt>
        <w:sdtPr>
          <w:rPr>
            <w:rFonts w:ascii="Arial" w:hAnsi="Arial" w:cs="Arial"/>
            <w:sz w:val="22"/>
            <w:szCs w:val="22"/>
          </w:rPr>
          <w:id w:val="1815133068"/>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Coo181 \l 2057 </w:instrText>
          </w:r>
          <w:r w:rsidRPr="00406A22">
            <w:rPr>
              <w:rFonts w:ascii="Arial" w:hAnsi="Arial" w:cs="Arial"/>
              <w:sz w:val="22"/>
              <w:szCs w:val="22"/>
            </w:rPr>
            <w:fldChar w:fldCharType="separate"/>
          </w:r>
          <w:r w:rsidRPr="00406A22">
            <w:rPr>
              <w:rFonts w:ascii="Arial" w:hAnsi="Arial" w:cs="Arial"/>
              <w:sz w:val="22"/>
              <w:szCs w:val="22"/>
            </w:rPr>
            <w:t>(Coomber R. a., 2018)</w:t>
          </w:r>
          <w:r w:rsidRPr="00406A22">
            <w:rPr>
              <w:rFonts w:ascii="Arial" w:hAnsi="Arial" w:cs="Arial"/>
              <w:sz w:val="22"/>
              <w:szCs w:val="22"/>
            </w:rPr>
            <w:fldChar w:fldCharType="end"/>
          </w:r>
        </w:sdtContent>
      </w:sdt>
      <w:r w:rsidRPr="00406A22">
        <w:rPr>
          <w:rFonts w:ascii="Arial" w:hAnsi="Arial" w:cs="Arial"/>
          <w:sz w:val="22"/>
          <w:szCs w:val="22"/>
        </w:rPr>
        <w:t xml:space="preserve"> </w:t>
      </w:r>
    </w:p>
    <w:p w14:paraId="7C33EC29" w14:textId="77777777" w:rsidR="00406A22" w:rsidRPr="00406A22" w:rsidRDefault="00406A22" w:rsidP="00B729E1">
      <w:pPr>
        <w:spacing w:line="240" w:lineRule="auto"/>
        <w:rPr>
          <w:rFonts w:ascii="Arial" w:hAnsi="Arial" w:cs="Arial"/>
          <w:b/>
          <w:bCs/>
          <w:sz w:val="22"/>
          <w:szCs w:val="22"/>
        </w:rPr>
      </w:pPr>
    </w:p>
    <w:p w14:paraId="6EF7EE95" w14:textId="672B2EF2" w:rsidR="00406A22" w:rsidRPr="00406A22" w:rsidRDefault="00A52D1A" w:rsidP="00B729E1">
      <w:pPr>
        <w:spacing w:line="240" w:lineRule="auto"/>
        <w:rPr>
          <w:rFonts w:ascii="Arial" w:hAnsi="Arial" w:cs="Arial"/>
          <w:b/>
          <w:bCs/>
          <w:sz w:val="22"/>
          <w:szCs w:val="22"/>
        </w:rPr>
      </w:pPr>
      <w:r w:rsidRPr="00406A22">
        <w:rPr>
          <w:rFonts w:ascii="Arial" w:hAnsi="Arial" w:cs="Arial"/>
          <w:b/>
          <w:bCs/>
          <w:sz w:val="22"/>
          <w:szCs w:val="22"/>
        </w:rPr>
        <w:t>How vulnerable people are recruited</w:t>
      </w:r>
    </w:p>
    <w:p w14:paraId="3888B68D"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Studies have found that children and young people are often recruited by gangs because of where they live or their family or they may feel forced to join for protection or because they think they don’t have any options.</w:t>
      </w:r>
    </w:p>
    <w:p w14:paraId="6FD012C4"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Some may instead choose to join a gang because of peer pressure, want to gain status or power, to feel important, etc. </w:t>
      </w:r>
      <w:sdt>
        <w:sdtPr>
          <w:rPr>
            <w:rFonts w:ascii="Arial" w:hAnsi="Arial" w:cs="Arial"/>
            <w:sz w:val="22"/>
            <w:szCs w:val="22"/>
          </w:rPr>
          <w:id w:val="-1938905347"/>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NSP24 \l 2057 </w:instrText>
          </w:r>
          <w:r w:rsidRPr="00406A22">
            <w:rPr>
              <w:rFonts w:ascii="Arial" w:hAnsi="Arial" w:cs="Arial"/>
              <w:sz w:val="22"/>
              <w:szCs w:val="22"/>
            </w:rPr>
            <w:fldChar w:fldCharType="separate"/>
          </w:r>
          <w:r w:rsidRPr="00406A22">
            <w:rPr>
              <w:rFonts w:ascii="Arial" w:hAnsi="Arial" w:cs="Arial"/>
              <w:sz w:val="22"/>
              <w:szCs w:val="22"/>
            </w:rPr>
            <w:t>(NSPCC.ORG, 2024)</w:t>
          </w:r>
          <w:r w:rsidRPr="00406A22">
            <w:rPr>
              <w:rFonts w:ascii="Arial" w:hAnsi="Arial" w:cs="Arial"/>
              <w:sz w:val="22"/>
              <w:szCs w:val="22"/>
            </w:rPr>
            <w:fldChar w:fldCharType="end"/>
          </w:r>
        </w:sdtContent>
      </w:sdt>
    </w:p>
    <w:p w14:paraId="1C6CD75A"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Some times they may be coerced into delivering drugs for the gang and if caught are considered by the gang to be ‘indebted to them’ making it very difficult for them to leave.</w:t>
      </w:r>
    </w:p>
    <w:p w14:paraId="168E4BC6"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In the case of cuckooing, the offender [s] will target vulnerable people who live alone such as such as drug users or vulnerable individuals with learning difficulties, mental health problems or disabilities eventually taking over the victims property. </w:t>
      </w:r>
      <w:sdt>
        <w:sdtPr>
          <w:rPr>
            <w:rFonts w:ascii="Arial" w:hAnsi="Arial" w:cs="Arial"/>
            <w:sz w:val="22"/>
            <w:szCs w:val="22"/>
          </w:rPr>
          <w:id w:val="-2144810764"/>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Nat15 \l 2057 </w:instrText>
          </w:r>
          <w:r w:rsidRPr="00406A22">
            <w:rPr>
              <w:rFonts w:ascii="Arial" w:hAnsi="Arial" w:cs="Arial"/>
              <w:sz w:val="22"/>
              <w:szCs w:val="22"/>
            </w:rPr>
            <w:fldChar w:fldCharType="separate"/>
          </w:r>
          <w:r w:rsidRPr="00406A22">
            <w:rPr>
              <w:rFonts w:ascii="Arial" w:hAnsi="Arial" w:cs="Arial"/>
              <w:sz w:val="22"/>
              <w:szCs w:val="22"/>
            </w:rPr>
            <w:t>(National Crime Agency, 2015)</w:t>
          </w:r>
          <w:r w:rsidRPr="00406A22">
            <w:rPr>
              <w:rFonts w:ascii="Arial" w:hAnsi="Arial" w:cs="Arial"/>
              <w:sz w:val="22"/>
              <w:szCs w:val="22"/>
            </w:rPr>
            <w:fldChar w:fldCharType="end"/>
          </w:r>
        </w:sdtContent>
      </w:sdt>
    </w:p>
    <w:p w14:paraId="6BFDA79F"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Individuals who are socioeconomically disadvantaged are also more vulnerable to SOC gangs, individuals who are unemployed, suffering from poverty or lacking in opportunities for education may be more likely to find themselves in a situation where criminal activity actually seems like a viable option. </w:t>
      </w:r>
    </w:p>
    <w:p w14:paraId="7D145D8B"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Studies such as Pitts (2008) on youth involvement in gangs have found that SOG gangs often recruit youths in deprived areas where they are more likely to see criminal activity as a way to become more financially stable. </w:t>
      </w:r>
      <w:sdt>
        <w:sdtPr>
          <w:rPr>
            <w:rFonts w:ascii="Arial" w:hAnsi="Arial" w:cs="Arial"/>
            <w:sz w:val="22"/>
            <w:szCs w:val="22"/>
          </w:rPr>
          <w:id w:val="1097061990"/>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REL09 \l 2057 </w:instrText>
          </w:r>
          <w:r w:rsidRPr="00406A22">
            <w:rPr>
              <w:rFonts w:ascii="Arial" w:hAnsi="Arial" w:cs="Arial"/>
              <w:sz w:val="22"/>
              <w:szCs w:val="22"/>
            </w:rPr>
            <w:fldChar w:fldCharType="separate"/>
          </w:r>
          <w:r w:rsidRPr="00406A22">
            <w:rPr>
              <w:rFonts w:ascii="Arial" w:hAnsi="Arial" w:cs="Arial"/>
              <w:sz w:val="22"/>
              <w:szCs w:val="22"/>
            </w:rPr>
            <w:t>(CRIME, 2009)</w:t>
          </w:r>
          <w:r w:rsidRPr="00406A22">
            <w:rPr>
              <w:rFonts w:ascii="Arial" w:hAnsi="Arial" w:cs="Arial"/>
              <w:sz w:val="22"/>
              <w:szCs w:val="22"/>
            </w:rPr>
            <w:fldChar w:fldCharType="end"/>
          </w:r>
        </w:sdtContent>
      </w:sdt>
    </w:p>
    <w:p w14:paraId="11559529"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Another group that should be considered particularly vulnerable to SOC gangs are individuals that suffer from substance abuse especially when the SOC gangs are involved in drug trafficking and/or distribution as it often results in the individual becoming mired in debt to the gang from drug use.</w:t>
      </w:r>
    </w:p>
    <w:p w14:paraId="1B47FC85"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One study by May and Hough (2003) on drug markets in the UK found that individuals that used drugs would often rack up debt with the gang and be coerced by them to commit offences or sell drugs in order to repay their debts to the gang. </w:t>
      </w:r>
      <w:sdt>
        <w:sdtPr>
          <w:rPr>
            <w:rFonts w:ascii="Arial" w:hAnsi="Arial" w:cs="Arial"/>
            <w:sz w:val="22"/>
            <w:szCs w:val="22"/>
          </w:rPr>
          <w:id w:val="-770545078"/>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May09 \l 2057 </w:instrText>
          </w:r>
          <w:r w:rsidRPr="00406A22">
            <w:rPr>
              <w:rFonts w:ascii="Arial" w:hAnsi="Arial" w:cs="Arial"/>
              <w:sz w:val="22"/>
              <w:szCs w:val="22"/>
            </w:rPr>
            <w:fldChar w:fldCharType="separate"/>
          </w:r>
          <w:r w:rsidRPr="00406A22">
            <w:rPr>
              <w:rFonts w:ascii="Arial" w:hAnsi="Arial" w:cs="Arial"/>
              <w:sz w:val="22"/>
              <w:szCs w:val="22"/>
            </w:rPr>
            <w:t>(May &amp; Hough, 2009)</w:t>
          </w:r>
          <w:r w:rsidRPr="00406A22">
            <w:rPr>
              <w:rFonts w:ascii="Arial" w:hAnsi="Arial" w:cs="Arial"/>
              <w:sz w:val="22"/>
              <w:szCs w:val="22"/>
            </w:rPr>
            <w:fldChar w:fldCharType="end"/>
          </w:r>
        </w:sdtContent>
      </w:sdt>
    </w:p>
    <w:p w14:paraId="33AF3DC1"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Another major factor to consider are individuals with mental health conditions are particularly vulnerable to exploitation by SOC gangs. Mental health conditions can make an individual more likely to be coerced of manipulated or make decisions with poor judgement. A particularly stark example of this is from a study by Cockbain and Brayley (2011) on Child sexual exploitation and youth offending. It found that many of the victims suffered from preexisting mental health issues which in turn were made even worse by the abuse they suffered. </w:t>
      </w:r>
      <w:sdt>
        <w:sdtPr>
          <w:rPr>
            <w:rFonts w:ascii="Arial" w:hAnsi="Arial" w:cs="Arial"/>
            <w:sz w:val="22"/>
            <w:szCs w:val="22"/>
          </w:rPr>
          <w:id w:val="1282384697"/>
          <w:citation/>
        </w:sdtPr>
        <w:sdtEndPr/>
        <w:sdtContent>
          <w:r w:rsidRPr="00406A22">
            <w:rPr>
              <w:rFonts w:ascii="Arial" w:hAnsi="Arial" w:cs="Arial"/>
              <w:sz w:val="22"/>
              <w:szCs w:val="22"/>
            </w:rPr>
            <w:fldChar w:fldCharType="begin"/>
          </w:r>
          <w:r w:rsidRPr="00406A22">
            <w:rPr>
              <w:rFonts w:ascii="Arial" w:hAnsi="Arial" w:cs="Arial"/>
              <w:sz w:val="22"/>
              <w:szCs w:val="22"/>
            </w:rPr>
            <w:instrText xml:space="preserve"> CITATION Coc12 \l 2057 </w:instrText>
          </w:r>
          <w:r w:rsidRPr="00406A22">
            <w:rPr>
              <w:rFonts w:ascii="Arial" w:hAnsi="Arial" w:cs="Arial"/>
              <w:sz w:val="22"/>
              <w:szCs w:val="22"/>
            </w:rPr>
            <w:fldChar w:fldCharType="separate"/>
          </w:r>
          <w:r w:rsidRPr="00406A22">
            <w:rPr>
              <w:rFonts w:ascii="Arial" w:hAnsi="Arial" w:cs="Arial"/>
              <w:sz w:val="22"/>
              <w:szCs w:val="22"/>
            </w:rPr>
            <w:t>(Cockbain &amp; Brayley, 2012)</w:t>
          </w:r>
          <w:r w:rsidRPr="00406A22">
            <w:rPr>
              <w:rFonts w:ascii="Arial" w:hAnsi="Arial" w:cs="Arial"/>
              <w:sz w:val="22"/>
              <w:szCs w:val="22"/>
            </w:rPr>
            <w:fldChar w:fldCharType="end"/>
          </w:r>
        </w:sdtContent>
      </w:sdt>
    </w:p>
    <w:p w14:paraId="64E0DADF" w14:textId="77777777" w:rsidR="00406A22" w:rsidRPr="00406A22" w:rsidRDefault="00406A22" w:rsidP="00B729E1">
      <w:pPr>
        <w:spacing w:line="240" w:lineRule="auto"/>
        <w:rPr>
          <w:rFonts w:ascii="Arial" w:hAnsi="Arial" w:cs="Arial"/>
          <w:sz w:val="22"/>
          <w:szCs w:val="22"/>
        </w:rPr>
      </w:pPr>
    </w:p>
    <w:p w14:paraId="21397AF9" w14:textId="77777777" w:rsidR="00406A22" w:rsidRPr="00406A22" w:rsidRDefault="00406A22" w:rsidP="00B729E1">
      <w:pPr>
        <w:spacing w:line="240" w:lineRule="auto"/>
        <w:rPr>
          <w:rFonts w:ascii="Arial" w:hAnsi="Arial" w:cs="Arial"/>
          <w:b/>
          <w:bCs/>
          <w:sz w:val="22"/>
          <w:szCs w:val="22"/>
        </w:rPr>
      </w:pPr>
      <w:r w:rsidRPr="00406A22">
        <w:rPr>
          <w:rFonts w:ascii="Arial" w:hAnsi="Arial" w:cs="Arial"/>
          <w:b/>
          <w:bCs/>
          <w:sz w:val="22"/>
          <w:szCs w:val="22"/>
        </w:rPr>
        <w:t>Conclusion</w:t>
      </w:r>
    </w:p>
    <w:p w14:paraId="352F73C1"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 xml:space="preserve">In conclusion there is a very close relation between serious and organised crime and public protection issues. SOC groups have become very adept at targeting and exploiting </w:t>
      </w:r>
      <w:r w:rsidRPr="00406A22">
        <w:rPr>
          <w:rFonts w:ascii="Arial" w:hAnsi="Arial" w:cs="Arial"/>
          <w:sz w:val="22"/>
          <w:szCs w:val="22"/>
        </w:rPr>
        <w:lastRenderedPageBreak/>
        <w:t>individuals with vulnerabilities be they socioeconomic, mental health, drug abuse or age related.</w:t>
      </w:r>
    </w:p>
    <w:p w14:paraId="78789005" w14:textId="77777777" w:rsidR="00406A22" w:rsidRPr="00406A22" w:rsidRDefault="00406A22" w:rsidP="00B729E1">
      <w:pPr>
        <w:spacing w:line="240" w:lineRule="auto"/>
        <w:rPr>
          <w:rFonts w:ascii="Arial" w:hAnsi="Arial" w:cs="Arial"/>
          <w:sz w:val="22"/>
          <w:szCs w:val="22"/>
        </w:rPr>
      </w:pPr>
      <w:r w:rsidRPr="00406A22">
        <w:rPr>
          <w:rFonts w:ascii="Arial" w:hAnsi="Arial" w:cs="Arial"/>
          <w:sz w:val="22"/>
          <w:szCs w:val="22"/>
        </w:rPr>
        <w:t>In order to effectively address activities by these SOC Gangs it’s not enough to simply disrupt the SOC gangs themselves but also to give adequate support and targeted interventions to vulnerable individuals, children and youths.</w:t>
      </w:r>
    </w:p>
    <w:p w14:paraId="3C076904" w14:textId="77777777" w:rsidR="00A52D1A" w:rsidRDefault="00406A22" w:rsidP="00B729E1">
      <w:pPr>
        <w:spacing w:line="240" w:lineRule="auto"/>
        <w:rPr>
          <w:rFonts w:ascii="Arial" w:hAnsi="Arial" w:cs="Arial"/>
          <w:sz w:val="22"/>
          <w:szCs w:val="22"/>
        </w:rPr>
      </w:pPr>
      <w:r w:rsidRPr="00406A22">
        <w:rPr>
          <w:rFonts w:ascii="Arial" w:hAnsi="Arial" w:cs="Arial"/>
          <w:sz w:val="22"/>
          <w:szCs w:val="22"/>
        </w:rPr>
        <w:t>Such a task cannot be completed by any single organisation so it’s important that agencies work together in order to disrupt SOC Gangs and protect vulnerable people and mitigate risks to public safety.</w:t>
      </w:r>
      <w:r w:rsidR="00A52D1A">
        <w:rPr>
          <w:rFonts w:ascii="Arial" w:hAnsi="Arial" w:cs="Arial"/>
          <w:sz w:val="22"/>
          <w:szCs w:val="22"/>
        </w:rPr>
        <w:t xml:space="preserve"> </w:t>
      </w:r>
    </w:p>
    <w:p w14:paraId="443A1903" w14:textId="603067B5" w:rsidR="00406A22" w:rsidRPr="00406A22" w:rsidRDefault="00A52D1A" w:rsidP="00B729E1">
      <w:pPr>
        <w:spacing w:line="240" w:lineRule="auto"/>
        <w:rPr>
          <w:rFonts w:ascii="Arial" w:hAnsi="Arial" w:cs="Arial"/>
          <w:b/>
          <w:bCs/>
          <w:sz w:val="22"/>
          <w:szCs w:val="22"/>
        </w:rPr>
      </w:pPr>
      <w:r w:rsidRPr="00A52D1A">
        <w:rPr>
          <w:rFonts w:ascii="Arial" w:hAnsi="Arial" w:cs="Arial"/>
          <w:b/>
          <w:bCs/>
          <w:sz w:val="22"/>
          <w:szCs w:val="22"/>
        </w:rPr>
        <w:t>Word count - 965</w:t>
      </w:r>
    </w:p>
    <w:p w14:paraId="330F8D84" w14:textId="14AB5299" w:rsidR="00AC3321" w:rsidRPr="00EC52C9" w:rsidRDefault="00AC3321" w:rsidP="00B729E1">
      <w:pPr>
        <w:spacing w:line="240" w:lineRule="auto"/>
        <w:rPr>
          <w:rFonts w:ascii="Arial" w:hAnsi="Arial" w:cs="Arial"/>
          <w:sz w:val="22"/>
          <w:szCs w:val="22"/>
        </w:rPr>
      </w:pPr>
      <w:r w:rsidRPr="00EC52C9">
        <w:rPr>
          <w:rFonts w:ascii="Arial" w:hAnsi="Arial" w:cs="Arial"/>
          <w:sz w:val="22"/>
          <w:szCs w:val="22"/>
        </w:rPr>
        <w:br w:type="page"/>
      </w:r>
    </w:p>
    <w:p w14:paraId="665D3930" w14:textId="301E21F3" w:rsidR="00AC3321" w:rsidRPr="00AC3321" w:rsidRDefault="00AC3321" w:rsidP="00B729E1">
      <w:pPr>
        <w:spacing w:line="240" w:lineRule="auto"/>
        <w:rPr>
          <w:rFonts w:ascii="Arial" w:hAnsi="Arial" w:cs="Arial"/>
          <w:b/>
          <w:bCs/>
          <w:sz w:val="22"/>
          <w:szCs w:val="22"/>
        </w:rPr>
      </w:pPr>
      <w:r w:rsidRPr="00AC3321">
        <w:rPr>
          <w:rFonts w:ascii="Arial" w:hAnsi="Arial" w:cs="Arial"/>
          <w:b/>
          <w:bCs/>
          <w:sz w:val="22"/>
          <w:szCs w:val="22"/>
        </w:rPr>
        <w:lastRenderedPageBreak/>
        <w:t>Essay f</w:t>
      </w:r>
      <w:r w:rsidR="0071303A">
        <w:rPr>
          <w:rFonts w:ascii="Arial" w:hAnsi="Arial" w:cs="Arial"/>
          <w:b/>
          <w:bCs/>
          <w:sz w:val="22"/>
          <w:szCs w:val="22"/>
        </w:rPr>
        <w:t>our</w:t>
      </w:r>
      <w:r w:rsidRPr="00AC3321">
        <w:rPr>
          <w:rFonts w:ascii="Arial" w:hAnsi="Arial" w:cs="Arial"/>
          <w:b/>
          <w:bCs/>
          <w:sz w:val="22"/>
          <w:szCs w:val="22"/>
        </w:rPr>
        <w:t xml:space="preserve">: </w:t>
      </w:r>
    </w:p>
    <w:p w14:paraId="2167C3CD" w14:textId="77777777" w:rsidR="00AC3321" w:rsidRPr="00AC3321" w:rsidRDefault="00AC3321" w:rsidP="00B729E1">
      <w:pPr>
        <w:spacing w:line="240" w:lineRule="auto"/>
        <w:rPr>
          <w:rFonts w:ascii="Arial" w:hAnsi="Arial" w:cs="Arial"/>
          <w:b/>
          <w:bCs/>
          <w:sz w:val="22"/>
          <w:szCs w:val="22"/>
        </w:rPr>
      </w:pPr>
      <w:r w:rsidRPr="00AC3321">
        <w:rPr>
          <w:rFonts w:ascii="Arial" w:hAnsi="Arial" w:cs="Arial"/>
          <w:b/>
          <w:bCs/>
          <w:sz w:val="22"/>
          <w:szCs w:val="22"/>
        </w:rPr>
        <w:t>How effective is early intervention an effective means of preventing young people from offending or re-offending?</w:t>
      </w:r>
    </w:p>
    <w:p w14:paraId="24CF4F63" w14:textId="77777777" w:rsidR="00AC3321" w:rsidRDefault="00AC3321" w:rsidP="00B729E1">
      <w:pPr>
        <w:spacing w:line="240" w:lineRule="auto"/>
        <w:rPr>
          <w:rFonts w:ascii="Arial" w:hAnsi="Arial" w:cs="Arial"/>
          <w:b/>
          <w:bCs/>
          <w:sz w:val="22"/>
          <w:szCs w:val="22"/>
        </w:rPr>
      </w:pPr>
      <w:r w:rsidRPr="00AC3321">
        <w:rPr>
          <w:rFonts w:ascii="Arial" w:hAnsi="Arial" w:cs="Arial"/>
          <w:b/>
          <w:bCs/>
          <w:sz w:val="22"/>
          <w:szCs w:val="22"/>
        </w:rPr>
        <w:t>Your answer must be based on academic research, but you may make reference to relevant case studies.</w:t>
      </w:r>
    </w:p>
    <w:p w14:paraId="66EC56B3" w14:textId="77777777" w:rsidR="00F50580" w:rsidRPr="00AC3321" w:rsidRDefault="00F50580" w:rsidP="00B729E1">
      <w:pPr>
        <w:spacing w:line="240" w:lineRule="auto"/>
        <w:rPr>
          <w:rFonts w:ascii="Arial" w:hAnsi="Arial" w:cs="Arial"/>
          <w:b/>
          <w:bCs/>
          <w:sz w:val="22"/>
          <w:szCs w:val="22"/>
        </w:rPr>
      </w:pPr>
    </w:p>
    <w:p w14:paraId="15B28938"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Introduction</w:t>
      </w:r>
    </w:p>
    <w:p w14:paraId="7D46D7A5"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Youth offending has unfortunately been a persistent issue in the UK for some time.</w:t>
      </w:r>
    </w:p>
    <w:p w14:paraId="21CBDEE3"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Studies in 2023 have found that arrests of children between the ages of 10 to 17 had increased by 9% compared to the previous year.</w:t>
      </w:r>
    </w:p>
    <w:p w14:paraId="25326D61" w14:textId="77777777" w:rsidR="0086271D" w:rsidRPr="0086271D" w:rsidRDefault="0086271D" w:rsidP="00B729E1">
      <w:pPr>
        <w:numPr>
          <w:ilvl w:val="0"/>
          <w:numId w:val="3"/>
        </w:numPr>
        <w:spacing w:line="240" w:lineRule="auto"/>
        <w:contextualSpacing/>
        <w:rPr>
          <w:rFonts w:ascii="Arial" w:eastAsia="Calibri" w:hAnsi="Arial" w:cs="Arial"/>
          <w:sz w:val="22"/>
          <w:szCs w:val="22"/>
        </w:rPr>
      </w:pPr>
      <w:r w:rsidRPr="0086271D">
        <w:rPr>
          <w:rFonts w:ascii="Arial" w:eastAsia="Calibri" w:hAnsi="Arial" w:cs="Arial"/>
          <w:sz w:val="22"/>
          <w:szCs w:val="22"/>
        </w:rPr>
        <w:t xml:space="preserve">That there was just below 8400 child first time entrants into the justice system which was 1% increase to the previous year </w:t>
      </w:r>
    </w:p>
    <w:p w14:paraId="1A9ADD96" w14:textId="77777777" w:rsidR="0086271D" w:rsidRPr="0086271D" w:rsidRDefault="0086271D" w:rsidP="00B729E1">
      <w:pPr>
        <w:numPr>
          <w:ilvl w:val="0"/>
          <w:numId w:val="3"/>
        </w:numPr>
        <w:spacing w:line="240" w:lineRule="auto"/>
        <w:contextualSpacing/>
        <w:rPr>
          <w:rFonts w:ascii="Arial" w:eastAsia="Calibri" w:hAnsi="Arial" w:cs="Arial"/>
          <w:sz w:val="22"/>
          <w:szCs w:val="22"/>
        </w:rPr>
      </w:pPr>
      <w:r w:rsidRPr="0086271D">
        <w:rPr>
          <w:rFonts w:ascii="Arial" w:eastAsia="Calibri" w:hAnsi="Arial" w:cs="Arial"/>
          <w:sz w:val="22"/>
          <w:szCs w:val="22"/>
        </w:rPr>
        <w:t>And the reoffending rate in creased by 0.9% against the previous year.</w:t>
      </w:r>
    </w:p>
    <w:p w14:paraId="42337193"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(Ministry of Justice, 2023)</w:t>
      </w:r>
    </w:p>
    <w:p w14:paraId="4A98E314"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Young offenders has a significant effect on both the economy and local communities. This essay will be looking at early intervention strategies.</w:t>
      </w:r>
    </w:p>
    <w:p w14:paraId="664C4576"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These strategies are aimed at taking the root causes of youth offending before it can escalate into more serious offences.</w:t>
      </w:r>
    </w:p>
    <w:p w14:paraId="1711BFD9"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Early intervention has been the subject of many different research papers looking at the effectiveness of early intervention in preventing both initial offending and re-offending.</w:t>
      </w:r>
    </w:p>
    <w:p w14:paraId="1EF9A49A"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Using those research papers and other relevant case studies this essay will look at the effectiveness of early intervention in the UK.</w:t>
      </w:r>
    </w:p>
    <w:p w14:paraId="6A2C6755" w14:textId="77777777" w:rsidR="0086271D" w:rsidRPr="0086271D" w:rsidRDefault="0086271D" w:rsidP="00B729E1">
      <w:pPr>
        <w:spacing w:line="240" w:lineRule="auto"/>
        <w:rPr>
          <w:rFonts w:ascii="Arial" w:eastAsia="Calibri" w:hAnsi="Arial" w:cs="Arial"/>
          <w:sz w:val="22"/>
          <w:szCs w:val="22"/>
        </w:rPr>
      </w:pPr>
    </w:p>
    <w:p w14:paraId="44851B58" w14:textId="6BAD9C82" w:rsidR="0086271D" w:rsidRPr="0086271D" w:rsidRDefault="008C0FD7"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What is early intervention</w:t>
      </w:r>
      <w:r w:rsidR="0086271D" w:rsidRPr="0086271D">
        <w:rPr>
          <w:rFonts w:ascii="Arial" w:eastAsia="Calibri" w:hAnsi="Arial" w:cs="Arial"/>
          <w:b/>
          <w:bCs/>
          <w:sz w:val="22"/>
          <w:szCs w:val="22"/>
        </w:rPr>
        <w:t>?</w:t>
      </w:r>
    </w:p>
    <w:p w14:paraId="4176D549"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Early intervention refers to a series of practices and policies in place that are intended to identify and address issues that may lead to more serious criminal behaviour later on. </w:t>
      </w:r>
    </w:p>
    <w:p w14:paraId="06E134F4"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Said interventions take many forms and can target various aspects of the subjects life such as their education, family life, substance abuse, mental health etc. The idea of doing so is that by addressing these issues early that the subject will be less likely to engage in criminal behaviour in the long term. (Allen, G., 2011)</w:t>
      </w:r>
    </w:p>
    <w:p w14:paraId="08B9298B" w14:textId="77777777" w:rsidR="0086271D" w:rsidRPr="0086271D" w:rsidRDefault="0086271D" w:rsidP="00B729E1">
      <w:pPr>
        <w:spacing w:line="240" w:lineRule="auto"/>
        <w:rPr>
          <w:rFonts w:ascii="Arial" w:eastAsia="Calibri" w:hAnsi="Arial" w:cs="Arial"/>
          <w:sz w:val="22"/>
          <w:szCs w:val="22"/>
        </w:rPr>
      </w:pPr>
    </w:p>
    <w:p w14:paraId="427B761D"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The effectiveness of Early intervention</w:t>
      </w:r>
    </w:p>
    <w:p w14:paraId="156F0E5B"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Studies have found that early intervention can be very effective and have a major impact on an individual’s likelihood of offending and reoffending. A study conducted by one Farrington and Welsh (2007) found that early intervention programs targeted at at-risk youths can drastically reduce the incidence of criminal offending by targeting key risk factors that contribute to a youths likelihood of offending.</w:t>
      </w:r>
    </w:p>
    <w:p w14:paraId="60866809"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These factors included lack of education, poor parenting and social inclusion, it also found that family based interventions were particularly effective in reducing offending behaviour in both youth and children.</w:t>
      </w:r>
    </w:p>
    <w:p w14:paraId="1F521D34" w14:textId="77777777" w:rsidR="0086271D" w:rsidRPr="0086271D" w:rsidRDefault="0086271D" w:rsidP="00B729E1">
      <w:pPr>
        <w:spacing w:line="240" w:lineRule="auto"/>
        <w:rPr>
          <w:rFonts w:ascii="Arial" w:eastAsia="Calibri" w:hAnsi="Arial" w:cs="Arial"/>
          <w:sz w:val="22"/>
          <w:szCs w:val="22"/>
        </w:rPr>
      </w:pPr>
    </w:p>
    <w:p w14:paraId="2C371801"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sz w:val="22"/>
          <w:szCs w:val="22"/>
        </w:rPr>
        <w:lastRenderedPageBreak/>
        <w:t>It should also be noted that other research papers have highlighted that immediate criminalisation in the formal judicial process can do more harm than good in regards to reoffending and that deviating from this as a form of early intervention and thus avoiding the stigmatization that can come from criminal proceedings can actually reduce the likelihood of a young offender reoffending. McAra and McVie (2010)</w:t>
      </w:r>
    </w:p>
    <w:p w14:paraId="58A0961C" w14:textId="77777777" w:rsidR="0086271D" w:rsidRPr="0086271D" w:rsidRDefault="0086271D" w:rsidP="00B729E1">
      <w:pPr>
        <w:spacing w:line="240" w:lineRule="auto"/>
        <w:rPr>
          <w:rFonts w:ascii="Arial" w:eastAsia="Calibri" w:hAnsi="Arial" w:cs="Arial"/>
          <w:b/>
          <w:bCs/>
          <w:sz w:val="22"/>
          <w:szCs w:val="22"/>
        </w:rPr>
      </w:pPr>
    </w:p>
    <w:p w14:paraId="23AB8F68"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Case studies involving early Intervention in the UK</w:t>
      </w:r>
    </w:p>
    <w:p w14:paraId="07A95D74"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There have been multiple early intervention programs implemented in the United Kingdom with mixed results.</w:t>
      </w:r>
    </w:p>
    <w:p w14:paraId="0772E85C"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One such example is the Youth Inclusion Programme [YIP], this program targeted youths between the ages of 13 to 17 years old who were at high risk of offending. </w:t>
      </w:r>
    </w:p>
    <w:p w14:paraId="5E48D442"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 program provided mentoring, education, skills training, support and activities tailored to them, later an evaluation by the Youth Justice Board [YJB] found that those who took part in the program were 27% less likely to be arrested when compared to a control group showing the effectiveness of targeted early intervention in reducing crime.</w:t>
      </w:r>
      <w:r w:rsidRPr="0086271D">
        <w:rPr>
          <w:rFonts w:ascii="Arial" w:eastAsia="Calibri" w:hAnsi="Arial" w:cs="Arial"/>
          <w:sz w:val="22"/>
          <w:szCs w:val="22"/>
        </w:rPr>
        <w:tab/>
        <w:t>(Youth Justice Board, 2005)</w:t>
      </w:r>
    </w:p>
    <w:p w14:paraId="2B03C2B7"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Another notable example would be the Troubled Families Programme, the program launched in 2012, it was intended to support families across multiple areas such as unemployment, crime and issues with education.</w:t>
      </w:r>
    </w:p>
    <w:p w14:paraId="4A51BF0C"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 focus of the program was to provide co-ordinated support to help address these issues for families.</w:t>
      </w:r>
    </w:p>
    <w:p w14:paraId="3D1AFDA9"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The programme was a success with an evaluation in 2019 by the Ministry of Housing, Communities and Local Government (MHCLG) finding that the program reduced the number of offences committed by offenders from troubled families went down by 32% thus having a very positive impact of reducing youth offending. (Department for Communities and Local Government, 2016)</w:t>
      </w:r>
    </w:p>
    <w:p w14:paraId="4F820F1D" w14:textId="77777777" w:rsidR="0086271D" w:rsidRPr="0086271D" w:rsidRDefault="0086271D" w:rsidP="00B729E1">
      <w:pPr>
        <w:spacing w:line="240" w:lineRule="auto"/>
        <w:rPr>
          <w:rFonts w:ascii="Arial" w:eastAsia="Calibri" w:hAnsi="Arial" w:cs="Arial"/>
          <w:sz w:val="22"/>
          <w:szCs w:val="22"/>
        </w:rPr>
      </w:pPr>
    </w:p>
    <w:p w14:paraId="4B8AB9C1"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Limitations and issues found with early interventions</w:t>
      </w:r>
    </w:p>
    <w:p w14:paraId="2405025F"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While there is clearly a lot of potential to be found with early intervention it is not without its own shortcomings.</w:t>
      </w:r>
    </w:p>
    <w:p w14:paraId="6F38C782"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A significant issue to consider is that the effectiveness of a program is wholly dependent on how well its actually implemented, a poorly resourced or designed program for example would likely be ineffective at best and at worst have the opposite effect.</w:t>
      </w:r>
    </w:p>
    <w:p w14:paraId="704AADA0"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Funding and long-term viability of these programmes is also a major factor to consider, for these programmes to be effective they generally have to be operating long term, an issue compounded by the fact that many of them rely on short-term funding compromising their ability to achieve consistent and sustained results. A rather unfortunate example of this would be the Troubled Families Programme which has for some time now faced criticism with its use of short term funding leading to concerns as to whether they can continue to be effective into the future. (Department for Communities and Local Government, 2016)</w:t>
      </w:r>
    </w:p>
    <w:p w14:paraId="7BF3C670"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 xml:space="preserve">Another point of concern is actually identifying at risk individuals at an early enough age for the programs to actually have a significant impact. </w:t>
      </w:r>
    </w:p>
    <w:p w14:paraId="5210A581"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Identifying individuals who are more at risk of engaging in criminal behaviour is a complex and difficult process. This is further complicated by the fact that it could lead wrongly labelling and possibly stigmatizing youths who would never actually offend in the first place</w:t>
      </w:r>
    </w:p>
    <w:p w14:paraId="63AA3894" w14:textId="77777777" w:rsidR="0086271D" w:rsidRPr="0086271D" w:rsidRDefault="0086271D" w:rsidP="00B729E1">
      <w:pPr>
        <w:spacing w:line="240" w:lineRule="auto"/>
        <w:rPr>
          <w:rFonts w:ascii="Arial" w:eastAsia="Calibri" w:hAnsi="Arial" w:cs="Arial"/>
          <w:sz w:val="22"/>
          <w:szCs w:val="22"/>
        </w:rPr>
      </w:pPr>
    </w:p>
    <w:p w14:paraId="14496321" w14:textId="77777777" w:rsidR="0086271D" w:rsidRPr="0086271D" w:rsidRDefault="0086271D" w:rsidP="00B729E1">
      <w:pPr>
        <w:spacing w:line="240" w:lineRule="auto"/>
        <w:rPr>
          <w:rFonts w:ascii="Arial" w:eastAsia="Calibri" w:hAnsi="Arial" w:cs="Arial"/>
          <w:b/>
          <w:bCs/>
          <w:sz w:val="22"/>
          <w:szCs w:val="22"/>
        </w:rPr>
      </w:pPr>
      <w:r w:rsidRPr="0086271D">
        <w:rPr>
          <w:rFonts w:ascii="Arial" w:eastAsia="Calibri" w:hAnsi="Arial" w:cs="Arial"/>
          <w:b/>
          <w:bCs/>
          <w:sz w:val="22"/>
          <w:szCs w:val="22"/>
        </w:rPr>
        <w:t>Conclusion</w:t>
      </w:r>
    </w:p>
    <w:p w14:paraId="5E6CA8E7"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In conclusion Early intervention has the potential to be an incredibly effective tool for preventing young people from offending or reoffending in the UK, with promising results already being made apparent by multiple studies and research papers in showing a reduction of offending and reoffending in youths.</w:t>
      </w:r>
    </w:p>
    <w:p w14:paraId="09987D70"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However there are still major issues to be dealt with such as ensuring reliable funding for and quality implementation of early intervention programmes as well as improving methods of identifying at risk individuals.</w:t>
      </w:r>
    </w:p>
    <w:p w14:paraId="3A10EB28" w14:textId="77777777" w:rsidR="0086271D" w:rsidRPr="0086271D" w:rsidRDefault="0086271D" w:rsidP="00B729E1">
      <w:pPr>
        <w:spacing w:line="240" w:lineRule="auto"/>
        <w:rPr>
          <w:rFonts w:ascii="Arial" w:eastAsia="Calibri" w:hAnsi="Arial" w:cs="Arial"/>
          <w:sz w:val="22"/>
          <w:szCs w:val="22"/>
        </w:rPr>
      </w:pPr>
      <w:r w:rsidRPr="0086271D">
        <w:rPr>
          <w:rFonts w:ascii="Arial" w:eastAsia="Calibri" w:hAnsi="Arial" w:cs="Arial"/>
          <w:sz w:val="22"/>
          <w:szCs w:val="22"/>
        </w:rPr>
        <w:t>Ultimately should those issues be dealt with, Early intervention has a promising future in reducing youth crime and improving the long term quality of life of youths in the UK.</w:t>
      </w:r>
    </w:p>
    <w:p w14:paraId="0B8C6BA9" w14:textId="74F8AB98" w:rsidR="0086271D" w:rsidRPr="00F50580" w:rsidRDefault="00F50580" w:rsidP="00B729E1">
      <w:pPr>
        <w:spacing w:line="240" w:lineRule="auto"/>
        <w:rPr>
          <w:rFonts w:ascii="Arial" w:hAnsi="Arial" w:cs="Arial"/>
          <w:b/>
          <w:bCs/>
          <w:sz w:val="22"/>
          <w:szCs w:val="22"/>
        </w:rPr>
      </w:pPr>
      <w:r w:rsidRPr="00F50580">
        <w:rPr>
          <w:rFonts w:ascii="Arial" w:hAnsi="Arial" w:cs="Arial"/>
          <w:b/>
          <w:bCs/>
          <w:sz w:val="22"/>
          <w:szCs w:val="22"/>
        </w:rPr>
        <w:t>Word count - 984</w:t>
      </w:r>
    </w:p>
    <w:p w14:paraId="463B1067" w14:textId="77777777" w:rsidR="00F50580" w:rsidRDefault="00F50580">
      <w:pPr>
        <w:rPr>
          <w:rFonts w:ascii="Arial" w:hAnsi="Arial" w:cs="Arial"/>
          <w:sz w:val="22"/>
          <w:szCs w:val="22"/>
        </w:rPr>
      </w:pPr>
      <w:r>
        <w:rPr>
          <w:rFonts w:ascii="Arial" w:hAnsi="Arial" w:cs="Arial"/>
          <w:sz w:val="22"/>
          <w:szCs w:val="22"/>
        </w:rPr>
        <w:br w:type="page"/>
      </w:r>
    </w:p>
    <w:p w14:paraId="787558AC" w14:textId="02DBD305" w:rsidR="005F0613" w:rsidRPr="00EC52C9" w:rsidRDefault="0086271D" w:rsidP="00B729E1">
      <w:pPr>
        <w:spacing w:line="240" w:lineRule="auto"/>
        <w:rPr>
          <w:rFonts w:ascii="Arial" w:hAnsi="Arial" w:cs="Arial"/>
          <w:sz w:val="22"/>
          <w:szCs w:val="22"/>
        </w:rPr>
      </w:pPr>
      <w:r w:rsidRPr="00EC52C9">
        <w:rPr>
          <w:rFonts w:ascii="Arial" w:hAnsi="Arial" w:cs="Arial"/>
          <w:sz w:val="22"/>
          <w:szCs w:val="22"/>
        </w:rPr>
        <w:lastRenderedPageBreak/>
        <w:t>References</w:t>
      </w:r>
    </w:p>
    <w:sdt>
      <w:sdtPr>
        <w:rPr>
          <w:rFonts w:ascii="Arial" w:hAnsi="Arial" w:cs="Arial"/>
          <w:sz w:val="22"/>
          <w:szCs w:val="22"/>
        </w:rPr>
        <w:id w:val="-573587230"/>
        <w:bibliography/>
      </w:sdtPr>
      <w:sdtEndPr/>
      <w:sdtContent>
        <w:p w14:paraId="5C4C321E"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fldChar w:fldCharType="begin"/>
          </w:r>
          <w:r w:rsidRPr="00E11C85">
            <w:rPr>
              <w:rFonts w:ascii="Arial" w:hAnsi="Arial" w:cs="Arial"/>
              <w:sz w:val="22"/>
              <w:szCs w:val="22"/>
            </w:rPr>
            <w:instrText>BIBLIOGRAPHY</w:instrText>
          </w:r>
          <w:r w:rsidRPr="00E11C85">
            <w:rPr>
              <w:rFonts w:ascii="Arial" w:hAnsi="Arial" w:cs="Arial"/>
              <w:sz w:val="22"/>
              <w:szCs w:val="22"/>
            </w:rPr>
            <w:fldChar w:fldCharType="separate"/>
          </w:r>
          <w:r w:rsidRPr="00E11C85">
            <w:rPr>
              <w:rFonts w:ascii="Arial" w:hAnsi="Arial" w:cs="Arial"/>
              <w:sz w:val="22"/>
              <w:szCs w:val="22"/>
            </w:rPr>
            <w:t xml:space="preserve">Cambridge University Press &amp; Assessment . (2024). </w:t>
          </w:r>
          <w:r w:rsidRPr="00E11C85">
            <w:rPr>
              <w:rFonts w:ascii="Arial" w:hAnsi="Arial" w:cs="Arial"/>
              <w:i/>
              <w:iCs/>
              <w:sz w:val="22"/>
              <w:szCs w:val="22"/>
            </w:rPr>
            <w:t>Dictionary.cambridge</w:t>
          </w:r>
          <w:r w:rsidRPr="00E11C85">
            <w:rPr>
              <w:rFonts w:ascii="Arial" w:hAnsi="Arial" w:cs="Arial"/>
              <w:sz w:val="22"/>
              <w:szCs w:val="22"/>
            </w:rPr>
            <w:t>. Retrieved from cambridge.org: https://dictionary.cambridge.org/dictionary/english/diversity</w:t>
          </w:r>
        </w:p>
        <w:p w14:paraId="722B8728"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GOV.UK. (2024, July 3rd). </w:t>
          </w:r>
          <w:r w:rsidRPr="00E11C85">
            <w:rPr>
              <w:rFonts w:ascii="Arial" w:hAnsi="Arial" w:cs="Arial"/>
              <w:i/>
              <w:iCs/>
              <w:sz w:val="22"/>
              <w:szCs w:val="22"/>
            </w:rPr>
            <w:t>Stop and search</w:t>
          </w:r>
          <w:r w:rsidRPr="00E11C85">
            <w:rPr>
              <w:rFonts w:ascii="Arial" w:hAnsi="Arial" w:cs="Arial"/>
              <w:sz w:val="22"/>
              <w:szCs w:val="22"/>
            </w:rPr>
            <w:t>. Retrieved from GOV.UK: https://www.ethnicity-facts-figures.service.gov.uk/crime-justice-and-the-law/policing/stop-and-search/latest/</w:t>
          </w:r>
        </w:p>
        <w:p w14:paraId="0AECF6B5"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Guardian, T. (2020, April 17). </w:t>
          </w:r>
          <w:r w:rsidRPr="00E11C85">
            <w:rPr>
              <w:rFonts w:ascii="Arial" w:hAnsi="Arial" w:cs="Arial"/>
              <w:i/>
              <w:iCs/>
              <w:sz w:val="22"/>
              <w:szCs w:val="22"/>
            </w:rPr>
            <w:t>Rights groups quit police body over stun gun use against BAME people</w:t>
          </w:r>
          <w:r w:rsidRPr="00E11C85">
            <w:rPr>
              <w:rFonts w:ascii="Arial" w:hAnsi="Arial" w:cs="Arial"/>
              <w:sz w:val="22"/>
              <w:szCs w:val="22"/>
            </w:rPr>
            <w:t>. Retrieved from The Guardian: https://www.theguardian.com/uknews/2020/apr/17/rights-groups-quit-uk-police-body-stun-gun-use-bamepeople?CMP=share_btn</w:t>
          </w:r>
        </w:p>
        <w:p w14:paraId="3FC123E5"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INQUEST . (2020). </w:t>
          </w:r>
          <w:r w:rsidRPr="00E11C85">
            <w:rPr>
              <w:rFonts w:ascii="Arial" w:hAnsi="Arial" w:cs="Arial"/>
              <w:i/>
              <w:iCs/>
              <w:sz w:val="22"/>
              <w:szCs w:val="22"/>
            </w:rPr>
            <w:t>Deaths in police custody</w:t>
          </w:r>
          <w:r w:rsidRPr="00E11C85">
            <w:rPr>
              <w:rFonts w:ascii="Arial" w:hAnsi="Arial" w:cs="Arial"/>
              <w:sz w:val="22"/>
              <w:szCs w:val="22"/>
            </w:rPr>
            <w:t>. Retrieved from INQUEST: https://www.inquest.org.uk/deaths-inpolice-custody</w:t>
          </w:r>
        </w:p>
        <w:p w14:paraId="6F8ACD1F"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Joseph–Salisbury, R. C. (2021). “The UK is not innocent”: Black Lives Matter, policing and. </w:t>
          </w:r>
          <w:r w:rsidRPr="00E11C85">
            <w:rPr>
              <w:rFonts w:ascii="Arial" w:hAnsi="Arial" w:cs="Arial"/>
              <w:i/>
              <w:iCs/>
              <w:sz w:val="22"/>
              <w:szCs w:val="22"/>
            </w:rPr>
            <w:t>White Rose University Consortium</w:t>
          </w:r>
          <w:r w:rsidRPr="00E11C85">
            <w:rPr>
              <w:rFonts w:ascii="Arial" w:hAnsi="Arial" w:cs="Arial"/>
              <w:sz w:val="22"/>
              <w:szCs w:val="22"/>
            </w:rPr>
            <w:t>, 21-28.</w:t>
          </w:r>
        </w:p>
        <w:p w14:paraId="3AEC22A9"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Met Police. (2023). </w:t>
          </w:r>
          <w:r w:rsidRPr="00E11C85">
            <w:rPr>
              <w:rFonts w:ascii="Arial" w:hAnsi="Arial" w:cs="Arial"/>
              <w:i/>
              <w:iCs/>
              <w:sz w:val="22"/>
              <w:szCs w:val="22"/>
            </w:rPr>
            <w:t>Brixton Riots, 1981</w:t>
          </w:r>
          <w:r w:rsidRPr="00E11C85">
            <w:rPr>
              <w:rFonts w:ascii="Arial" w:hAnsi="Arial" w:cs="Arial"/>
              <w:sz w:val="22"/>
              <w:szCs w:val="22"/>
            </w:rPr>
            <w:t>. Retrieved from METROPOLITAN POLICE [accessed via the internet archive: Wayback machine]: https://web.archive.org/web/20041205044315/http://www.met.police.uk/history/brixton_riots.htm</w:t>
          </w:r>
        </w:p>
        <w:p w14:paraId="0FFA85BD"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National Black Police Association. (2018). </w:t>
          </w:r>
          <w:r w:rsidRPr="00E11C85">
            <w:rPr>
              <w:rFonts w:ascii="Arial" w:hAnsi="Arial" w:cs="Arial"/>
              <w:i/>
              <w:iCs/>
              <w:sz w:val="22"/>
              <w:szCs w:val="22"/>
            </w:rPr>
            <w:t>Written evidence submitted by the National Black Police Association (MPR0004)</w:t>
          </w:r>
          <w:r w:rsidRPr="00E11C85">
            <w:rPr>
              <w:rFonts w:ascii="Arial" w:hAnsi="Arial" w:cs="Arial"/>
              <w:sz w:val="22"/>
              <w:szCs w:val="22"/>
            </w:rPr>
            <w:t>. Retrieved from MPR0004 - Evidence on The Macpherson Report: twenty years on (parliament.uk): https://committees.parliament.uk/writtenevidence/98459/html/</w:t>
          </w:r>
        </w:p>
        <w:p w14:paraId="18E95D0F"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Pickles, J. (2020). Policing hate and bridging communities: a qualitative evaluation of relations between LGBT+ people and the police within the North East of England. </w:t>
          </w:r>
          <w:r w:rsidRPr="00E11C85">
            <w:rPr>
              <w:rFonts w:ascii="Arial" w:hAnsi="Arial" w:cs="Arial"/>
              <w:i/>
              <w:iCs/>
              <w:sz w:val="22"/>
              <w:szCs w:val="22"/>
            </w:rPr>
            <w:t>Policing &amp; Society, 30(7)</w:t>
          </w:r>
          <w:r w:rsidRPr="00E11C85">
            <w:rPr>
              <w:rFonts w:ascii="Arial" w:hAnsi="Arial" w:cs="Arial"/>
              <w:sz w:val="22"/>
              <w:szCs w:val="22"/>
            </w:rPr>
            <w:t>, 741–759. Retrieved from Taylor &amp; Francis Online: https://doi.org/10.1080/10439463.2019.1588269</w:t>
          </w:r>
        </w:p>
        <w:p w14:paraId="4BA3C12B" w14:textId="77777777" w:rsidR="00E11C85" w:rsidRPr="00E11C85"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t xml:space="preserve">Scarman, L. (1982). </w:t>
          </w:r>
          <w:r w:rsidRPr="00E11C85">
            <w:rPr>
              <w:rFonts w:ascii="Arial" w:hAnsi="Arial" w:cs="Arial"/>
              <w:i/>
              <w:iCs/>
              <w:sz w:val="22"/>
              <w:szCs w:val="22"/>
            </w:rPr>
            <w:t>The Scarman Report: The Brixton Disorders 10-12 April 1981 : Report of an Inquiry.</w:t>
          </w:r>
          <w:r w:rsidRPr="00E11C85">
            <w:rPr>
              <w:rFonts w:ascii="Arial" w:hAnsi="Arial" w:cs="Arial"/>
              <w:sz w:val="22"/>
              <w:szCs w:val="22"/>
            </w:rPr>
            <w:t xml:space="preserve"> Penguin.</w:t>
          </w:r>
        </w:p>
        <w:p w14:paraId="0AC48698" w14:textId="28DC1981" w:rsidR="005903BE" w:rsidRPr="00EC52C9" w:rsidRDefault="00E11C85" w:rsidP="00B729E1">
          <w:pPr>
            <w:numPr>
              <w:ilvl w:val="0"/>
              <w:numId w:val="4"/>
            </w:numPr>
            <w:spacing w:line="240" w:lineRule="auto"/>
            <w:rPr>
              <w:rFonts w:ascii="Arial" w:hAnsi="Arial" w:cs="Arial"/>
              <w:sz w:val="22"/>
              <w:szCs w:val="22"/>
            </w:rPr>
          </w:pPr>
          <w:r w:rsidRPr="00E11C85">
            <w:rPr>
              <w:rFonts w:ascii="Arial" w:hAnsi="Arial" w:cs="Arial"/>
              <w:sz w:val="22"/>
              <w:szCs w:val="22"/>
            </w:rPr>
            <w:fldChar w:fldCharType="end"/>
          </w:r>
          <w:r w:rsidR="005903BE" w:rsidRPr="00EC52C9">
            <w:rPr>
              <w:rFonts w:ascii="Arial" w:hAnsi="Arial" w:cs="Arial"/>
              <w:sz w:val="22"/>
              <w:szCs w:val="22"/>
            </w:rPr>
            <w:t xml:space="preserve"> Anderson, G. S., Litzenberger, R., &amp; Plecas, D. (2015). Physical evidence of police officer stress. </w:t>
          </w:r>
          <w:r w:rsidR="005903BE" w:rsidRPr="00EC52C9">
            <w:rPr>
              <w:rFonts w:ascii="Arial" w:hAnsi="Arial" w:cs="Arial"/>
              <w:i/>
              <w:iCs/>
              <w:sz w:val="22"/>
              <w:szCs w:val="22"/>
            </w:rPr>
            <w:t>Policing: An International Journal of Police Strategies &amp; Management</w:t>
          </w:r>
          <w:r w:rsidR="005903BE" w:rsidRPr="00EC52C9">
            <w:rPr>
              <w:rFonts w:ascii="Arial" w:hAnsi="Arial" w:cs="Arial"/>
              <w:sz w:val="22"/>
              <w:szCs w:val="22"/>
            </w:rPr>
            <w:t>, 28(2), 321-337.</w:t>
          </w:r>
        </w:p>
        <w:p w14:paraId="306C301D" w14:textId="77777777" w:rsidR="005903BE" w:rsidRPr="005903BE" w:rsidRDefault="005903BE" w:rsidP="00B729E1">
          <w:pPr>
            <w:numPr>
              <w:ilvl w:val="0"/>
              <w:numId w:val="4"/>
            </w:numPr>
            <w:spacing w:line="240" w:lineRule="auto"/>
            <w:rPr>
              <w:rFonts w:ascii="Arial" w:hAnsi="Arial" w:cs="Arial"/>
              <w:sz w:val="22"/>
              <w:szCs w:val="22"/>
            </w:rPr>
          </w:pPr>
          <w:r w:rsidRPr="005903BE">
            <w:rPr>
              <w:rFonts w:ascii="Arial" w:hAnsi="Arial" w:cs="Arial"/>
              <w:sz w:val="22"/>
              <w:szCs w:val="22"/>
            </w:rPr>
            <w:t xml:space="preserve">Komarovskaya, I., Maguen, S., McCaslin, S. E., Metzler, T. J., Madan, A., Brown, A. D., &amp; Marmar, C. R. (2011). The impact of killing and injuring others on mental health symptoms among police officers. </w:t>
          </w:r>
          <w:r w:rsidRPr="005903BE">
            <w:rPr>
              <w:rFonts w:ascii="Arial" w:hAnsi="Arial" w:cs="Arial"/>
              <w:i/>
              <w:iCs/>
              <w:sz w:val="22"/>
              <w:szCs w:val="22"/>
            </w:rPr>
            <w:t>Journal of Psychiatric Research</w:t>
          </w:r>
          <w:r w:rsidRPr="005903BE">
            <w:rPr>
              <w:rFonts w:ascii="Arial" w:hAnsi="Arial" w:cs="Arial"/>
              <w:sz w:val="22"/>
              <w:szCs w:val="22"/>
            </w:rPr>
            <w:t>, 45(10), 1332-1336.</w:t>
          </w:r>
        </w:p>
        <w:p w14:paraId="417E9988" w14:textId="77777777" w:rsidR="005903BE" w:rsidRPr="005903BE" w:rsidRDefault="005903BE" w:rsidP="00B729E1">
          <w:pPr>
            <w:numPr>
              <w:ilvl w:val="0"/>
              <w:numId w:val="4"/>
            </w:numPr>
            <w:spacing w:line="240" w:lineRule="auto"/>
            <w:rPr>
              <w:rFonts w:ascii="Arial" w:hAnsi="Arial" w:cs="Arial"/>
              <w:sz w:val="22"/>
              <w:szCs w:val="22"/>
            </w:rPr>
          </w:pPr>
          <w:r w:rsidRPr="005903BE">
            <w:rPr>
              <w:rFonts w:ascii="Arial" w:hAnsi="Arial" w:cs="Arial"/>
              <w:sz w:val="22"/>
              <w:szCs w:val="22"/>
            </w:rPr>
            <w:t xml:space="preserve">Marzuk, P. M., Nock, M. K., &amp; Leon, A. C. (2012). Suicide among police officers: Demographic and occupational risk factors. </w:t>
          </w:r>
          <w:r w:rsidRPr="005903BE">
            <w:rPr>
              <w:rFonts w:ascii="Arial" w:hAnsi="Arial" w:cs="Arial"/>
              <w:i/>
              <w:iCs/>
              <w:sz w:val="22"/>
              <w:szCs w:val="22"/>
            </w:rPr>
            <w:t>American Journal of Psychiatry</w:t>
          </w:r>
          <w:r w:rsidRPr="005903BE">
            <w:rPr>
              <w:rFonts w:ascii="Arial" w:hAnsi="Arial" w:cs="Arial"/>
              <w:sz w:val="22"/>
              <w:szCs w:val="22"/>
            </w:rPr>
            <w:t>, 169(5), 467-474.</w:t>
          </w:r>
        </w:p>
        <w:p w14:paraId="30D4DDCF" w14:textId="77777777" w:rsidR="005903BE" w:rsidRPr="005903BE" w:rsidRDefault="005903BE" w:rsidP="00B729E1">
          <w:pPr>
            <w:numPr>
              <w:ilvl w:val="0"/>
              <w:numId w:val="4"/>
            </w:numPr>
            <w:spacing w:line="240" w:lineRule="auto"/>
            <w:rPr>
              <w:rFonts w:ascii="Arial" w:hAnsi="Arial" w:cs="Arial"/>
              <w:sz w:val="22"/>
              <w:szCs w:val="22"/>
            </w:rPr>
          </w:pPr>
          <w:r w:rsidRPr="005903BE">
            <w:rPr>
              <w:rFonts w:ascii="Arial" w:hAnsi="Arial" w:cs="Arial"/>
              <w:sz w:val="22"/>
              <w:szCs w:val="22"/>
            </w:rPr>
            <w:t xml:space="preserve">McCreary, D. R., &amp; Thompson, M. M. (2006). Development of two reliable and valid measures of stressors in policing: The operational and organizational police stress questionnaires. </w:t>
          </w:r>
          <w:r w:rsidRPr="005903BE">
            <w:rPr>
              <w:rFonts w:ascii="Arial" w:hAnsi="Arial" w:cs="Arial"/>
              <w:i/>
              <w:iCs/>
              <w:sz w:val="22"/>
              <w:szCs w:val="22"/>
            </w:rPr>
            <w:t>International Journal of Stress Management</w:t>
          </w:r>
          <w:r w:rsidRPr="005903BE">
            <w:rPr>
              <w:rFonts w:ascii="Arial" w:hAnsi="Arial" w:cs="Arial"/>
              <w:sz w:val="22"/>
              <w:szCs w:val="22"/>
            </w:rPr>
            <w:t>, 13(4), 494-518.</w:t>
          </w:r>
        </w:p>
        <w:p w14:paraId="714E1B26" w14:textId="77777777" w:rsidR="005903BE" w:rsidRPr="005903BE" w:rsidRDefault="005903BE" w:rsidP="00B729E1">
          <w:pPr>
            <w:numPr>
              <w:ilvl w:val="0"/>
              <w:numId w:val="4"/>
            </w:numPr>
            <w:spacing w:line="240" w:lineRule="auto"/>
            <w:rPr>
              <w:rFonts w:ascii="Arial" w:hAnsi="Arial" w:cs="Arial"/>
              <w:sz w:val="22"/>
              <w:szCs w:val="22"/>
            </w:rPr>
          </w:pPr>
          <w:r w:rsidRPr="005903BE">
            <w:rPr>
              <w:rFonts w:ascii="Arial" w:hAnsi="Arial" w:cs="Arial"/>
              <w:sz w:val="22"/>
              <w:szCs w:val="22"/>
            </w:rPr>
            <w:t xml:space="preserve">Patterson, G. T. (2003). Examining the effects of coping and social support on work and life stress among police officers. </w:t>
          </w:r>
          <w:r w:rsidRPr="005903BE">
            <w:rPr>
              <w:rFonts w:ascii="Arial" w:hAnsi="Arial" w:cs="Arial"/>
              <w:i/>
              <w:iCs/>
              <w:sz w:val="22"/>
              <w:szCs w:val="22"/>
            </w:rPr>
            <w:t>Journal of Criminal Justice</w:t>
          </w:r>
          <w:r w:rsidRPr="005903BE">
            <w:rPr>
              <w:rFonts w:ascii="Arial" w:hAnsi="Arial" w:cs="Arial"/>
              <w:sz w:val="22"/>
              <w:szCs w:val="22"/>
            </w:rPr>
            <w:t>, 31(3), 215-226.</w:t>
          </w:r>
        </w:p>
        <w:p w14:paraId="5C746F8C" w14:textId="77777777" w:rsidR="005903BE" w:rsidRPr="005903BE" w:rsidRDefault="005903BE" w:rsidP="00B729E1">
          <w:pPr>
            <w:numPr>
              <w:ilvl w:val="0"/>
              <w:numId w:val="4"/>
            </w:numPr>
            <w:spacing w:line="240" w:lineRule="auto"/>
            <w:rPr>
              <w:rFonts w:ascii="Arial" w:hAnsi="Arial" w:cs="Arial"/>
              <w:sz w:val="22"/>
              <w:szCs w:val="22"/>
            </w:rPr>
          </w:pPr>
          <w:r w:rsidRPr="005903BE">
            <w:rPr>
              <w:rFonts w:ascii="Arial" w:hAnsi="Arial" w:cs="Arial"/>
              <w:sz w:val="22"/>
              <w:szCs w:val="22"/>
            </w:rPr>
            <w:lastRenderedPageBreak/>
            <w:t xml:space="preserve">Tuckey, M. R., Winwood, P. C., &amp; Dollard, M. F. (2012). Psychosocial culture and pathways to psychological injury within policing. </w:t>
          </w:r>
          <w:r w:rsidRPr="005903BE">
            <w:rPr>
              <w:rFonts w:ascii="Arial" w:hAnsi="Arial" w:cs="Arial"/>
              <w:i/>
              <w:iCs/>
              <w:sz w:val="22"/>
              <w:szCs w:val="22"/>
            </w:rPr>
            <w:t>Police Practice and Research</w:t>
          </w:r>
          <w:r w:rsidRPr="005903BE">
            <w:rPr>
              <w:rFonts w:ascii="Arial" w:hAnsi="Arial" w:cs="Arial"/>
              <w:sz w:val="22"/>
              <w:szCs w:val="22"/>
            </w:rPr>
            <w:t>, 13(3), 224-240.</w:t>
          </w:r>
        </w:p>
        <w:p w14:paraId="79E839AE" w14:textId="77777777" w:rsidR="005903BE" w:rsidRPr="005903BE" w:rsidRDefault="005903BE" w:rsidP="00B729E1">
          <w:pPr>
            <w:numPr>
              <w:ilvl w:val="0"/>
              <w:numId w:val="4"/>
            </w:numPr>
            <w:spacing w:line="240" w:lineRule="auto"/>
            <w:rPr>
              <w:rFonts w:ascii="Arial" w:hAnsi="Arial" w:cs="Arial"/>
              <w:sz w:val="22"/>
              <w:szCs w:val="22"/>
            </w:rPr>
          </w:pPr>
          <w:r w:rsidRPr="005903BE">
            <w:rPr>
              <w:rFonts w:ascii="Arial" w:hAnsi="Arial" w:cs="Arial"/>
              <w:sz w:val="22"/>
              <w:szCs w:val="22"/>
            </w:rPr>
            <w:t xml:space="preserve">Violanti, J. M., Owens, S. L., McCanlies, E., Fekedulegn, D., Andrew, M. E., &amp; Burchfiel, C. M. (2016). Law enforcement suicide: A review. </w:t>
          </w:r>
          <w:r w:rsidRPr="005903BE">
            <w:rPr>
              <w:rFonts w:ascii="Arial" w:hAnsi="Arial" w:cs="Arial"/>
              <w:i/>
              <w:iCs/>
              <w:sz w:val="22"/>
              <w:szCs w:val="22"/>
            </w:rPr>
            <w:t>Policing: An International Journal of Police Strategies &amp; Management</w:t>
          </w:r>
          <w:r w:rsidRPr="005903BE">
            <w:rPr>
              <w:rFonts w:ascii="Arial" w:hAnsi="Arial" w:cs="Arial"/>
              <w:sz w:val="22"/>
              <w:szCs w:val="22"/>
            </w:rPr>
            <w:t>, 39(2), 234-246.</w:t>
          </w:r>
        </w:p>
        <w:sdt>
          <w:sdtPr>
            <w:rPr>
              <w:rFonts w:ascii="Arial" w:hAnsi="Arial" w:cs="Arial"/>
              <w:sz w:val="24"/>
              <w:szCs w:val="24"/>
            </w:rPr>
            <w:id w:val="-927350369"/>
            <w:bibliography/>
          </w:sdtPr>
          <w:sdtEndPr/>
          <w:sdtContent>
            <w:p w14:paraId="2C148369" w14:textId="77777777" w:rsidR="00844AF4" w:rsidRPr="00EC52C9" w:rsidRDefault="00844AF4" w:rsidP="00B729E1">
              <w:pPr>
                <w:pStyle w:val="Bibliography"/>
                <w:numPr>
                  <w:ilvl w:val="0"/>
                  <w:numId w:val="4"/>
                </w:numPr>
                <w:spacing w:line="240" w:lineRule="auto"/>
                <w:rPr>
                  <w:rFonts w:ascii="Arial" w:hAnsi="Arial" w:cs="Arial"/>
                  <w:noProof/>
                  <w:kern w:val="0"/>
                  <w14:ligatures w14:val="none"/>
                </w:rPr>
              </w:pPr>
              <w:r w:rsidRPr="00EC52C9">
                <w:rPr>
                  <w:rFonts w:ascii="Arial" w:hAnsi="Arial" w:cs="Arial"/>
                </w:rPr>
                <w:fldChar w:fldCharType="begin"/>
              </w:r>
              <w:r w:rsidRPr="00EC52C9">
                <w:rPr>
                  <w:rFonts w:ascii="Arial" w:hAnsi="Arial" w:cs="Arial"/>
                </w:rPr>
                <w:instrText>BIBLIOGRAPHY</w:instrText>
              </w:r>
              <w:r w:rsidRPr="00EC52C9">
                <w:rPr>
                  <w:rFonts w:ascii="Arial" w:hAnsi="Arial" w:cs="Arial"/>
                </w:rPr>
                <w:fldChar w:fldCharType="separate"/>
              </w:r>
              <w:r w:rsidRPr="00EC52C9">
                <w:rPr>
                  <w:rFonts w:ascii="Arial" w:hAnsi="Arial" w:cs="Arial"/>
                  <w:noProof/>
                </w:rPr>
                <w:t xml:space="preserve">Anggraini, R. D. (2022). CRIME OF EXPLOITATION CRIME ANALYSIS OF CHILD WORK AS HOUSEHOLD SERVICE. </w:t>
              </w:r>
              <w:r w:rsidRPr="00EC52C9">
                <w:rPr>
                  <w:rFonts w:ascii="Arial" w:hAnsi="Arial" w:cs="Arial"/>
                  <w:i/>
                  <w:iCs/>
                  <w:noProof/>
                </w:rPr>
                <w:t>Ius Poenale (Online) Vol.3 (2)</w:t>
              </w:r>
              <w:r w:rsidRPr="00EC52C9">
                <w:rPr>
                  <w:rFonts w:ascii="Arial" w:hAnsi="Arial" w:cs="Arial"/>
                  <w:noProof/>
                </w:rPr>
                <w:t>, 93-102.</w:t>
              </w:r>
            </w:p>
            <w:p w14:paraId="2A022F3C"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Anggraini, R. D. (2022). CRIME OF EXPLOITATION CRIME ANALYSIS OF CHILD WORK AS HOUSEHOLD SERVICE. </w:t>
              </w:r>
              <w:r w:rsidRPr="00EC52C9">
                <w:rPr>
                  <w:rFonts w:ascii="Arial" w:hAnsi="Arial" w:cs="Arial"/>
                  <w:i/>
                  <w:iCs/>
                  <w:noProof/>
                </w:rPr>
                <w:t>Faculty of Law Universitas Lampung; Ius Poenale (Online) Vol.3 (2</w:t>
              </w:r>
              <w:r w:rsidRPr="00EC52C9">
                <w:rPr>
                  <w:rFonts w:ascii="Arial" w:hAnsi="Arial" w:cs="Arial"/>
                  <w:noProof/>
                </w:rPr>
                <w:t>, 93-102.</w:t>
              </w:r>
            </w:p>
            <w:p w14:paraId="30DACD57"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Butera, J.-A. (2017, October 13). </w:t>
              </w:r>
              <w:r w:rsidRPr="00EC52C9">
                <w:rPr>
                  <w:rFonts w:ascii="Arial" w:hAnsi="Arial" w:cs="Arial"/>
                  <w:i/>
                  <w:iCs/>
                  <w:noProof/>
                </w:rPr>
                <w:t xml:space="preserve">Cuckooing: Home Takeovers </w:t>
              </w:r>
              <w:r w:rsidRPr="00EC52C9">
                <w:rPr>
                  <w:rFonts w:ascii="Arial" w:hAnsi="Arial" w:cs="Arial"/>
                  <w:noProof/>
                </w:rPr>
                <w:t>. Retrieved from Homelesshub.ca: https://homelesshub.ca/sites/default/files/Cuckooing-Home%20takeovers%20of%20vulnerable%20tenants_0.pdf</w:t>
              </w:r>
            </w:p>
            <w:p w14:paraId="55045374"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Cockbain, E., &amp; Brayley, H. (2012). Child sexual exploitation and youth offending: A research note. </w:t>
              </w:r>
              <w:r w:rsidRPr="00EC52C9">
                <w:rPr>
                  <w:rFonts w:ascii="Arial" w:hAnsi="Arial" w:cs="Arial"/>
                  <w:i/>
                  <w:iCs/>
                  <w:noProof/>
                </w:rPr>
                <w:t>European Journal of Criminology 9(6)</w:t>
              </w:r>
              <w:r w:rsidRPr="00EC52C9">
                <w:rPr>
                  <w:rFonts w:ascii="Arial" w:hAnsi="Arial" w:cs="Arial"/>
                  <w:noProof/>
                </w:rPr>
                <w:t>, 689–700.</w:t>
              </w:r>
            </w:p>
            <w:p w14:paraId="2202629B"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Coomber, R. a. (2018). The Changing Shape of Street-Level Heroin and Crack Supply in England: Commuting, Holidaying and Cuckooing Drug Dealers Across “County Lines”. </w:t>
              </w:r>
              <w:r w:rsidRPr="00EC52C9">
                <w:rPr>
                  <w:rFonts w:ascii="Arial" w:hAnsi="Arial" w:cs="Arial"/>
                  <w:i/>
                  <w:iCs/>
                  <w:noProof/>
                </w:rPr>
                <w:t>British journal of criminology 58(6)</w:t>
              </w:r>
              <w:r w:rsidRPr="00EC52C9">
                <w:rPr>
                  <w:rFonts w:ascii="Arial" w:hAnsi="Arial" w:cs="Arial"/>
                  <w:noProof/>
                </w:rPr>
                <w:t>, 1323–1342.</w:t>
              </w:r>
            </w:p>
            <w:p w14:paraId="508DA980"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Coomber, R. a. (2018). The Changing Shape of Street-Level Heroin and Crack Supply in England: Commuting, Holidaying and Cuckooing Drug Dealers Across “County Lines”’. </w:t>
              </w:r>
              <w:r w:rsidRPr="00EC52C9">
                <w:rPr>
                  <w:rFonts w:ascii="Arial" w:hAnsi="Arial" w:cs="Arial"/>
                  <w:i/>
                  <w:iCs/>
                  <w:noProof/>
                </w:rPr>
                <w:t>British journal of criminology, 58(6)</w:t>
              </w:r>
              <w:r w:rsidRPr="00EC52C9">
                <w:rPr>
                  <w:rFonts w:ascii="Arial" w:hAnsi="Arial" w:cs="Arial"/>
                  <w:noProof/>
                </w:rPr>
                <w:t>, 1323–1342.</w:t>
              </w:r>
            </w:p>
            <w:p w14:paraId="65AC817E"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CRIME, R. G. (2009). John Pitts. </w:t>
              </w:r>
              <w:r w:rsidRPr="00EC52C9">
                <w:rPr>
                  <w:rFonts w:ascii="Arial" w:hAnsi="Arial" w:cs="Arial"/>
                  <w:i/>
                  <w:iCs/>
                  <w:noProof/>
                </w:rPr>
                <w:t>The British Journal of Criminology, 49(4)</w:t>
              </w:r>
              <w:r w:rsidRPr="00EC52C9">
                <w:rPr>
                  <w:rFonts w:ascii="Arial" w:hAnsi="Arial" w:cs="Arial"/>
                  <w:noProof/>
                </w:rPr>
                <w:t>, 597–599.</w:t>
              </w:r>
            </w:p>
            <w:p w14:paraId="25F0B17E"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Home Office. (2014, April 9). </w:t>
              </w:r>
              <w:r w:rsidRPr="00EC52C9">
                <w:rPr>
                  <w:rFonts w:ascii="Arial" w:hAnsi="Arial" w:cs="Arial"/>
                  <w:i/>
                  <w:iCs/>
                  <w:noProof/>
                </w:rPr>
                <w:t>Serious and Organised Crime Strategy</w:t>
              </w:r>
              <w:r w:rsidRPr="00EC52C9">
                <w:rPr>
                  <w:rFonts w:ascii="Arial" w:hAnsi="Arial" w:cs="Arial"/>
                  <w:noProof/>
                </w:rPr>
                <w:t>. Retrieved from Gov.uk: https://www.gov.uk/government/collections/serious-and-organised-crime-strategy</w:t>
              </w:r>
            </w:p>
            <w:p w14:paraId="1DD5E5C6"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Home Office. (2014, April 25). </w:t>
              </w:r>
              <w:r w:rsidRPr="00EC52C9">
                <w:rPr>
                  <w:rFonts w:ascii="Arial" w:hAnsi="Arial" w:cs="Arial"/>
                  <w:i/>
                  <w:iCs/>
                  <w:noProof/>
                </w:rPr>
                <w:t>Serious and Organised Crime Strategy</w:t>
              </w:r>
              <w:r w:rsidRPr="00EC52C9">
                <w:rPr>
                  <w:rFonts w:ascii="Arial" w:hAnsi="Arial" w:cs="Arial"/>
                  <w:noProof/>
                </w:rPr>
                <w:t>. Retrieved from Gov.uk: https://www.gov.uk/government/collections/serious-and-organised-crime-strategy</w:t>
              </w:r>
            </w:p>
            <w:p w14:paraId="31DC9CD8"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Longfield, A. (2019, Febuary). </w:t>
              </w:r>
              <w:r w:rsidRPr="00EC52C9">
                <w:rPr>
                  <w:rFonts w:ascii="Arial" w:hAnsi="Arial" w:cs="Arial"/>
                  <w:i/>
                  <w:iCs/>
                  <w:noProof/>
                </w:rPr>
                <w:t>Keeping kids safe.</w:t>
              </w:r>
              <w:r w:rsidRPr="00EC52C9">
                <w:rPr>
                  <w:rFonts w:ascii="Arial" w:hAnsi="Arial" w:cs="Arial"/>
                  <w:noProof/>
                </w:rPr>
                <w:t xml:space="preserve"> Retrieved from ChildrensCommissioner.GOV: https://assets.childrenscommissioner.gov.uk/wpuploads/2019/02/CCO-Gangs.pdf</w:t>
              </w:r>
            </w:p>
            <w:p w14:paraId="7779E1FB"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May, T., &amp; Hough, M. (2009). Drug markets and distribution systems. </w:t>
              </w:r>
              <w:r w:rsidRPr="00EC52C9">
                <w:rPr>
                  <w:rFonts w:ascii="Arial" w:hAnsi="Arial" w:cs="Arial"/>
                  <w:i/>
                  <w:iCs/>
                  <w:noProof/>
                </w:rPr>
                <w:t>Addiction Research &amp; Theory 12(6)</w:t>
              </w:r>
              <w:r w:rsidRPr="00EC52C9">
                <w:rPr>
                  <w:rFonts w:ascii="Arial" w:hAnsi="Arial" w:cs="Arial"/>
                  <w:noProof/>
                </w:rPr>
                <w:t>, 549-563.</w:t>
              </w:r>
            </w:p>
            <w:p w14:paraId="19DF6062"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National Crime Agency. (2015, August 12). </w:t>
              </w:r>
              <w:r w:rsidRPr="00EC52C9">
                <w:rPr>
                  <w:rFonts w:ascii="Arial" w:hAnsi="Arial" w:cs="Arial"/>
                  <w:i/>
                  <w:iCs/>
                  <w:noProof/>
                </w:rPr>
                <w:t>NCA Intelligence Assessment.</w:t>
              </w:r>
              <w:r w:rsidRPr="00EC52C9">
                <w:rPr>
                  <w:rFonts w:ascii="Arial" w:hAnsi="Arial" w:cs="Arial"/>
                  <w:noProof/>
                </w:rPr>
                <w:t xml:space="preserve"> Retrieved from nationalcrimeagency.gov: https://www.nationalcrimeagency.gov.uk/who-we-are/publications/359-nca-intelligence-assessment-county-lines-gangs-and-safeguarding-2015/file</w:t>
              </w:r>
            </w:p>
            <w:p w14:paraId="29814F5E"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NSPCC.ORG. (2024). </w:t>
              </w:r>
              <w:r w:rsidRPr="00EC52C9">
                <w:rPr>
                  <w:rFonts w:ascii="Arial" w:hAnsi="Arial" w:cs="Arial"/>
                  <w:i/>
                  <w:iCs/>
                  <w:noProof/>
                </w:rPr>
                <w:t>Criminal exploitation and gangs</w:t>
              </w:r>
              <w:r w:rsidRPr="00EC52C9">
                <w:rPr>
                  <w:rFonts w:ascii="Arial" w:hAnsi="Arial" w:cs="Arial"/>
                  <w:noProof/>
                </w:rPr>
                <w:t>. Retrieved from NSPCC: https://www.nspcc.org.uk/what-is-child-abuse/types-of-abuse/gangs-criminal-exploitation/</w:t>
              </w:r>
            </w:p>
            <w:p w14:paraId="60CE92BA" w14:textId="77777777" w:rsidR="00844AF4" w:rsidRPr="00EC52C9" w:rsidRDefault="00844AF4" w:rsidP="00B729E1">
              <w:pPr>
                <w:pStyle w:val="Bibliography"/>
                <w:numPr>
                  <w:ilvl w:val="0"/>
                  <w:numId w:val="4"/>
                </w:numPr>
                <w:spacing w:line="240" w:lineRule="auto"/>
                <w:rPr>
                  <w:rFonts w:ascii="Arial" w:hAnsi="Arial" w:cs="Arial"/>
                  <w:noProof/>
                </w:rPr>
              </w:pPr>
              <w:r w:rsidRPr="00EC52C9">
                <w:rPr>
                  <w:rFonts w:ascii="Arial" w:hAnsi="Arial" w:cs="Arial"/>
                  <w:noProof/>
                </w:rPr>
                <w:t xml:space="preserve">Ravenscroft, A., Salisbury, C., Voela, A., &amp; Watts, P. (2021). </w:t>
              </w:r>
              <w:r w:rsidRPr="00EC52C9">
                <w:rPr>
                  <w:rFonts w:ascii="Arial" w:hAnsi="Arial" w:cs="Arial"/>
                  <w:i/>
                  <w:iCs/>
                  <w:noProof/>
                </w:rPr>
                <w:t>Addressing the Safety and Criminal Exploitation of Vulnerable Young People: Before, During and After COVID-19 and Lockdown.</w:t>
              </w:r>
              <w:r w:rsidRPr="00EC52C9">
                <w:rPr>
                  <w:rFonts w:ascii="Arial" w:hAnsi="Arial" w:cs="Arial"/>
                  <w:noProof/>
                </w:rPr>
                <w:t xml:space="preserve"> Palgrave Macmillan.</w:t>
              </w:r>
            </w:p>
            <w:p w14:paraId="76F66C93" w14:textId="1A15BB0A" w:rsidR="00EC52C9" w:rsidRPr="00EC52C9" w:rsidRDefault="00844AF4" w:rsidP="00B729E1">
              <w:pPr>
                <w:pStyle w:val="Bibliography"/>
                <w:numPr>
                  <w:ilvl w:val="0"/>
                  <w:numId w:val="4"/>
                </w:numPr>
                <w:spacing w:line="240" w:lineRule="auto"/>
                <w:rPr>
                  <w:rFonts w:ascii="Arial" w:hAnsi="Arial" w:cs="Arial"/>
                </w:rPr>
              </w:pPr>
              <w:r w:rsidRPr="00EC52C9">
                <w:rPr>
                  <w:rFonts w:ascii="Arial" w:hAnsi="Arial" w:cs="Arial"/>
                  <w:b/>
                  <w:bCs/>
                </w:rPr>
                <w:lastRenderedPageBreak/>
                <w:fldChar w:fldCharType="end"/>
              </w:r>
              <w:r w:rsidR="00EC52C9" w:rsidRPr="00EC52C9">
                <w:rPr>
                  <w:rFonts w:ascii="Arial" w:hAnsi="Arial" w:cs="Arial"/>
                </w:rPr>
                <w:t xml:space="preserve"> Ministry of Justice, 2023. </w:t>
              </w:r>
              <w:r w:rsidR="00EC52C9" w:rsidRPr="00EC52C9">
                <w:rPr>
                  <w:rFonts w:ascii="Arial" w:hAnsi="Arial" w:cs="Arial"/>
                  <w:i/>
                  <w:iCs/>
                </w:rPr>
                <w:t>Youth Justice Statistics: 2022 to 2023 (accessible version)</w:t>
              </w:r>
              <w:r w:rsidR="00EC52C9" w:rsidRPr="00EC52C9">
                <w:rPr>
                  <w:rFonts w:ascii="Arial" w:hAnsi="Arial" w:cs="Arial"/>
                </w:rPr>
                <w:t>. [online] GOV.UK. Available at: https://www.gov.uk/government/statistics/youth-justice-statistics-2022-to-2023 [Accessed Day Month Year].</w:t>
              </w:r>
            </w:p>
            <w:p w14:paraId="66B03418" w14:textId="77777777" w:rsidR="00EC52C9" w:rsidRPr="00EC52C9" w:rsidRDefault="00EC52C9" w:rsidP="00B729E1">
              <w:pPr>
                <w:pStyle w:val="Bibliography"/>
                <w:numPr>
                  <w:ilvl w:val="0"/>
                  <w:numId w:val="4"/>
                </w:numPr>
                <w:spacing w:line="240" w:lineRule="auto"/>
                <w:rPr>
                  <w:rFonts w:ascii="Arial" w:hAnsi="Arial" w:cs="Arial"/>
                </w:rPr>
              </w:pPr>
              <w:r w:rsidRPr="00EC52C9">
                <w:rPr>
                  <w:rFonts w:ascii="Arial" w:hAnsi="Arial" w:cs="Arial"/>
                </w:rPr>
                <w:t>Allen, G., 2011. Early Intervention: The Next Steps. [online] London: HM Government. Available at: https://assets.publishing.service.gov.uk/government/uploads/system/uploads/attachment_data/file/284086/early-intervention-next-steps.pdf [Accessed 02 October 2024]</w:t>
              </w:r>
            </w:p>
            <w:p w14:paraId="10CB5DC1" w14:textId="77777777" w:rsidR="00EC52C9" w:rsidRPr="00EC52C9" w:rsidRDefault="00EC52C9" w:rsidP="00B729E1">
              <w:pPr>
                <w:pStyle w:val="Bibliography"/>
                <w:numPr>
                  <w:ilvl w:val="0"/>
                  <w:numId w:val="4"/>
                </w:numPr>
                <w:spacing w:line="240" w:lineRule="auto"/>
                <w:rPr>
                  <w:rFonts w:ascii="Arial" w:hAnsi="Arial" w:cs="Arial"/>
                </w:rPr>
              </w:pPr>
              <w:r w:rsidRPr="00EC52C9">
                <w:rPr>
                  <w:rFonts w:ascii="Arial" w:hAnsi="Arial" w:cs="Arial"/>
                </w:rPr>
                <w:t>Youth Justice Board, 2005. Youth Inclusion Programme: A Case Study. [online] Available at: https://www.yjresourcehub.uk [Accessed 02 October 2024].</w:t>
              </w:r>
            </w:p>
            <w:p w14:paraId="64D87134" w14:textId="77777777" w:rsidR="00EC52C9" w:rsidRPr="00EC52C9" w:rsidRDefault="00EC52C9" w:rsidP="00B729E1">
              <w:pPr>
                <w:pStyle w:val="Bibliography"/>
                <w:numPr>
                  <w:ilvl w:val="0"/>
                  <w:numId w:val="4"/>
                </w:numPr>
                <w:spacing w:line="240" w:lineRule="auto"/>
                <w:rPr>
                  <w:rFonts w:ascii="Arial" w:hAnsi="Arial" w:cs="Arial"/>
                </w:rPr>
              </w:pPr>
              <w:r w:rsidRPr="00EC52C9">
                <w:rPr>
                  <w:rFonts w:ascii="Arial" w:hAnsi="Arial" w:cs="Arial"/>
                </w:rPr>
                <w:t>National Evaluation Report: Department for Communities and Local Government, 2016. National Evaluation of the Troubled Families Programme 2015-2020. [online] GOV.UK. Available at: https://www.gov.uk/government/publications/national-evaluation-of-the-troubled-families-programme-2015-to-2020-findings [Accessed 01 October 2024].</w:t>
              </w:r>
            </w:p>
            <w:p w14:paraId="5E7BCBA7" w14:textId="77777777" w:rsidR="00EC52C9" w:rsidRPr="00EC52C9" w:rsidRDefault="00EC52C9" w:rsidP="00B729E1">
              <w:pPr>
                <w:pStyle w:val="Bibliography"/>
                <w:numPr>
                  <w:ilvl w:val="0"/>
                  <w:numId w:val="4"/>
                </w:numPr>
                <w:spacing w:line="240" w:lineRule="auto"/>
                <w:rPr>
                  <w:rFonts w:ascii="Arial" w:hAnsi="Arial" w:cs="Arial"/>
                </w:rPr>
              </w:pPr>
              <w:r w:rsidRPr="00EC52C9">
                <w:rPr>
                  <w:rFonts w:ascii="Arial" w:hAnsi="Arial" w:cs="Arial"/>
                </w:rPr>
                <w:t>Farrington, D. P., &amp; Welsh, B. C. (2007). Saving Children from a Life of Crime: Early Risk Factors and Effective Interventions. Oxford University Press.</w:t>
              </w:r>
            </w:p>
            <w:p w14:paraId="4E40B7DC" w14:textId="77777777" w:rsidR="00EC52C9" w:rsidRPr="00EC52C9" w:rsidRDefault="00EC52C9" w:rsidP="00B729E1">
              <w:pPr>
                <w:pStyle w:val="Bibliography"/>
                <w:numPr>
                  <w:ilvl w:val="0"/>
                  <w:numId w:val="4"/>
                </w:numPr>
                <w:spacing w:line="240" w:lineRule="auto"/>
                <w:rPr>
                  <w:rFonts w:ascii="Arial" w:hAnsi="Arial" w:cs="Arial"/>
                </w:rPr>
              </w:pPr>
              <w:r w:rsidRPr="00EC52C9">
                <w:rPr>
                  <w:rFonts w:ascii="Arial" w:hAnsi="Arial" w:cs="Arial"/>
                </w:rPr>
                <w:t>McAra, L., &amp; McVie, S. (2010). Youth crime and justice: Key messages from the Edinburgh Study of Youth Transitions and Crime. Criminology and Criminal Justice, 10(2), 179-209.</w:t>
              </w:r>
            </w:p>
            <w:p w14:paraId="23DA45DF" w14:textId="77777777" w:rsidR="00EC52C9" w:rsidRPr="00EC52C9" w:rsidRDefault="00EC52C9" w:rsidP="00B729E1">
              <w:pPr>
                <w:pStyle w:val="Bibliography"/>
                <w:numPr>
                  <w:ilvl w:val="0"/>
                  <w:numId w:val="4"/>
                </w:numPr>
                <w:spacing w:line="240" w:lineRule="auto"/>
                <w:rPr>
                  <w:rFonts w:ascii="Arial" w:hAnsi="Arial" w:cs="Arial"/>
                </w:rPr>
              </w:pPr>
              <w:r w:rsidRPr="00EC52C9">
                <w:rPr>
                  <w:rFonts w:ascii="Arial" w:hAnsi="Arial" w:cs="Arial"/>
                </w:rPr>
                <w:t>Ministry of Housing, Communities and Local Government (MHCLG). (2019). National Evaluation of the Troubled Families Programme 2015 to 2020.</w:t>
              </w:r>
            </w:p>
            <w:p w14:paraId="6FDFD1A5" w14:textId="07B7326A" w:rsidR="00844AF4" w:rsidRPr="00EC52C9" w:rsidRDefault="0071303A" w:rsidP="00B729E1">
              <w:pPr>
                <w:spacing w:line="240" w:lineRule="auto"/>
                <w:rPr>
                  <w:rFonts w:ascii="Arial" w:hAnsi="Arial" w:cs="Arial"/>
                  <w:sz w:val="22"/>
                  <w:szCs w:val="22"/>
                </w:rPr>
              </w:pPr>
            </w:p>
          </w:sdtContent>
        </w:sdt>
        <w:p w14:paraId="0F37C744" w14:textId="7C51C3A8" w:rsidR="0086271D" w:rsidRPr="00EC52C9" w:rsidRDefault="0071303A" w:rsidP="00B729E1">
          <w:pPr>
            <w:spacing w:line="240" w:lineRule="auto"/>
            <w:rPr>
              <w:rFonts w:ascii="Arial" w:hAnsi="Arial" w:cs="Arial"/>
              <w:sz w:val="22"/>
              <w:szCs w:val="22"/>
            </w:rPr>
          </w:pPr>
        </w:p>
      </w:sdtContent>
    </w:sdt>
    <w:sectPr w:rsidR="0086271D" w:rsidRPr="00EC5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91B65"/>
    <w:multiLevelType w:val="multilevel"/>
    <w:tmpl w:val="694E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E4C45"/>
    <w:multiLevelType w:val="hybridMultilevel"/>
    <w:tmpl w:val="16D67114"/>
    <w:lvl w:ilvl="0" w:tplc="5EAC812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F5FE1"/>
    <w:multiLevelType w:val="hybridMultilevel"/>
    <w:tmpl w:val="F240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D49EE"/>
    <w:multiLevelType w:val="hybridMultilevel"/>
    <w:tmpl w:val="E3AC02B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2CE3AD3"/>
    <w:multiLevelType w:val="multilevel"/>
    <w:tmpl w:val="F984F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3337AC"/>
    <w:multiLevelType w:val="hybridMultilevel"/>
    <w:tmpl w:val="E2546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821678">
    <w:abstractNumId w:val="3"/>
  </w:num>
  <w:num w:numId="2" w16cid:durableId="1775781951">
    <w:abstractNumId w:val="0"/>
  </w:num>
  <w:num w:numId="3" w16cid:durableId="1487042749">
    <w:abstractNumId w:val="1"/>
  </w:num>
  <w:num w:numId="4" w16cid:durableId="1447189422">
    <w:abstractNumId w:val="5"/>
  </w:num>
  <w:num w:numId="5" w16cid:durableId="1281449825">
    <w:abstractNumId w:val="4"/>
  </w:num>
  <w:num w:numId="6" w16cid:durableId="13125193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825"/>
    <w:rsid w:val="0019384B"/>
    <w:rsid w:val="00406A22"/>
    <w:rsid w:val="00416768"/>
    <w:rsid w:val="00422711"/>
    <w:rsid w:val="004317B8"/>
    <w:rsid w:val="005903BE"/>
    <w:rsid w:val="005F0613"/>
    <w:rsid w:val="00623703"/>
    <w:rsid w:val="0071303A"/>
    <w:rsid w:val="00844AF4"/>
    <w:rsid w:val="0086271D"/>
    <w:rsid w:val="008C0FD7"/>
    <w:rsid w:val="009A35A5"/>
    <w:rsid w:val="00A52D1A"/>
    <w:rsid w:val="00AC3321"/>
    <w:rsid w:val="00B24825"/>
    <w:rsid w:val="00B729E1"/>
    <w:rsid w:val="00E11C85"/>
    <w:rsid w:val="00EC52C9"/>
    <w:rsid w:val="00F50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E3576"/>
  <w15:chartTrackingRefBased/>
  <w15:docId w15:val="{E4C7F8D8-35E2-4FC2-9555-C943FB9FF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4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4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4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4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4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825"/>
    <w:rPr>
      <w:rFonts w:eastAsiaTheme="majorEastAsia" w:cstheme="majorBidi"/>
      <w:color w:val="272727" w:themeColor="text1" w:themeTint="D8"/>
    </w:rPr>
  </w:style>
  <w:style w:type="paragraph" w:styleId="Title">
    <w:name w:val="Title"/>
    <w:basedOn w:val="Normal"/>
    <w:next w:val="Normal"/>
    <w:link w:val="TitleChar"/>
    <w:uiPriority w:val="10"/>
    <w:qFormat/>
    <w:rsid w:val="00B24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825"/>
    <w:pPr>
      <w:spacing w:before="160"/>
      <w:jc w:val="center"/>
    </w:pPr>
    <w:rPr>
      <w:i/>
      <w:iCs/>
      <w:color w:val="404040" w:themeColor="text1" w:themeTint="BF"/>
    </w:rPr>
  </w:style>
  <w:style w:type="character" w:customStyle="1" w:styleId="QuoteChar">
    <w:name w:val="Quote Char"/>
    <w:basedOn w:val="DefaultParagraphFont"/>
    <w:link w:val="Quote"/>
    <w:uiPriority w:val="29"/>
    <w:rsid w:val="00B24825"/>
    <w:rPr>
      <w:i/>
      <w:iCs/>
      <w:color w:val="404040" w:themeColor="text1" w:themeTint="BF"/>
    </w:rPr>
  </w:style>
  <w:style w:type="paragraph" w:styleId="ListParagraph">
    <w:name w:val="List Paragraph"/>
    <w:basedOn w:val="Normal"/>
    <w:uiPriority w:val="34"/>
    <w:qFormat/>
    <w:rsid w:val="00B24825"/>
    <w:pPr>
      <w:ind w:left="720"/>
      <w:contextualSpacing/>
    </w:pPr>
  </w:style>
  <w:style w:type="character" w:styleId="IntenseEmphasis">
    <w:name w:val="Intense Emphasis"/>
    <w:basedOn w:val="DefaultParagraphFont"/>
    <w:uiPriority w:val="21"/>
    <w:qFormat/>
    <w:rsid w:val="00B24825"/>
    <w:rPr>
      <w:i/>
      <w:iCs/>
      <w:color w:val="0F4761" w:themeColor="accent1" w:themeShade="BF"/>
    </w:rPr>
  </w:style>
  <w:style w:type="paragraph" w:styleId="IntenseQuote">
    <w:name w:val="Intense Quote"/>
    <w:basedOn w:val="Normal"/>
    <w:next w:val="Normal"/>
    <w:link w:val="IntenseQuoteChar"/>
    <w:uiPriority w:val="30"/>
    <w:qFormat/>
    <w:rsid w:val="00B24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4825"/>
    <w:rPr>
      <w:i/>
      <w:iCs/>
      <w:color w:val="0F4761" w:themeColor="accent1" w:themeShade="BF"/>
    </w:rPr>
  </w:style>
  <w:style w:type="character" w:styleId="IntenseReference">
    <w:name w:val="Intense Reference"/>
    <w:basedOn w:val="DefaultParagraphFont"/>
    <w:uiPriority w:val="32"/>
    <w:qFormat/>
    <w:rsid w:val="00B24825"/>
    <w:rPr>
      <w:b/>
      <w:bCs/>
      <w:smallCaps/>
      <w:color w:val="0F4761" w:themeColor="accent1" w:themeShade="BF"/>
      <w:spacing w:val="5"/>
    </w:rPr>
  </w:style>
  <w:style w:type="paragraph" w:styleId="Bibliography">
    <w:name w:val="Bibliography"/>
    <w:basedOn w:val="Normal"/>
    <w:next w:val="Normal"/>
    <w:uiPriority w:val="37"/>
    <w:unhideWhenUsed/>
    <w:rsid w:val="00844AF4"/>
    <w:pPr>
      <w:spacing w:line="259"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623926">
      <w:bodyDiv w:val="1"/>
      <w:marLeft w:val="0"/>
      <w:marRight w:val="0"/>
      <w:marTop w:val="0"/>
      <w:marBottom w:val="0"/>
      <w:divBdr>
        <w:top w:val="none" w:sz="0" w:space="0" w:color="auto"/>
        <w:left w:val="none" w:sz="0" w:space="0" w:color="auto"/>
        <w:bottom w:val="none" w:sz="0" w:space="0" w:color="auto"/>
        <w:right w:val="none" w:sz="0" w:space="0" w:color="auto"/>
      </w:divBdr>
    </w:div>
    <w:div w:id="145077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Cam24</b:Tag>
    <b:SourceType>InternetSite</b:SourceType>
    <b:Guid>{1078CA23-0A07-4480-BD20-9F6E5E8CCF10}</b:Guid>
    <b:Title>Dictionary.cambridge</b:Title>
    <b:Year>2024</b:Year>
    <b:Author>
      <b:Author>
        <b:Corporate>Cambridge University Press &amp; Assessment </b:Corporate>
      </b:Author>
    </b:Author>
    <b:InternetSiteTitle>cambridge.org</b:InternetSiteTitle>
    <b:URL>https://dictionary.cambridge.org/dictionary/english/diversity</b:URL>
    <b:RefOrder>1</b:RefOrder>
  </b:Source>
  <b:Source>
    <b:Tag>Met23</b:Tag>
    <b:SourceType>InternetSite</b:SourceType>
    <b:Guid>{576FBABD-6B47-4800-8A15-66C7C887AFC5}</b:Guid>
    <b:Author>
      <b:Author>
        <b:Corporate>Met Police</b:Corporate>
      </b:Author>
    </b:Author>
    <b:Title>Brixton Riots, 1981</b:Title>
    <b:InternetSiteTitle>METROPOLITAN POLICE [accessed via the internet archive: Wayback machine]</b:InternetSiteTitle>
    <b:Year>2023</b:Year>
    <b:URL>https://web.archive.org/web/20041205044315/http://www.met.police.uk/history/brixton_riots.htm</b:URL>
    <b:RefOrder>2</b:RefOrder>
  </b:Source>
  <b:Source>
    <b:Tag>Sca82</b:Tag>
    <b:SourceType>Book</b:SourceType>
    <b:Guid>{698EA9A6-26C4-42E6-8790-F70952C08F6E}</b:Guid>
    <b:Title>The Scarman Report: The Brixton Disorders 10-12 April 1981 : Report of an Inquiry</b:Title>
    <b:Year>1982</b:Year>
    <b:Publisher>Penguin</b:Publisher>
    <b:Author>
      <b:Author>
        <b:NameList>
          <b:Person>
            <b:Last>Scarman</b:Last>
            <b:First>L.G.S.B.</b:First>
          </b:Person>
        </b:NameList>
      </b:Author>
    </b:Author>
    <b:RefOrder>3</b:RefOrder>
  </b:Source>
  <b:Source>
    <b:Tag>GOV24</b:Tag>
    <b:SourceType>InternetSite</b:SourceType>
    <b:Guid>{D62A3F97-68F4-4863-80F0-B505BE4D3C29}</b:Guid>
    <b:Title>Stop and search</b:Title>
    <b:Year>2024</b:Year>
    <b:Author>
      <b:Author>
        <b:Corporate>GOV.UK</b:Corporate>
      </b:Author>
    </b:Author>
    <b:InternetSiteTitle>GOV.UK</b:InternetSiteTitle>
    <b:Month>July</b:Month>
    <b:Day>3rd</b:Day>
    <b:URL>https://www.ethnicity-facts-figures.service.gov.uk/crime-justice-and-the-law/policing/stop-and-search/latest/</b:URL>
    <b:RefOrder>4</b:RefOrder>
  </b:Source>
  <b:Source>
    <b:Tag>Jos21</b:Tag>
    <b:SourceType>JournalArticle</b:SourceType>
    <b:Guid>{D7E8592D-E66D-43C0-95C5-757509483930}</b:Guid>
    <b:Title>“The UK is not innocent”: Black Lives Matter, policing and</b:Title>
    <b:Year>2021</b:Year>
    <b:Author>
      <b:Author>
        <b:NameList>
          <b:Person>
            <b:Last>Joseph–Salisbury</b:Last>
            <b:First>R.,</b:First>
            <b:Middle>Connelly, L</b:Middle>
          </b:Person>
        </b:NameList>
      </b:Author>
    </b:Author>
    <b:JournalName>White Rose University Consortium</b:JournalName>
    <b:Pages>21-28</b:Pages>
    <b:RefOrder>5</b:RefOrder>
  </b:Source>
  <b:Source>
    <b:Tag>The20</b:Tag>
    <b:SourceType>InternetSite</b:SourceType>
    <b:Guid>{1058A1BB-A412-48A1-8C01-449E9FA48EF4}</b:Guid>
    <b:Title>Rights groups quit police body over stun gun use against BAME people</b:Title>
    <b:Year>2020</b:Year>
    <b:Author>
      <b:Author>
        <b:NameList>
          <b:Person>
            <b:Last>Guardian</b:Last>
            <b:First>The</b:First>
          </b:Person>
        </b:NameList>
      </b:Author>
    </b:Author>
    <b:InternetSiteTitle>The Guardian</b:InternetSiteTitle>
    <b:Month>April</b:Month>
    <b:Day>17</b:Day>
    <b:URL>https://www.theguardian.com/uknews/2020/apr/17/rights-groups-quit-uk-police-body-stun-gun-use-bamepeople?CMP=share_btn</b:URL>
    <b:RefOrder>6</b:RefOrder>
  </b:Source>
  <b:Source>
    <b:Tag>INQ20</b:Tag>
    <b:SourceType>InternetSite</b:SourceType>
    <b:Guid>{779254DF-3193-4465-B36E-107C78C445CF}</b:Guid>
    <b:Author>
      <b:Author>
        <b:Corporate>INQUEST </b:Corporate>
      </b:Author>
    </b:Author>
    <b:Title>Deaths in police custody</b:Title>
    <b:InternetSiteTitle>INQUEST</b:InternetSiteTitle>
    <b:Year>2020</b:Year>
    <b:URL>https://www.inquest.org.uk/deaths-inpolice-custody</b:URL>
    <b:RefOrder>7</b:RefOrder>
  </b:Source>
  <b:Source>
    <b:Tag>Nat18</b:Tag>
    <b:SourceType>InternetSite</b:SourceType>
    <b:Guid>{6AF6BE82-A778-48D7-B808-43C6FD0D2726}</b:Guid>
    <b:Author>
      <b:Author>
        <b:Corporate>National Black Police Association</b:Corporate>
      </b:Author>
    </b:Author>
    <b:Title>Written evidence submitted by the National Black Police Association (MPR0004)</b:Title>
    <b:InternetSiteTitle>MPR0004 - Evidence on The Macpherson Report: twenty years on (parliament.uk)</b:InternetSiteTitle>
    <b:Year>2018</b:Year>
    <b:URL>https://committees.parliament.uk/writtenevidence/98459/html/</b:URL>
    <b:RefOrder>8</b:RefOrder>
  </b:Source>
  <b:Source>
    <b:Tag>Pic20</b:Tag>
    <b:SourceType>JournalArticle</b:SourceType>
    <b:Guid>{513A3E24-BE5C-4EE1-9B85-2D3168616DCE}</b:Guid>
    <b:Author>
      <b:Author>
        <b:NameList>
          <b:Person>
            <b:Last>Pickles</b:Last>
            <b:First>J.</b:First>
          </b:Person>
        </b:NameList>
      </b:Author>
    </b:Author>
    <b:Title>Policing hate and bridging communities: a qualitative evaluation of relations between LGBT+ people and the police within the North East of England.</b:Title>
    <b:InternetSiteTitle>Taylor &amp; Francis Online</b:InternetSiteTitle>
    <b:Year>2020</b:Year>
    <b:URL>https://doi.org/10.1080/10439463.2019.1588269</b:URL>
    <b:JournalName>Policing &amp; Society, 30(7)</b:JournalName>
    <b:Pages>741–759</b:Pages>
    <b:RefOrder>9</b:RefOrder>
  </b:Source>
  <b:Source>
    <b:Tag>Hom14</b:Tag>
    <b:SourceType>InternetSite</b:SourceType>
    <b:Guid>{BE3B08EB-1610-4D3A-8556-1824F7FA3F31}</b:Guid>
    <b:Title>Serious and Organised Crime Strategy</b:Title>
    <b:Year>2014</b:Year>
    <b:Author>
      <b:Author>
        <b:Corporate>Home Office</b:Corporate>
      </b:Author>
    </b:Author>
    <b:InternetSiteTitle>Gov.uk</b:InternetSiteTitle>
    <b:Month>April</b:Month>
    <b:Day>9</b:Day>
    <b:URL>https://www.gov.uk/government/collections/serious-and-organised-crime-strategy</b:URL>
    <b:RefOrder>1</b:RefOrder>
  </b:Source>
  <b:Source>
    <b:Tag>Ser14</b:Tag>
    <b:SourceType>InternetSite</b:SourceType>
    <b:Guid>{6FACDA72-A68E-461D-8109-B26BC37F3334}</b:Guid>
    <b:Title>Serious and Organised Crime Strategy</b:Title>
    <b:InternetSiteTitle>Gov.uk</b:InternetSiteTitle>
    <b:Year>2014</b:Year>
    <b:Month>April</b:Month>
    <b:Day>25</b:Day>
    <b:URL>https://www.gov.uk/government/collections/serious-and-organised-crime-strategy</b:URL>
    <b:Author>
      <b:Author>
        <b:Corporate>Home Office</b:Corporate>
      </b:Author>
    </b:Author>
    <b:RefOrder>2</b:RefOrder>
  </b:Source>
  <b:Source xmlns:b="http://schemas.openxmlformats.org/officeDocument/2006/bibliography">
    <b:Tag>Ang22</b:Tag>
    <b:SourceType>JournalArticle</b:SourceType>
    <b:Guid>{1ED5E1C0-4C4B-47A3-BA09-6E4E0386D2A7}</b:Guid>
    <b:Author>
      <b:Author>
        <b:NameList>
          <b:Person>
            <b:Last>Anggraini</b:Last>
            <b:First>Ria</b:First>
            <b:Middle>Desna</b:Middle>
          </b:Person>
        </b:NameList>
      </b:Author>
    </b:Author>
    <b:Title>CRIME OF EXPLOITATION CRIME ANALYSIS OF CHILD WORK AS HOUSEHOLD SERVICE</b:Title>
    <b:Year>2022</b:Year>
    <b:JournalName>Faculty of Law Universitas Lampung; Ius Poenale (Online) Vol.3 (2</b:JournalName>
    <b:Pages>93-102</b:Pages>
    <b:RefOrder>3</b:RefOrder>
  </b:Source>
  <b:Source>
    <b:Tag>NSP24</b:Tag>
    <b:SourceType>InternetSite</b:SourceType>
    <b:Guid>{3643A8F5-42B0-456D-A481-1EEE9CC8B92F}</b:Guid>
    <b:Title>Criminal exploitation and gangs</b:Title>
    <b:Year>2024</b:Year>
    <b:Author>
      <b:Author>
        <b:Corporate>NSPCC.ORG</b:Corporate>
      </b:Author>
    </b:Author>
    <b:InternetSiteTitle>NSPCC</b:InternetSiteTitle>
    <b:URL>https://www.nspcc.org.uk/what-is-child-abuse/types-of-abuse/gangs-criminal-exploitation/</b:URL>
    <b:RefOrder>5</b:RefOrder>
  </b:Source>
  <b:Source>
    <b:Tag>Ann19</b:Tag>
    <b:SourceType>DocumentFromInternetSite</b:SourceType>
    <b:Guid>{CF1C3BD2-5271-475E-ADBA-AF5CEF0E2D62}</b:Guid>
    <b:Title>Keeping kids safe</b:Title>
    <b:InternetSiteTitle>ChildrensCommissioner.GOV</b:InternetSiteTitle>
    <b:Year>2019</b:Year>
    <b:Month>Febuary</b:Month>
    <b:URL>https://assets.childrenscommissioner.gov.uk/wpuploads/2019/02/CCO-Gangs.pdf</b:URL>
    <b:Author>
      <b:Author>
        <b:NameList>
          <b:Person>
            <b:Last>Longfield</b:Last>
            <b:First>Anne</b:First>
          </b:Person>
        </b:NameList>
      </b:Author>
    </b:Author>
    <b:RefOrder>6</b:RefOrder>
  </b:Source>
  <b:Source>
    <b:Tag>Rav21</b:Tag>
    <b:SourceType>Book</b:SourceType>
    <b:Guid>{3C8C1FDE-DF2C-45A2-BACA-0BAEADFBB854}</b:Guid>
    <b:Author>
      <b:Author>
        <b:NameList>
          <b:Person>
            <b:Last>Ravenscroft</b:Last>
            <b:First>A</b:First>
          </b:Person>
          <b:Person>
            <b:Last>Salisbury</b:Last>
            <b:First>C</b:First>
          </b:Person>
          <b:Person>
            <b:Last>Voela</b:Last>
            <b:First>A</b:First>
          </b:Person>
          <b:Person>
            <b:Last>Watts</b:Last>
            <b:First>P</b:First>
          </b:Person>
        </b:NameList>
      </b:Author>
    </b:Author>
    <b:Title>Addressing the Safety and Criminal Exploitation of Vulnerable Young People: Before, During and After COVID-19 and Lockdown</b:Title>
    <b:Year>2021</b:Year>
    <b:Publisher>Palgrave Macmillan</b:Publisher>
    <b:RefOrder>4</b:RefOrder>
  </b:Source>
  <b:Source>
    <b:Tag>Coo18</b:Tag>
    <b:SourceType>JournalArticle</b:SourceType>
    <b:Guid>{853F2B6D-F406-4DD3-8B23-06A68A552CF0}</b:Guid>
    <b:Title>The Changing Shape of Street-Level Heroin and Crack Supply in England: Commuting, Holidaying and Cuckooing Drug Dealers Across “County Lines”</b:Title>
    <b:Year>2018</b:Year>
    <b:Author>
      <b:Author>
        <b:NameList>
          <b:Person>
            <b:Last>Coomber</b:Last>
            <b:First>R.</b:First>
            <b:Middle>and Moyle, L.</b:Middle>
          </b:Person>
        </b:NameList>
      </b:Author>
    </b:Author>
    <b:JournalName>British journal of criminology 58(6)</b:JournalName>
    <b:Pages>1323–1342</b:Pages>
    <b:RefOrder>7</b:RefOrder>
  </b:Source>
  <b:Source>
    <b:Tag>Joh17</b:Tag>
    <b:SourceType>InternetSite</b:SourceType>
    <b:Guid>{7563C63E-24C9-4311-9322-949E44AACB75}</b:Guid>
    <b:Title>Cuckooing: Home Takeovers </b:Title>
    <b:Year>2017</b:Year>
    <b:Author>
      <b:Author>
        <b:NameList>
          <b:Person>
            <b:Last>Butera</b:Last>
            <b:First>Johny-Angel</b:First>
          </b:Person>
        </b:NameList>
      </b:Author>
    </b:Author>
    <b:InternetSiteTitle>Homelesshub.ca</b:InternetSiteTitle>
    <b:Month>October</b:Month>
    <b:Day>13</b:Day>
    <b:URL>https://homelesshub.ca/sites/default/files/Cuckooing-Home%20takeovers%20of%20vulnerable%20tenants_0.pdf</b:URL>
    <b:RefOrder>8</b:RefOrder>
  </b:Source>
  <b:Source>
    <b:Tag>Coo181</b:Tag>
    <b:SourceType>JournalArticle</b:SourceType>
    <b:Guid>{9A253809-C308-4474-A641-72B631ECA516}</b:Guid>
    <b:Title>The Changing Shape of Street-Level Heroin and Crack Supply in England: Commuting, Holidaying and Cuckooing Drug Dealers Across “County Lines”’</b:Title>
    <b:Year>2018</b:Year>
    <b:Author>
      <b:Author>
        <b:NameList>
          <b:Person>
            <b:Last>Coomber</b:Last>
            <b:First>R.</b:First>
            <b:Middle>and Moyle, L</b:Middle>
          </b:Person>
        </b:NameList>
      </b:Author>
    </b:Author>
    <b:JournalName>British journal of criminology, 58(6)</b:JournalName>
    <b:Pages>1323–1342</b:Pages>
    <b:RefOrder>9</b:RefOrder>
  </b:Source>
  <b:Source>
    <b:Tag>Nat15</b:Tag>
    <b:SourceType>DocumentFromInternetSite</b:SourceType>
    <b:Guid>{1D27B35F-F007-47E0-89CE-0E90C21307F1}</b:Guid>
    <b:Author>
      <b:Author>
        <b:Corporate>National Crime Agency</b:Corporate>
      </b:Author>
    </b:Author>
    <b:Title>NCA Intelligence Assessment</b:Title>
    <b:Year>2015</b:Year>
    <b:InternetSiteTitle>nationalcrimeagency.gov</b:InternetSiteTitle>
    <b:Month>August</b:Month>
    <b:Day>12</b:Day>
    <b:URL>https://www.nationalcrimeagency.gov.uk/who-we-are/publications/359-nca-intelligence-assessment-county-lines-gangs-and-safeguarding-2015/file</b:URL>
    <b:RefOrder>10</b:RefOrder>
  </b:Source>
  <b:Source>
    <b:Tag>REL09</b:Tag>
    <b:SourceType>JournalArticle</b:SourceType>
    <b:Guid>{A0AE7D9C-F1E0-495B-9CC6-A9AAA35F0547}</b:Guid>
    <b:Title>John Pitts</b:Title>
    <b:Year>2009</b:Year>
    <b:Author>
      <b:Author>
        <b:NameList>
          <b:Person>
            <b:Last>CRIME</b:Last>
            <b:First>RELUCTANT</b:First>
            <b:Middle>GANGSTERS: THE CHANGING FACEOF YOUTH</b:Middle>
          </b:Person>
        </b:NameList>
      </b:Author>
    </b:Author>
    <b:JournalName>The British Journal of Criminology, 49(4)</b:JournalName>
    <b:Pages>597–599</b:Pages>
    <b:RefOrder>11</b:RefOrder>
  </b:Source>
  <b:Source>
    <b:Tag>May09</b:Tag>
    <b:SourceType>JournalArticle</b:SourceType>
    <b:Guid>{8F275855-E451-44A4-995B-FF2957404413}</b:Guid>
    <b:Title>Drug markets and distribution systems</b:Title>
    <b:JournalName>Addiction Research &amp; Theory 12(6)</b:JournalName>
    <b:Year>2009</b:Year>
    <b:Pages>549-563</b:Pages>
    <b:Author>
      <b:Author>
        <b:NameList>
          <b:Person>
            <b:Last>May</b:Last>
            <b:First>Tiggey</b:First>
          </b:Person>
          <b:Person>
            <b:Last>Hough</b:Last>
            <b:First>Mike</b:First>
          </b:Person>
        </b:NameList>
      </b:Author>
    </b:Author>
    <b:RefOrder>12</b:RefOrder>
  </b:Source>
  <b:Source>
    <b:Tag>Coc12</b:Tag>
    <b:SourceType>JournalArticle</b:SourceType>
    <b:Guid>{BC14F427-2E64-4BF2-8AE6-5CC429F38D3B}</b:Guid>
    <b:Author>
      <b:Author>
        <b:NameList>
          <b:Person>
            <b:Last>Cockbain</b:Last>
            <b:First>Ella</b:First>
          </b:Person>
          <b:Person>
            <b:Last>Brayley</b:Last>
            <b:First>Helen</b:First>
          </b:Person>
        </b:NameList>
      </b:Author>
    </b:Author>
    <b:Title>Child sexual exploitation and youth offending: A research note</b:Title>
    <b:JournalName>European Journal of Criminology 9(6)</b:JournalName>
    <b:Year>2012</b:Year>
    <b:Pages>689–700</b:Pages>
    <b:RefOrder>13</b:RefOrder>
  </b:Source>
  <b:Source>
    <b:Tag>Ang221</b:Tag>
    <b:SourceType>JournalArticle</b:SourceType>
    <b:Guid>{163AC187-DC67-4647-8630-EDFA9E5E6B53}</b:Guid>
    <b:Author>
      <b:Author>
        <b:NameList>
          <b:Person>
            <b:Last>Anggraini</b:Last>
            <b:First>Ria</b:First>
            <b:Middle>Desna</b:Middle>
          </b:Person>
        </b:NameList>
      </b:Author>
    </b:Author>
    <b:Title>CRIME OF EXPLOITATION CRIME ANALYSIS OF CHILD WORK AS HOUSEHOLD SERVICE</b:Title>
    <b:JournalName>Ius Poenale (Online) Vol.3 (2)</b:JournalName>
    <b:Year>2022</b:Year>
    <b:Pages>93-102</b:Pages>
    <b:RefOrder>14</b:RefOrder>
  </b:Source>
</b:Sources>
</file>

<file path=customXml/itemProps1.xml><?xml version="1.0" encoding="utf-8"?>
<ds:datastoreItem xmlns:ds="http://schemas.openxmlformats.org/officeDocument/2006/customXml" ds:itemID="{7053668F-12A0-4AB8-A58B-5E95A05A7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1225</TotalTime>
  <Pages>15</Pages>
  <Words>5042</Words>
  <Characters>28741</Characters>
  <Application>Microsoft Office Word</Application>
  <DocSecurity>0</DocSecurity>
  <Lines>239</Lines>
  <Paragraphs>67</Paragraphs>
  <ScaleCrop>false</ScaleCrop>
  <Company/>
  <LinksUpToDate>false</LinksUpToDate>
  <CharactersWithSpaces>33716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Martin</dc:creator>
  <cp:keywords/>
  <dc:description/>
  <cp:lastModifiedBy>Holtschke,David swp8668</cp:lastModifiedBy>
  <cp:revision>3</cp:revision>
  <dcterms:created xsi:type="dcterms:W3CDTF">2024-11-03T12:52:00Z</dcterms:created>
  <dcterms:modified xsi:type="dcterms:W3CDTF">2024-11-04T09:17:00Z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2024-11-03T12:48:50Z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7342aae5-64f4-4172-b98f-bcbaa432e5cc</vt:lpwstr>
  </property>
  <property fmtid="{D5CDD505-2E9C-101B-9397-08002B2CF9AE}" pid="8" name="MSIP_Label_66cf8fe5-b7b7-4df7-b38d-1c61ac2f6639_ContentBits">
    <vt:lpwstr>0</vt:lpwstr>
  </property>
</Properties>
</file>