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05948" w14:textId="77777777" w:rsidR="00A512E2" w:rsidRDefault="00A512E2" w:rsidP="00A512E2">
      <w:pPr>
        <w:rPr>
          <w:b/>
          <w:bCs/>
        </w:rPr>
      </w:pPr>
      <w:r>
        <w:rPr>
          <w:b/>
          <w:bCs/>
        </w:rPr>
        <w:t xml:space="preserve">The likelihood of offenders securing employment </w:t>
      </w:r>
    </w:p>
    <w:p w14:paraId="2A9DC752" w14:textId="653287FB" w:rsidR="00A512E2" w:rsidRPr="00EB3033" w:rsidRDefault="00A512E2" w:rsidP="00A512E2">
      <w:pPr>
        <w:rPr>
          <w:b/>
          <w:bCs/>
        </w:rPr>
      </w:pPr>
      <w:r>
        <w:t>Possessing a criminal record in the UK may be more common tha</w:t>
      </w:r>
      <w:r w:rsidR="000428A7">
        <w:t>n</w:t>
      </w:r>
      <w:r>
        <w:t xml:space="preserve"> most people anticipated. Recent published literature reported that over 12.5 million people in the UK possess a criminal record for various crimes committed, which is also an increase of 1.6%-1.67% a year and will undoubtedly present with challenges to hundreds of thousands of people </w:t>
      </w:r>
      <w:proofErr w:type="gramStart"/>
      <w:r>
        <w:t>as a consequence</w:t>
      </w:r>
      <w:proofErr w:type="gramEnd"/>
      <w:r>
        <w:t xml:space="preserve">. (Unlock, 2024). These figures illustrate that more people in the UK are receiving convictions year on year and could result in further challenges for those when attempting to secure work or even return to existing employment, factors that are deemed positive and support with rehabilitation as we now know. </w:t>
      </w:r>
    </w:p>
    <w:p w14:paraId="01F4560E" w14:textId="77777777" w:rsidR="00A512E2" w:rsidRDefault="00A512E2" w:rsidP="00A512E2">
      <w:r w:rsidRPr="00017CEF">
        <w:t xml:space="preserve">Gaining an understanding of </w:t>
      </w:r>
      <w:r>
        <w:t>employment rates of</w:t>
      </w:r>
      <w:r w:rsidRPr="00017CEF">
        <w:t xml:space="preserve"> </w:t>
      </w:r>
      <w:r>
        <w:t xml:space="preserve">male adult </w:t>
      </w:r>
      <w:r w:rsidRPr="00017CEF">
        <w:t>offenders provide</w:t>
      </w:r>
      <w:r>
        <w:t>s</w:t>
      </w:r>
      <w:r w:rsidRPr="00017CEF">
        <w:t xml:space="preserve"> an insight into challenges </w:t>
      </w:r>
      <w:r>
        <w:t>they will likely encounter</w:t>
      </w:r>
      <w:r w:rsidRPr="00017CEF">
        <w:t xml:space="preserve"> and indicates a need for future research</w:t>
      </w:r>
      <w:r>
        <w:t xml:space="preserve"> that will support with exploring </w:t>
      </w:r>
      <w:r w:rsidRPr="00017CEF">
        <w:t xml:space="preserve">opportunities </w:t>
      </w:r>
      <w:r>
        <w:t xml:space="preserve">and promotes rehabilitation and reform. In recent times there has been an amendment to existing legislation set out to reduce the barriers to offenders securing employment. According to The Ministry of Justice (2023), following a change to the legal framework of the current Rehabilitation of Offenders Act, over 120,000 former offenders will have less difficulty in finding work </w:t>
      </w:r>
      <w:proofErr w:type="gramStart"/>
      <w:r>
        <w:t>as a result of</w:t>
      </w:r>
      <w:proofErr w:type="gramEnd"/>
      <w:r>
        <w:t xml:space="preserve"> the period of having to legally declare convictions to employers being reduced. Furthermore, they acknowledge that under the previous framework that stipulated offenders who had served a custodial sentence of 4 plus years, their convictions would need to be disclosed for the rest of their lives, presenting undoubtedly as a barrier to securing employment. Such amendments mentioned to existing legislation that already sought to support offenders gain employment and promote rehabilitation, appears to be a positive contribution to those considered in need of the support the most however, violent, sexual and terrorist offences are excluded from the forementioned. The changes will not apply to offenders who have committed violent or sexual crimes with the government stipulating that this is to ensure that there will be no increased risk to the public, which could be considered a valid and necessary action however, this represents the apparent challenges that offenders encounter when attempting to find work, particularly those who have committed crimes of a more serious nature. </w:t>
      </w:r>
    </w:p>
    <w:p w14:paraId="15961295" w14:textId="77777777" w:rsidR="00A512E2" w:rsidRDefault="00A512E2" w:rsidP="00A512E2">
      <w:r>
        <w:t xml:space="preserve">It is evident that offenders are amongst those who will likely encounter significant challenges around accessing employment opportunities, even more so for those who possess convictions of a violent or sexual nature. Hagger et al (2023) emphasise that sexual offences in particular result in lifelong consequences for the perpetrators, significantly impacting their employment opportunities post-conviction and support these views by demonstrating their findings derived from an online survey of the general public’s perception of hiring candidates with a conviction constituting sexual behaviours. The data established that those who had committed sexual offending, especially involving contact with a victim where perceived less suitable for a job, valuable or trustworthy, receiving higher rejections. The findings from this survey concluded that the rejection rates of offenders who had committed a crime involving sexual activity with a child were 80%, rape 57% and possessing indecent photographs of children unveiled that 49% of participants would not employ individuals who had committed this </w:t>
      </w:r>
      <w:proofErr w:type="gramStart"/>
      <w:r>
        <w:t>particular offence</w:t>
      </w:r>
      <w:proofErr w:type="gramEnd"/>
      <w:r>
        <w:t xml:space="preserve">. There will be understandable concerns for employers at the possibility of recruiting offenders, especially those having been convicted of sexual offences. These findings display the apparent disparities offenders who have committed sexual offences encounter and the data is of value to support the argument that there are obvious challenges for those who possess a criminal record. It is worth considering that the sample utilised in this survey were recruited via social media and were given a hypothetical task of being a manager of a petrol station seeking to hire a sales </w:t>
      </w:r>
      <w:r>
        <w:lastRenderedPageBreak/>
        <w:t>assistant, therefore, may not be a true representation of the likelihood of sex offenders securing employment, although still of value as it provides an insight into the public’s perceptions.</w:t>
      </w:r>
    </w:p>
    <w:p w14:paraId="39539A26" w14:textId="77777777" w:rsidR="00A512E2" w:rsidRDefault="00A512E2" w:rsidP="00A512E2">
      <w:r>
        <w:t xml:space="preserve">There is an evident correlation between existing literature and research that offenders, especially those who have committed violent or sexual offending, being a demographic that are the least likely to be employed and will encounter challenges on their journey to finding working following their conviction. These views are further supported by Russell Webster (2022), who identifies the multiple barriers faced by offenders when seeking employment. Furthermore, Russell Webster (2022), draws upon findings from a survey sent to 1000 professionals, all of whom had the responsibility of recruiting staff as part of their role, with the aim of comparing employer’s attitudes to hiring people with convictions with a study from 2010. The current findings provide readers with an interesting insight, and of </w:t>
      </w:r>
      <w:proofErr w:type="gramStart"/>
      <w:r>
        <w:t>particular value</w:t>
      </w:r>
      <w:proofErr w:type="gramEnd"/>
      <w:r>
        <w:t xml:space="preserve"> as the research also explores the likelihood of offenders being recruited based on the crime type committed. As expected, sexual offences scored the lowest percentage of being recruited in comparison to other crime types, at only 17% below murder (19%) and grievous bodily harm (24%), of which both rank low in the results. The crime type that scored highest in terms of most likely to be recruited was a driving offence at 56%, which could be due to employers considering this crime type as posing as ‘less of a risk’ and rejections may also be necessary if the roles advertised or organisations required the individual to drive as part of their position, however had been disqualified as a result of their actions. Interestingly, 31% would recruit individuals with a benefit fraud conviction, this scoring higher than sexual offences, yet such crime type does demonstrate an element of distrust. To reflect on the overall findings from this </w:t>
      </w:r>
      <w:proofErr w:type="gramStart"/>
      <w:r>
        <w:t>particular research</w:t>
      </w:r>
      <w:proofErr w:type="gramEnd"/>
      <w:r>
        <w:t xml:space="preserve">, it is evident that employers are still sceptical about employing individuals with convictions, particularly those which involve violent or sexual offences. It is worth considering that some roles and sectors will need to ensure that the relevant disclosure is undertaken to ensure that they are abiding by the organisations safeguarding policies and procedures. </w:t>
      </w:r>
    </w:p>
    <w:p w14:paraId="574D813D" w14:textId="2EF75070" w:rsidR="00A512E2" w:rsidRDefault="00A512E2" w:rsidP="00A512E2">
      <w:r>
        <w:t xml:space="preserve">Although there are apparent challenges that offenders will encounter on their journey to finding work, existing research indicates that the number of employment outcomes for individuals with convictions increase year on year which seems promising. 31.1% of offenders were employed at 6 months post release from custody in the year to March 2024, which is an increase of 5.2% from figures recorded in the years performance from 2022/2023 (Ministry of Justice, 2024). It is promising that from years 2020/2021 to 2023/2024 the percentage of offenders in employment at 6 months post release from prison has increased year on year, which could indicate that there are more opportunities for individuals with convictions and employers are more open to recruiting this demographic. It is worth considering that the COVID-19 pandemic did occur from 2020, which may very well have impacted job opportunities and likely to reflect lower employment rates amongst the general population, not just for the cohort of offenders. These views are supported by existing literature, with Victor et al (2021) reporting that the pandemic resulted in the UK being one of the hardest-hit economies and Mayhew and Anand (2020) conclude that the number of Universal Credit claimants was ten times higher in the last two weeks of March 2020 than the usual number in any given fortnight. It is also worth highlighting that Ministry of Justice (2024) found that 46.4% of individuals sentenced to a community order were employed 6 months after the sentence commenced and again, this is an increase year on year since 2020/2021. Both employment rates at 6 months post release from custody and 6 months from the commencement of a community order have risen year on year since 2020/2021 which could be an indication that employers are becoming more open to recruiting people with convictions. It is worth considering that employment rates at 6 months after a community order was imposed are higher than that of 6 months post release from custody, </w:t>
      </w:r>
      <w:r>
        <w:lastRenderedPageBreak/>
        <w:t>which could be due to the fact offenders are able to remain in society and will likely to either continue in an existing job or seek alternative opportunities whereas incarceration may result in existing employers having to terminate employment for many reasons, one being that the offender will not be able to undertake the duties expected of them impacting the needs of the business. Although this particular research provides a valuable insight into the rates of employment 6 months post release from custody and 6 months from the commencement of the community order, it does not elaborate on crime type therefore, which restricts an understanding as to where people possessing convictions of violence and sex offences.</w:t>
      </w:r>
    </w:p>
    <w:p w14:paraId="72AA47F8" w14:textId="77777777" w:rsidR="00A512E2" w:rsidRDefault="00A512E2" w:rsidP="00A512E2"/>
    <w:p w14:paraId="22741B58" w14:textId="77777777" w:rsidR="00A512E2" w:rsidRDefault="00A512E2" w:rsidP="00A512E2"/>
    <w:p w14:paraId="3A7135FC" w14:textId="77777777" w:rsidR="00A512E2" w:rsidRDefault="00A512E2" w:rsidP="00A512E2"/>
    <w:p w14:paraId="0137F47F" w14:textId="77777777" w:rsidR="00A512E2" w:rsidRDefault="00A512E2" w:rsidP="00A512E2"/>
    <w:p w14:paraId="79AB50C9" w14:textId="77777777" w:rsidR="00A512E2" w:rsidRDefault="00A512E2" w:rsidP="00A512E2"/>
    <w:p w14:paraId="10C07CE8" w14:textId="77777777" w:rsidR="00A512E2" w:rsidRDefault="00A512E2" w:rsidP="00A512E2"/>
    <w:p w14:paraId="4FB68484" w14:textId="77777777" w:rsidR="00A512E2" w:rsidRDefault="00A512E2" w:rsidP="00A512E2"/>
    <w:p w14:paraId="20C431E0" w14:textId="77777777" w:rsidR="00A512E2" w:rsidRDefault="00A512E2" w:rsidP="00A512E2"/>
    <w:p w14:paraId="7D90243B" w14:textId="77777777" w:rsidR="00A512E2" w:rsidRDefault="00A512E2" w:rsidP="00A512E2"/>
    <w:p w14:paraId="0B2F0FDE" w14:textId="77777777" w:rsidR="00A512E2" w:rsidRDefault="00A512E2" w:rsidP="00A512E2"/>
    <w:p w14:paraId="0424A19A" w14:textId="77777777" w:rsidR="00A512E2" w:rsidRDefault="00A512E2" w:rsidP="00A512E2"/>
    <w:p w14:paraId="33877AEA" w14:textId="77777777" w:rsidR="00A512E2" w:rsidRDefault="00A512E2" w:rsidP="00A512E2"/>
    <w:p w14:paraId="1549EA78" w14:textId="77777777" w:rsidR="00A512E2" w:rsidRDefault="00A512E2" w:rsidP="00A512E2"/>
    <w:p w14:paraId="6308050D" w14:textId="77777777" w:rsidR="00A512E2" w:rsidRDefault="00A512E2" w:rsidP="00A512E2"/>
    <w:p w14:paraId="0EE63404" w14:textId="77777777" w:rsidR="00A512E2" w:rsidRDefault="00A512E2" w:rsidP="00A512E2"/>
    <w:p w14:paraId="5B75ABDF" w14:textId="77777777" w:rsidR="00A512E2" w:rsidRDefault="00A512E2" w:rsidP="00A512E2"/>
    <w:p w14:paraId="2128C0A8" w14:textId="77777777" w:rsidR="00A512E2" w:rsidRDefault="00A512E2" w:rsidP="00A512E2"/>
    <w:p w14:paraId="78768F26" w14:textId="77777777" w:rsidR="00A512E2" w:rsidRDefault="00A512E2" w:rsidP="00A512E2"/>
    <w:p w14:paraId="068AFCDB" w14:textId="77777777" w:rsidR="00A512E2" w:rsidRDefault="00A512E2" w:rsidP="00A512E2"/>
    <w:p w14:paraId="7DCC6B98" w14:textId="77777777" w:rsidR="00A512E2" w:rsidRDefault="00A512E2" w:rsidP="00A512E2"/>
    <w:p w14:paraId="4DF6FA08" w14:textId="77777777" w:rsidR="00A512E2" w:rsidRDefault="00A512E2" w:rsidP="00A512E2"/>
    <w:p w14:paraId="17320673" w14:textId="77777777" w:rsidR="00A512E2" w:rsidRDefault="00A512E2" w:rsidP="00A512E2"/>
    <w:p w14:paraId="09948534" w14:textId="77777777" w:rsidR="00A512E2" w:rsidRDefault="00A512E2" w:rsidP="00A512E2"/>
    <w:p w14:paraId="664435D5" w14:textId="77777777" w:rsidR="00A512E2" w:rsidRDefault="00A512E2" w:rsidP="00A512E2"/>
    <w:p w14:paraId="2469D58B" w14:textId="77777777" w:rsidR="00A512E2" w:rsidRDefault="00A512E2" w:rsidP="00A512E2"/>
    <w:p w14:paraId="643648A3" w14:textId="77777777" w:rsidR="00A512E2" w:rsidRDefault="00A512E2" w:rsidP="00A512E2">
      <w:r>
        <w:lastRenderedPageBreak/>
        <w:t xml:space="preserve">References </w:t>
      </w:r>
    </w:p>
    <w:p w14:paraId="118D9499" w14:textId="77777777" w:rsidR="00A512E2" w:rsidRDefault="00A512E2" w:rsidP="00A512E2">
      <w:r>
        <w:t xml:space="preserve">Daniels, K. (2022). </w:t>
      </w:r>
      <w:r w:rsidRPr="00FB2A66">
        <w:rPr>
          <w:i/>
          <w:iCs/>
        </w:rPr>
        <w:t xml:space="preserve">Introduction to employment law: fundamentals for HR and business students. </w:t>
      </w:r>
      <w:r>
        <w:t>(6</w:t>
      </w:r>
      <w:r w:rsidRPr="00924B9A">
        <w:rPr>
          <w:vertAlign w:val="superscript"/>
        </w:rPr>
        <w:t>th</w:t>
      </w:r>
      <w:r>
        <w:t xml:space="preserve"> ed). Kogan Page Limited. </w:t>
      </w:r>
    </w:p>
    <w:p w14:paraId="7F8A5CF6" w14:textId="77777777" w:rsidR="00A512E2" w:rsidRDefault="00A512E2" w:rsidP="00A512E2">
      <w:r>
        <w:t xml:space="preserve">HM Inspectorate of Probation (2020) </w:t>
      </w:r>
      <w:r w:rsidRPr="00095EDF">
        <w:rPr>
          <w:i/>
          <w:iCs/>
        </w:rPr>
        <w:t>Desistence – general practice principles</w:t>
      </w:r>
      <w:r>
        <w:t xml:space="preserve">. (Online) Available from: </w:t>
      </w:r>
      <w:r w:rsidRPr="00095EDF">
        <w:t>Desistance – general practice principles</w:t>
      </w:r>
      <w:r>
        <w:t xml:space="preserve"> (Accessed on 20</w:t>
      </w:r>
      <w:r w:rsidRPr="00095EDF">
        <w:rPr>
          <w:vertAlign w:val="superscript"/>
        </w:rPr>
        <w:t>th</w:t>
      </w:r>
      <w:r>
        <w:t xml:space="preserve"> January 2025) </w:t>
      </w:r>
    </w:p>
    <w:p w14:paraId="7A1D5016" w14:textId="77777777" w:rsidR="00A512E2" w:rsidRDefault="00A512E2" w:rsidP="00A512E2">
      <w:r>
        <w:t xml:space="preserve">HM Inspectorate of Probation. (2021) </w:t>
      </w:r>
      <w:r w:rsidRPr="000B01C9">
        <w:rPr>
          <w:i/>
          <w:iCs/>
        </w:rPr>
        <w:t>Education, training and employment.</w:t>
      </w:r>
      <w:r>
        <w:t xml:space="preserve"> (Online) Available from: </w:t>
      </w:r>
      <w:r w:rsidRPr="00E93615">
        <w:t>Education, training and employment</w:t>
      </w:r>
      <w:r>
        <w:t xml:space="preserve"> (Accessed on 22</w:t>
      </w:r>
      <w:r w:rsidRPr="00E93615">
        <w:rPr>
          <w:vertAlign w:val="superscript"/>
        </w:rPr>
        <w:t>nd</w:t>
      </w:r>
      <w:r>
        <w:t xml:space="preserve"> January 2025) </w:t>
      </w:r>
    </w:p>
    <w:p w14:paraId="51964C9C" w14:textId="77777777" w:rsidR="00A512E2" w:rsidRDefault="00A512E2" w:rsidP="00A512E2">
      <w:r>
        <w:t xml:space="preserve">Loosemore, M., Bridgeman, J. and Keast, R. (2020). Reintegrating ex-offenders into work through construction: a case study of cross-sector collaboration in social procurement. </w:t>
      </w:r>
      <w:r w:rsidRPr="00574079">
        <w:rPr>
          <w:i/>
          <w:iCs/>
        </w:rPr>
        <w:t xml:space="preserve">Building Research and Information. </w:t>
      </w:r>
      <w:r>
        <w:t xml:space="preserve">48 (7) p 731-746. Available from: </w:t>
      </w:r>
      <w:r w:rsidRPr="00574079">
        <w:t>Reintegrating ex-offenders into work through construction: a case study of cross-sector collaboration in social procurement. - EBSCO</w:t>
      </w:r>
      <w:r>
        <w:t xml:space="preserve"> (Accessed on 14/01/2025) </w:t>
      </w:r>
    </w:p>
    <w:p w14:paraId="0E05D6D0" w14:textId="77777777" w:rsidR="00A512E2" w:rsidRDefault="00A512E2" w:rsidP="00A512E2">
      <w:r>
        <w:t xml:space="preserve">Mayhew, K. and Anand, P. (2020) COVID-19 and the UK labour market. </w:t>
      </w:r>
      <w:r w:rsidRPr="000A055D">
        <w:rPr>
          <w:i/>
          <w:iCs/>
        </w:rPr>
        <w:t xml:space="preserve">Oxford Review of Economic Policy. </w:t>
      </w:r>
      <w:r>
        <w:t xml:space="preserve">36. P 215-224. Available from: </w:t>
      </w:r>
      <w:r w:rsidRPr="000A055D">
        <w:t>COVID-19 and the UK labour market | Oxford Review of Economic Policy | Oxford Academic</w:t>
      </w:r>
      <w:r>
        <w:t xml:space="preserve"> (Accessed on 18</w:t>
      </w:r>
      <w:r w:rsidRPr="000A055D">
        <w:rPr>
          <w:vertAlign w:val="superscript"/>
        </w:rPr>
        <w:t>th</w:t>
      </w:r>
      <w:r>
        <w:t xml:space="preserve"> January 2025) </w:t>
      </w:r>
    </w:p>
    <w:p w14:paraId="110EB0BF" w14:textId="77777777" w:rsidR="00A512E2" w:rsidRDefault="00A512E2" w:rsidP="00A512E2">
      <w:r>
        <w:t xml:space="preserve">Ministry of Justice (2023) </w:t>
      </w:r>
      <w:r w:rsidRPr="00A911A0">
        <w:rPr>
          <w:i/>
          <w:iCs/>
        </w:rPr>
        <w:t>Barrier to employment lifted for thousands of ex-offenders.</w:t>
      </w:r>
      <w:r>
        <w:t xml:space="preserve"> (Online) Available from: </w:t>
      </w:r>
      <w:r w:rsidRPr="00A911A0">
        <w:t>Barrier to employment lifted for thousands of ex-offenders - GOV.UK</w:t>
      </w:r>
      <w:r>
        <w:t xml:space="preserve"> (Accessed on 2</w:t>
      </w:r>
      <w:r w:rsidRPr="00A911A0">
        <w:rPr>
          <w:vertAlign w:val="superscript"/>
        </w:rPr>
        <w:t>nd</w:t>
      </w:r>
      <w:r>
        <w:t xml:space="preserve"> January 2025) </w:t>
      </w:r>
    </w:p>
    <w:p w14:paraId="7B9F584A" w14:textId="77777777" w:rsidR="00A512E2" w:rsidRDefault="00A512E2" w:rsidP="00A512E2">
      <w:r>
        <w:t xml:space="preserve">Ministry of Justice (2024) </w:t>
      </w:r>
      <w:r w:rsidRPr="00457022">
        <w:rPr>
          <w:i/>
          <w:iCs/>
        </w:rPr>
        <w:t>Offender Employment Outcomes – Statistical Summary.</w:t>
      </w:r>
      <w:r>
        <w:t xml:space="preserve"> (Online) Available from: </w:t>
      </w:r>
      <w:r w:rsidRPr="00457022">
        <w:t>Offender Employment Outcomes - Statistical Summary - GOV.UK</w:t>
      </w:r>
      <w:r>
        <w:t xml:space="preserve"> (Accessed on 15/01/2025) </w:t>
      </w:r>
    </w:p>
    <w:p w14:paraId="2B0B04F9" w14:textId="77777777" w:rsidR="00A512E2" w:rsidRDefault="00A512E2" w:rsidP="00A512E2">
      <w:r>
        <w:t xml:space="preserve">Moss, S. A., Lee, E., Berman, A. and Rung, D. (2018) When do People Value Rehabilitation and Restorative Justice Over Punishment of Offenders? </w:t>
      </w:r>
      <w:r w:rsidRPr="007C4CF6">
        <w:rPr>
          <w:i/>
          <w:iCs/>
        </w:rPr>
        <w:t>An International Journal of Evidence-based Research, Policy and Practice.</w:t>
      </w:r>
      <w:r>
        <w:t xml:space="preserve"> 14 (1) pp. 1556-4991. Available from: </w:t>
      </w:r>
      <w:r w:rsidRPr="007C4CF6">
        <w:t>When do People Value Rehabilitation and Restorative Justice Over the Punishment of Offenders?</w:t>
      </w:r>
      <w:r>
        <w:t xml:space="preserve"> (Accessed on 21</w:t>
      </w:r>
      <w:r w:rsidRPr="007C4CF6">
        <w:rPr>
          <w:vertAlign w:val="superscript"/>
        </w:rPr>
        <w:t>st</w:t>
      </w:r>
      <w:r>
        <w:t xml:space="preserve"> January 2025) </w:t>
      </w:r>
    </w:p>
    <w:p w14:paraId="60CA821F" w14:textId="77777777" w:rsidR="00A512E2" w:rsidRDefault="00A512E2" w:rsidP="00A512E2">
      <w:r>
        <w:t xml:space="preserve">Nugent, B. and Schinkel, M. (2016) The pains of desistance. </w:t>
      </w:r>
      <w:r w:rsidRPr="00094AE4">
        <w:rPr>
          <w:i/>
          <w:iCs/>
        </w:rPr>
        <w:t>Criminology and Criminal Justice.</w:t>
      </w:r>
      <w:r>
        <w:t xml:space="preserve"> 16 (5), pp. 568-584. Available from: </w:t>
      </w:r>
      <w:r w:rsidRPr="00094AE4">
        <w:t>The pains of desistance - Briege Nugent, Marguerite Schinkel, 2016</w:t>
      </w:r>
      <w:r>
        <w:t xml:space="preserve"> (Accessed on 20</w:t>
      </w:r>
      <w:r w:rsidRPr="00094AE4">
        <w:rPr>
          <w:vertAlign w:val="superscript"/>
        </w:rPr>
        <w:t>th</w:t>
      </w:r>
      <w:r>
        <w:t xml:space="preserve"> January 2025) </w:t>
      </w:r>
    </w:p>
    <w:p w14:paraId="53EECBE8" w14:textId="77777777" w:rsidR="00A512E2" w:rsidRDefault="00A512E2" w:rsidP="00A512E2">
      <w:r>
        <w:t xml:space="preserve">Porter, C. N., Haggar, L. and Harvey, A. C. (2023) Sexual offending and barriers to employability: public perceptions of who to hire. </w:t>
      </w:r>
      <w:r w:rsidRPr="00F21782">
        <w:rPr>
          <w:i/>
          <w:iCs/>
        </w:rPr>
        <w:t>Current Psychology</w:t>
      </w:r>
      <w:r>
        <w:t xml:space="preserve">. 42 p 28799-28811. Available from: </w:t>
      </w:r>
      <w:r w:rsidRPr="00F21782">
        <w:t>Sexual offending and barriers to employability: public perceptions of who to hire | Current Psychology</w:t>
      </w:r>
      <w:r>
        <w:t xml:space="preserve"> (Accessed on 3</w:t>
      </w:r>
      <w:r w:rsidRPr="00F21782">
        <w:rPr>
          <w:vertAlign w:val="superscript"/>
        </w:rPr>
        <w:t>rd</w:t>
      </w:r>
      <w:r>
        <w:t xml:space="preserve"> January 2025) </w:t>
      </w:r>
    </w:p>
    <w:p w14:paraId="0B116BA9" w14:textId="77777777" w:rsidR="00A512E2" w:rsidRDefault="00A512E2" w:rsidP="00A512E2">
      <w:r>
        <w:t xml:space="preserve">Russell Webster. (2022) </w:t>
      </w:r>
      <w:r w:rsidRPr="00E5614B">
        <w:rPr>
          <w:i/>
          <w:iCs/>
        </w:rPr>
        <w:t xml:space="preserve">Employers More Likely </w:t>
      </w:r>
      <w:proofErr w:type="gramStart"/>
      <w:r w:rsidRPr="00E5614B">
        <w:rPr>
          <w:i/>
          <w:iCs/>
        </w:rPr>
        <w:t>To</w:t>
      </w:r>
      <w:proofErr w:type="gramEnd"/>
      <w:r w:rsidRPr="00E5614B">
        <w:rPr>
          <w:i/>
          <w:iCs/>
        </w:rPr>
        <w:t xml:space="preserve"> Hire People With Convictions</w:t>
      </w:r>
      <w:r>
        <w:t xml:space="preserve">. (Online) Available from: </w:t>
      </w:r>
      <w:r w:rsidRPr="00E5614B">
        <w:t>Employers more likely to hire people with convictions - Russell Webster</w:t>
      </w:r>
      <w:r>
        <w:t xml:space="preserve"> (Accessed on 4</w:t>
      </w:r>
      <w:r w:rsidRPr="00E5614B">
        <w:rPr>
          <w:vertAlign w:val="superscript"/>
        </w:rPr>
        <w:t>th</w:t>
      </w:r>
      <w:r>
        <w:t xml:space="preserve"> January 2025)</w:t>
      </w:r>
    </w:p>
    <w:p w14:paraId="365BE6D8" w14:textId="77777777" w:rsidR="00A512E2" w:rsidRDefault="00A512E2" w:rsidP="00A512E2">
      <w:r>
        <w:t xml:space="preserve">Sampson, R. J. and Laub, J. H. (2003) Desistence from crime over the life course. </w:t>
      </w:r>
      <w:r w:rsidRPr="00C428C4">
        <w:rPr>
          <w:i/>
          <w:iCs/>
        </w:rPr>
        <w:t>Handbook of the life course</w:t>
      </w:r>
      <w:r>
        <w:t xml:space="preserve">. Pp. 295-309. Boston, MA: Springer US. </w:t>
      </w:r>
    </w:p>
    <w:p w14:paraId="7EB3CC00" w14:textId="77777777" w:rsidR="00A512E2" w:rsidRDefault="00A512E2" w:rsidP="00A512E2">
      <w:r>
        <w:t xml:space="preserve">Taylor, R. (2022) </w:t>
      </w:r>
      <w:r w:rsidRPr="000C67FD">
        <w:rPr>
          <w:i/>
          <w:iCs/>
        </w:rPr>
        <w:t>Crime and rehabilitation: An overview.</w:t>
      </w:r>
      <w:r>
        <w:t xml:space="preserve"> (Online) Available from: </w:t>
      </w:r>
      <w:r w:rsidRPr="00E764B9">
        <w:t>Crime and rehabilitation: An overview - House of Lords Library</w:t>
      </w:r>
      <w:r>
        <w:t xml:space="preserve"> (Accessed on 22</w:t>
      </w:r>
      <w:r w:rsidRPr="00E764B9">
        <w:rPr>
          <w:vertAlign w:val="superscript"/>
        </w:rPr>
        <w:t>nd</w:t>
      </w:r>
      <w:r>
        <w:t xml:space="preserve"> January 2025) </w:t>
      </w:r>
    </w:p>
    <w:p w14:paraId="52A60C8B" w14:textId="77777777" w:rsidR="00A512E2" w:rsidRDefault="00A512E2" w:rsidP="00A512E2">
      <w:r>
        <w:lastRenderedPageBreak/>
        <w:t xml:space="preserve">Unlock (2024) </w:t>
      </w:r>
      <w:r w:rsidRPr="000D0123">
        <w:rPr>
          <w:i/>
          <w:iCs/>
        </w:rPr>
        <w:t>New figures confirm more than 12.5 million people in the UK have a criminal record</w:t>
      </w:r>
      <w:r>
        <w:t xml:space="preserve">. (Online) Available from: </w:t>
      </w:r>
      <w:r w:rsidRPr="000D0123">
        <w:t>New figures confirm more than 12.5 million people in the UK have a criminal record - Unlock</w:t>
      </w:r>
      <w:r>
        <w:t xml:space="preserve"> (Accessed on 13/01/2024) </w:t>
      </w:r>
    </w:p>
    <w:p w14:paraId="473C03BE" w14:textId="77777777" w:rsidR="00A512E2" w:rsidRDefault="00A512E2" w:rsidP="00A512E2">
      <w:r>
        <w:t xml:space="preserve">Vijay, V., </w:t>
      </w:r>
      <w:proofErr w:type="spellStart"/>
      <w:r>
        <w:t>Karakunnel</w:t>
      </w:r>
      <w:proofErr w:type="spellEnd"/>
      <w:r>
        <w:t xml:space="preserve">, J. J., Loganathan, S. and Meyer, D. F. (2021) From a Recession to the COVID-19 Pandemic: Inflation-Unemployment Comparison between the UK and India. </w:t>
      </w:r>
      <w:r w:rsidRPr="00A22455">
        <w:rPr>
          <w:i/>
          <w:iCs/>
        </w:rPr>
        <w:t>Economies</w:t>
      </w:r>
      <w:r>
        <w:t xml:space="preserve">. 73 (9) p 1-19. Available from: </w:t>
      </w:r>
      <w:r w:rsidRPr="00A22455">
        <w:t>economies-09-00073.pdf</w:t>
      </w:r>
      <w:r>
        <w:t xml:space="preserve"> (Accessed on 18</w:t>
      </w:r>
      <w:r w:rsidRPr="00A22455">
        <w:rPr>
          <w:vertAlign w:val="superscript"/>
        </w:rPr>
        <w:t>th</w:t>
      </w:r>
      <w:r>
        <w:t xml:space="preserve"> January 2025) </w:t>
      </w:r>
    </w:p>
    <w:p w14:paraId="18893EAE" w14:textId="77777777" w:rsidR="00A512E2" w:rsidRDefault="00A512E2" w:rsidP="00A512E2"/>
    <w:p w14:paraId="7EFC1BE9" w14:textId="77777777" w:rsidR="00A61934" w:rsidRDefault="00A61934"/>
    <w:sectPr w:rsidR="00A619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2E2"/>
    <w:rsid w:val="000428A7"/>
    <w:rsid w:val="002B04CE"/>
    <w:rsid w:val="004E3D81"/>
    <w:rsid w:val="009F1854"/>
    <w:rsid w:val="00A512E2"/>
    <w:rsid w:val="00A619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EC9AE"/>
  <w15:chartTrackingRefBased/>
  <w15:docId w15:val="{1B226170-46F9-459A-BD02-FEE227349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12E2"/>
  </w:style>
  <w:style w:type="paragraph" w:styleId="Heading1">
    <w:name w:val="heading 1"/>
    <w:basedOn w:val="Normal"/>
    <w:next w:val="Normal"/>
    <w:link w:val="Heading1Char"/>
    <w:uiPriority w:val="9"/>
    <w:qFormat/>
    <w:rsid w:val="00A512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12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12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12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12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12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12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12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12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12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12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12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12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12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12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12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12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12E2"/>
    <w:rPr>
      <w:rFonts w:eastAsiaTheme="majorEastAsia" w:cstheme="majorBidi"/>
      <w:color w:val="272727" w:themeColor="text1" w:themeTint="D8"/>
    </w:rPr>
  </w:style>
  <w:style w:type="paragraph" w:styleId="Title">
    <w:name w:val="Title"/>
    <w:basedOn w:val="Normal"/>
    <w:next w:val="Normal"/>
    <w:link w:val="TitleChar"/>
    <w:uiPriority w:val="10"/>
    <w:qFormat/>
    <w:rsid w:val="00A512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12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12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12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12E2"/>
    <w:pPr>
      <w:spacing w:before="160"/>
      <w:jc w:val="center"/>
    </w:pPr>
    <w:rPr>
      <w:i/>
      <w:iCs/>
      <w:color w:val="404040" w:themeColor="text1" w:themeTint="BF"/>
    </w:rPr>
  </w:style>
  <w:style w:type="character" w:customStyle="1" w:styleId="QuoteChar">
    <w:name w:val="Quote Char"/>
    <w:basedOn w:val="DefaultParagraphFont"/>
    <w:link w:val="Quote"/>
    <w:uiPriority w:val="29"/>
    <w:rsid w:val="00A512E2"/>
    <w:rPr>
      <w:i/>
      <w:iCs/>
      <w:color w:val="404040" w:themeColor="text1" w:themeTint="BF"/>
    </w:rPr>
  </w:style>
  <w:style w:type="paragraph" w:styleId="ListParagraph">
    <w:name w:val="List Paragraph"/>
    <w:basedOn w:val="Normal"/>
    <w:uiPriority w:val="34"/>
    <w:qFormat/>
    <w:rsid w:val="00A512E2"/>
    <w:pPr>
      <w:ind w:left="720"/>
      <w:contextualSpacing/>
    </w:pPr>
  </w:style>
  <w:style w:type="character" w:styleId="IntenseEmphasis">
    <w:name w:val="Intense Emphasis"/>
    <w:basedOn w:val="DefaultParagraphFont"/>
    <w:uiPriority w:val="21"/>
    <w:qFormat/>
    <w:rsid w:val="00A512E2"/>
    <w:rPr>
      <w:i/>
      <w:iCs/>
      <w:color w:val="0F4761" w:themeColor="accent1" w:themeShade="BF"/>
    </w:rPr>
  </w:style>
  <w:style w:type="paragraph" w:styleId="IntenseQuote">
    <w:name w:val="Intense Quote"/>
    <w:basedOn w:val="Normal"/>
    <w:next w:val="Normal"/>
    <w:link w:val="IntenseQuoteChar"/>
    <w:uiPriority w:val="30"/>
    <w:qFormat/>
    <w:rsid w:val="00A512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12E2"/>
    <w:rPr>
      <w:i/>
      <w:iCs/>
      <w:color w:val="0F4761" w:themeColor="accent1" w:themeShade="BF"/>
    </w:rPr>
  </w:style>
  <w:style w:type="character" w:styleId="IntenseReference">
    <w:name w:val="Intense Reference"/>
    <w:basedOn w:val="DefaultParagraphFont"/>
    <w:uiPriority w:val="32"/>
    <w:qFormat/>
    <w:rsid w:val="00A512E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1903</Words>
  <Characters>10850</Characters>
  <Application>Microsoft Office Word</Application>
  <DocSecurity>0</DocSecurity>
  <Lines>90</Lines>
  <Paragraphs>25</Paragraphs>
  <ScaleCrop>false</ScaleCrop>
  <Company/>
  <LinksUpToDate>false</LinksUpToDate>
  <CharactersWithSpaces>12728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Harris</dc:creator>
  <cp:keywords/>
  <dc:description/>
  <cp:lastModifiedBy>Rebecca Harris</cp:lastModifiedBy>
  <cp:revision>2</cp:revision>
  <dcterms:created xsi:type="dcterms:W3CDTF">2025-01-22T23:20:00Z</dcterms:created>
  <dcterms:modified xsi:type="dcterms:W3CDTF">2025-01-26T21:42:00Z</dcterms:modified>
</cp:coreProperties>
</file>