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000DB6" w14:textId="77777777" w:rsidR="00B27CE4" w:rsidRPr="00334AA0" w:rsidRDefault="00B27CE4" w:rsidP="00B27CE4">
      <w:pPr>
        <w:spacing w:line="360" w:lineRule="auto"/>
        <w:jc w:val="center"/>
        <w:rPr>
          <w:rFonts w:ascii="Arial" w:eastAsia="Aptos" w:hAnsi="Arial" w:cs="Arial"/>
        </w:rPr>
      </w:pPr>
      <w:r w:rsidRPr="00334AA0">
        <w:rPr>
          <w:rFonts w:ascii="Arial" w:eastAsia="Aptos" w:hAnsi="Arial" w:cs="Arial"/>
          <w:sz w:val="44"/>
          <w:szCs w:val="44"/>
        </w:rPr>
        <w:t>The role of Corporate social responsibility in promoting sustainability within the hospitality industry</w:t>
      </w:r>
      <w:r w:rsidRPr="00334AA0">
        <w:rPr>
          <w:rFonts w:ascii="Arial" w:eastAsia="Aptos" w:hAnsi="Arial" w:cs="Arial"/>
        </w:rPr>
        <w:t>.</w:t>
      </w:r>
    </w:p>
    <w:p w14:paraId="121AFE46"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Student: Anamaria Cristina Salanchi</w:t>
      </w:r>
    </w:p>
    <w:p w14:paraId="30998059"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Student ID: 2206421</w:t>
      </w:r>
    </w:p>
    <w:p w14:paraId="0BDDA3A9"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 xml:space="preserve">Module title: Sustainable Hospitality &amp; Tourism Management </w:t>
      </w:r>
    </w:p>
    <w:p w14:paraId="50DC4F41"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BMIH5006</w:t>
      </w:r>
    </w:p>
    <w:p w14:paraId="2ED947AE" w14:textId="77777777" w:rsidR="00B27CE4" w:rsidRPr="00334AA0" w:rsidRDefault="00B27CE4" w:rsidP="00B27CE4">
      <w:pPr>
        <w:jc w:val="center"/>
        <w:rPr>
          <w:rFonts w:ascii="Arial" w:eastAsia="Aptos" w:hAnsi="Arial" w:cs="Arial"/>
          <w:kern w:val="0"/>
          <w:sz w:val="40"/>
          <w:szCs w:val="40"/>
          <w14:ligatures w14:val="none"/>
        </w:rPr>
      </w:pPr>
      <w:r w:rsidRPr="00334AA0">
        <w:rPr>
          <w:rFonts w:ascii="Arial" w:eastAsia="Aptos" w:hAnsi="Arial" w:cs="Arial"/>
          <w:kern w:val="0"/>
          <w:sz w:val="40"/>
          <w:szCs w:val="40"/>
          <w14:ligatures w14:val="none"/>
        </w:rPr>
        <w:t>Lecturer name: Julia Ault</w:t>
      </w:r>
    </w:p>
    <w:p w14:paraId="609FBA99" w14:textId="30345B6F" w:rsidR="00B27CE4" w:rsidRPr="00334AA0" w:rsidRDefault="00B27CE4" w:rsidP="00B27CE4">
      <w:pPr>
        <w:jc w:val="center"/>
        <w:rPr>
          <w:rFonts w:ascii="Arial" w:eastAsia="Aptos" w:hAnsi="Arial" w:cs="Arial"/>
          <w:kern w:val="0"/>
          <w:sz w:val="40"/>
          <w:szCs w:val="40"/>
          <w14:ligatures w14:val="none"/>
        </w:rPr>
      </w:pPr>
      <w:r w:rsidRPr="00334AA0">
        <w:rPr>
          <w:rFonts w:ascii="Arial" w:eastAsia="Aptos" w:hAnsi="Arial" w:cs="Arial"/>
          <w:kern w:val="0"/>
          <w:sz w:val="40"/>
          <w:szCs w:val="40"/>
          <w14:ligatures w14:val="none"/>
        </w:rPr>
        <w:t xml:space="preserve">Word Count: </w:t>
      </w:r>
      <w:r w:rsidR="0070771B">
        <w:rPr>
          <w:rFonts w:ascii="Arial" w:eastAsia="Aptos" w:hAnsi="Arial" w:cs="Arial"/>
          <w:kern w:val="0"/>
          <w:sz w:val="40"/>
          <w:szCs w:val="40"/>
          <w14:ligatures w14:val="none"/>
        </w:rPr>
        <w:t>1946</w:t>
      </w:r>
    </w:p>
    <w:p w14:paraId="6AC657FF" w14:textId="77777777" w:rsidR="00B27CE4" w:rsidRPr="00334AA0" w:rsidRDefault="00B27CE4" w:rsidP="00B27CE4">
      <w:pPr>
        <w:jc w:val="center"/>
        <w:rPr>
          <w:rFonts w:ascii="Arial" w:eastAsia="Aptos" w:hAnsi="Arial" w:cs="Arial"/>
          <w:kern w:val="0"/>
          <w:sz w:val="40"/>
          <w:szCs w:val="40"/>
          <w14:ligatures w14:val="none"/>
        </w:rPr>
      </w:pPr>
    </w:p>
    <w:p w14:paraId="562AB85D" w14:textId="77777777" w:rsidR="00B27CE4" w:rsidRPr="00334AA0" w:rsidRDefault="00B27CE4" w:rsidP="00B27CE4">
      <w:pPr>
        <w:jc w:val="center"/>
        <w:rPr>
          <w:rFonts w:ascii="Arial" w:eastAsia="Aptos" w:hAnsi="Arial" w:cs="Arial"/>
          <w:kern w:val="0"/>
          <w:sz w:val="40"/>
          <w:szCs w:val="40"/>
          <w14:ligatures w14:val="none"/>
        </w:rPr>
      </w:pPr>
    </w:p>
    <w:p w14:paraId="3FEFA2D3" w14:textId="77777777" w:rsidR="00B27CE4" w:rsidRPr="00334AA0" w:rsidRDefault="00B27CE4" w:rsidP="00B27CE4">
      <w:pPr>
        <w:jc w:val="center"/>
        <w:rPr>
          <w:rFonts w:ascii="Arial" w:eastAsia="Aptos" w:hAnsi="Arial" w:cs="Arial"/>
          <w:kern w:val="0"/>
          <w:sz w:val="40"/>
          <w:szCs w:val="40"/>
          <w14:ligatures w14:val="none"/>
        </w:rPr>
      </w:pPr>
    </w:p>
    <w:p w14:paraId="674646BA" w14:textId="77777777" w:rsidR="00B27CE4" w:rsidRPr="00334AA0" w:rsidRDefault="00B27CE4" w:rsidP="00B27CE4">
      <w:pPr>
        <w:jc w:val="center"/>
        <w:rPr>
          <w:rFonts w:ascii="Arial" w:eastAsia="Aptos" w:hAnsi="Arial" w:cs="Arial"/>
          <w:kern w:val="0"/>
          <w:sz w:val="40"/>
          <w:szCs w:val="40"/>
          <w14:ligatures w14:val="none"/>
        </w:rPr>
      </w:pPr>
    </w:p>
    <w:p w14:paraId="0E1431C1" w14:textId="77777777" w:rsidR="00B27CE4" w:rsidRDefault="00B27CE4" w:rsidP="00B27CE4">
      <w:pPr>
        <w:spacing w:line="360" w:lineRule="auto"/>
        <w:jc w:val="both"/>
        <w:rPr>
          <w:rFonts w:ascii="Arial" w:eastAsia="Aptos" w:hAnsi="Arial" w:cs="Arial"/>
          <w:kern w:val="0"/>
          <w:sz w:val="40"/>
          <w:szCs w:val="40"/>
          <w14:ligatures w14:val="none"/>
        </w:rPr>
      </w:pPr>
    </w:p>
    <w:p w14:paraId="1548D5BF" w14:textId="77777777" w:rsidR="00B27CE4" w:rsidRDefault="00B27CE4" w:rsidP="00B27CE4">
      <w:pPr>
        <w:spacing w:line="360" w:lineRule="auto"/>
        <w:jc w:val="both"/>
        <w:rPr>
          <w:rFonts w:ascii="Arial" w:eastAsia="Aptos" w:hAnsi="Arial" w:cs="Arial"/>
          <w:b/>
          <w:bCs/>
        </w:rPr>
      </w:pPr>
    </w:p>
    <w:p w14:paraId="01F25548" w14:textId="77777777" w:rsidR="00B27CE4" w:rsidRDefault="00B27CE4" w:rsidP="00B27CE4">
      <w:pPr>
        <w:spacing w:line="360" w:lineRule="auto"/>
        <w:jc w:val="both"/>
        <w:rPr>
          <w:rFonts w:ascii="Arial" w:eastAsia="Aptos" w:hAnsi="Arial" w:cs="Arial"/>
          <w:b/>
          <w:bCs/>
        </w:rPr>
      </w:pPr>
    </w:p>
    <w:p w14:paraId="47E8798E" w14:textId="77777777" w:rsidR="00B27CE4" w:rsidRDefault="00B27CE4" w:rsidP="00B27CE4">
      <w:pPr>
        <w:spacing w:line="360" w:lineRule="auto"/>
        <w:jc w:val="both"/>
        <w:rPr>
          <w:rFonts w:ascii="Arial" w:eastAsia="Aptos" w:hAnsi="Arial" w:cs="Arial"/>
          <w:b/>
          <w:bCs/>
        </w:rPr>
      </w:pPr>
    </w:p>
    <w:p w14:paraId="657EA2AE" w14:textId="77777777" w:rsidR="00B27CE4" w:rsidRDefault="00B27CE4" w:rsidP="00B27CE4">
      <w:pPr>
        <w:spacing w:line="360" w:lineRule="auto"/>
        <w:jc w:val="both"/>
        <w:rPr>
          <w:rFonts w:ascii="Arial" w:eastAsia="Aptos" w:hAnsi="Arial" w:cs="Arial"/>
          <w:b/>
          <w:bCs/>
        </w:rPr>
      </w:pPr>
    </w:p>
    <w:p w14:paraId="37C566F8" w14:textId="3C8C17ED" w:rsidR="00B27CE4" w:rsidRPr="00334AA0" w:rsidRDefault="00B27CE4" w:rsidP="00B27CE4">
      <w:pPr>
        <w:spacing w:line="360" w:lineRule="auto"/>
        <w:jc w:val="both"/>
        <w:rPr>
          <w:rFonts w:ascii="Arial" w:eastAsia="Aptos" w:hAnsi="Arial" w:cs="Arial"/>
          <w:b/>
          <w:bCs/>
        </w:rPr>
      </w:pPr>
      <w:r w:rsidRPr="00334AA0">
        <w:rPr>
          <w:rFonts w:ascii="Arial" w:eastAsia="Aptos" w:hAnsi="Arial" w:cs="Arial"/>
          <w:b/>
          <w:bCs/>
        </w:rPr>
        <w:lastRenderedPageBreak/>
        <w:t>Introduction</w:t>
      </w:r>
    </w:p>
    <w:p w14:paraId="2B0C183A"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Corporate Social Responsibility (CSR) is no longer simply a regulatory obligation but a strategic necessity that influences sustainable practices in various industries within the modern business environment. This essay examines the diverse and complex role of Corporate Social Responsibility (CSR) in the hospitality industry, specifically focusing on how Accor Hotel Group implements and manages CSR initiatives. This discussion evaluates Accor's environmental conservation and social sustainability strategies, analysing the challenges and opportunities they present. It also compares Accor's practices to industry standards. Accor enhances its business sustainability and sets a precedent for the hospitality industry by integrating CSR into core operational strategies, promoting a comprehensive approach to responsible business practices.</w:t>
      </w:r>
    </w:p>
    <w:p w14:paraId="0A0A44A3" w14:textId="77777777" w:rsidR="00B27CE4" w:rsidRPr="00334AA0" w:rsidRDefault="00B27CE4" w:rsidP="00B27CE4">
      <w:pPr>
        <w:spacing w:line="360" w:lineRule="auto"/>
        <w:jc w:val="both"/>
        <w:rPr>
          <w:rFonts w:ascii="Arial" w:eastAsia="Aptos" w:hAnsi="Arial" w:cs="Arial"/>
          <w:b/>
          <w:bCs/>
        </w:rPr>
      </w:pPr>
    </w:p>
    <w:p w14:paraId="46F7D357"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 Hotel Group has strategically integrated Corporate Social Responsibility (CSR) into its business model to comply with ethical standards and actively promote beneficial transformation in the hospitality industry. Accor's corporate social responsibility (CSR) initiatives are extensive and encompass waste reduction, energy efficiency, and community engagement. These efforts are organised into well-designed programs such as Planet 21 and the ALL </w:t>
      </w:r>
      <w:proofErr w:type="spellStart"/>
      <w:r w:rsidRPr="00334AA0">
        <w:rPr>
          <w:rFonts w:ascii="Arial" w:eastAsia="Aptos" w:hAnsi="Arial" w:cs="Arial"/>
        </w:rPr>
        <w:t>Heartist</w:t>
      </w:r>
      <w:proofErr w:type="spellEnd"/>
      <w:r w:rsidRPr="00334AA0">
        <w:rPr>
          <w:rFonts w:ascii="Arial" w:eastAsia="Aptos" w:hAnsi="Arial" w:cs="Arial"/>
        </w:rPr>
        <w:t xml:space="preserve"> Fund.</w:t>
      </w:r>
    </w:p>
    <w:p w14:paraId="2C739E4D"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Accor's primary sustainable development initiative, Planet 21, is structured around six fundamental principles: promoting nutritious and sustainable food, focusing on environmentally friendly </w:t>
      </w:r>
      <w:proofErr w:type="gramStart"/>
      <w:r w:rsidRPr="00334AA0">
        <w:rPr>
          <w:rFonts w:ascii="Arial" w:eastAsia="Aptos" w:hAnsi="Arial" w:cs="Arial"/>
        </w:rPr>
        <w:t>buildings</w:t>
      </w:r>
      <w:proofErr w:type="gramEnd"/>
      <w:r w:rsidRPr="00334AA0">
        <w:rPr>
          <w:rFonts w:ascii="Arial" w:eastAsia="Aptos" w:hAnsi="Arial" w:cs="Arial"/>
        </w:rPr>
        <w:t xml:space="preserve"> and reducing carbon emissions, implementing a circular economy approach, ensuring responsible use of resources, protecting ecosystems, and fostering inclusive and accountable employment practices (Accor, 2022). One notable accomplishment of this program is the substantial decrease in the utilisation of disposable plastics. As of the conclusion of 2022, 94% of Accor hotels successfully eradicated all disposable plastic items used by guests, including straws, stirrers, and toiletries (Pelham, 2021). This initiative promotes environmental sustainability and establishes a benchmark in the hospitality industry for minimising plastic waste.</w:t>
      </w:r>
    </w:p>
    <w:p w14:paraId="6A8CC6D0"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The ALL </w:t>
      </w:r>
      <w:proofErr w:type="spellStart"/>
      <w:r w:rsidRPr="00334AA0">
        <w:rPr>
          <w:rFonts w:ascii="Arial" w:eastAsia="Aptos" w:hAnsi="Arial" w:cs="Arial"/>
        </w:rPr>
        <w:t>Heartist</w:t>
      </w:r>
      <w:proofErr w:type="spellEnd"/>
      <w:r w:rsidRPr="00334AA0">
        <w:rPr>
          <w:rFonts w:ascii="Arial" w:eastAsia="Aptos" w:hAnsi="Arial" w:cs="Arial"/>
        </w:rPr>
        <w:t xml:space="preserve"> Fund showcases Accor's dedication to its employees and the surrounding communities. Established as a response to the COVID-19 pandemic, this fund offers monetary assistance to employees and partners experiencing economic </w:t>
      </w:r>
      <w:r w:rsidRPr="00334AA0">
        <w:rPr>
          <w:rFonts w:ascii="Arial" w:eastAsia="Aptos" w:hAnsi="Arial" w:cs="Arial"/>
        </w:rPr>
        <w:lastRenderedPageBreak/>
        <w:t>difficulties (Accor, 2020). This initiative showcases Accor's commitment to its employees, guaranteeing their well-being and maintaining community connections, which are essential for the long-term viability of the business.</w:t>
      </w:r>
    </w:p>
    <w:p w14:paraId="35B40769"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places significant emphasis on energy efficiency as a crucial area of concentration. The group has substantially invested in renewable energy sources, such as installing solar panels at multiple hotel locations. For example, the Sofitel Abu Dhabi Corniche has implemented a solar water heating system to fulfil its pledge to decrease carbon emissions. This system effectively reduces energy usage (Yilmaz, 2021). This action helps Accor achieve its sustainability objectives and lower operational expenses, demonstrating a profitable approach that aligns with ecological responsibility.</w:t>
      </w:r>
    </w:p>
    <w:p w14:paraId="568D058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Moreover, Accor proactively participates in community-focused initiatives, which are integral to its corporate social responsibility (CSR) strategy. Accor contributes to the development of local communities by implementing diverse educational programs and forming partnerships. These initiatives provide training and employment opportunities, promoting regional economic growth (Bagdadi, 2022).</w:t>
      </w:r>
    </w:p>
    <w:p w14:paraId="7B1B248C"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dedication to corporate social responsibility (CSR) demonstrates how interconnected and all-encompassing strategies can result in tangible advantages for the environment, communities, and the company. These initiatives demonstrate a strong dedication to sustainable development and social responsibility, establishing a standard for the hospitality industry.</w:t>
      </w:r>
    </w:p>
    <w:p w14:paraId="5B561AC0"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Hotel Group has achieved notable progress in environmental conservation and social sustainability through its Corporate Social Responsibility (CSR) initiatives, significantly impacting all aspects of its operations. These endeavours enhance the group's ecological impact and improve the socio-economic conditions of the communities in which it operates.</w:t>
      </w:r>
    </w:p>
    <w:p w14:paraId="114D1663"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Accor's environmental conservation initiatives are diverse, focusing on minimising carbon emissions, improving energy efficiency, and promoting effective waste management. An essential component of their strategy involves a firm dedication to decreasing greenhouse gas emissions. Accor has established ambitious objectives to achieve net-zero emissions by 2050, necessitating substantial reductions across all their hotels globally (Molina-Collado, 2021). Accor has significantly reduced its overall </w:t>
      </w:r>
      <w:r w:rsidRPr="00334AA0">
        <w:rPr>
          <w:rFonts w:ascii="Arial" w:eastAsia="Aptos" w:hAnsi="Arial" w:cs="Arial"/>
        </w:rPr>
        <w:lastRenderedPageBreak/>
        <w:t>carbon footprint by implementing energy-efficient technologies and incorporating renewable energy sources, resulting in a notable decrease in energy consumption throughout its properties.</w:t>
      </w:r>
    </w:p>
    <w:p w14:paraId="55609740"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In addition, Accor has implemented robust waste management protocols to reduce waste generation and improve recycling processes. The group's endeavour to eradicate disposable plastics is evidence of its proactive stance towards waste reduction. Accor has significantly decreased the amount of non-recyclable waste generated by its operations by substituting plastic items with biodegradable alternatives (Seidel, 2021).</w:t>
      </w:r>
    </w:p>
    <w:p w14:paraId="7597506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has made significant efforts to enhance employment practices, assist local communities, and prioritise the health and safety of guests and staff, demonstrating its commitment to social sustainability. Accor's Planet 21 program promotes equitable employment practices, guaranteeing diversity and inclusion in its workforce. It also provides extensive training programs to enhance career development opportunities for its employees (Wickham et al., 2021).</w:t>
      </w:r>
    </w:p>
    <w:p w14:paraId="48F59887"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has made substantial contributions to community support. By partnering with local suppliers and businesses, Accor promotes local economies and integrates local cultures and products into its services. This enhances the authenticity of the guest experience and supports sustainable local economic activities (</w:t>
      </w:r>
      <w:proofErr w:type="spellStart"/>
      <w:r w:rsidRPr="00334AA0">
        <w:rPr>
          <w:rFonts w:ascii="Arial" w:eastAsia="Aptos" w:hAnsi="Arial" w:cs="Arial"/>
        </w:rPr>
        <w:t>Gössling</w:t>
      </w:r>
      <w:proofErr w:type="spellEnd"/>
      <w:r w:rsidRPr="00334AA0">
        <w:rPr>
          <w:rFonts w:ascii="Arial" w:eastAsia="Aptos" w:hAnsi="Arial" w:cs="Arial"/>
        </w:rPr>
        <w:t>, 2018).</w:t>
      </w:r>
    </w:p>
    <w:p w14:paraId="10E94398"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places great importance on its guests' and staff's health and safety. It has implemented strict safety measures and health protocols at all its properties, which has been especially crucial during the COVID-19 pandemic (</w:t>
      </w:r>
      <w:proofErr w:type="spellStart"/>
      <w:r w:rsidRPr="00334AA0">
        <w:rPr>
          <w:rFonts w:ascii="Arial" w:eastAsia="Aptos" w:hAnsi="Arial" w:cs="Arial"/>
        </w:rPr>
        <w:t>Supanti</w:t>
      </w:r>
      <w:proofErr w:type="spellEnd"/>
      <w:r w:rsidRPr="00334AA0">
        <w:rPr>
          <w:rFonts w:ascii="Arial" w:eastAsia="Aptos" w:hAnsi="Arial" w:cs="Arial"/>
        </w:rPr>
        <w:t>, Prasad, &amp; Foster, 2021).</w:t>
      </w:r>
    </w:p>
    <w:p w14:paraId="5FD2DBC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The eco-certification of Accor hotels functions as a potent instrument for environmental management, guaranteeing that operational practices adhere to rigorous environmental criteria. The certification mitigates environmental harm and enhances hotel competitiveness by appealing to environmentally conscious travellers (Wickham et al., 2021).</w:t>
      </w:r>
    </w:p>
    <w:p w14:paraId="374779E1"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Another noteworthy endeavour is promoting local sourcing, which offers two advantages: mitigating the environmental impact caused by transporting goods over </w:t>
      </w:r>
      <w:r w:rsidRPr="00334AA0">
        <w:rPr>
          <w:rFonts w:ascii="Arial" w:eastAsia="Aptos" w:hAnsi="Arial" w:cs="Arial"/>
        </w:rPr>
        <w:lastRenderedPageBreak/>
        <w:t>long distances and bolstering local agriculture and industry. As a result, this initiative contributes to local communities' economic and social well-being (Buckley, 2020).</w:t>
      </w:r>
    </w:p>
    <w:p w14:paraId="4C1B72D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As a global leader, Accor Hotel Group faces a multifaceted terrain of difficulties and prospects when implementing Corporate Social Responsibility (CSR) initiatives. These challenges frequently arise from cultural disparities, regulation adherence, and financial ramifications. On the other hand, adopting CSR also creates opportunities for creativity, distinguishing oneself in the market, and improving the company's reputation, all essential for maintaining sustainable business practices.</w:t>
      </w:r>
    </w:p>
    <w:p w14:paraId="5412AF73"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main obstacle lies in the cultural disparities among the various regions where it conducts its operations. Enforcing consistent corporate social responsibility (CSR) policies in different cultural environments can be challenging. Accor may need to modify its CSR strategies to align with local norms and expectations, as labour practices deemed acceptable in one country may be disapproved of in another (</w:t>
      </w:r>
      <w:proofErr w:type="spellStart"/>
      <w:r w:rsidRPr="00334AA0">
        <w:rPr>
          <w:rFonts w:ascii="Arial" w:eastAsia="Aptos" w:hAnsi="Arial" w:cs="Arial"/>
        </w:rPr>
        <w:t>Inkson</w:t>
      </w:r>
      <w:proofErr w:type="spellEnd"/>
      <w:r w:rsidRPr="00334AA0">
        <w:rPr>
          <w:rFonts w:ascii="Arial" w:eastAsia="Aptos" w:hAnsi="Arial" w:cs="Arial"/>
        </w:rPr>
        <w:t xml:space="preserve"> &amp; Minnaert, 2018).</w:t>
      </w:r>
    </w:p>
    <w:p w14:paraId="6BE1B1D5"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Ensuring regulatory compliance is a major obstacle. The hospitality industry is subject to extensive regulation, with significant variations in these regulations across different jurisdictions. Managing the intricate regulatory environment involves significant expenses and consumes considerable time. It necessitates ongoing surveillance and adjustment to adhere to environmental laws, labour laws, and other pertinent regulations related to corporate social responsibility (</w:t>
      </w:r>
      <w:proofErr w:type="spellStart"/>
      <w:r w:rsidRPr="00334AA0">
        <w:rPr>
          <w:rFonts w:ascii="Arial" w:eastAsia="Aptos" w:hAnsi="Arial" w:cs="Arial"/>
        </w:rPr>
        <w:t>Gössling</w:t>
      </w:r>
      <w:proofErr w:type="spellEnd"/>
      <w:r w:rsidRPr="00334AA0">
        <w:rPr>
          <w:rFonts w:ascii="Arial" w:eastAsia="Aptos" w:hAnsi="Arial" w:cs="Arial"/>
        </w:rPr>
        <w:t>, 2018).</w:t>
      </w:r>
    </w:p>
    <w:p w14:paraId="4C70172A"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The financial impact of implementing corporate social responsibility (CSR) initiatives is significant. Undertakings such as transitioning to sustainable energy sources or eradicating disposable plastics require substantial initial capital. Although these have long-term advantages, the initial financial investment can pose a considerable obstacle, especially in less economically resilient markets (Pelham, 2021).</w:t>
      </w:r>
    </w:p>
    <w:p w14:paraId="0335778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Notwithstanding these difficulties, CSR also presents significant prospects for Accor. The pursuit of innovation in sustainability can result in the creation of novel and more effective operational approaches that not only decrease expenses but also enhance resource sustainability. Accor's investment in energy-efficient technologies serves two purposes: reducing energy consumption and establishing the company as a frontrunner in environmentally friendly hospitality (Wickham et al., 2021).</w:t>
      </w:r>
    </w:p>
    <w:p w14:paraId="35385F7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lastRenderedPageBreak/>
        <w:t>Market differentiation presents a notable opportunity. By promoting corporate social responsibility (CSR), Accor can differentiate itself from competitors and appeal to guests who are becoming more aware of the ethical and environmental consequences of their travel choices. This distinction is especially advantageous in a saturated market, offering a competitive advantage corresponding to the increasing consumer inclination towards sustainable brands (Molina-Collado, 2021).</w:t>
      </w:r>
    </w:p>
    <w:p w14:paraId="4EB46DF8"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Furthermore, the implementation of effective Corporate Social Responsibility (CSR) practices contributes to improving Accor's corporate reputation. Companies recognised for their responsible practices often earn greater trust and loyalty from customers, leading to higher rates of customer retention and increased brand advocacy (Bagdadi, 2022).</w:t>
      </w:r>
    </w:p>
    <w:p w14:paraId="7AEBA3F9"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CSR approach can be effectively understood by examining the strategic management of sustainability, specifically in the event sector. The event sector frequently exemplifies the most effective sustainability practices that can be incorporated into hotel operations, encompassing waste management and energy efficiency. By implementing these strategic management practices, Accor can enhance its operational sustainability and set a precedent in the hospitality industry (Donnelly &amp; French, 2021).</w:t>
      </w:r>
    </w:p>
    <w:p w14:paraId="3CFE8257"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The approach of Accor Hotel Group towards Corporate Social Responsibility (CSR) establishes a standard in the hospitality sector, demonstrating a dedication to sustainability that is thorough and subtle. This section conducts a comparative analysis of Accor's corporate social responsibility (CSR) strategies compared to other prominent companies in the hospitality sector. It assesses the effectiveness of various approaches and examines how Accor either conforms to or deviates from established industry norms.</w:t>
      </w:r>
    </w:p>
    <w:p w14:paraId="0ADB1941"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 distinguishes itself in the hospitality sector due to its comprehensive and strategic approach to Corporate Social Responsibility (CSR). Accor distinguishes itself from its competitors by integrating CSR into the fundamental aspects of its business operations rather than considering it as an ancillary activity. Marriott International, for example, places a high emphasis on sustainability, particularly in reducing water consumption and achieving a substantial decrease in landfill waste (Marriott, 2021). In contrast, Hilton greatly emphasises reducing its carbon footprint and has achieved </w:t>
      </w:r>
      <w:r w:rsidRPr="00334AA0">
        <w:rPr>
          <w:rFonts w:ascii="Arial" w:eastAsia="Aptos" w:hAnsi="Arial" w:cs="Arial"/>
        </w:rPr>
        <w:lastRenderedPageBreak/>
        <w:t>notable progress in decreasing energy consumption (Hilton, 2020). Although the mentioned initiatives are praiseworthy, Accor's Planet 21 program encompasses a broader range of sustainability endeavours. These include energy and water conservation, support for local communities, and the preservation of biodiversity (Accor, 2022).</w:t>
      </w:r>
    </w:p>
    <w:p w14:paraId="12647755"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An effective strategy in the hospitality industry's implementation of corporate social responsibility (CSR) is the incorporation of internationally recognised sustainability certifications. As an illustration, Hilton has successfully obtained ISO 14001 certification for its environmental management systems worldwide (Hilton, 2020). Accor has demonstrated its commitment to comprehensive ecological standards by not only adopting ISO 14001 but also participating in the </w:t>
      </w:r>
      <w:proofErr w:type="spellStart"/>
      <w:r w:rsidRPr="00334AA0">
        <w:rPr>
          <w:rFonts w:ascii="Arial" w:eastAsia="Aptos" w:hAnsi="Arial" w:cs="Arial"/>
        </w:rPr>
        <w:t>EarthCheck</w:t>
      </w:r>
      <w:proofErr w:type="spellEnd"/>
      <w:r w:rsidRPr="00334AA0">
        <w:rPr>
          <w:rFonts w:ascii="Arial" w:eastAsia="Aptos" w:hAnsi="Arial" w:cs="Arial"/>
        </w:rPr>
        <w:t xml:space="preserve"> certification program (Seidel, 2021). In addition, Hyatt's commitment to responsible sourcing and sustainable seafood is notable as a substantial corporate social responsibility initiative. Accor also aligns with this approach through its sourcing policies, prioritising local and sustainable products (Hyatt, 2021).</w:t>
      </w:r>
    </w:p>
    <w:p w14:paraId="3342AB81"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strategies align with industry trends in sustainability and corporate social responsibility (CSR), especially when constructing and managing sustainable properties. For instance, Accor and its rivals have adopted the trend of creating environmentally friendly buildings, with Marriott pledging to expand the number of properties in its portfolio certified by LEED (Marriott, 2021). Accor goes beyond by incorporating biophilic design principles into its more recent properties, a practice not yet widely adopted in the industry (Seidel, 2021).</w:t>
      </w:r>
    </w:p>
    <w:p w14:paraId="1FBA5379"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Furthermore, Accor's proactive engagement in community welfare and sustainable tourism endeavours, such as the preservation of local art and culture, aligns with the industry's transition towards generating social and economic value. This mirrors the efforts made by Hyatt and Marriott, who are also dedicated to improving guest experiences while simultaneously promoting cultural authenticity and social responsibility (Buckley, 2020).</w:t>
      </w:r>
    </w:p>
    <w:p w14:paraId="4A211A1B" w14:textId="77777777" w:rsidR="00B27CE4" w:rsidRDefault="00B27CE4" w:rsidP="00B27CE4">
      <w:pPr>
        <w:spacing w:line="360" w:lineRule="auto"/>
        <w:jc w:val="both"/>
        <w:rPr>
          <w:rFonts w:ascii="Arial" w:eastAsia="Aptos" w:hAnsi="Arial" w:cs="Arial"/>
          <w:b/>
          <w:bCs/>
        </w:rPr>
      </w:pPr>
    </w:p>
    <w:p w14:paraId="2B03EE86" w14:textId="77777777" w:rsidR="00B27CE4" w:rsidRDefault="00B27CE4" w:rsidP="00B27CE4">
      <w:pPr>
        <w:spacing w:line="360" w:lineRule="auto"/>
        <w:jc w:val="both"/>
        <w:rPr>
          <w:rFonts w:ascii="Arial" w:eastAsia="Aptos" w:hAnsi="Arial" w:cs="Arial"/>
          <w:b/>
          <w:bCs/>
        </w:rPr>
      </w:pPr>
    </w:p>
    <w:p w14:paraId="503C17C9" w14:textId="77777777" w:rsidR="00B27CE4" w:rsidRDefault="00B27CE4" w:rsidP="00B27CE4">
      <w:pPr>
        <w:spacing w:line="360" w:lineRule="auto"/>
        <w:jc w:val="both"/>
        <w:rPr>
          <w:rFonts w:ascii="Arial" w:eastAsia="Aptos" w:hAnsi="Arial" w:cs="Arial"/>
          <w:b/>
          <w:bCs/>
        </w:rPr>
      </w:pPr>
    </w:p>
    <w:p w14:paraId="6B91F223" w14:textId="1E39D097" w:rsidR="00B27CE4" w:rsidRPr="00334AA0" w:rsidRDefault="00B27CE4" w:rsidP="00B27CE4">
      <w:pPr>
        <w:spacing w:line="360" w:lineRule="auto"/>
        <w:jc w:val="both"/>
        <w:rPr>
          <w:rFonts w:ascii="Arial" w:eastAsia="Aptos" w:hAnsi="Arial" w:cs="Arial"/>
          <w:b/>
          <w:bCs/>
        </w:rPr>
      </w:pPr>
      <w:r w:rsidRPr="00334AA0">
        <w:rPr>
          <w:rFonts w:ascii="Arial" w:eastAsia="Aptos" w:hAnsi="Arial" w:cs="Arial"/>
          <w:b/>
          <w:bCs/>
        </w:rPr>
        <w:lastRenderedPageBreak/>
        <w:t>Conclusion</w:t>
      </w:r>
    </w:p>
    <w:p w14:paraId="59031463" w14:textId="77777777" w:rsidR="00B27CE4" w:rsidRPr="00334AA0" w:rsidRDefault="00B27CE4" w:rsidP="00B27CE4">
      <w:pPr>
        <w:pBdr>
          <w:bottom w:val="single" w:sz="6" w:space="1" w:color="auto"/>
        </w:pBdr>
        <w:spacing w:after="0" w:line="360" w:lineRule="auto"/>
        <w:jc w:val="both"/>
        <w:rPr>
          <w:rFonts w:ascii="Arial" w:eastAsia="Times New Roman" w:hAnsi="Arial" w:cs="Arial"/>
          <w:vanish/>
          <w:kern w:val="0"/>
          <w14:ligatures w14:val="none"/>
        </w:rPr>
      </w:pPr>
      <w:r w:rsidRPr="00334AA0">
        <w:rPr>
          <w:rFonts w:ascii="Arial" w:eastAsia="Times New Roman" w:hAnsi="Arial" w:cs="Arial"/>
          <w:vanish/>
          <w:kern w:val="0"/>
          <w14:ligatures w14:val="none"/>
        </w:rPr>
        <w:t>Top of Form</w:t>
      </w:r>
    </w:p>
    <w:p w14:paraId="6631F48D"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The proactive approach of Accor Hotel Group towards Corporate Social Responsibility showcases a solid dedication to sustainability that goes beyond mere compliance and is deeply integrated into its strategic framework. The analysis has demonstrated the substantial contribution of Accor's CSR initiatives to environmental preservation, promoting social fairness, and providing a model for addressing industry-specific obstacles. When comparing these practices with those of other major companies in the industry, </w:t>
      </w:r>
      <w:proofErr w:type="gramStart"/>
      <w:r w:rsidRPr="00334AA0">
        <w:rPr>
          <w:rFonts w:ascii="Arial" w:eastAsia="Aptos" w:hAnsi="Arial" w:cs="Arial"/>
        </w:rPr>
        <w:t>it is clear that Accor's</w:t>
      </w:r>
      <w:proofErr w:type="gramEnd"/>
      <w:r w:rsidRPr="00334AA0">
        <w:rPr>
          <w:rFonts w:ascii="Arial" w:eastAsia="Aptos" w:hAnsi="Arial" w:cs="Arial"/>
        </w:rPr>
        <w:t xml:space="preserve"> extensive policies improve its market distinctiveness and corporate reputation and accelerate the adoption of more sustainable practices throughout the industry. Accor's commitment to corporate social responsibility (CSR) demonstrates how effectively managed sustainability initiatives can generate significant advantages for businesses, communities, and the environment. This sets the stage for future advancements in the hospitality industry.</w:t>
      </w:r>
    </w:p>
    <w:p w14:paraId="257FB637" w14:textId="77777777" w:rsidR="00B27CE4" w:rsidRPr="00334AA0" w:rsidRDefault="00B27CE4" w:rsidP="00B27CE4">
      <w:pPr>
        <w:spacing w:line="360" w:lineRule="auto"/>
        <w:jc w:val="both"/>
        <w:rPr>
          <w:rFonts w:ascii="Arial" w:eastAsia="Aptos" w:hAnsi="Arial" w:cs="Arial"/>
        </w:rPr>
      </w:pPr>
    </w:p>
    <w:p w14:paraId="2F7E3286" w14:textId="77777777" w:rsidR="00B27CE4" w:rsidRPr="00334AA0" w:rsidRDefault="00B27CE4" w:rsidP="00B27CE4">
      <w:pPr>
        <w:spacing w:line="360" w:lineRule="auto"/>
        <w:jc w:val="both"/>
        <w:rPr>
          <w:rFonts w:ascii="Arial" w:eastAsia="Aptos" w:hAnsi="Arial" w:cs="Arial"/>
        </w:rPr>
      </w:pPr>
    </w:p>
    <w:p w14:paraId="176510A7" w14:textId="77777777" w:rsidR="00B27CE4" w:rsidRPr="00334AA0" w:rsidRDefault="00B27CE4" w:rsidP="00B27CE4">
      <w:pPr>
        <w:spacing w:line="360" w:lineRule="auto"/>
        <w:jc w:val="both"/>
        <w:rPr>
          <w:rFonts w:ascii="Arial" w:eastAsia="Aptos" w:hAnsi="Arial" w:cs="Arial"/>
        </w:rPr>
      </w:pPr>
    </w:p>
    <w:p w14:paraId="1B3CA592" w14:textId="77777777" w:rsidR="00B27CE4" w:rsidRPr="00334AA0" w:rsidRDefault="00B27CE4" w:rsidP="00B27CE4">
      <w:pPr>
        <w:spacing w:line="360" w:lineRule="auto"/>
        <w:jc w:val="both"/>
        <w:rPr>
          <w:rFonts w:ascii="Arial" w:eastAsia="Aptos" w:hAnsi="Arial" w:cs="Arial"/>
        </w:rPr>
      </w:pPr>
    </w:p>
    <w:p w14:paraId="00A88FC9" w14:textId="77777777" w:rsidR="00B27CE4" w:rsidRPr="00334AA0" w:rsidRDefault="00B27CE4" w:rsidP="00B27CE4">
      <w:pPr>
        <w:spacing w:line="360" w:lineRule="auto"/>
        <w:jc w:val="both"/>
        <w:rPr>
          <w:rFonts w:ascii="Arial" w:eastAsia="Aptos" w:hAnsi="Arial" w:cs="Arial"/>
        </w:rPr>
      </w:pPr>
    </w:p>
    <w:p w14:paraId="5DA0B8E8" w14:textId="77777777" w:rsidR="00B27CE4" w:rsidRPr="00334AA0" w:rsidRDefault="00B27CE4" w:rsidP="00B27CE4">
      <w:pPr>
        <w:spacing w:line="360" w:lineRule="auto"/>
        <w:jc w:val="both"/>
        <w:rPr>
          <w:rFonts w:ascii="Arial" w:eastAsia="Aptos" w:hAnsi="Arial" w:cs="Arial"/>
        </w:rPr>
      </w:pPr>
    </w:p>
    <w:p w14:paraId="79E28089" w14:textId="77777777" w:rsidR="00B27CE4" w:rsidRPr="00334AA0" w:rsidRDefault="00B27CE4" w:rsidP="00B27CE4">
      <w:pPr>
        <w:spacing w:line="360" w:lineRule="auto"/>
        <w:jc w:val="both"/>
        <w:rPr>
          <w:rFonts w:ascii="Arial" w:eastAsia="Aptos" w:hAnsi="Arial" w:cs="Arial"/>
        </w:rPr>
      </w:pPr>
    </w:p>
    <w:p w14:paraId="0169EE6D" w14:textId="77777777" w:rsidR="00B27CE4" w:rsidRPr="00334AA0" w:rsidRDefault="00B27CE4" w:rsidP="00B27CE4">
      <w:pPr>
        <w:spacing w:line="360" w:lineRule="auto"/>
        <w:jc w:val="both"/>
        <w:rPr>
          <w:rFonts w:ascii="Arial" w:eastAsia="Aptos" w:hAnsi="Arial" w:cs="Arial"/>
        </w:rPr>
      </w:pPr>
    </w:p>
    <w:p w14:paraId="57EC7961" w14:textId="77777777" w:rsidR="00B27CE4" w:rsidRPr="00334AA0" w:rsidRDefault="00B27CE4" w:rsidP="00B27CE4">
      <w:pPr>
        <w:spacing w:line="360" w:lineRule="auto"/>
        <w:jc w:val="both"/>
        <w:rPr>
          <w:rFonts w:ascii="Arial" w:eastAsia="Aptos" w:hAnsi="Arial" w:cs="Arial"/>
        </w:rPr>
      </w:pPr>
    </w:p>
    <w:p w14:paraId="25F95768" w14:textId="77777777" w:rsidR="00B27CE4" w:rsidRPr="00334AA0" w:rsidRDefault="00B27CE4" w:rsidP="00B27CE4">
      <w:pPr>
        <w:spacing w:line="360" w:lineRule="auto"/>
        <w:jc w:val="both"/>
        <w:rPr>
          <w:rFonts w:ascii="Arial" w:eastAsia="Aptos" w:hAnsi="Arial" w:cs="Arial"/>
        </w:rPr>
      </w:pPr>
    </w:p>
    <w:p w14:paraId="699AF590" w14:textId="77777777" w:rsidR="00B27CE4" w:rsidRPr="00334AA0" w:rsidRDefault="00B27CE4" w:rsidP="00B27CE4">
      <w:pPr>
        <w:spacing w:line="360" w:lineRule="auto"/>
        <w:jc w:val="both"/>
        <w:rPr>
          <w:rFonts w:ascii="Arial" w:eastAsia="Aptos" w:hAnsi="Arial" w:cs="Arial"/>
        </w:rPr>
      </w:pPr>
    </w:p>
    <w:p w14:paraId="78CB8BC5" w14:textId="77777777" w:rsidR="00B27CE4" w:rsidRPr="00334AA0" w:rsidRDefault="00B27CE4" w:rsidP="00B27CE4">
      <w:pPr>
        <w:spacing w:line="360" w:lineRule="auto"/>
        <w:jc w:val="both"/>
        <w:rPr>
          <w:rFonts w:ascii="Arial" w:eastAsia="Aptos" w:hAnsi="Arial" w:cs="Arial"/>
        </w:rPr>
      </w:pPr>
    </w:p>
    <w:p w14:paraId="33BE0B70" w14:textId="77777777" w:rsidR="00B27CE4" w:rsidRDefault="00B27CE4" w:rsidP="00B27CE4">
      <w:pPr>
        <w:spacing w:line="360" w:lineRule="auto"/>
        <w:jc w:val="both"/>
        <w:rPr>
          <w:rFonts w:ascii="Arial" w:eastAsia="Aptos" w:hAnsi="Arial" w:cs="Arial"/>
          <w:b/>
          <w:bCs/>
        </w:rPr>
      </w:pPr>
    </w:p>
    <w:p w14:paraId="5E97FE0B" w14:textId="77777777" w:rsidR="00B27CE4" w:rsidRDefault="00B27CE4" w:rsidP="00B27CE4">
      <w:pPr>
        <w:spacing w:line="360" w:lineRule="auto"/>
        <w:jc w:val="both"/>
        <w:rPr>
          <w:rFonts w:ascii="Arial" w:eastAsia="Aptos" w:hAnsi="Arial" w:cs="Arial"/>
          <w:b/>
          <w:bCs/>
        </w:rPr>
      </w:pPr>
    </w:p>
    <w:p w14:paraId="7E018CD1" w14:textId="2C694C11" w:rsidR="00B27CE4" w:rsidRPr="00334AA0" w:rsidRDefault="00B27CE4" w:rsidP="00B27CE4">
      <w:pPr>
        <w:spacing w:line="360" w:lineRule="auto"/>
        <w:jc w:val="both"/>
        <w:rPr>
          <w:rFonts w:ascii="Arial" w:eastAsia="Aptos" w:hAnsi="Arial" w:cs="Arial"/>
        </w:rPr>
      </w:pPr>
      <w:r w:rsidRPr="00334AA0">
        <w:rPr>
          <w:rFonts w:ascii="Arial" w:eastAsia="Aptos" w:hAnsi="Arial" w:cs="Arial"/>
          <w:b/>
          <w:bCs/>
        </w:rPr>
        <w:lastRenderedPageBreak/>
        <w:t>Reference</w:t>
      </w:r>
      <w:r>
        <w:rPr>
          <w:rFonts w:ascii="Arial" w:eastAsia="Aptos" w:hAnsi="Arial" w:cs="Arial"/>
          <w:b/>
          <w:bCs/>
        </w:rPr>
        <w:t xml:space="preserve"> list</w:t>
      </w:r>
      <w:r w:rsidRPr="00334AA0">
        <w:rPr>
          <w:rFonts w:ascii="Arial" w:eastAsia="Aptos" w:hAnsi="Arial" w:cs="Arial"/>
          <w:b/>
          <w:bCs/>
        </w:rPr>
        <w:t>:</w:t>
      </w:r>
    </w:p>
    <w:p w14:paraId="1C841D7F"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2021. Annual Report. Available at Accor Financial Documents: </w:t>
      </w:r>
      <w:hyperlink r:id="rId4"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26</w:t>
      </w:r>
      <w:r w:rsidRPr="00334AA0">
        <w:rPr>
          <w:rFonts w:ascii="Arial" w:eastAsia="Aptos" w:hAnsi="Arial" w:cs="Arial"/>
          <w:vertAlign w:val="superscript"/>
        </w:rPr>
        <w:t>th</w:t>
      </w:r>
      <w:r>
        <w:rPr>
          <w:rFonts w:ascii="Arial" w:eastAsia="Aptos" w:hAnsi="Arial" w:cs="Arial"/>
        </w:rPr>
        <w:t xml:space="preserve"> April 2024)</w:t>
      </w:r>
    </w:p>
    <w:p w14:paraId="136C5673"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2021. CSR Policy Document. Available at Accor CSR: </w:t>
      </w:r>
      <w:hyperlink r:id="rId5"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26</w:t>
      </w:r>
      <w:r w:rsidRPr="00334AA0">
        <w:rPr>
          <w:rFonts w:ascii="Arial" w:eastAsia="Aptos" w:hAnsi="Arial" w:cs="Arial"/>
          <w:vertAlign w:val="superscript"/>
        </w:rPr>
        <w:t>th</w:t>
      </w:r>
      <w:r>
        <w:rPr>
          <w:rFonts w:ascii="Arial" w:eastAsia="Aptos" w:hAnsi="Arial" w:cs="Arial"/>
        </w:rPr>
        <w:t xml:space="preserve"> April 2024)</w:t>
      </w:r>
    </w:p>
    <w:p w14:paraId="3E3D2DEE"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no date. Planet 21 Program Documentation. Available at Accor CSR: </w:t>
      </w:r>
      <w:hyperlink r:id="rId6"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26</w:t>
      </w:r>
      <w:r w:rsidRPr="00334AA0">
        <w:rPr>
          <w:rFonts w:ascii="Arial" w:eastAsia="Aptos" w:hAnsi="Arial" w:cs="Arial"/>
          <w:vertAlign w:val="superscript"/>
        </w:rPr>
        <w:t>th</w:t>
      </w:r>
      <w:r>
        <w:rPr>
          <w:rFonts w:ascii="Arial" w:eastAsia="Aptos" w:hAnsi="Arial" w:cs="Arial"/>
        </w:rPr>
        <w:t xml:space="preserve"> April 2024)</w:t>
      </w:r>
    </w:p>
    <w:p w14:paraId="4C17C71F"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2022. Sustainability Report. Available at Accor Group: </w:t>
      </w:r>
      <w:hyperlink r:id="rId7"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27</w:t>
      </w:r>
      <w:r w:rsidRPr="001D2741">
        <w:rPr>
          <w:rFonts w:ascii="Arial" w:eastAsia="Aptos" w:hAnsi="Arial" w:cs="Arial"/>
          <w:vertAlign w:val="superscript"/>
        </w:rPr>
        <w:t>th</w:t>
      </w:r>
      <w:r>
        <w:rPr>
          <w:rFonts w:ascii="Arial" w:eastAsia="Aptos" w:hAnsi="Arial" w:cs="Arial"/>
        </w:rPr>
        <w:t xml:space="preserve"> April 2024)</w:t>
      </w:r>
    </w:p>
    <w:p w14:paraId="473ECAED"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2020. ALL </w:t>
      </w:r>
      <w:proofErr w:type="spellStart"/>
      <w:r w:rsidRPr="00334AA0">
        <w:rPr>
          <w:rFonts w:ascii="Arial" w:eastAsia="Aptos" w:hAnsi="Arial" w:cs="Arial"/>
        </w:rPr>
        <w:t>Heartist</w:t>
      </w:r>
      <w:proofErr w:type="spellEnd"/>
      <w:r w:rsidRPr="00334AA0">
        <w:rPr>
          <w:rFonts w:ascii="Arial" w:eastAsia="Aptos" w:hAnsi="Arial" w:cs="Arial"/>
        </w:rPr>
        <w:t xml:space="preserve"> Fund. Available at Accor website: </w:t>
      </w:r>
      <w:hyperlink r:id="rId8"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27</w:t>
      </w:r>
      <w:r w:rsidRPr="001D2741">
        <w:rPr>
          <w:rFonts w:ascii="Arial" w:eastAsia="Aptos" w:hAnsi="Arial" w:cs="Arial"/>
          <w:vertAlign w:val="superscript"/>
        </w:rPr>
        <w:t>th</w:t>
      </w:r>
      <w:r>
        <w:rPr>
          <w:rFonts w:ascii="Arial" w:eastAsia="Aptos" w:hAnsi="Arial" w:cs="Arial"/>
        </w:rPr>
        <w:t xml:space="preserve"> April 2024)</w:t>
      </w:r>
    </w:p>
    <w:p w14:paraId="4EFBB7B2"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2022. Planet 21 Program. Available at Accor website: </w:t>
      </w:r>
      <w:hyperlink r:id="rId9"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27</w:t>
      </w:r>
      <w:r w:rsidRPr="001D2741">
        <w:rPr>
          <w:rFonts w:ascii="Arial" w:eastAsia="Aptos" w:hAnsi="Arial" w:cs="Arial"/>
          <w:vertAlign w:val="superscript"/>
        </w:rPr>
        <w:t>th</w:t>
      </w:r>
      <w:r>
        <w:rPr>
          <w:rFonts w:ascii="Arial" w:eastAsia="Aptos" w:hAnsi="Arial" w:cs="Arial"/>
        </w:rPr>
        <w:t xml:space="preserve"> April 2024)</w:t>
      </w:r>
    </w:p>
    <w:p w14:paraId="29C2FA16"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Bagdadi, O. (2022). </w:t>
      </w:r>
      <w:r w:rsidRPr="00334AA0">
        <w:rPr>
          <w:rFonts w:ascii="Arial" w:eastAsia="Aptos" w:hAnsi="Arial" w:cs="Arial"/>
          <w:i/>
          <w:iCs/>
        </w:rPr>
        <w:t>Responsibility practices within the scope of tourism research</w:t>
      </w:r>
      <w:r w:rsidRPr="00334AA0">
        <w:rPr>
          <w:rFonts w:ascii="Arial" w:eastAsia="Aptos" w:hAnsi="Arial" w:cs="Arial"/>
        </w:rPr>
        <w:t>. Journal of Sustainable Tourism, 30(8), 1604-1620.</w:t>
      </w:r>
    </w:p>
    <w:p w14:paraId="3800F057"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Buckley, R. (2020). </w:t>
      </w:r>
      <w:r w:rsidRPr="00334AA0">
        <w:rPr>
          <w:rFonts w:ascii="Arial" w:eastAsia="Aptos" w:hAnsi="Arial" w:cs="Arial"/>
          <w:i/>
          <w:iCs/>
        </w:rPr>
        <w:t>Managing tourism and the environment: Responsibility and sustainability</w:t>
      </w:r>
      <w:r w:rsidRPr="00334AA0">
        <w:rPr>
          <w:rFonts w:ascii="Arial" w:eastAsia="Aptos" w:hAnsi="Arial" w:cs="Arial"/>
        </w:rPr>
        <w:t>. New Directions in Tourism Analysis, 45(4), 58-76.</w:t>
      </w:r>
    </w:p>
    <w:p w14:paraId="171104FC"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Donnelly, T., &amp; French, L. (2021). </w:t>
      </w:r>
      <w:r w:rsidRPr="00334AA0">
        <w:rPr>
          <w:rFonts w:ascii="Arial" w:eastAsia="Aptos" w:hAnsi="Arial" w:cs="Arial"/>
          <w:i/>
          <w:iCs/>
        </w:rPr>
        <w:t>Managing sustainability in the event sector</w:t>
      </w:r>
      <w:r w:rsidRPr="00334AA0">
        <w:rPr>
          <w:rFonts w:ascii="Arial" w:eastAsia="Aptos" w:hAnsi="Arial" w:cs="Arial"/>
        </w:rPr>
        <w:t>. Hospitality Management, 52, 29-39.</w:t>
      </w:r>
    </w:p>
    <w:p w14:paraId="02F9070D" w14:textId="77777777" w:rsidR="00B27CE4" w:rsidRPr="00334AA0" w:rsidRDefault="00B27CE4" w:rsidP="00B27CE4">
      <w:pPr>
        <w:spacing w:line="360" w:lineRule="auto"/>
        <w:rPr>
          <w:rFonts w:ascii="Arial" w:eastAsia="Aptos" w:hAnsi="Arial" w:cs="Arial"/>
        </w:rPr>
      </w:pPr>
      <w:proofErr w:type="spellStart"/>
      <w:r w:rsidRPr="00334AA0">
        <w:rPr>
          <w:rFonts w:ascii="Arial" w:eastAsia="Aptos" w:hAnsi="Arial" w:cs="Arial"/>
        </w:rPr>
        <w:t>Gössling</w:t>
      </w:r>
      <w:proofErr w:type="spellEnd"/>
      <w:r w:rsidRPr="00334AA0">
        <w:rPr>
          <w:rFonts w:ascii="Arial" w:eastAsia="Aptos" w:hAnsi="Arial" w:cs="Arial"/>
        </w:rPr>
        <w:t xml:space="preserve">, S. (2018). </w:t>
      </w:r>
      <w:r w:rsidRPr="00334AA0">
        <w:rPr>
          <w:rFonts w:ascii="Arial" w:eastAsia="Aptos" w:hAnsi="Arial" w:cs="Arial"/>
          <w:i/>
          <w:iCs/>
        </w:rPr>
        <w:t>Transition management tool for implementing tourism</w:t>
      </w:r>
      <w:r w:rsidRPr="00334AA0">
        <w:rPr>
          <w:rFonts w:ascii="Arial" w:eastAsia="Aptos" w:hAnsi="Arial" w:cs="Arial"/>
        </w:rPr>
        <w:t>. Journal of Sustainable Tourism, 26(3), 446-461.</w:t>
      </w:r>
    </w:p>
    <w:p w14:paraId="2690267C"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Hilton Environmental Policy (2020). Retrieved from </w:t>
      </w:r>
      <w:hyperlink r:id="rId10" w:tgtFrame="_new" w:history="1">
        <w:r w:rsidRPr="00334AA0">
          <w:rPr>
            <w:rFonts w:ascii="Arial" w:eastAsia="Aptos" w:hAnsi="Arial" w:cs="Arial"/>
            <w:color w:val="467886"/>
            <w:u w:val="single"/>
          </w:rPr>
          <w:t>Hilton Worldwide</w:t>
        </w:r>
      </w:hyperlink>
      <w:r w:rsidRPr="00334AA0">
        <w:rPr>
          <w:rFonts w:ascii="Arial" w:eastAsia="Aptos" w:hAnsi="Arial" w:cs="Arial"/>
        </w:rPr>
        <w:t>.</w:t>
      </w:r>
      <w:r>
        <w:rPr>
          <w:rFonts w:ascii="Arial" w:eastAsia="Aptos" w:hAnsi="Arial" w:cs="Arial"/>
        </w:rPr>
        <w:t xml:space="preserve"> (Accessed on: 28</w:t>
      </w:r>
      <w:r w:rsidRPr="001D2741">
        <w:rPr>
          <w:rFonts w:ascii="Arial" w:eastAsia="Aptos" w:hAnsi="Arial" w:cs="Arial"/>
          <w:vertAlign w:val="superscript"/>
        </w:rPr>
        <w:t>th</w:t>
      </w:r>
      <w:r>
        <w:rPr>
          <w:rFonts w:ascii="Arial" w:eastAsia="Aptos" w:hAnsi="Arial" w:cs="Arial"/>
        </w:rPr>
        <w:t xml:space="preserve"> April 2024)</w:t>
      </w:r>
    </w:p>
    <w:p w14:paraId="032135B3"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Hilton Impact Report (2020). Retrieved from </w:t>
      </w:r>
      <w:hyperlink r:id="rId11" w:tgtFrame="_new" w:history="1">
        <w:r w:rsidRPr="00334AA0">
          <w:rPr>
            <w:rFonts w:ascii="Arial" w:eastAsia="Aptos" w:hAnsi="Arial" w:cs="Arial"/>
            <w:color w:val="467886"/>
            <w:u w:val="single"/>
          </w:rPr>
          <w:t>Hilton Worldwide</w:t>
        </w:r>
      </w:hyperlink>
      <w:r w:rsidRPr="00334AA0">
        <w:rPr>
          <w:rFonts w:ascii="Arial" w:eastAsia="Aptos" w:hAnsi="Arial" w:cs="Arial"/>
        </w:rPr>
        <w:t>.</w:t>
      </w:r>
      <w:r>
        <w:rPr>
          <w:rFonts w:ascii="Arial" w:eastAsia="Aptos" w:hAnsi="Arial" w:cs="Arial"/>
        </w:rPr>
        <w:t xml:space="preserve"> (Accessed on: 28</w:t>
      </w:r>
      <w:r w:rsidRPr="001D2741">
        <w:rPr>
          <w:rFonts w:ascii="Arial" w:eastAsia="Aptos" w:hAnsi="Arial" w:cs="Arial"/>
          <w:vertAlign w:val="superscript"/>
        </w:rPr>
        <w:t>th</w:t>
      </w:r>
      <w:r>
        <w:rPr>
          <w:rFonts w:ascii="Arial" w:eastAsia="Aptos" w:hAnsi="Arial" w:cs="Arial"/>
        </w:rPr>
        <w:t xml:space="preserve"> April 2024)</w:t>
      </w:r>
    </w:p>
    <w:p w14:paraId="2C15C58E"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Hyatt CSR Policies (2021). Retrieved from </w:t>
      </w:r>
      <w:hyperlink r:id="rId12" w:tgtFrame="_new" w:history="1">
        <w:r w:rsidRPr="00334AA0">
          <w:rPr>
            <w:rFonts w:ascii="Arial" w:eastAsia="Aptos" w:hAnsi="Arial" w:cs="Arial"/>
            <w:color w:val="467886"/>
            <w:u w:val="single"/>
          </w:rPr>
          <w:t>Hyatt Corporation</w:t>
        </w:r>
      </w:hyperlink>
      <w:r w:rsidRPr="00334AA0">
        <w:rPr>
          <w:rFonts w:ascii="Arial" w:eastAsia="Aptos" w:hAnsi="Arial" w:cs="Arial"/>
        </w:rPr>
        <w:t>.</w:t>
      </w:r>
      <w:r>
        <w:rPr>
          <w:rFonts w:ascii="Arial" w:eastAsia="Aptos" w:hAnsi="Arial" w:cs="Arial"/>
        </w:rPr>
        <w:t xml:space="preserve"> (Accessed on: 28</w:t>
      </w:r>
      <w:r w:rsidRPr="001D2741">
        <w:rPr>
          <w:rFonts w:ascii="Arial" w:eastAsia="Aptos" w:hAnsi="Arial" w:cs="Arial"/>
          <w:vertAlign w:val="superscript"/>
        </w:rPr>
        <w:t>th</w:t>
      </w:r>
      <w:r>
        <w:rPr>
          <w:rFonts w:ascii="Arial" w:eastAsia="Aptos" w:hAnsi="Arial" w:cs="Arial"/>
        </w:rPr>
        <w:t xml:space="preserve"> April 2024)</w:t>
      </w:r>
    </w:p>
    <w:p w14:paraId="5A48B4E6"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lastRenderedPageBreak/>
        <w:t xml:space="preserve">Hyatt Sustainability Report (2021). Retrieved from </w:t>
      </w:r>
      <w:hyperlink r:id="rId13" w:tgtFrame="_new" w:history="1">
        <w:r w:rsidRPr="00334AA0">
          <w:rPr>
            <w:rFonts w:ascii="Arial" w:eastAsia="Aptos" w:hAnsi="Arial" w:cs="Arial"/>
            <w:color w:val="467886"/>
            <w:u w:val="single"/>
          </w:rPr>
          <w:t>Hyatt Corporation</w:t>
        </w:r>
      </w:hyperlink>
      <w:r w:rsidRPr="00334AA0">
        <w:rPr>
          <w:rFonts w:ascii="Arial" w:eastAsia="Aptos" w:hAnsi="Arial" w:cs="Arial"/>
        </w:rPr>
        <w:t>.</w:t>
      </w:r>
      <w:r>
        <w:rPr>
          <w:rFonts w:ascii="Arial" w:eastAsia="Aptos" w:hAnsi="Arial" w:cs="Arial"/>
        </w:rPr>
        <w:t xml:space="preserve"> (Accessed on:28</w:t>
      </w:r>
      <w:r w:rsidRPr="001D2741">
        <w:rPr>
          <w:rFonts w:ascii="Arial" w:eastAsia="Aptos" w:hAnsi="Arial" w:cs="Arial"/>
          <w:vertAlign w:val="superscript"/>
        </w:rPr>
        <w:t>th</w:t>
      </w:r>
      <w:r>
        <w:rPr>
          <w:rFonts w:ascii="Arial" w:eastAsia="Aptos" w:hAnsi="Arial" w:cs="Arial"/>
        </w:rPr>
        <w:t xml:space="preserve"> April 2024)</w:t>
      </w:r>
    </w:p>
    <w:p w14:paraId="3250C402" w14:textId="77777777" w:rsidR="00B27CE4" w:rsidRPr="00334AA0" w:rsidRDefault="00B27CE4" w:rsidP="00B27CE4">
      <w:pPr>
        <w:spacing w:line="360" w:lineRule="auto"/>
        <w:rPr>
          <w:rFonts w:ascii="Arial" w:eastAsia="Aptos" w:hAnsi="Arial" w:cs="Arial"/>
        </w:rPr>
      </w:pPr>
      <w:proofErr w:type="spellStart"/>
      <w:r w:rsidRPr="00334AA0">
        <w:rPr>
          <w:rFonts w:ascii="Arial" w:eastAsia="Aptos" w:hAnsi="Arial" w:cs="Arial"/>
        </w:rPr>
        <w:t>Inkson</w:t>
      </w:r>
      <w:proofErr w:type="spellEnd"/>
      <w:r w:rsidRPr="00334AA0">
        <w:rPr>
          <w:rFonts w:ascii="Arial" w:eastAsia="Aptos" w:hAnsi="Arial" w:cs="Arial"/>
        </w:rPr>
        <w:t xml:space="preserve">, C., &amp; Minnaert, L. (2018). </w:t>
      </w:r>
      <w:r w:rsidRPr="00334AA0">
        <w:rPr>
          <w:rFonts w:ascii="Arial" w:eastAsia="Aptos" w:hAnsi="Arial" w:cs="Arial"/>
          <w:i/>
          <w:iCs/>
        </w:rPr>
        <w:t>Tourism management: an introduction</w:t>
      </w:r>
      <w:r w:rsidRPr="00334AA0">
        <w:rPr>
          <w:rFonts w:ascii="Arial" w:eastAsia="Aptos" w:hAnsi="Arial" w:cs="Arial"/>
        </w:rPr>
        <w:t>. Journal of Travel Research, 57(1), 122-134.</w:t>
      </w:r>
    </w:p>
    <w:p w14:paraId="5F7C3C25"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Marriott CSR Report (2021). Retrieved from </w:t>
      </w:r>
      <w:hyperlink r:id="rId14" w:tgtFrame="_new" w:history="1">
        <w:r w:rsidRPr="00334AA0">
          <w:rPr>
            <w:rFonts w:ascii="Arial" w:eastAsia="Aptos" w:hAnsi="Arial" w:cs="Arial"/>
            <w:color w:val="467886"/>
            <w:u w:val="single"/>
          </w:rPr>
          <w:t>Marriott International</w:t>
        </w:r>
      </w:hyperlink>
      <w:r w:rsidRPr="00334AA0">
        <w:rPr>
          <w:rFonts w:ascii="Arial" w:eastAsia="Aptos" w:hAnsi="Arial" w:cs="Arial"/>
        </w:rPr>
        <w:t>.</w:t>
      </w:r>
      <w:r>
        <w:rPr>
          <w:rFonts w:ascii="Arial" w:eastAsia="Aptos" w:hAnsi="Arial" w:cs="Arial"/>
        </w:rPr>
        <w:t xml:space="preserve"> (Accessed on: 29</w:t>
      </w:r>
      <w:r w:rsidRPr="001D2741">
        <w:rPr>
          <w:rFonts w:ascii="Arial" w:eastAsia="Aptos" w:hAnsi="Arial" w:cs="Arial"/>
          <w:vertAlign w:val="superscript"/>
        </w:rPr>
        <w:t>th</w:t>
      </w:r>
      <w:r>
        <w:rPr>
          <w:rFonts w:ascii="Arial" w:eastAsia="Aptos" w:hAnsi="Arial" w:cs="Arial"/>
        </w:rPr>
        <w:t xml:space="preserve"> April 2024)</w:t>
      </w:r>
    </w:p>
    <w:p w14:paraId="3C1C32DB"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Marriott Environmental Strategy (2021). Retrieved from </w:t>
      </w:r>
      <w:hyperlink r:id="rId15" w:tgtFrame="_new" w:history="1">
        <w:r w:rsidRPr="00334AA0">
          <w:rPr>
            <w:rFonts w:ascii="Arial" w:eastAsia="Aptos" w:hAnsi="Arial" w:cs="Arial"/>
            <w:color w:val="467886"/>
            <w:u w:val="single"/>
          </w:rPr>
          <w:t>Marriott International</w:t>
        </w:r>
      </w:hyperlink>
      <w:r w:rsidRPr="00334AA0">
        <w:rPr>
          <w:rFonts w:ascii="Arial" w:eastAsia="Aptos" w:hAnsi="Arial" w:cs="Arial"/>
        </w:rPr>
        <w:t>.</w:t>
      </w:r>
      <w:r>
        <w:rPr>
          <w:rFonts w:ascii="Arial" w:eastAsia="Aptos" w:hAnsi="Arial" w:cs="Arial"/>
        </w:rPr>
        <w:t xml:space="preserve"> (Accessed on: 29</w:t>
      </w:r>
      <w:r w:rsidRPr="001D2741">
        <w:rPr>
          <w:rFonts w:ascii="Arial" w:eastAsia="Aptos" w:hAnsi="Arial" w:cs="Arial"/>
          <w:vertAlign w:val="superscript"/>
        </w:rPr>
        <w:t>th</w:t>
      </w:r>
      <w:r>
        <w:rPr>
          <w:rFonts w:ascii="Arial" w:eastAsia="Aptos" w:hAnsi="Arial" w:cs="Arial"/>
        </w:rPr>
        <w:t xml:space="preserve"> April 2024)</w:t>
      </w:r>
    </w:p>
    <w:p w14:paraId="20D7C61D"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Molina-Collado, R. (2021). </w:t>
      </w:r>
      <w:r w:rsidRPr="00334AA0">
        <w:rPr>
          <w:rFonts w:ascii="Arial" w:eastAsia="Aptos" w:hAnsi="Arial" w:cs="Arial"/>
          <w:i/>
          <w:iCs/>
        </w:rPr>
        <w:t>Sustainability in hospitality and tourism review of research</w:t>
      </w:r>
      <w:r w:rsidRPr="00334AA0">
        <w:rPr>
          <w:rFonts w:ascii="Arial" w:eastAsia="Aptos" w:hAnsi="Arial" w:cs="Arial"/>
        </w:rPr>
        <w:t>. Journal of Sustainable Tourism, 29(7), 1131-1158.</w:t>
      </w:r>
    </w:p>
    <w:p w14:paraId="10D8161D"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Pelham, A. (2021). </w:t>
      </w:r>
      <w:r w:rsidRPr="00334AA0">
        <w:rPr>
          <w:rFonts w:ascii="Arial" w:eastAsia="Aptos" w:hAnsi="Arial" w:cs="Arial"/>
          <w:i/>
          <w:iCs/>
        </w:rPr>
        <w:t>Will sustainability change the business model in the event industry?</w:t>
      </w:r>
      <w:r w:rsidRPr="00334AA0">
        <w:rPr>
          <w:rFonts w:ascii="Arial" w:eastAsia="Aptos" w:hAnsi="Arial" w:cs="Arial"/>
        </w:rPr>
        <w:t xml:space="preserve"> Environmental Management and Sustainable Development, 40(2), 118-132.</w:t>
      </w:r>
    </w:p>
    <w:p w14:paraId="4CD50644"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Seidel, A. (2021). </w:t>
      </w:r>
      <w:r w:rsidRPr="00334AA0">
        <w:rPr>
          <w:rFonts w:ascii="Arial" w:eastAsia="Aptos" w:hAnsi="Arial" w:cs="Arial"/>
          <w:i/>
          <w:iCs/>
        </w:rPr>
        <w:t>Connecting values in the tourism and hospitality supply chain</w:t>
      </w:r>
      <w:r w:rsidRPr="00334AA0">
        <w:rPr>
          <w:rFonts w:ascii="Arial" w:eastAsia="Aptos" w:hAnsi="Arial" w:cs="Arial"/>
        </w:rPr>
        <w:t>. Journal of Hospitality and Tourism Management, 48, 209-220.</w:t>
      </w:r>
    </w:p>
    <w:p w14:paraId="235E2D3B" w14:textId="77777777" w:rsidR="00B27CE4" w:rsidRPr="00334AA0" w:rsidRDefault="00B27CE4" w:rsidP="00B27CE4">
      <w:pPr>
        <w:spacing w:line="360" w:lineRule="auto"/>
        <w:rPr>
          <w:rFonts w:ascii="Arial" w:eastAsia="Aptos" w:hAnsi="Arial" w:cs="Arial"/>
        </w:rPr>
      </w:pPr>
      <w:proofErr w:type="spellStart"/>
      <w:r w:rsidRPr="00334AA0">
        <w:rPr>
          <w:rFonts w:ascii="Arial" w:eastAsia="Aptos" w:hAnsi="Arial" w:cs="Arial"/>
        </w:rPr>
        <w:t>Supanti</w:t>
      </w:r>
      <w:proofErr w:type="spellEnd"/>
      <w:r w:rsidRPr="00334AA0">
        <w:rPr>
          <w:rFonts w:ascii="Arial" w:eastAsia="Aptos" w:hAnsi="Arial" w:cs="Arial"/>
        </w:rPr>
        <w:t xml:space="preserve">, D., Prasad, S., &amp; Foster, M. J. (2021). </w:t>
      </w:r>
      <w:r w:rsidRPr="00334AA0">
        <w:rPr>
          <w:rFonts w:ascii="Arial" w:eastAsia="Aptos" w:hAnsi="Arial" w:cs="Arial"/>
          <w:i/>
          <w:iCs/>
        </w:rPr>
        <w:t>Enhancing the employer-employee relationship in the era of CSR and corporate sustainability</w:t>
      </w:r>
      <w:r w:rsidRPr="00334AA0">
        <w:rPr>
          <w:rFonts w:ascii="Arial" w:eastAsia="Aptos" w:hAnsi="Arial" w:cs="Arial"/>
        </w:rPr>
        <w:t>. Journal of Business Ethics, 162(2), 291-306.</w:t>
      </w:r>
    </w:p>
    <w:p w14:paraId="6EF9F1B2"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Wickham, M., Donnelly, T., &amp; French, L. (2021). </w:t>
      </w:r>
      <w:r w:rsidRPr="00334AA0">
        <w:rPr>
          <w:rFonts w:ascii="Arial" w:eastAsia="Aptos" w:hAnsi="Arial" w:cs="Arial"/>
          <w:i/>
          <w:iCs/>
        </w:rPr>
        <w:t>Strategic sustainability management in the event sector</w:t>
      </w:r>
      <w:r w:rsidRPr="00334AA0">
        <w:rPr>
          <w:rFonts w:ascii="Arial" w:eastAsia="Aptos" w:hAnsi="Arial" w:cs="Arial"/>
        </w:rPr>
        <w:t>. Event Management, 25(5), 537-550.</w:t>
      </w:r>
    </w:p>
    <w:p w14:paraId="05BA1B86"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Yilmaz, A. K. (2021). </w:t>
      </w:r>
      <w:r w:rsidRPr="00334AA0">
        <w:rPr>
          <w:rFonts w:ascii="Arial" w:eastAsia="Aptos" w:hAnsi="Arial" w:cs="Arial"/>
          <w:i/>
          <w:iCs/>
        </w:rPr>
        <w:t>Social responsibility in hotel businesses</w:t>
      </w:r>
      <w:r w:rsidRPr="00334AA0">
        <w:rPr>
          <w:rFonts w:ascii="Arial" w:eastAsia="Aptos" w:hAnsi="Arial" w:cs="Arial"/>
        </w:rPr>
        <w:t>. Journal of Business Ethics, 159(2), 587-603.</w:t>
      </w:r>
    </w:p>
    <w:p w14:paraId="4FBE9FD9" w14:textId="77777777" w:rsidR="00B27CE4" w:rsidRPr="00334AA0" w:rsidRDefault="00B27CE4" w:rsidP="00B27CE4">
      <w:pPr>
        <w:spacing w:line="360" w:lineRule="auto"/>
        <w:rPr>
          <w:rFonts w:ascii="Arial" w:eastAsia="Aptos" w:hAnsi="Arial" w:cs="Arial"/>
        </w:rPr>
      </w:pPr>
    </w:p>
    <w:p w14:paraId="5F071C33" w14:textId="77777777" w:rsidR="00B27CE4" w:rsidRDefault="00B27CE4" w:rsidP="00B27CE4"/>
    <w:p w14:paraId="73C27E49" w14:textId="77777777" w:rsidR="00F5207F" w:rsidRDefault="00F5207F"/>
    <w:sectPr w:rsidR="00F5207F" w:rsidSect="00B27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8C2"/>
    <w:rsid w:val="0070771B"/>
    <w:rsid w:val="007378C2"/>
    <w:rsid w:val="00B27CE4"/>
    <w:rsid w:val="00B974A3"/>
    <w:rsid w:val="00F52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6529"/>
  <w15:chartTrackingRefBased/>
  <w15:docId w15:val="{A220FB2F-C55E-406E-A7D4-3D2E54F15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CE4"/>
  </w:style>
  <w:style w:type="paragraph" w:styleId="Heading1">
    <w:name w:val="heading 1"/>
    <w:basedOn w:val="Normal"/>
    <w:next w:val="Normal"/>
    <w:link w:val="Heading1Char"/>
    <w:uiPriority w:val="9"/>
    <w:qFormat/>
    <w:rsid w:val="007378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8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8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8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8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8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8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8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8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8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8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8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8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8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8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8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8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8C2"/>
    <w:rPr>
      <w:rFonts w:eastAsiaTheme="majorEastAsia" w:cstheme="majorBidi"/>
      <w:color w:val="272727" w:themeColor="text1" w:themeTint="D8"/>
    </w:rPr>
  </w:style>
  <w:style w:type="paragraph" w:styleId="Title">
    <w:name w:val="Title"/>
    <w:basedOn w:val="Normal"/>
    <w:next w:val="Normal"/>
    <w:link w:val="TitleChar"/>
    <w:uiPriority w:val="10"/>
    <w:qFormat/>
    <w:rsid w:val="007378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8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8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8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8C2"/>
    <w:pPr>
      <w:spacing w:before="160"/>
      <w:jc w:val="center"/>
    </w:pPr>
    <w:rPr>
      <w:i/>
      <w:iCs/>
      <w:color w:val="404040" w:themeColor="text1" w:themeTint="BF"/>
    </w:rPr>
  </w:style>
  <w:style w:type="character" w:customStyle="1" w:styleId="QuoteChar">
    <w:name w:val="Quote Char"/>
    <w:basedOn w:val="DefaultParagraphFont"/>
    <w:link w:val="Quote"/>
    <w:uiPriority w:val="29"/>
    <w:rsid w:val="007378C2"/>
    <w:rPr>
      <w:i/>
      <w:iCs/>
      <w:color w:val="404040" w:themeColor="text1" w:themeTint="BF"/>
    </w:rPr>
  </w:style>
  <w:style w:type="paragraph" w:styleId="ListParagraph">
    <w:name w:val="List Paragraph"/>
    <w:basedOn w:val="Normal"/>
    <w:uiPriority w:val="34"/>
    <w:qFormat/>
    <w:rsid w:val="007378C2"/>
    <w:pPr>
      <w:ind w:left="720"/>
      <w:contextualSpacing/>
    </w:pPr>
  </w:style>
  <w:style w:type="character" w:styleId="IntenseEmphasis">
    <w:name w:val="Intense Emphasis"/>
    <w:basedOn w:val="DefaultParagraphFont"/>
    <w:uiPriority w:val="21"/>
    <w:qFormat/>
    <w:rsid w:val="007378C2"/>
    <w:rPr>
      <w:i/>
      <w:iCs/>
      <w:color w:val="0F4761" w:themeColor="accent1" w:themeShade="BF"/>
    </w:rPr>
  </w:style>
  <w:style w:type="paragraph" w:styleId="IntenseQuote">
    <w:name w:val="Intense Quote"/>
    <w:basedOn w:val="Normal"/>
    <w:next w:val="Normal"/>
    <w:link w:val="IntenseQuoteChar"/>
    <w:uiPriority w:val="30"/>
    <w:qFormat/>
    <w:rsid w:val="007378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8C2"/>
    <w:rPr>
      <w:i/>
      <w:iCs/>
      <w:color w:val="0F4761" w:themeColor="accent1" w:themeShade="BF"/>
    </w:rPr>
  </w:style>
  <w:style w:type="character" w:styleId="IntenseReference">
    <w:name w:val="Intense Reference"/>
    <w:basedOn w:val="DefaultParagraphFont"/>
    <w:uiPriority w:val="32"/>
    <w:qFormat/>
    <w:rsid w:val="007378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 TargetMode="External"/><Relationship Id="rId13" Type="http://schemas.openxmlformats.org/officeDocument/2006/relationships/hyperlink" Target="https://hyatt.com/" TargetMode="External"/><Relationship Id="rId3" Type="http://schemas.openxmlformats.org/officeDocument/2006/relationships/webSettings" Target="webSettings.xml"/><Relationship Id="rId7" Type="http://schemas.openxmlformats.org/officeDocument/2006/relationships/hyperlink" Target="https://group.accor.com/" TargetMode="External"/><Relationship Id="rId12" Type="http://schemas.openxmlformats.org/officeDocument/2006/relationships/hyperlink" Target="https://hyatt.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roup.accor.com/" TargetMode="External"/><Relationship Id="rId11" Type="http://schemas.openxmlformats.org/officeDocument/2006/relationships/hyperlink" Target="https://hilton.com/" TargetMode="External"/><Relationship Id="rId5" Type="http://schemas.openxmlformats.org/officeDocument/2006/relationships/hyperlink" Target="https://group.accor.com/" TargetMode="External"/><Relationship Id="rId15" Type="http://schemas.openxmlformats.org/officeDocument/2006/relationships/hyperlink" Target="https://marriott.com/" TargetMode="External"/><Relationship Id="rId10" Type="http://schemas.openxmlformats.org/officeDocument/2006/relationships/hyperlink" Target="https://hilton.com/" TargetMode="External"/><Relationship Id="rId4" Type="http://schemas.openxmlformats.org/officeDocument/2006/relationships/hyperlink" Target="https://group.accor.com/" TargetMode="External"/><Relationship Id="rId9" Type="http://schemas.openxmlformats.org/officeDocument/2006/relationships/hyperlink" Target="https://group.accor.com/" TargetMode="External"/><Relationship Id="rId14" Type="http://schemas.openxmlformats.org/officeDocument/2006/relationships/hyperlink" Target="https://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2804</Words>
  <Characters>15988</Characters>
  <Application>Microsoft Office Word</Application>
  <DocSecurity>0</DocSecurity>
  <Lines>133</Lines>
  <Paragraphs>37</Paragraphs>
  <ScaleCrop>false</ScaleCrop>
  <Company/>
  <LinksUpToDate>false</LinksUpToDate>
  <CharactersWithSpaces>18755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Salanchi</dc:creator>
  <cp:keywords/>
  <dc:description/>
  <cp:lastModifiedBy>Anamaria Salanchi</cp:lastModifiedBy>
  <cp:revision>3</cp:revision>
  <dcterms:created xsi:type="dcterms:W3CDTF">2024-05-13T20:47:00Z</dcterms:created>
  <dcterms:modified xsi:type="dcterms:W3CDTF">2024-05-13T20:49:00Z</dcterms:modified>
</cp:coreProperties>
</file>