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E3753" w14:textId="601F0085" w:rsidR="00752351" w:rsidRDefault="00752351" w:rsidP="00752351">
      <w:pPr>
        <w:pStyle w:val="NormalWeb"/>
        <w:spacing w:before="0" w:beforeAutospacing="0" w:after="0" w:afterAutospacing="0"/>
        <w:ind w:left="-180" w:right="-334"/>
      </w:pPr>
      <w:r>
        <w:rPr>
          <w:noProof/>
        </w:rPr>
        <w:drawing>
          <wp:inline distT="0" distB="0" distL="0" distR="0" wp14:anchorId="044D1C2A" wp14:editId="3F23EBEF">
            <wp:extent cx="1905000" cy="632460"/>
            <wp:effectExtent l="19050" t="19050" r="19050" b="15240"/>
            <wp:docPr id="112931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76DD2A3D" w14:textId="77777777" w:rsidR="00752351" w:rsidRDefault="00752351" w:rsidP="00752351">
      <w:pPr>
        <w:pStyle w:val="NormalWeb"/>
        <w:spacing w:before="0" w:beforeAutospacing="0" w:after="0" w:afterAutospacing="0"/>
        <w:ind w:left="-180" w:right="-334"/>
      </w:pPr>
    </w:p>
    <w:p w14:paraId="1DAA641E" w14:textId="77777777" w:rsidR="00752351" w:rsidRDefault="00752351" w:rsidP="00752351">
      <w:pPr>
        <w:pStyle w:val="NormalWeb"/>
        <w:spacing w:before="0" w:beforeAutospacing="0" w:after="0" w:afterAutospacing="0"/>
        <w:ind w:left="-180" w:right="-334"/>
      </w:pPr>
    </w:p>
    <w:p w14:paraId="2CCF936A" w14:textId="77777777" w:rsidR="00752351" w:rsidRDefault="00752351" w:rsidP="0075235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570C0C" w14:textId="77777777" w:rsidR="00752351" w:rsidRPr="00230F35" w:rsidRDefault="00752351" w:rsidP="0075235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075E739" w14:textId="77777777" w:rsidR="00752351" w:rsidRPr="00230F35" w:rsidRDefault="00752351" w:rsidP="00752351">
      <w:pPr>
        <w:rPr>
          <w:rFonts w:ascii="Arial" w:hAnsi="Arial" w:cs="Arial"/>
          <w:sz w:val="28"/>
          <w:szCs w:val="28"/>
          <w:lang w:val="cy-GB"/>
        </w:rPr>
      </w:pPr>
    </w:p>
    <w:p w14:paraId="56345EC1" w14:textId="77777777" w:rsidR="00752351" w:rsidRDefault="00752351" w:rsidP="00752351">
      <w:pPr>
        <w:pStyle w:val="Heading3"/>
        <w:jc w:val="center"/>
        <w:rPr>
          <w:lang w:val="cy-GB"/>
        </w:rPr>
      </w:pPr>
      <w:r>
        <w:rPr>
          <w:lang w:val="cy-GB"/>
        </w:rPr>
        <w:t>THIS SHEET MUST BE THE FIRST PAGE OF THE ASSIGNMENT YOU ARE SUBMITTING  (DO NOT SEND AS A SEPARATE FILE)</w:t>
      </w:r>
    </w:p>
    <w:p w14:paraId="32240547" w14:textId="77777777" w:rsidR="00752351" w:rsidRDefault="00752351" w:rsidP="0075235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52351" w:rsidRPr="00230F35" w14:paraId="213FC280" w14:textId="77777777" w:rsidTr="00AE28F7">
        <w:trPr>
          <w:trHeight w:val="614"/>
        </w:trPr>
        <w:tc>
          <w:tcPr>
            <w:tcW w:w="8856" w:type="dxa"/>
            <w:gridSpan w:val="5"/>
          </w:tcPr>
          <w:p w14:paraId="2AEB559A" w14:textId="77777777"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52351" w:rsidRPr="00230F35" w14:paraId="48350748" w14:textId="77777777" w:rsidTr="00AE28F7">
        <w:trPr>
          <w:trHeight w:val="718"/>
        </w:trPr>
        <w:tc>
          <w:tcPr>
            <w:tcW w:w="8856" w:type="dxa"/>
            <w:gridSpan w:val="5"/>
          </w:tcPr>
          <w:p w14:paraId="26155BE7" w14:textId="06C84D1D" w:rsidR="00752351"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Gwyneth Silver</w:t>
            </w:r>
          </w:p>
          <w:p w14:paraId="1C7377A0" w14:textId="77777777" w:rsidR="00752351" w:rsidRPr="00230F35" w:rsidRDefault="00752351" w:rsidP="00AE28F7">
            <w:pPr>
              <w:pStyle w:val="NormalWeb"/>
              <w:spacing w:before="0" w:beforeAutospacing="0" w:after="0" w:afterAutospacing="0"/>
              <w:ind w:right="34"/>
              <w:rPr>
                <w:rFonts w:ascii="Arial" w:hAnsi="Arial" w:cs="Arial"/>
                <w:sz w:val="22"/>
                <w:szCs w:val="22"/>
              </w:rPr>
            </w:pPr>
          </w:p>
          <w:p w14:paraId="14C0EC46" w14:textId="2B502232"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2316032@student.uwtsd.ac.uk</w:t>
            </w:r>
          </w:p>
        </w:tc>
      </w:tr>
      <w:tr w:rsidR="00752351" w:rsidRPr="00230F35" w14:paraId="2ED0E961" w14:textId="77777777" w:rsidTr="00AE28F7">
        <w:trPr>
          <w:trHeight w:val="849"/>
        </w:trPr>
        <w:tc>
          <w:tcPr>
            <w:tcW w:w="4788" w:type="dxa"/>
          </w:tcPr>
          <w:p w14:paraId="3565246E" w14:textId="045D9C34"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0433708C" w14:textId="77777777" w:rsidR="00752351" w:rsidRPr="00230F35" w:rsidRDefault="00752351" w:rsidP="00AE28F7">
            <w:pPr>
              <w:pStyle w:val="NormalWeb"/>
              <w:spacing w:before="0" w:beforeAutospacing="0" w:after="0" w:afterAutospacing="0"/>
              <w:ind w:right="34"/>
              <w:rPr>
                <w:rFonts w:ascii="Arial" w:hAnsi="Arial" w:cs="Arial"/>
                <w:sz w:val="22"/>
                <w:szCs w:val="22"/>
              </w:rPr>
            </w:pPr>
          </w:p>
          <w:p w14:paraId="44716381" w14:textId="1BEEB895" w:rsidR="00752351"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4D0331FD" w14:textId="77777777" w:rsidR="00752351" w:rsidRDefault="00752351" w:rsidP="00AE28F7">
            <w:pPr>
              <w:pStyle w:val="NormalWeb"/>
              <w:spacing w:before="0" w:beforeAutospacing="0" w:after="0" w:afterAutospacing="0"/>
              <w:ind w:right="34"/>
              <w:rPr>
                <w:rFonts w:ascii="Arial" w:hAnsi="Arial" w:cs="Arial"/>
                <w:sz w:val="22"/>
                <w:szCs w:val="22"/>
              </w:rPr>
            </w:pPr>
          </w:p>
          <w:p w14:paraId="0EA1A6DB" w14:textId="77777777" w:rsidR="00752351" w:rsidRPr="00230F35" w:rsidRDefault="00752351" w:rsidP="00AE28F7">
            <w:pPr>
              <w:pStyle w:val="NormalWeb"/>
              <w:spacing w:before="0" w:beforeAutospacing="0" w:after="0" w:afterAutospacing="0"/>
              <w:ind w:right="34"/>
              <w:rPr>
                <w:rFonts w:ascii="Arial" w:hAnsi="Arial" w:cs="Arial"/>
                <w:sz w:val="22"/>
                <w:szCs w:val="22"/>
              </w:rPr>
            </w:pPr>
          </w:p>
        </w:tc>
        <w:tc>
          <w:tcPr>
            <w:tcW w:w="2266" w:type="dxa"/>
            <w:gridSpan w:val="3"/>
          </w:tcPr>
          <w:p w14:paraId="22FF3780" w14:textId="77777777" w:rsidR="00752351"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7E7EA5D" w14:textId="77777777" w:rsidR="00752351" w:rsidRDefault="00752351" w:rsidP="00AE28F7">
            <w:pPr>
              <w:pStyle w:val="NormalWeb"/>
              <w:spacing w:before="0" w:beforeAutospacing="0" w:after="0" w:afterAutospacing="0"/>
              <w:ind w:right="34"/>
              <w:rPr>
                <w:rFonts w:ascii="Arial" w:hAnsi="Arial" w:cs="Arial"/>
                <w:sz w:val="22"/>
                <w:szCs w:val="22"/>
              </w:rPr>
            </w:pPr>
          </w:p>
          <w:p w14:paraId="6A8AE145" w14:textId="5ED61C68" w:rsidR="00752351" w:rsidRPr="00230F35" w:rsidRDefault="00752351" w:rsidP="00AE28F7">
            <w:pPr>
              <w:pStyle w:val="NormalWeb"/>
              <w:spacing w:before="0" w:beforeAutospacing="0" w:after="0" w:afterAutospacing="0"/>
              <w:ind w:right="34"/>
              <w:rPr>
                <w:rFonts w:ascii="Arial" w:hAnsi="Arial" w:cs="Arial"/>
                <w:sz w:val="22"/>
                <w:szCs w:val="22"/>
              </w:rPr>
            </w:pPr>
            <w:r>
              <w:rPr>
                <w:rFonts w:ascii="Arial" w:hAnsi="Arial" w:cs="Arial"/>
                <w:sz w:val="22"/>
                <w:szCs w:val="22"/>
              </w:rPr>
              <w:t>2316032</w:t>
            </w:r>
          </w:p>
        </w:tc>
        <w:tc>
          <w:tcPr>
            <w:tcW w:w="1802" w:type="dxa"/>
          </w:tcPr>
          <w:p w14:paraId="6CF0F95E" w14:textId="77777777"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39B7B2A" w14:textId="0C455BC1"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52351" w:rsidRPr="00230F35" w14:paraId="6A83BCF2" w14:textId="77777777" w:rsidTr="00AE28F7">
        <w:trPr>
          <w:trHeight w:val="1139"/>
        </w:trPr>
        <w:tc>
          <w:tcPr>
            <w:tcW w:w="8856" w:type="dxa"/>
            <w:gridSpan w:val="5"/>
          </w:tcPr>
          <w:p w14:paraId="1F95F01A" w14:textId="22BE9DED"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5628E252" w14:textId="77777777" w:rsidR="00752351" w:rsidRPr="00230F35" w:rsidRDefault="00752351" w:rsidP="00AE28F7">
            <w:pPr>
              <w:pStyle w:val="NormalWeb"/>
              <w:spacing w:before="0" w:beforeAutospacing="0" w:after="0" w:afterAutospacing="0"/>
              <w:ind w:right="34"/>
              <w:rPr>
                <w:rFonts w:ascii="Arial" w:hAnsi="Arial" w:cs="Arial"/>
                <w:sz w:val="22"/>
                <w:szCs w:val="22"/>
              </w:rPr>
            </w:pPr>
          </w:p>
          <w:p w14:paraId="797F4B90" w14:textId="77777777" w:rsidR="00752351" w:rsidRDefault="00752351" w:rsidP="00AE28F7">
            <w:pPr>
              <w:pStyle w:val="NormalWeb"/>
              <w:spacing w:before="0" w:beforeAutospacing="0" w:after="0" w:afterAutospacing="0"/>
              <w:ind w:right="34"/>
              <w:rPr>
                <w:rFonts w:ascii="Arial" w:hAnsi="Arial" w:cs="Arial"/>
                <w:sz w:val="22"/>
                <w:szCs w:val="22"/>
              </w:rPr>
            </w:pPr>
          </w:p>
          <w:p w14:paraId="2382C31C" w14:textId="69911769"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15 March, 2024</w:t>
            </w:r>
          </w:p>
        </w:tc>
      </w:tr>
      <w:tr w:rsidR="00752351" w:rsidRPr="00230F35" w14:paraId="707DE0C5" w14:textId="77777777" w:rsidTr="00AE28F7">
        <w:trPr>
          <w:trHeight w:val="978"/>
        </w:trPr>
        <w:tc>
          <w:tcPr>
            <w:tcW w:w="8856" w:type="dxa"/>
            <w:gridSpan w:val="5"/>
            <w:tcBorders>
              <w:bottom w:val="single" w:sz="4" w:space="0" w:color="000000"/>
            </w:tcBorders>
          </w:tcPr>
          <w:p w14:paraId="5AF47D75" w14:textId="1F50B84B" w:rsidR="00752351" w:rsidRPr="00230F35" w:rsidRDefault="00752351" w:rsidP="00AE28F7">
            <w:pPr>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76BADB14" wp14:editId="476C03E6">
                      <wp:simplePos x="0" y="0"/>
                      <wp:positionH relativeFrom="column">
                        <wp:posOffset>1994913</wp:posOffset>
                      </wp:positionH>
                      <wp:positionV relativeFrom="paragraph">
                        <wp:posOffset>6438</wp:posOffset>
                      </wp:positionV>
                      <wp:extent cx="182520" cy="170640"/>
                      <wp:effectExtent l="38100" t="38100" r="46355" b="39370"/>
                      <wp:wrapNone/>
                      <wp:docPr id="905830006" name="Ink 5"/>
                      <wp:cNvGraphicFramePr/>
                      <a:graphic xmlns:a="http://schemas.openxmlformats.org/drawingml/2006/main">
                        <a:graphicData uri="http://schemas.microsoft.com/office/word/2010/wordprocessingInk">
                          <w14:contentPart bwMode="auto" r:id="rId7">
                            <w14:nvContentPartPr>
                              <w14:cNvContentPartPr/>
                            </w14:nvContentPartPr>
                            <w14:xfrm>
                              <a:off x="0" y="0"/>
                              <a:ext cx="182520" cy="170640"/>
                            </w14:xfrm>
                          </w14:contentPart>
                        </a:graphicData>
                      </a:graphic>
                    </wp:anchor>
                  </w:drawing>
                </mc:Choice>
                <mc:Fallback>
                  <w:pict>
                    <v:shapetype w14:anchorId="4B559C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6.6pt;margin-top:0;width:15.35pt;height:14.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">
                      <v:imagedata r:id="rId8" o:title=""/>
                    </v:shape>
                  </w:pict>
                </mc:Fallback>
              </mc:AlternateContent>
            </w: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752351" w:rsidRPr="00230F35" w14:paraId="533494B7" w14:textId="77777777" w:rsidTr="00AE28F7">
        <w:trPr>
          <w:trHeight w:val="978"/>
        </w:trPr>
        <w:tc>
          <w:tcPr>
            <w:tcW w:w="8856" w:type="dxa"/>
            <w:gridSpan w:val="5"/>
            <w:shd w:val="clear" w:color="auto" w:fill="D9D9D9"/>
          </w:tcPr>
          <w:p w14:paraId="2824DBA8" w14:textId="29112522" w:rsidR="00752351" w:rsidRPr="00230F35" w:rsidRDefault="00752351" w:rsidP="00AE28F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90B79B3" w14:textId="5724E703" w:rsidR="00752351" w:rsidRDefault="00752351" w:rsidP="00AE28F7">
            <w:pPr>
              <w:pStyle w:val="NormalWeb"/>
              <w:spacing w:before="0" w:beforeAutospacing="0" w:after="0" w:afterAutospacing="0"/>
              <w:ind w:right="34"/>
              <w:rPr>
                <w:rFonts w:ascii="Arial" w:hAnsi="Arial" w:cs="Arial"/>
                <w:sz w:val="22"/>
                <w:szCs w:val="22"/>
              </w:rPr>
            </w:pPr>
            <w:r>
              <w:rPr>
                <w:rFonts w:ascii="Arial" w:hAnsi="Arial" w:cs="Arial"/>
                <w:noProof/>
                <w:sz w:val="22"/>
                <w:szCs w:val="22"/>
                <w14:ligatures w14:val="standardContextual"/>
              </w:rPr>
              <mc:AlternateContent>
                <mc:Choice Requires="wpi">
                  <w:drawing>
                    <wp:anchor distT="0" distB="0" distL="114300" distR="114300" simplePos="0" relativeHeight="251664384" behindDoc="0" locked="0" layoutInCell="1" allowOverlap="1" wp14:anchorId="545F630D" wp14:editId="78F11A0F">
                      <wp:simplePos x="0" y="0"/>
                      <wp:positionH relativeFrom="column">
                        <wp:posOffset>1018540</wp:posOffset>
                      </wp:positionH>
                      <wp:positionV relativeFrom="paragraph">
                        <wp:posOffset>-149860</wp:posOffset>
                      </wp:positionV>
                      <wp:extent cx="1796830" cy="447690"/>
                      <wp:effectExtent l="38100" t="38100" r="32385" b="47625"/>
                      <wp:wrapNone/>
                      <wp:docPr id="2022439844" name="Ink 14"/>
                      <wp:cNvGraphicFramePr/>
                      <a:graphic xmlns:a="http://schemas.openxmlformats.org/drawingml/2006/main">
                        <a:graphicData uri="http://schemas.microsoft.com/office/word/2010/wordprocessingInk">
                          <w14:contentPart bwMode="auto" r:id="rId9">
                            <w14:nvContentPartPr>
                              <w14:cNvContentPartPr/>
                            </w14:nvContentPartPr>
                            <w14:xfrm>
                              <a:off x="0" y="0"/>
                              <a:ext cx="1796830" cy="447690"/>
                            </w14:xfrm>
                          </w14:contentPart>
                        </a:graphicData>
                      </a:graphic>
                    </wp:anchor>
                  </w:drawing>
                </mc:Choice>
                <mc:Fallback>
                  <w:pict>
                    <v:shape w14:anchorId="78DC2E8F" id="Ink 14" o:spid="_x0000_s1026" type="#_x0000_t75" style="position:absolute;margin-left:79.7pt;margin-top:-12.3pt;width:142.5pt;height:36.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">
                      <v:imagedata r:id="rId10" o:title=""/>
                    </v:shape>
                  </w:pict>
                </mc:Fallback>
              </mc:AlternateContent>
            </w:r>
            <w:r w:rsidRPr="00230F35">
              <w:rPr>
                <w:rFonts w:ascii="Arial" w:hAnsi="Arial" w:cs="Arial"/>
                <w:sz w:val="22"/>
                <w:szCs w:val="22"/>
              </w:rPr>
              <w:t>Signed ……………………………………………………………</w:t>
            </w:r>
          </w:p>
          <w:p w14:paraId="38488E50" w14:textId="77777777" w:rsidR="00752351" w:rsidRDefault="00752351" w:rsidP="00AE28F7">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52885513" w14:textId="77777777" w:rsidR="00752351" w:rsidRPr="00230F35" w:rsidRDefault="00752351" w:rsidP="00AE28F7">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52351" w:rsidRPr="00230F35" w14:paraId="4700FB71" w14:textId="77777777" w:rsidTr="00AE28F7">
        <w:trPr>
          <w:trHeight w:val="3972"/>
        </w:trPr>
        <w:tc>
          <w:tcPr>
            <w:tcW w:w="8856" w:type="dxa"/>
            <w:gridSpan w:val="5"/>
          </w:tcPr>
          <w:p w14:paraId="233A1004" w14:textId="77777777" w:rsidR="00752351" w:rsidRDefault="00752351" w:rsidP="00AE28F7">
            <w:pPr>
              <w:rPr>
                <w:rFonts w:ascii="Arial" w:hAnsi="Arial"/>
                <w:b/>
              </w:rPr>
            </w:pPr>
          </w:p>
          <w:p w14:paraId="058533A3" w14:textId="77777777" w:rsidR="00752351" w:rsidRPr="00116CE6" w:rsidRDefault="00752351" w:rsidP="00AE28F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52351" w:rsidRPr="00116CE6" w14:paraId="6DC397CE" w14:textId="77777777" w:rsidTr="00AE28F7">
              <w:tc>
                <w:tcPr>
                  <w:tcW w:w="6970" w:type="dxa"/>
                </w:tcPr>
                <w:p w14:paraId="621AA0F2" w14:textId="77777777" w:rsidR="00752351" w:rsidRPr="00116CE6" w:rsidRDefault="00752351" w:rsidP="00AE28F7">
                  <w:pPr>
                    <w:rPr>
                      <w:rFonts w:ascii="Arial" w:hAnsi="Arial"/>
                      <w:sz w:val="20"/>
                      <w:szCs w:val="20"/>
                    </w:rPr>
                  </w:pPr>
                </w:p>
                <w:p w14:paraId="329D4E9D" w14:textId="77777777" w:rsidR="00752351" w:rsidRPr="00116CE6" w:rsidRDefault="00752351" w:rsidP="00AE28F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7DDA9B0" w14:textId="77777777" w:rsidR="00752351" w:rsidRPr="00116CE6" w:rsidRDefault="00752351" w:rsidP="00AE28F7">
                  <w:pPr>
                    <w:rPr>
                      <w:rFonts w:ascii="Arial" w:hAnsi="Arial"/>
                      <w:sz w:val="20"/>
                      <w:szCs w:val="20"/>
                    </w:rPr>
                  </w:pPr>
                </w:p>
              </w:tc>
            </w:tr>
            <w:tr w:rsidR="00752351" w:rsidRPr="00116CE6" w14:paraId="5C232CBC" w14:textId="77777777" w:rsidTr="00AE28F7">
              <w:tc>
                <w:tcPr>
                  <w:tcW w:w="6970" w:type="dxa"/>
                </w:tcPr>
                <w:p w14:paraId="03A3B5FF" w14:textId="77777777" w:rsidR="00752351" w:rsidRPr="00116CE6" w:rsidRDefault="00752351" w:rsidP="00AE28F7">
                  <w:pPr>
                    <w:rPr>
                      <w:rFonts w:ascii="Arial" w:hAnsi="Arial"/>
                      <w:sz w:val="20"/>
                      <w:szCs w:val="20"/>
                    </w:rPr>
                  </w:pPr>
                </w:p>
                <w:p w14:paraId="3A89AA5D" w14:textId="77777777" w:rsidR="00752351" w:rsidRPr="00116CE6" w:rsidRDefault="00752351" w:rsidP="00AE28F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E598A80" w14:textId="77777777" w:rsidR="00752351" w:rsidRPr="00116CE6" w:rsidRDefault="00752351" w:rsidP="00AE28F7">
                  <w:pPr>
                    <w:rPr>
                      <w:rFonts w:ascii="Arial" w:hAnsi="Arial"/>
                      <w:sz w:val="20"/>
                      <w:szCs w:val="20"/>
                    </w:rPr>
                  </w:pPr>
                </w:p>
              </w:tc>
            </w:tr>
            <w:tr w:rsidR="00752351" w:rsidRPr="00116CE6" w14:paraId="718DCC88" w14:textId="77777777" w:rsidTr="00AE28F7">
              <w:tc>
                <w:tcPr>
                  <w:tcW w:w="6970" w:type="dxa"/>
                </w:tcPr>
                <w:p w14:paraId="4C781923" w14:textId="77777777" w:rsidR="00752351" w:rsidRPr="00116CE6" w:rsidRDefault="00752351" w:rsidP="00AE28F7">
                  <w:pPr>
                    <w:rPr>
                      <w:rFonts w:ascii="Arial" w:hAnsi="Arial"/>
                      <w:sz w:val="20"/>
                      <w:szCs w:val="20"/>
                    </w:rPr>
                  </w:pPr>
                </w:p>
                <w:p w14:paraId="366942AF" w14:textId="77777777" w:rsidR="00752351" w:rsidRPr="00116CE6" w:rsidRDefault="00752351" w:rsidP="00AE28F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F300DC9" w14:textId="77777777" w:rsidR="00752351" w:rsidRPr="00116CE6" w:rsidRDefault="00752351" w:rsidP="00AE28F7">
                  <w:pPr>
                    <w:rPr>
                      <w:rFonts w:ascii="Arial" w:hAnsi="Arial"/>
                      <w:sz w:val="20"/>
                      <w:szCs w:val="20"/>
                    </w:rPr>
                  </w:pPr>
                </w:p>
              </w:tc>
            </w:tr>
            <w:tr w:rsidR="00752351" w:rsidRPr="00116CE6" w14:paraId="03D71FB0" w14:textId="77777777" w:rsidTr="00AE28F7">
              <w:tc>
                <w:tcPr>
                  <w:tcW w:w="6970" w:type="dxa"/>
                </w:tcPr>
                <w:p w14:paraId="67EC68A0" w14:textId="77777777" w:rsidR="00752351" w:rsidRDefault="00752351" w:rsidP="00AE28F7">
                  <w:pPr>
                    <w:rPr>
                      <w:rFonts w:ascii="Arial" w:hAnsi="Arial"/>
                      <w:sz w:val="20"/>
                      <w:szCs w:val="20"/>
                    </w:rPr>
                  </w:pPr>
                </w:p>
                <w:p w14:paraId="7376BFA1" w14:textId="77777777" w:rsidR="00752351" w:rsidRPr="00022345" w:rsidRDefault="00752351" w:rsidP="00AE28F7">
                  <w:pPr>
                    <w:rPr>
                      <w:rFonts w:ascii="Arial" w:hAnsi="Arial"/>
                      <w:b/>
                      <w:sz w:val="20"/>
                      <w:szCs w:val="20"/>
                    </w:rPr>
                  </w:pPr>
                  <w:r w:rsidRPr="00022345">
                    <w:rPr>
                      <w:rFonts w:ascii="Arial" w:hAnsi="Arial"/>
                      <w:b/>
                      <w:sz w:val="20"/>
                      <w:szCs w:val="20"/>
                    </w:rPr>
                    <w:t>Final Mark</w:t>
                  </w:r>
                </w:p>
                <w:p w14:paraId="2DA266D8" w14:textId="77777777" w:rsidR="00752351" w:rsidRPr="00116CE6" w:rsidRDefault="00752351" w:rsidP="00AE28F7">
                  <w:pPr>
                    <w:rPr>
                      <w:rFonts w:ascii="Arial" w:hAnsi="Arial"/>
                      <w:sz w:val="20"/>
                      <w:szCs w:val="20"/>
                    </w:rPr>
                  </w:pPr>
                </w:p>
              </w:tc>
              <w:tc>
                <w:tcPr>
                  <w:tcW w:w="1660" w:type="dxa"/>
                </w:tcPr>
                <w:p w14:paraId="4A5040EA" w14:textId="77777777" w:rsidR="00752351" w:rsidRPr="00116CE6" w:rsidRDefault="00752351" w:rsidP="00AE28F7">
                  <w:pPr>
                    <w:rPr>
                      <w:rFonts w:ascii="Arial" w:hAnsi="Arial"/>
                      <w:sz w:val="20"/>
                      <w:szCs w:val="20"/>
                    </w:rPr>
                  </w:pPr>
                </w:p>
              </w:tc>
            </w:tr>
          </w:tbl>
          <w:p w14:paraId="6EE74BC5" w14:textId="77777777" w:rsidR="00752351" w:rsidRDefault="00752351" w:rsidP="00AE28F7">
            <w:pPr>
              <w:pStyle w:val="NormalWeb"/>
              <w:spacing w:before="0" w:beforeAutospacing="0" w:after="0" w:afterAutospacing="0"/>
              <w:ind w:left="142" w:right="34"/>
              <w:rPr>
                <w:rFonts w:ascii="Arial" w:hAnsi="Arial" w:cs="Arial"/>
                <w:b/>
                <w:sz w:val="22"/>
                <w:szCs w:val="22"/>
              </w:rPr>
            </w:pPr>
          </w:p>
          <w:p w14:paraId="3A52C48B" w14:textId="77777777" w:rsidR="00752351" w:rsidRPr="00230F35" w:rsidRDefault="00752351" w:rsidP="00AE28F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44AEBA1" w14:textId="77777777" w:rsidR="00752351" w:rsidRDefault="00752351" w:rsidP="00AE28F7">
            <w:pPr>
              <w:pStyle w:val="NormalWeb"/>
              <w:spacing w:before="0" w:beforeAutospacing="0" w:after="0" w:afterAutospacing="0"/>
              <w:rPr>
                <w:rFonts w:ascii="Arial" w:hAnsi="Arial" w:cs="Arial"/>
                <w:b/>
                <w:sz w:val="22"/>
                <w:szCs w:val="22"/>
              </w:rPr>
            </w:pPr>
          </w:p>
          <w:p w14:paraId="193E3EE1" w14:textId="77777777" w:rsidR="00752351" w:rsidRDefault="00752351" w:rsidP="00AE28F7">
            <w:pPr>
              <w:pStyle w:val="NormalWeb"/>
              <w:spacing w:before="0" w:beforeAutospacing="0" w:after="0" w:afterAutospacing="0"/>
              <w:rPr>
                <w:rFonts w:ascii="Arial" w:hAnsi="Arial" w:cs="Arial"/>
                <w:b/>
                <w:sz w:val="22"/>
                <w:szCs w:val="22"/>
              </w:rPr>
            </w:pPr>
          </w:p>
          <w:p w14:paraId="03FF0AD8" w14:textId="77777777" w:rsidR="00752351" w:rsidRDefault="00752351" w:rsidP="00AE28F7">
            <w:pPr>
              <w:pStyle w:val="NormalWeb"/>
              <w:spacing w:before="0" w:beforeAutospacing="0" w:after="0" w:afterAutospacing="0"/>
              <w:rPr>
                <w:rFonts w:ascii="Arial" w:hAnsi="Arial" w:cs="Arial"/>
                <w:b/>
                <w:sz w:val="22"/>
                <w:szCs w:val="22"/>
              </w:rPr>
            </w:pPr>
          </w:p>
          <w:p w14:paraId="6A4FB06C" w14:textId="77777777" w:rsidR="00752351" w:rsidRDefault="00752351" w:rsidP="00AE28F7">
            <w:pPr>
              <w:pStyle w:val="NormalWeb"/>
              <w:spacing w:before="0" w:beforeAutospacing="0" w:after="0" w:afterAutospacing="0"/>
              <w:rPr>
                <w:rFonts w:ascii="Arial" w:hAnsi="Arial" w:cs="Arial"/>
                <w:b/>
                <w:sz w:val="22"/>
                <w:szCs w:val="22"/>
              </w:rPr>
            </w:pPr>
          </w:p>
          <w:p w14:paraId="0E3002AB" w14:textId="77777777" w:rsidR="00752351" w:rsidRDefault="00752351" w:rsidP="00AE28F7">
            <w:pPr>
              <w:pStyle w:val="NormalWeb"/>
              <w:spacing w:before="0" w:beforeAutospacing="0" w:after="0" w:afterAutospacing="0"/>
              <w:rPr>
                <w:rFonts w:ascii="Arial" w:hAnsi="Arial" w:cs="Arial"/>
                <w:b/>
                <w:sz w:val="22"/>
                <w:szCs w:val="22"/>
              </w:rPr>
            </w:pPr>
          </w:p>
          <w:p w14:paraId="62E30F05" w14:textId="77777777" w:rsidR="00752351" w:rsidRPr="00230F35" w:rsidRDefault="00752351" w:rsidP="00AE28F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BC415CC" w14:textId="77777777" w:rsidR="00752351" w:rsidRDefault="00752351" w:rsidP="00AE28F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C850AEC" w14:textId="77777777" w:rsidR="00752351" w:rsidRPr="00001C3B" w:rsidRDefault="00752351" w:rsidP="00AE28F7">
            <w:pPr>
              <w:pStyle w:val="NormalWeb"/>
              <w:rPr>
                <w:rFonts w:ascii="Arial" w:hAnsi="Arial" w:cs="Arial"/>
                <w:sz w:val="22"/>
                <w:szCs w:val="22"/>
              </w:rPr>
            </w:pPr>
          </w:p>
        </w:tc>
      </w:tr>
      <w:tr w:rsidR="00752351" w:rsidRPr="00230F35" w14:paraId="5C595903" w14:textId="77777777" w:rsidTr="00AE28F7">
        <w:trPr>
          <w:trHeight w:val="492"/>
        </w:trPr>
        <w:tc>
          <w:tcPr>
            <w:tcW w:w="6768" w:type="dxa"/>
            <w:gridSpan w:val="3"/>
          </w:tcPr>
          <w:p w14:paraId="0BBAF3B3" w14:textId="77777777" w:rsidR="00752351" w:rsidRPr="00230F35" w:rsidRDefault="00752351" w:rsidP="00AE28F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E23BEBF" w14:textId="77777777" w:rsidR="00752351" w:rsidRPr="00230F35" w:rsidRDefault="00752351" w:rsidP="00AE28F7">
            <w:pPr>
              <w:pStyle w:val="NormalWeb"/>
              <w:spacing w:after="0"/>
              <w:ind w:left="142" w:right="34"/>
              <w:rPr>
                <w:rFonts w:ascii="Arial" w:hAnsi="Arial" w:cs="Arial"/>
                <w:sz w:val="22"/>
                <w:szCs w:val="22"/>
              </w:rPr>
            </w:pPr>
            <w:r w:rsidRPr="00230F35">
              <w:rPr>
                <w:rFonts w:ascii="Arial" w:hAnsi="Arial" w:cs="Arial"/>
                <w:sz w:val="22"/>
                <w:szCs w:val="22"/>
              </w:rPr>
              <w:t>Date:</w:t>
            </w:r>
          </w:p>
        </w:tc>
      </w:tr>
      <w:tr w:rsidR="00752351" w:rsidRPr="002F467C" w14:paraId="041AD77A" w14:textId="77777777" w:rsidTr="00AE28F7">
        <w:tc>
          <w:tcPr>
            <w:tcW w:w="8856" w:type="dxa"/>
            <w:gridSpan w:val="5"/>
          </w:tcPr>
          <w:p w14:paraId="6AB8A7B2" w14:textId="77777777" w:rsidR="00752351" w:rsidRPr="00230F35" w:rsidRDefault="00752351" w:rsidP="00AE28F7">
            <w:pPr>
              <w:pStyle w:val="NormalWeb"/>
              <w:spacing w:before="0" w:beforeAutospacing="0" w:after="0" w:afterAutospacing="0"/>
              <w:ind w:right="-334"/>
              <w:rPr>
                <w:rFonts w:ascii="Arial" w:hAnsi="Arial" w:cs="Arial"/>
                <w:bCs/>
                <w:i/>
                <w:sz w:val="22"/>
                <w:szCs w:val="22"/>
              </w:rPr>
            </w:pPr>
          </w:p>
          <w:p w14:paraId="49064F2D" w14:textId="77777777" w:rsidR="00752351" w:rsidRPr="00230F35" w:rsidRDefault="00752351" w:rsidP="00AE28F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184053" w14:textId="77777777" w:rsidR="00752351" w:rsidRPr="00230F35" w:rsidRDefault="00752351" w:rsidP="00AE28F7">
            <w:pPr>
              <w:pStyle w:val="NormalWeb"/>
              <w:spacing w:before="0" w:beforeAutospacing="0" w:after="0" w:afterAutospacing="0"/>
              <w:ind w:right="-334"/>
              <w:rPr>
                <w:rFonts w:ascii="Arial" w:hAnsi="Arial" w:cs="Arial"/>
                <w:b/>
                <w:bCs/>
                <w:sz w:val="22"/>
                <w:szCs w:val="22"/>
              </w:rPr>
            </w:pPr>
          </w:p>
          <w:p w14:paraId="476874DD"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D580B6B"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05BAC624"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69500461"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3DC4EB02"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46788989"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1941367F"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75D464EC"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7030BA2D"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186347B6" w14:textId="77777777" w:rsidR="00752351" w:rsidRDefault="00752351" w:rsidP="00AE28F7">
            <w:pPr>
              <w:pStyle w:val="NormalWeb"/>
              <w:spacing w:before="0" w:beforeAutospacing="0" w:after="0" w:afterAutospacing="0"/>
              <w:ind w:right="-334"/>
              <w:rPr>
                <w:rFonts w:ascii="Arial" w:hAnsi="Arial" w:cs="Arial"/>
                <w:bCs/>
                <w:sz w:val="22"/>
                <w:szCs w:val="22"/>
              </w:rPr>
            </w:pPr>
          </w:p>
          <w:p w14:paraId="33C2D23B"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5407F55A"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505C6851"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tc>
      </w:tr>
      <w:tr w:rsidR="00752351" w:rsidRPr="002F467C" w14:paraId="3D4C5733" w14:textId="77777777" w:rsidTr="00AE28F7">
        <w:trPr>
          <w:trHeight w:val="720"/>
        </w:trPr>
        <w:tc>
          <w:tcPr>
            <w:tcW w:w="5211" w:type="dxa"/>
            <w:gridSpan w:val="2"/>
          </w:tcPr>
          <w:p w14:paraId="14C913F4"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010F26B3"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52351" w:rsidRPr="002F467C" w14:paraId="761E363A" w14:textId="77777777" w:rsidTr="00AE28F7">
        <w:trPr>
          <w:trHeight w:val="720"/>
        </w:trPr>
        <w:tc>
          <w:tcPr>
            <w:tcW w:w="8856" w:type="dxa"/>
            <w:gridSpan w:val="5"/>
          </w:tcPr>
          <w:p w14:paraId="34BA25E2" w14:textId="77777777" w:rsidR="00752351" w:rsidRPr="00B34964" w:rsidRDefault="00752351" w:rsidP="00AE28F7">
            <w:pPr>
              <w:rPr>
                <w:rFonts w:ascii="Arial" w:hAnsi="Arial" w:cs="Arial"/>
                <w:b/>
              </w:rPr>
            </w:pPr>
            <w:r w:rsidRPr="00B34964">
              <w:rPr>
                <w:rFonts w:ascii="Arial" w:hAnsi="Arial" w:cs="Arial"/>
                <w:b/>
              </w:rPr>
              <w:t>External Examiner’s comments (if relevant)</w:t>
            </w:r>
          </w:p>
          <w:p w14:paraId="644C12AF"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5575BDA2"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20F8C592"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02C04417"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2500D5DD"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2C1938E9"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5EA900E9"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1494C250"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29EF3E79" w14:textId="77777777" w:rsidR="00752351" w:rsidRDefault="00752351" w:rsidP="00AE28F7">
            <w:pPr>
              <w:pStyle w:val="NormalWeb"/>
              <w:spacing w:before="0" w:beforeAutospacing="0" w:after="0" w:afterAutospacing="0"/>
              <w:ind w:right="-334"/>
              <w:rPr>
                <w:rFonts w:ascii="Arial" w:hAnsi="Arial" w:cs="Arial"/>
                <w:bCs/>
                <w:sz w:val="22"/>
                <w:szCs w:val="22"/>
              </w:rPr>
            </w:pPr>
          </w:p>
          <w:p w14:paraId="5A3C5F67"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p w14:paraId="5924DC24" w14:textId="77777777" w:rsidR="00752351" w:rsidRPr="00230F35" w:rsidRDefault="00752351" w:rsidP="00AE28F7">
            <w:pPr>
              <w:pStyle w:val="NormalWeb"/>
              <w:spacing w:before="0" w:beforeAutospacing="0" w:after="0" w:afterAutospacing="0"/>
              <w:ind w:right="-334"/>
              <w:rPr>
                <w:rFonts w:ascii="Arial" w:hAnsi="Arial" w:cs="Arial"/>
                <w:bCs/>
                <w:sz w:val="22"/>
                <w:szCs w:val="22"/>
              </w:rPr>
            </w:pPr>
          </w:p>
        </w:tc>
      </w:tr>
      <w:tr w:rsidR="00752351" w:rsidRPr="002F467C" w14:paraId="0C02D8AF" w14:textId="77777777" w:rsidTr="00AE28F7">
        <w:trPr>
          <w:trHeight w:val="720"/>
        </w:trPr>
        <w:tc>
          <w:tcPr>
            <w:tcW w:w="5211" w:type="dxa"/>
            <w:gridSpan w:val="2"/>
          </w:tcPr>
          <w:p w14:paraId="00135785" w14:textId="77777777" w:rsidR="00752351" w:rsidRPr="00230F35" w:rsidRDefault="00752351" w:rsidP="00AE28F7">
            <w:pPr>
              <w:rPr>
                <w:rFonts w:ascii="Arial" w:hAnsi="Arial" w:cs="Arial"/>
              </w:rPr>
            </w:pPr>
            <w:r w:rsidRPr="00230F35">
              <w:rPr>
                <w:rFonts w:ascii="Arial" w:hAnsi="Arial" w:cs="Arial"/>
              </w:rPr>
              <w:t>External Examiner’s Signature:</w:t>
            </w:r>
          </w:p>
        </w:tc>
        <w:tc>
          <w:tcPr>
            <w:tcW w:w="3645" w:type="dxa"/>
            <w:gridSpan w:val="3"/>
          </w:tcPr>
          <w:p w14:paraId="011133F4" w14:textId="77777777" w:rsidR="00752351" w:rsidRPr="00230F35" w:rsidRDefault="00752351" w:rsidP="00AE28F7">
            <w:pPr>
              <w:rPr>
                <w:rFonts w:ascii="Arial" w:hAnsi="Arial" w:cs="Arial"/>
              </w:rPr>
            </w:pPr>
            <w:r w:rsidRPr="00230F35">
              <w:rPr>
                <w:rFonts w:ascii="Arial" w:hAnsi="Arial" w:cs="Arial"/>
              </w:rPr>
              <w:t>Date:</w:t>
            </w:r>
          </w:p>
        </w:tc>
      </w:tr>
    </w:tbl>
    <w:p w14:paraId="643F65D1" w14:textId="77777777" w:rsidR="00752351" w:rsidRPr="00D67BF8" w:rsidRDefault="00752351" w:rsidP="00752351">
      <w:pPr>
        <w:pStyle w:val="NormalWeb"/>
        <w:spacing w:before="0" w:beforeAutospacing="0" w:after="0" w:afterAutospacing="0"/>
        <w:ind w:right="-334"/>
        <w:rPr>
          <w:rFonts w:ascii="Trebuchet MS" w:hAnsi="Trebuchet MS" w:cs="Tahoma"/>
          <w:bCs/>
          <w:sz w:val="24"/>
          <w:szCs w:val="24"/>
        </w:rPr>
      </w:pPr>
    </w:p>
    <w:p w14:paraId="329D2EB1" w14:textId="77777777" w:rsidR="00752351" w:rsidRDefault="00752351" w:rsidP="00F30ECD"/>
    <w:p w14:paraId="6827F578" w14:textId="77777777" w:rsidR="00752351" w:rsidRDefault="00752351" w:rsidP="00F30ECD"/>
    <w:p w14:paraId="1C238702" w14:textId="77777777" w:rsidR="00752351" w:rsidRDefault="00752351" w:rsidP="00F30ECD"/>
    <w:p w14:paraId="678BC500" w14:textId="77777777" w:rsidR="00752351" w:rsidRDefault="00752351" w:rsidP="00F30ECD"/>
    <w:p w14:paraId="540234D0" w14:textId="77777777" w:rsidR="00752351" w:rsidRDefault="00752351" w:rsidP="00F30ECD"/>
    <w:p w14:paraId="66E54FD8" w14:textId="77777777" w:rsidR="00752351" w:rsidRDefault="00752351" w:rsidP="00F30ECD"/>
    <w:p w14:paraId="3A2AE53B" w14:textId="77777777" w:rsidR="00752351" w:rsidRDefault="00752351" w:rsidP="00F30ECD"/>
    <w:p w14:paraId="59DB41AC" w14:textId="77777777" w:rsidR="00752351" w:rsidRDefault="00752351" w:rsidP="00F30ECD"/>
    <w:p w14:paraId="214ED072" w14:textId="77777777" w:rsidR="00752351" w:rsidRDefault="00752351" w:rsidP="00F30ECD"/>
    <w:p w14:paraId="678F2F95" w14:textId="77777777" w:rsidR="00752351" w:rsidRDefault="00752351" w:rsidP="00F30ECD"/>
    <w:p w14:paraId="4AFBFFC2" w14:textId="77777777" w:rsidR="00752351" w:rsidRDefault="00752351" w:rsidP="00F30ECD"/>
    <w:p w14:paraId="5F545E44" w14:textId="77777777" w:rsidR="00752351" w:rsidRDefault="00752351" w:rsidP="00F30ECD"/>
    <w:p w14:paraId="275D1F98" w14:textId="77777777" w:rsidR="00752351" w:rsidRDefault="00752351" w:rsidP="00F30ECD"/>
    <w:p w14:paraId="07ECFBE3" w14:textId="77777777" w:rsidR="00752351" w:rsidRDefault="00752351" w:rsidP="00F30ECD"/>
    <w:p w14:paraId="5D184434" w14:textId="77777777" w:rsidR="00752351" w:rsidRDefault="00752351" w:rsidP="00F30ECD"/>
    <w:p w14:paraId="44CB1B5C" w14:textId="77777777" w:rsidR="00752351" w:rsidRDefault="00752351" w:rsidP="00F30ECD"/>
    <w:p w14:paraId="48A815F8" w14:textId="77777777" w:rsidR="00752351" w:rsidRDefault="00752351" w:rsidP="00F30ECD"/>
    <w:p w14:paraId="39A2DB57" w14:textId="77777777" w:rsidR="00752351" w:rsidRDefault="00752351" w:rsidP="00F30ECD"/>
    <w:p w14:paraId="58C849FA" w14:textId="77777777" w:rsidR="00752351" w:rsidRDefault="00752351" w:rsidP="00F30ECD">
      <w:pPr>
        <w:rPr>
          <w:sz w:val="28"/>
          <w:szCs w:val="28"/>
        </w:rPr>
      </w:pPr>
      <w:r>
        <w:rPr>
          <w:sz w:val="28"/>
          <w:szCs w:val="28"/>
        </w:rPr>
        <w:lastRenderedPageBreak/>
        <w:t xml:space="preserve">A Critical Comparison of Two Secondary Sources </w:t>
      </w:r>
    </w:p>
    <w:p w14:paraId="3C681068" w14:textId="6245EDA2" w:rsidR="009930F4" w:rsidRPr="009930F4" w:rsidRDefault="009930F4" w:rsidP="00F30ECD">
      <w:r>
        <w:t>Word Count: 2</w:t>
      </w:r>
      <w:r w:rsidR="00426976">
        <w:t>938</w:t>
      </w:r>
    </w:p>
    <w:p w14:paraId="7E7B0670" w14:textId="7494A471" w:rsidR="00F30ECD" w:rsidRDefault="00F30ECD" w:rsidP="00F30ECD">
      <w:pPr>
        <w:rPr>
          <w:b/>
          <w:bCs/>
          <w:iCs/>
        </w:rPr>
      </w:pPr>
      <w:r>
        <w:t>Within this essay is a comparison between Gillian Bennett’s “</w:t>
      </w:r>
      <w:r>
        <w:rPr>
          <w:i/>
        </w:rPr>
        <w:t>If I Knew You Were Coming, I’d Have Baked a Cake”: The Folklore of Foreknowledge in a Neighborhood Group</w:t>
      </w:r>
      <w:r w:rsidR="00184F07">
        <w:rPr>
          <w:rStyle w:val="FootnoteReference"/>
          <w:i/>
        </w:rPr>
        <w:footnoteReference w:id="1"/>
      </w:r>
      <w:r>
        <w:rPr>
          <w:i/>
        </w:rPr>
        <w:t xml:space="preserve"> </w:t>
      </w:r>
      <w:r>
        <w:rPr>
          <w:iCs/>
        </w:rPr>
        <w:t xml:space="preserve">and Jenny Blain’s </w:t>
      </w:r>
      <w:r>
        <w:rPr>
          <w:i/>
        </w:rPr>
        <w:t xml:space="preserve">Speaking </w:t>
      </w:r>
      <w:proofErr w:type="spellStart"/>
      <w:r>
        <w:rPr>
          <w:i/>
        </w:rPr>
        <w:t>Shamanistically</w:t>
      </w:r>
      <w:proofErr w:type="spellEnd"/>
      <w:r>
        <w:rPr>
          <w:i/>
        </w:rPr>
        <w:t xml:space="preserve">: </w:t>
      </w:r>
      <w:proofErr w:type="spellStart"/>
      <w:r>
        <w:rPr>
          <w:i/>
        </w:rPr>
        <w:t>Seidr</w:t>
      </w:r>
      <w:proofErr w:type="spellEnd"/>
      <w:r>
        <w:rPr>
          <w:i/>
        </w:rPr>
        <w:t>, Academia and Rationality</w:t>
      </w:r>
      <w:r w:rsidR="00184F07">
        <w:rPr>
          <w:rStyle w:val="FootnoteReference"/>
          <w:i/>
        </w:rPr>
        <w:footnoteReference w:id="2"/>
      </w:r>
      <w:r>
        <w:rPr>
          <w:i/>
        </w:rPr>
        <w:t xml:space="preserve">. </w:t>
      </w:r>
      <w:r>
        <w:rPr>
          <w:iCs/>
        </w:rPr>
        <w:t xml:space="preserve">In her essay Bennet makes a formal presentation of the results of a study conducted about the beliefs of older women within a small community, discussing how their beliefs shape their daily lives and social practices. In Blain’s essay she relates her personal story with that of others from a widespread neo-spiritual group, sharing encounters of the practitioners and relating them to their everyday lives. Each author has their own method of research and presentation styles that simultaneously present similarities and differences within their respective works. It is in this essay that I will analyze these aspects and suggest ways in which the authors decisions have influenced their works and the audience’s perspective. </w:t>
      </w:r>
    </w:p>
    <w:p w14:paraId="50B2F82A" w14:textId="3E82B522" w:rsidR="00F30ECD" w:rsidRDefault="00F30ECD" w:rsidP="00F30ECD">
      <w:pPr>
        <w:rPr>
          <w:iCs/>
        </w:rPr>
      </w:pPr>
      <w:r>
        <w:rPr>
          <w:iCs/>
        </w:rPr>
        <w:t>Gillian Bennett was an author with many published works in the realm of folklore, tradition, and supernatural phenomena. She studied at the University of Sheffield in the Centre for English Tradition and Language gaining both her master’s and doctoral degrees before becoming an honorary research associate at the university. She was also a member of the International Society for Folk Narrative Research, the American Folklore Society, and a committee member of the British Folklore Society as well as a founder of the British Folk-Studies Forum. Bennett also worked full time as a professional folklorist while producing numerous essays and novels revolving around her area of focus.</w:t>
      </w:r>
      <w:r w:rsidR="002351DD">
        <w:rPr>
          <w:rStyle w:val="FootnoteReference"/>
          <w:iCs/>
        </w:rPr>
        <w:footnoteReference w:id="3"/>
      </w:r>
      <w:r>
        <w:rPr>
          <w:iCs/>
        </w:rPr>
        <w:t xml:space="preserve"> One of her most notable works was </w:t>
      </w:r>
      <w:r>
        <w:rPr>
          <w:i/>
        </w:rPr>
        <w:t>Traditions of Belief: Women and the Supernatural</w:t>
      </w:r>
      <w:r>
        <w:rPr>
          <w:rStyle w:val="FootnoteReference"/>
          <w:i/>
        </w:rPr>
        <w:footnoteReference w:id="4"/>
      </w:r>
      <w:r>
        <w:rPr>
          <w:iCs/>
        </w:rPr>
        <w:t xml:space="preserve">, a novel published in 1987 in which Bennett discusses her findings from a select group of women regarding their attitudes about faith and the supernatural. This novel, which Bennett pulls from frequently within the essay at hand, shows the continued connection between tradition and societal standards that often influence the ways that people interact with each other and their faith; a commonly occurring theme within Bennet’s various works. The essay being discussed here is featured in </w:t>
      </w:r>
      <w:r w:rsidRPr="00DA4312">
        <w:rPr>
          <w:i/>
        </w:rPr>
        <w:t>Out of the Ordinary: Folklore and the Supernatural</w:t>
      </w:r>
      <w:r w:rsidR="00DA4312">
        <w:rPr>
          <w:rStyle w:val="FootnoteReference"/>
          <w:i/>
        </w:rPr>
        <w:footnoteReference w:id="5"/>
      </w:r>
      <w:r>
        <w:rPr>
          <w:iCs/>
        </w:rPr>
        <w:t xml:space="preserve">, a collection of works collected and edited by Barbara Walker and published by Utah State University. Each article within the tome is centered around studies conducted by various academics regarding supernatural and folkloric beliefs, with a focus on either incorporating or adding to academic discussions about the spiritual. </w:t>
      </w:r>
    </w:p>
    <w:p w14:paraId="7CE7384C" w14:textId="5602746D" w:rsidR="00F30ECD" w:rsidRDefault="00F30ECD" w:rsidP="00F30ECD">
      <w:pPr>
        <w:rPr>
          <w:iCs/>
        </w:rPr>
      </w:pPr>
      <w:r>
        <w:rPr>
          <w:iCs/>
        </w:rPr>
        <w:t xml:space="preserve">Jenny Blain is an Anthropologist whose focus is on the study of modern paganisms with an eye specifically on the religions stemming from the old Northern European pagan practices. She has a few published books on the subject as well as various essays and featured chapters and was coeditor and contributor to a volume titled </w:t>
      </w:r>
      <w:r w:rsidRPr="00DA4312">
        <w:rPr>
          <w:i/>
        </w:rPr>
        <w:t>Researching Paganisms</w:t>
      </w:r>
      <w:r>
        <w:rPr>
          <w:rStyle w:val="FootnoteReference"/>
          <w:iCs/>
        </w:rPr>
        <w:footnoteReference w:id="6"/>
      </w:r>
      <w:r>
        <w:rPr>
          <w:iCs/>
        </w:rPr>
        <w:t xml:space="preserve">. She also co-directed the Sacred Sites, Contested </w:t>
      </w:r>
      <w:r>
        <w:rPr>
          <w:iCs/>
        </w:rPr>
        <w:lastRenderedPageBreak/>
        <w:t>Rights/Rites project with Robert Wallis in which they examined the interactions of modern pagans with the past and especially sacred sites. Blain worked at Sheffield Hallam University as a senior lecturer in the applied social sciences, leading the master’s program in social science research methods.</w:t>
      </w:r>
      <w:r w:rsidR="00DA4312">
        <w:rPr>
          <w:rStyle w:val="FootnoteReference"/>
          <w:iCs/>
        </w:rPr>
        <w:footnoteReference w:id="7"/>
      </w:r>
      <w:r>
        <w:rPr>
          <w:iCs/>
        </w:rPr>
        <w:t xml:space="preserve"> Throughout much of her works Blain discusses the ways that modern pagan traditions draw upon and reshape the recorded historical practices of ancient pagans. She also discusses methods of practice in the modern world, issues with bringing old ways into current times, and various other topics that neo-pagans face within their practices and social lives. Much like Blain’s other works, the essay at hand attempts to uncover some of the hidden truths about North European paganism while also shedding light on the subject in more academic terms. </w:t>
      </w:r>
    </w:p>
    <w:p w14:paraId="4D67C208" w14:textId="77777777" w:rsidR="00F30ECD" w:rsidRPr="00C17105" w:rsidRDefault="00F30ECD" w:rsidP="00F30ECD">
      <w:pPr>
        <w:rPr>
          <w:b/>
          <w:bCs/>
          <w:iCs/>
        </w:rPr>
      </w:pPr>
      <w:r>
        <w:rPr>
          <w:iCs/>
        </w:rPr>
        <w:t xml:space="preserve">Though Bennet and Blain share many likenesses within their studies and academic histories they also have many distinctions, both of which are evident within the two essays being discussed here. Both authors discuss the beliefs of a group of people that they are familiar with, Bennet through a formal academic interview process and Blain through a more casual, personal relationship as part of a newer form of research methodology. While both papers present information gathered about the specific practice that was observed, the ways in which each author conducts the study, presents the information, and uses their groups to expand upon their thesis’ make them incredibly different. </w:t>
      </w:r>
    </w:p>
    <w:p w14:paraId="208B81A7" w14:textId="657D290E" w:rsidR="00F30ECD" w:rsidRDefault="00F30ECD" w:rsidP="00F30ECD">
      <w:pPr>
        <w:rPr>
          <w:iCs/>
        </w:rPr>
      </w:pPr>
      <w:r>
        <w:rPr>
          <w:iCs/>
        </w:rPr>
        <w:t xml:space="preserve">For instance, within the first few pages of her essay Bennet takes time to give a detailed account of the history of her study topic as well as introduce previous academic discussions and thoughts into the context of her essay. She offers the audience a great deal of exposition on the topic by giving them definitions for those unfamiliar with any presented topics and a thorough description of the research methodology. During this Bennet mentions herself very little and speaks in very formal, academic terms. Whereas Blain starts off by recounting a personal experience and, though she does make a few ambiguous references to the fact that other people within academia are discussing her topic she does not take the time to name them nor to offer any insight into what it is the claimed academics whose interest is in her topic have discussed. Blain also uses very personal, direct language within her </w:t>
      </w:r>
      <w:r w:rsidR="00BE45F5">
        <w:rPr>
          <w:iCs/>
        </w:rPr>
        <w:t>essay,</w:t>
      </w:r>
      <w:r>
        <w:rPr>
          <w:iCs/>
        </w:rPr>
        <w:t xml:space="preserve"> often placing herself close to the audience with her friendly and seemingly informal presentation. </w:t>
      </w:r>
    </w:p>
    <w:p w14:paraId="22F9A7DB" w14:textId="22451C63" w:rsidR="00F30ECD" w:rsidRDefault="00F30ECD" w:rsidP="00F30ECD">
      <w:pPr>
        <w:rPr>
          <w:iCs/>
        </w:rPr>
      </w:pPr>
      <w:r>
        <w:rPr>
          <w:iCs/>
        </w:rPr>
        <w:t xml:space="preserve">These aspects present the audience with two stark contrasts almost immediately: the difference in language and the placement of each </w:t>
      </w:r>
      <w:r w:rsidR="009A0099">
        <w:rPr>
          <w:iCs/>
        </w:rPr>
        <w:t>author’s</w:t>
      </w:r>
      <w:r>
        <w:rPr>
          <w:iCs/>
        </w:rPr>
        <w:t xml:space="preserve"> arguments within academia. Bennet’s essay comes off as being based deeply within an already ongoing discussion and can be seen easily as contributing directly to this conversation while readers are left guessing what discussion Blain is referring to and what contributions her essay makes to the academic community. The audience can also feel a difference between their own relationship to the author as well, as with Bennet it is clear her message and her work are meant to be read and interpreted by others within academia while Blain makes the audience feel as though they were a part of her conversation but not so much within an academic setting. Making the essays themselves be read and received differently. </w:t>
      </w:r>
    </w:p>
    <w:p w14:paraId="5EA93B46" w14:textId="3F66C901" w:rsidR="00F30ECD" w:rsidRDefault="00F30ECD" w:rsidP="00F30ECD">
      <w:pPr>
        <w:spacing w:before="240"/>
        <w:rPr>
          <w:iCs/>
        </w:rPr>
      </w:pPr>
      <w:r>
        <w:rPr>
          <w:iCs/>
        </w:rPr>
        <w:t xml:space="preserve">It should be noted, however, that one potential reason for this specific contrast could be based on the methodologies of research that each individual author chooses. Bennet takes advantage of already well established and accepted methods of conducting interviews and research, situating herself and her work well within the academic context without question. Meanwhile, Blain lists her methods as </w:t>
      </w:r>
      <w:r w:rsidRPr="00A317B6">
        <w:rPr>
          <w:iCs/>
        </w:rPr>
        <w:t xml:space="preserve">‘experimental </w:t>
      </w:r>
      <w:r w:rsidRPr="00A317B6">
        <w:rPr>
          <w:iCs/>
        </w:rPr>
        <w:lastRenderedPageBreak/>
        <w:t>research’</w:t>
      </w:r>
      <w:r>
        <w:rPr>
          <w:rStyle w:val="FootnoteReference"/>
          <w:b/>
          <w:bCs/>
          <w:iCs/>
        </w:rPr>
        <w:footnoteReference w:id="8"/>
      </w:r>
      <w:r>
        <w:rPr>
          <w:iCs/>
        </w:rPr>
        <w:t xml:space="preserve"> very clearly within the first bit of her abstract and therefore places herself and her work on the outskirts of academia. Blain’s position as an outsider is cemented by her use of personal anecdotes, the first she uses to introduce the essay itself and the other sprinkled generously throughout the rest of her work, as well as personal and colloquial language and an overall lacking academic notation. This is not to say that Bennet completely avoids using any colloquialisms but at the points where she does, she takes care to list them as being the words or opinions of her various interviewees. </w:t>
      </w:r>
    </w:p>
    <w:p w14:paraId="1D53C78C" w14:textId="77777777" w:rsidR="00F30ECD" w:rsidRDefault="00F30ECD" w:rsidP="00F30ECD">
      <w:pPr>
        <w:spacing w:before="240"/>
      </w:pPr>
      <w:r w:rsidRPr="00040E61">
        <w:rPr>
          <w:sz w:val="20"/>
          <w:szCs w:val="20"/>
        </w:rPr>
        <w:t>Alternatively, they simply say: "I get such a queer feeling," or "I know what's coming," or "It has come true just as I dreamt it." Or they may tell an illustrative story’</w:t>
      </w:r>
      <w:r>
        <w:rPr>
          <w:rStyle w:val="FootnoteReference"/>
        </w:rPr>
        <w:footnoteReference w:id="9"/>
      </w:r>
    </w:p>
    <w:p w14:paraId="321AF48A" w14:textId="4DA3A509" w:rsidR="00F30ECD" w:rsidRDefault="00F30ECD" w:rsidP="00F30ECD">
      <w:pPr>
        <w:spacing w:before="240"/>
        <w:rPr>
          <w:iCs/>
        </w:rPr>
      </w:pPr>
      <w:r>
        <w:rPr>
          <w:iCs/>
        </w:rPr>
        <w:t xml:space="preserve">The </w:t>
      </w:r>
      <w:r w:rsidR="0032290B">
        <w:rPr>
          <w:iCs/>
        </w:rPr>
        <w:t xml:space="preserve">above quote is an example of Bennett’s tactful separation of colloquialisms found within her interviews and her own </w:t>
      </w:r>
      <w:r w:rsidR="00CA62B1">
        <w:rPr>
          <w:iCs/>
        </w:rPr>
        <w:t xml:space="preserve">language that she uses throughout the essay. </w:t>
      </w:r>
      <w:r>
        <w:rPr>
          <w:iCs/>
        </w:rPr>
        <w:t xml:space="preserve"> </w:t>
      </w:r>
    </w:p>
    <w:p w14:paraId="4F243231" w14:textId="4331152C" w:rsidR="00F30ECD" w:rsidRDefault="002C4683" w:rsidP="00F30ECD">
      <w:pPr>
        <w:spacing w:before="240"/>
        <w:rPr>
          <w:iCs/>
        </w:rPr>
      </w:pPr>
      <w:r>
        <w:rPr>
          <w:iCs/>
        </w:rPr>
        <w:t xml:space="preserve">Another difference between Blain and Bennett is how </w:t>
      </w:r>
      <w:r w:rsidR="00F30ECD">
        <w:rPr>
          <w:iCs/>
        </w:rPr>
        <w:t xml:space="preserve">Bennett uses methodologies that can be easily found within various textbooks about the academic methods of research and commonly accepted ways of performing interviews. </w:t>
      </w:r>
      <w:r>
        <w:rPr>
          <w:iCs/>
        </w:rPr>
        <w:t>Presenting</w:t>
      </w:r>
      <w:r w:rsidR="00F30ECD">
        <w:rPr>
          <w:iCs/>
        </w:rPr>
        <w:t xml:space="preserve"> </w:t>
      </w:r>
      <w:r>
        <w:rPr>
          <w:iCs/>
        </w:rPr>
        <w:t>her recorded</w:t>
      </w:r>
      <w:r w:rsidR="00F30ECD">
        <w:rPr>
          <w:iCs/>
        </w:rPr>
        <w:t xml:space="preserve"> information in a very no-nonsense manner that expresses a certain kind of knowledge and know-how about the topic and the information gathered. </w:t>
      </w:r>
    </w:p>
    <w:p w14:paraId="3AA65665" w14:textId="03B5B6CD" w:rsidR="00F30ECD" w:rsidRPr="00632CF4" w:rsidRDefault="00F30ECD" w:rsidP="00F30ECD">
      <w:pPr>
        <w:spacing w:before="240" w:line="276" w:lineRule="auto"/>
        <w:rPr>
          <w:iCs/>
        </w:rPr>
      </w:pPr>
      <w:r>
        <w:rPr>
          <w:iCs/>
        </w:rPr>
        <w:t>In contrast we see Blain who does not follow traditional academic procedures of conducting research and doing what might be considered unacceptable within her interviews, participating and openly interacting with her subjects both within and outside of the interview process. It could be argued that Blain is using reflexivity and phenomenology</w:t>
      </w:r>
      <w:r w:rsidR="00F91F58">
        <w:rPr>
          <w:rStyle w:val="FootnoteReference"/>
          <w:iCs/>
        </w:rPr>
        <w:footnoteReference w:id="10"/>
      </w:r>
      <w:r>
        <w:rPr>
          <w:iCs/>
        </w:rPr>
        <w:t xml:space="preserve"> as her methods, though she does not explicitly tell the audience this. Her choice of methods then begs the question of whether she is doing this in a manner that helps or hurts her argument. It is possible to say that her use of reflexivity shows the flaws within this research practice and creates an environment within her essay and the interview process itself that does not foster academic review or discussion, but I would argue otherwise. Blain’s essay is proof that the more accepted, traditional way of research is not always the better way and, especially in situations where the topic of discussion is a much more personal or secret thing, I believe that the use of phenomenology and closely related personal research garners a new perspective and more intuitive insight into the topic at hand. I would even go so far as to argue that Blain’s use of phenomenology is successful in entering a realm of study not possible through simple etic observations and methodologies</w:t>
      </w:r>
      <w:r w:rsidRPr="00632CF4">
        <w:rPr>
          <w:iCs/>
        </w:rPr>
        <w:t xml:space="preserve"> like what are found in Bennet’s essay. </w:t>
      </w:r>
      <w:r w:rsidR="00DA7F98">
        <w:rPr>
          <w:iCs/>
        </w:rPr>
        <w:t xml:space="preserve">Bennett </w:t>
      </w:r>
      <w:r w:rsidR="00F8367B">
        <w:rPr>
          <w:iCs/>
        </w:rPr>
        <w:t>does</w:t>
      </w:r>
      <w:r w:rsidR="00DA7F98">
        <w:rPr>
          <w:iCs/>
        </w:rPr>
        <w:t xml:space="preserve"> note, as seen in the first quote below, that she knows her topic to be sensitive and ‘controversial’ but does not say how it might </w:t>
      </w:r>
      <w:r w:rsidR="00F8367B">
        <w:rPr>
          <w:iCs/>
        </w:rPr>
        <w:t>affect</w:t>
      </w:r>
      <w:r w:rsidR="00DA7F98">
        <w:rPr>
          <w:iCs/>
        </w:rPr>
        <w:t xml:space="preserve"> the way that </w:t>
      </w:r>
      <w:r w:rsidR="00FD1E59">
        <w:rPr>
          <w:iCs/>
        </w:rPr>
        <w:t xml:space="preserve">her interviewees potentially responded to her questions. </w:t>
      </w:r>
    </w:p>
    <w:p w14:paraId="1A4D3D4E" w14:textId="3852D182" w:rsidR="00F30ECD" w:rsidRPr="00CA62B1" w:rsidRDefault="00F30ECD" w:rsidP="00F30ECD">
      <w:pPr>
        <w:spacing w:before="240" w:line="276" w:lineRule="auto"/>
        <w:rPr>
          <w:sz w:val="20"/>
          <w:szCs w:val="20"/>
        </w:rPr>
      </w:pPr>
      <w:r w:rsidRPr="00CA62B1">
        <w:rPr>
          <w:sz w:val="20"/>
          <w:szCs w:val="20"/>
        </w:rPr>
        <w:t>‘Since the subject of my research might be thought</w:t>
      </w:r>
      <w:r w:rsidR="009509BA">
        <w:rPr>
          <w:sz w:val="20"/>
          <w:szCs w:val="20"/>
        </w:rPr>
        <w:t xml:space="preserve"> </w:t>
      </w:r>
      <w:r w:rsidRPr="00CA62B1">
        <w:rPr>
          <w:sz w:val="20"/>
          <w:szCs w:val="20"/>
        </w:rPr>
        <w:t>"delicate" or controversial, I had to f</w:t>
      </w:r>
      <w:r w:rsidR="009509BA">
        <w:rPr>
          <w:sz w:val="20"/>
          <w:szCs w:val="20"/>
        </w:rPr>
        <w:t>in</w:t>
      </w:r>
      <w:r w:rsidRPr="00CA62B1">
        <w:rPr>
          <w:sz w:val="20"/>
          <w:szCs w:val="20"/>
        </w:rPr>
        <w:t>d a venue conducive to personal conversation, and an intermediary to introduce me to potential informants and put them at their ease.’</w:t>
      </w:r>
      <w:r w:rsidRPr="00CA62B1">
        <w:rPr>
          <w:rStyle w:val="FootnoteReference"/>
          <w:sz w:val="20"/>
          <w:szCs w:val="20"/>
        </w:rPr>
        <w:footnoteReference w:id="11"/>
      </w:r>
    </w:p>
    <w:p w14:paraId="2035A04C" w14:textId="77777777" w:rsidR="00F30ECD" w:rsidRPr="00CA62B1" w:rsidRDefault="00F30ECD" w:rsidP="00F30ECD">
      <w:pPr>
        <w:spacing w:before="240" w:line="276" w:lineRule="auto"/>
        <w:rPr>
          <w:iCs/>
          <w:sz w:val="20"/>
          <w:szCs w:val="20"/>
        </w:rPr>
      </w:pPr>
      <w:r w:rsidRPr="00CA62B1">
        <w:rPr>
          <w:sz w:val="20"/>
          <w:szCs w:val="20"/>
        </w:rPr>
        <w:lastRenderedPageBreak/>
        <w:t>‘The emic perspective provides information on the insider’s point of view, the insider’s perspective, the insider’s perceptions, beliefs, and meaning system’</w:t>
      </w:r>
      <w:r w:rsidRPr="00CA62B1">
        <w:rPr>
          <w:rStyle w:val="FootnoteReference"/>
          <w:sz w:val="20"/>
          <w:szCs w:val="20"/>
        </w:rPr>
        <w:footnoteReference w:id="12"/>
      </w:r>
    </w:p>
    <w:p w14:paraId="4453379C" w14:textId="33EF8A8E" w:rsidR="00F30ECD" w:rsidRDefault="00F30ECD" w:rsidP="00F30ECD">
      <w:pPr>
        <w:spacing w:before="240"/>
        <w:rPr>
          <w:iCs/>
        </w:rPr>
      </w:pPr>
      <w:r>
        <w:rPr>
          <w:iCs/>
        </w:rPr>
        <w:t xml:space="preserve">Upon inspection of the quotes above, </w:t>
      </w:r>
      <w:r w:rsidR="00F8367B">
        <w:rPr>
          <w:iCs/>
        </w:rPr>
        <w:t>by</w:t>
      </w:r>
      <w:r>
        <w:rPr>
          <w:iCs/>
        </w:rPr>
        <w:t xml:space="preserve"> using nontraditional research methods Blain </w:t>
      </w:r>
      <w:r w:rsidR="00F8367B">
        <w:rPr>
          <w:iCs/>
        </w:rPr>
        <w:t>can</w:t>
      </w:r>
      <w:r>
        <w:rPr>
          <w:iCs/>
        </w:rPr>
        <w:t xml:space="preserve"> get what appears to be more genuine and heartfelt stories from her interviewees. She is also allowed, as noted within her essay, a first-hand experience within the study community because of her relationship with the people and the trust they have for her that Bennett </w:t>
      </w:r>
      <w:r w:rsidR="00E97C9A">
        <w:rPr>
          <w:iCs/>
        </w:rPr>
        <w:t xml:space="preserve">might not have </w:t>
      </w:r>
      <w:r>
        <w:rPr>
          <w:iCs/>
        </w:rPr>
        <w:t>receive</w:t>
      </w:r>
      <w:r w:rsidR="00E97C9A">
        <w:rPr>
          <w:iCs/>
        </w:rPr>
        <w:t>d</w:t>
      </w:r>
      <w:r>
        <w:rPr>
          <w:iCs/>
        </w:rPr>
        <w:t>. In Bennett’s essay the interviewees she chooses to showcase all speak in terms of ‘if’ and ‘maybe’ with only a few ever admitting to fully believing in the supernatural and premonitions, whereas Blain’s subjects are quite open and direct in their statement regarding their personal opinions and feelings. A counter to this could be that it is the community itself that these two interview groups reside in that influence their answers and their willingness to speak on the topic, but I firmly believe it is their relationship to the interviewer that limits and changes their responses. Bennet even states herself in her essay that the women whom she has interviewed speak of their beliefs within their own social system,</w:t>
      </w:r>
      <w:r w:rsidR="000B696D">
        <w:rPr>
          <w:iCs/>
        </w:rPr>
        <w:t xml:space="preserve"> which is very </w:t>
      </w:r>
      <w:proofErr w:type="gramStart"/>
      <w:r w:rsidR="000B696D">
        <w:rPr>
          <w:iCs/>
        </w:rPr>
        <w:t>tight-knit</w:t>
      </w:r>
      <w:proofErr w:type="gramEnd"/>
      <w:r w:rsidR="000B696D">
        <w:rPr>
          <w:iCs/>
        </w:rPr>
        <w:t xml:space="preserve"> as evidenced by the quote below,</w:t>
      </w:r>
      <w:r>
        <w:rPr>
          <w:iCs/>
        </w:rPr>
        <w:t xml:space="preserve"> so it seems more than a little unlikely that it is their community who makes them hesitant to share their opinions. </w:t>
      </w:r>
    </w:p>
    <w:p w14:paraId="478937C2" w14:textId="77777777" w:rsidR="00F30ECD" w:rsidRDefault="00F30ECD" w:rsidP="00F30ECD">
      <w:pPr>
        <w:spacing w:before="240"/>
        <w:rPr>
          <w:iCs/>
        </w:rPr>
      </w:pPr>
      <w:r>
        <w:rPr>
          <w:iCs/>
        </w:rPr>
        <w:t>‘</w:t>
      </w:r>
      <w:r w:rsidRPr="000B696D">
        <w:rPr>
          <w:sz w:val="20"/>
          <w:szCs w:val="20"/>
        </w:rPr>
        <w:t xml:space="preserve">A middle-class suburb of a large northern city. His patients used the same doctor, shopped at the same local shops, and were part of the same social network. The majority also attended the local Methodist church, as he did. </w:t>
      </w:r>
      <w:proofErr w:type="gramStart"/>
      <w:r w:rsidRPr="000B696D">
        <w:rPr>
          <w:sz w:val="20"/>
          <w:szCs w:val="20"/>
        </w:rPr>
        <w:t>So</w:t>
      </w:r>
      <w:proofErr w:type="gramEnd"/>
      <w:r w:rsidRPr="000B696D">
        <w:rPr>
          <w:sz w:val="20"/>
          <w:szCs w:val="20"/>
        </w:rPr>
        <w:t xml:space="preserve"> his [Bennet’s father] patients formed a fairly homogeneous social and cultural group based on the local neighborhood.’</w:t>
      </w:r>
      <w:r w:rsidRPr="000B696D">
        <w:rPr>
          <w:rStyle w:val="FootnoteReference"/>
          <w:sz w:val="20"/>
          <w:szCs w:val="20"/>
        </w:rPr>
        <w:footnoteReference w:id="13"/>
      </w:r>
    </w:p>
    <w:p w14:paraId="762CF061" w14:textId="77777777" w:rsidR="00F30ECD" w:rsidRPr="00DA3BD2" w:rsidRDefault="00F30ECD" w:rsidP="00F30ECD">
      <w:pPr>
        <w:spacing w:before="240"/>
        <w:rPr>
          <w:iCs/>
        </w:rPr>
      </w:pPr>
      <w:r>
        <w:rPr>
          <w:iCs/>
        </w:rPr>
        <w:t xml:space="preserve">And though Bennett does say that her interviewees seemed happy to discuss the matter at hand the responses still seem timid and withdrawn. Is this, however, from the fact that Bennett was not a part of the community or because the community itself did not encourage conversations about this subject? </w:t>
      </w:r>
    </w:p>
    <w:p w14:paraId="350EB073" w14:textId="152FB10D" w:rsidR="00F30ECD" w:rsidRDefault="00F30ECD" w:rsidP="00F30ECD">
      <w:pPr>
        <w:spacing w:before="240"/>
      </w:pPr>
      <w:r>
        <w:t>For both Bennet and Blain, the subject at hand is personal belief; specifically non-traditional forms of belief, such as astronomy and folklore or new age paganism. These topics though generally accepted today were not as popular or sensationalized at the time of publication for either Bennet or Blain; though evident by the existence of these essays and the novels that contain them there was some sort of discussion being had within the academic world at the time. This lack of social acceptance may have added to the difficulty felt by those being interviewed to want to share their sentiments as many people do not desire to be a social outcast or to deviate from societal norms in ways that would differentiate them from their peers</w:t>
      </w:r>
      <w:r w:rsidR="00B012EB">
        <w:t xml:space="preserve"> in both negative and positive ways, as seen in the two quotes from Bennett’s essay below.</w:t>
      </w:r>
    </w:p>
    <w:p w14:paraId="0F940552" w14:textId="77777777" w:rsidR="00F30ECD" w:rsidRPr="00ED2178" w:rsidRDefault="00F30ECD" w:rsidP="00F30ECD">
      <w:pPr>
        <w:spacing w:before="240"/>
        <w:rPr>
          <w:sz w:val="20"/>
          <w:szCs w:val="20"/>
        </w:rPr>
      </w:pPr>
      <w:r w:rsidRPr="00ED2178">
        <w:rPr>
          <w:sz w:val="20"/>
          <w:szCs w:val="20"/>
        </w:rPr>
        <w:t>‘All this strongly suggests that the women are using their stories as vehicles of moral judgments, accepting elements of the traditional folklore which fit in with their values and rejecting those that run contrary to them’</w:t>
      </w:r>
      <w:r w:rsidRPr="00ED2178">
        <w:rPr>
          <w:rStyle w:val="FootnoteReference"/>
          <w:sz w:val="20"/>
          <w:szCs w:val="20"/>
        </w:rPr>
        <w:footnoteReference w:id="14"/>
      </w:r>
    </w:p>
    <w:p w14:paraId="3C9CD097" w14:textId="77777777" w:rsidR="00F30ECD" w:rsidRPr="00ED2178" w:rsidRDefault="00F30ECD" w:rsidP="00F30ECD">
      <w:pPr>
        <w:spacing w:before="240"/>
        <w:rPr>
          <w:sz w:val="20"/>
          <w:szCs w:val="20"/>
        </w:rPr>
      </w:pPr>
      <w:r w:rsidRPr="00ED2178">
        <w:rPr>
          <w:sz w:val="20"/>
          <w:szCs w:val="20"/>
        </w:rPr>
        <w:t>‘In addition to being handed this informal badge of feminine merit, the possessor of psychic powers has other social advantages, most notably that her abilities confer considerable prestige and authority’</w:t>
      </w:r>
      <w:r w:rsidRPr="00ED2178">
        <w:rPr>
          <w:rStyle w:val="FootnoteReference"/>
          <w:sz w:val="20"/>
          <w:szCs w:val="20"/>
        </w:rPr>
        <w:footnoteReference w:id="15"/>
      </w:r>
    </w:p>
    <w:p w14:paraId="66FAF45D" w14:textId="21236E14" w:rsidR="00F30ECD" w:rsidRDefault="00F30ECD" w:rsidP="00F30ECD">
      <w:pPr>
        <w:spacing w:before="240"/>
      </w:pPr>
      <w:r>
        <w:lastRenderedPageBreak/>
        <w:t xml:space="preserve">Another difference in terms of subject matter between these authors is that while Blain holds her discussion around non-Christian practitioners who are part of a far spread and disjointed community, Bennet’s study is focused on a small, close-knit social group found within a particular area who she claims generally attend the same Chrisitan church. This creates distinction between the essays in two ways; the first by placing Bennet’s essay within a more socially accepted religion with Blain as a member of a less approved group, and second by creating a sturdier base for research with Bennett having a much larger study population </w:t>
      </w:r>
      <w:r w:rsidR="00B012EB">
        <w:t xml:space="preserve">at hand </w:t>
      </w:r>
      <w:r>
        <w:t>than Blain</w:t>
      </w:r>
      <w:r w:rsidR="00B012EB">
        <w:t xml:space="preserve">. </w:t>
      </w:r>
      <w:r>
        <w:t xml:space="preserve">While Blain mentions only </w:t>
      </w:r>
      <w:r w:rsidRPr="00A56987">
        <w:t xml:space="preserve">3 participants </w:t>
      </w:r>
      <w:r>
        <w:t>within her study, one of which is herself, Bennet boasts 87</w:t>
      </w:r>
      <w:r w:rsidRPr="00A56987">
        <w:t xml:space="preserve"> participants in her interviews and </w:t>
      </w:r>
      <w:r>
        <w:t>102 total</w:t>
      </w:r>
      <w:r w:rsidRPr="00A56987">
        <w:t xml:space="preserve"> who filled out questionnaires or participated in some other fashion</w:t>
      </w:r>
      <w:r>
        <w:rPr>
          <w:rStyle w:val="FootnoteReference"/>
        </w:rPr>
        <w:footnoteReference w:id="16"/>
      </w:r>
      <w:r w:rsidRPr="00A56987">
        <w:t>.</w:t>
      </w:r>
      <w:r>
        <w:rPr>
          <w:b/>
          <w:bCs/>
        </w:rPr>
        <w:t xml:space="preserve"> </w:t>
      </w:r>
      <w:r>
        <w:t xml:space="preserve">And while sheer difference in number of participants seems to speak for Bennet’s study as being more encompassing and better able to express the general sympathies of the study community, it is Blain whose discussion includes a wider range of beliefs and practices. It should be noted, however, that part of the reason for Blain’s widespread interviews </w:t>
      </w:r>
      <w:r w:rsidR="00150D56">
        <w:t xml:space="preserve">and demographics </w:t>
      </w:r>
      <w:r>
        <w:t xml:space="preserve">may be in part caused by the many different types of </w:t>
      </w:r>
      <w:proofErr w:type="spellStart"/>
      <w:r>
        <w:t>seidr</w:t>
      </w:r>
      <w:proofErr w:type="spellEnd"/>
      <w:r>
        <w:t xml:space="preserve"> and North European paganisms; making it much more difficult for her to nail down only one kind of belief or to enter the numerous pagan communities to conduct her research. Therefore, it is Bennett whose study group is generally easier to gather information about, making her research more effective in analyzing and understanding the results gathered. </w:t>
      </w:r>
    </w:p>
    <w:p w14:paraId="7EA3896B" w14:textId="000C12C9" w:rsidR="001326DE" w:rsidRDefault="00F30ECD" w:rsidP="005F7ADB">
      <w:pPr>
        <w:spacing w:before="240"/>
      </w:pPr>
      <w:r>
        <w:t xml:space="preserve">Aside from the various dissimilarities of the essays, a commonality between the two is the intended readers as Bennet and Blain both write for the academic community and not for the public. Though neither author lists if their work is intended more for students, professors, or other academics it is made clear that both aim their work for the academic community as a means of progressing the discussion of their studied spirituality into the light of academic review. A distinction between the two that lies within the same pathway as this similarity is that Bennet does not expand upon the ways in which her argument might hypothetically be received or presented within the academic world, where Blain does. </w:t>
      </w:r>
      <w:r w:rsidR="005F7ADB">
        <w:t xml:space="preserve">Though as mentioned earlier in this essay, Bennett does begin her discussion with a section on the history of her topic within the academic world and so potentially there is no need for Bennett to present the audience with questions as she has already secured her position within academic conversation. </w:t>
      </w:r>
      <w:r>
        <w:t>In a few sections of her essay Blain delegates time to express hypotheticals regarding the way that her topic is viewed within academia</w:t>
      </w:r>
      <w:r w:rsidR="004C0346">
        <w:rPr>
          <w:rStyle w:val="FootnoteReference"/>
        </w:rPr>
        <w:footnoteReference w:id="17"/>
      </w:r>
      <w:r w:rsidR="005F7ADB">
        <w:t xml:space="preserve"> and while she</w:t>
      </w:r>
      <w:r>
        <w:t xml:space="preserve"> does not illicitly tell the audience her reasoning for her hypotheticals i</w:t>
      </w:r>
      <w:r w:rsidR="005F7ADB">
        <w:t>t can be assumed that she uses them to help place her topic into the academic conversation that Bennett already exists in.</w:t>
      </w:r>
      <w:r>
        <w:t xml:space="preserve"> </w:t>
      </w:r>
    </w:p>
    <w:p w14:paraId="37395351" w14:textId="36675E50" w:rsidR="005F7ADB" w:rsidRDefault="005F7ADB" w:rsidP="005F7ADB">
      <w:pPr>
        <w:spacing w:before="240"/>
      </w:pPr>
      <w:r>
        <w:t xml:space="preserve">It is evident that while Bennett and Blain centered their discussions around two very similar topics it was their use of methodology, language, and the ways in which they applied the findings of their research that differentiated their respective works. By presenting an argument on a topic already found within academia, and </w:t>
      </w:r>
      <w:r w:rsidR="008F0F4A">
        <w:t>using</w:t>
      </w:r>
      <w:r>
        <w:t xml:space="preserve"> accepted research methods, Bennett created a well-rounded and </w:t>
      </w:r>
      <w:r w:rsidR="008F0F4A">
        <w:t xml:space="preserve">intuitive collection of data that added to the already on-going discussion. And by gathering information in a less formal manner and using language that engaged the audience as well as providing examples from those whom she had formed a genuine connection with, Blain gave an argument that proved the capabilities of </w:t>
      </w:r>
      <w:r w:rsidR="008F0F4A">
        <w:lastRenderedPageBreak/>
        <w:t xml:space="preserve">reflexivity in research. Both authors succeeded in presenting new information into </w:t>
      </w:r>
      <w:r w:rsidR="00AC49FE">
        <w:t>academic</w:t>
      </w:r>
      <w:r w:rsidR="008F0F4A">
        <w:t xml:space="preserve"> literature and gave evidence for the value of qualitative research.</w:t>
      </w:r>
    </w:p>
    <w:p w14:paraId="45CF8EFD" w14:textId="77777777" w:rsidR="005D3CDC" w:rsidRDefault="005D3CDC" w:rsidP="005F7ADB">
      <w:pPr>
        <w:spacing w:before="240"/>
      </w:pPr>
    </w:p>
    <w:p w14:paraId="19016D6B" w14:textId="77777777" w:rsidR="00426976" w:rsidRDefault="00426976" w:rsidP="005F7ADB">
      <w:pPr>
        <w:spacing w:before="240"/>
        <w:rPr>
          <w:i/>
          <w:iCs/>
          <w:sz w:val="28"/>
          <w:szCs w:val="28"/>
        </w:rPr>
      </w:pPr>
    </w:p>
    <w:p w14:paraId="3F821588" w14:textId="77777777" w:rsidR="00426976" w:rsidRDefault="00426976" w:rsidP="005F7ADB">
      <w:pPr>
        <w:spacing w:before="240"/>
        <w:rPr>
          <w:i/>
          <w:iCs/>
          <w:sz w:val="28"/>
          <w:szCs w:val="28"/>
        </w:rPr>
      </w:pPr>
    </w:p>
    <w:p w14:paraId="77E71F09" w14:textId="77777777" w:rsidR="00426976" w:rsidRDefault="00426976" w:rsidP="005F7ADB">
      <w:pPr>
        <w:spacing w:before="240"/>
        <w:rPr>
          <w:i/>
          <w:iCs/>
          <w:sz w:val="28"/>
          <w:szCs w:val="28"/>
        </w:rPr>
      </w:pPr>
    </w:p>
    <w:p w14:paraId="787B18FA" w14:textId="77777777" w:rsidR="00426976" w:rsidRDefault="00426976" w:rsidP="005F7ADB">
      <w:pPr>
        <w:spacing w:before="240"/>
        <w:rPr>
          <w:i/>
          <w:iCs/>
          <w:sz w:val="28"/>
          <w:szCs w:val="28"/>
        </w:rPr>
      </w:pPr>
    </w:p>
    <w:p w14:paraId="59096658" w14:textId="77777777" w:rsidR="00426976" w:rsidRDefault="00426976" w:rsidP="005F7ADB">
      <w:pPr>
        <w:spacing w:before="240"/>
        <w:rPr>
          <w:i/>
          <w:iCs/>
          <w:sz w:val="28"/>
          <w:szCs w:val="28"/>
        </w:rPr>
      </w:pPr>
    </w:p>
    <w:p w14:paraId="4352D59F" w14:textId="77777777" w:rsidR="00426976" w:rsidRDefault="00426976" w:rsidP="005F7ADB">
      <w:pPr>
        <w:spacing w:before="240"/>
        <w:rPr>
          <w:i/>
          <w:iCs/>
          <w:sz w:val="28"/>
          <w:szCs w:val="28"/>
        </w:rPr>
      </w:pPr>
    </w:p>
    <w:p w14:paraId="580754C3" w14:textId="77777777" w:rsidR="00426976" w:rsidRDefault="00426976" w:rsidP="005F7ADB">
      <w:pPr>
        <w:spacing w:before="240"/>
        <w:rPr>
          <w:i/>
          <w:iCs/>
          <w:sz w:val="28"/>
          <w:szCs w:val="28"/>
        </w:rPr>
      </w:pPr>
    </w:p>
    <w:p w14:paraId="6C926F5A" w14:textId="77777777" w:rsidR="00426976" w:rsidRDefault="00426976" w:rsidP="005F7ADB">
      <w:pPr>
        <w:spacing w:before="240"/>
        <w:rPr>
          <w:i/>
          <w:iCs/>
          <w:sz w:val="28"/>
          <w:szCs w:val="28"/>
        </w:rPr>
      </w:pPr>
    </w:p>
    <w:p w14:paraId="0CCC6B9F" w14:textId="77777777" w:rsidR="00426976" w:rsidRDefault="00426976" w:rsidP="005F7ADB">
      <w:pPr>
        <w:spacing w:before="240"/>
        <w:rPr>
          <w:i/>
          <w:iCs/>
          <w:sz w:val="28"/>
          <w:szCs w:val="28"/>
        </w:rPr>
      </w:pPr>
    </w:p>
    <w:p w14:paraId="2E93B2F7" w14:textId="77777777" w:rsidR="00426976" w:rsidRDefault="00426976" w:rsidP="005F7ADB">
      <w:pPr>
        <w:spacing w:before="240"/>
        <w:rPr>
          <w:i/>
          <w:iCs/>
          <w:sz w:val="28"/>
          <w:szCs w:val="28"/>
        </w:rPr>
      </w:pPr>
    </w:p>
    <w:p w14:paraId="4AE23B11" w14:textId="77777777" w:rsidR="00426976" w:rsidRDefault="00426976" w:rsidP="005F7ADB">
      <w:pPr>
        <w:spacing w:before="240"/>
        <w:rPr>
          <w:i/>
          <w:iCs/>
          <w:sz w:val="28"/>
          <w:szCs w:val="28"/>
        </w:rPr>
      </w:pPr>
    </w:p>
    <w:p w14:paraId="1120B34C" w14:textId="77777777" w:rsidR="00426976" w:rsidRDefault="00426976" w:rsidP="005F7ADB">
      <w:pPr>
        <w:spacing w:before="240"/>
        <w:rPr>
          <w:i/>
          <w:iCs/>
          <w:sz w:val="28"/>
          <w:szCs w:val="28"/>
        </w:rPr>
      </w:pPr>
    </w:p>
    <w:p w14:paraId="2C24AB9C" w14:textId="77777777" w:rsidR="00426976" w:rsidRDefault="00426976" w:rsidP="005F7ADB">
      <w:pPr>
        <w:spacing w:before="240"/>
        <w:rPr>
          <w:i/>
          <w:iCs/>
          <w:sz w:val="28"/>
          <w:szCs w:val="28"/>
        </w:rPr>
      </w:pPr>
    </w:p>
    <w:p w14:paraId="27FA47BF" w14:textId="77777777" w:rsidR="00426976" w:rsidRDefault="00426976" w:rsidP="005F7ADB">
      <w:pPr>
        <w:spacing w:before="240"/>
        <w:rPr>
          <w:i/>
          <w:iCs/>
          <w:sz w:val="28"/>
          <w:szCs w:val="28"/>
        </w:rPr>
      </w:pPr>
    </w:p>
    <w:p w14:paraId="417F93F8" w14:textId="77777777" w:rsidR="00426976" w:rsidRDefault="00426976" w:rsidP="005F7ADB">
      <w:pPr>
        <w:spacing w:before="240"/>
        <w:rPr>
          <w:i/>
          <w:iCs/>
          <w:sz w:val="28"/>
          <w:szCs w:val="28"/>
        </w:rPr>
      </w:pPr>
    </w:p>
    <w:p w14:paraId="340612E9" w14:textId="77777777" w:rsidR="00426976" w:rsidRDefault="00426976" w:rsidP="005F7ADB">
      <w:pPr>
        <w:spacing w:before="240"/>
        <w:rPr>
          <w:i/>
          <w:iCs/>
          <w:sz w:val="28"/>
          <w:szCs w:val="28"/>
        </w:rPr>
      </w:pPr>
    </w:p>
    <w:p w14:paraId="510DA5D8" w14:textId="77777777" w:rsidR="00426976" w:rsidRDefault="00426976" w:rsidP="005F7ADB">
      <w:pPr>
        <w:spacing w:before="240"/>
        <w:rPr>
          <w:i/>
          <w:iCs/>
          <w:sz w:val="28"/>
          <w:szCs w:val="28"/>
        </w:rPr>
      </w:pPr>
    </w:p>
    <w:p w14:paraId="0338038C" w14:textId="77777777" w:rsidR="00426976" w:rsidRDefault="00426976" w:rsidP="005F7ADB">
      <w:pPr>
        <w:spacing w:before="240"/>
        <w:rPr>
          <w:i/>
          <w:iCs/>
          <w:sz w:val="28"/>
          <w:szCs w:val="28"/>
        </w:rPr>
      </w:pPr>
    </w:p>
    <w:p w14:paraId="1358918F" w14:textId="77777777" w:rsidR="00426976" w:rsidRDefault="00426976" w:rsidP="005F7ADB">
      <w:pPr>
        <w:spacing w:before="240"/>
        <w:rPr>
          <w:i/>
          <w:iCs/>
          <w:sz w:val="28"/>
          <w:szCs w:val="28"/>
        </w:rPr>
      </w:pPr>
    </w:p>
    <w:p w14:paraId="0583B377" w14:textId="16ECBE98" w:rsidR="005D3CDC" w:rsidRDefault="005D3CDC" w:rsidP="005F7ADB">
      <w:pPr>
        <w:spacing w:before="240"/>
        <w:rPr>
          <w:i/>
          <w:iCs/>
          <w:sz w:val="28"/>
          <w:szCs w:val="28"/>
        </w:rPr>
      </w:pPr>
      <w:r w:rsidRPr="005D3CDC">
        <w:rPr>
          <w:i/>
          <w:iCs/>
          <w:sz w:val="28"/>
          <w:szCs w:val="28"/>
        </w:rPr>
        <w:lastRenderedPageBreak/>
        <w:t>References</w:t>
      </w:r>
    </w:p>
    <w:p w14:paraId="2A29E9C4" w14:textId="2BEC480C" w:rsidR="005D3CDC" w:rsidRDefault="00E75095" w:rsidP="005F7ADB">
      <w:pPr>
        <w:spacing w:before="240"/>
      </w:pPr>
      <w:r>
        <w:t>Bennett, Gillian</w:t>
      </w:r>
      <w:r w:rsidR="006901FE">
        <w:t xml:space="preserve">, </w:t>
      </w:r>
      <w:r w:rsidR="00205B0E">
        <w:t>‘” If</w:t>
      </w:r>
      <w:r w:rsidR="006901FE">
        <w:t xml:space="preserve"> I Knew You Were Coming, I’d Have Baked a Cake</w:t>
      </w:r>
      <w:r w:rsidR="00470A50">
        <w:t>”: The Folklore of Foreknowledge in a Neighborhood Group</w:t>
      </w:r>
      <w:r w:rsidR="003C65AA">
        <w:t xml:space="preserve">’, in </w:t>
      </w:r>
      <w:r w:rsidR="0004316F">
        <w:rPr>
          <w:i/>
          <w:iCs/>
        </w:rPr>
        <w:t>Out of the Ordinary: Folklore and the Supernatural</w:t>
      </w:r>
      <w:r w:rsidR="0053661B">
        <w:t xml:space="preserve">, ed. by Barbara Walker </w:t>
      </w:r>
      <w:r w:rsidR="00424556">
        <w:t>(Logan, Utah: Utah State University Press</w:t>
      </w:r>
      <w:r w:rsidR="00664435">
        <w:t>, 1987</w:t>
      </w:r>
      <w:r w:rsidR="00424556">
        <w:t xml:space="preserve">) </w:t>
      </w:r>
      <w:r w:rsidR="00664435">
        <w:t>pp.</w:t>
      </w:r>
      <w:r w:rsidR="000B493A">
        <w:t xml:space="preserve"> 122-142</w:t>
      </w:r>
    </w:p>
    <w:p w14:paraId="56FAFFFB" w14:textId="5E15FD08" w:rsidR="00092FAA" w:rsidRDefault="00092FAA" w:rsidP="005F7ADB">
      <w:pPr>
        <w:spacing w:before="240"/>
      </w:pPr>
      <w:r>
        <w:t xml:space="preserve">Bennett, Gillian, </w:t>
      </w:r>
      <w:r w:rsidRPr="00092FAA">
        <w:rPr>
          <w:i/>
          <w:iCs/>
        </w:rPr>
        <w:t>Traditions of Belief: Women and the Supernatural</w:t>
      </w:r>
      <w:r>
        <w:t>, (Penguin Books Ltd, 1987)</w:t>
      </w:r>
    </w:p>
    <w:p w14:paraId="054A69FF" w14:textId="26C960A0" w:rsidR="00092FAA" w:rsidRPr="00092FAA" w:rsidRDefault="00092FAA" w:rsidP="005F7ADB">
      <w:pPr>
        <w:spacing w:before="240"/>
      </w:pPr>
      <w:r>
        <w:t xml:space="preserve">Blain, Jenny, Ezzy, Douglas and Harvey, Graham, </w:t>
      </w:r>
      <w:r>
        <w:rPr>
          <w:i/>
          <w:iCs/>
        </w:rPr>
        <w:t>Researching Paganisms</w:t>
      </w:r>
      <w:r>
        <w:t>, (</w:t>
      </w:r>
      <w:proofErr w:type="spellStart"/>
      <w:r>
        <w:t>AltaMira</w:t>
      </w:r>
      <w:proofErr w:type="spellEnd"/>
      <w:r>
        <w:t xml:space="preserve"> Press, 2004)</w:t>
      </w:r>
    </w:p>
    <w:p w14:paraId="3CE26233" w14:textId="64EDD1DA" w:rsidR="00170C92" w:rsidRDefault="00170C92" w:rsidP="005F7ADB">
      <w:pPr>
        <w:spacing w:before="240"/>
      </w:pPr>
      <w:r>
        <w:t xml:space="preserve">Blain, Jenny. </w:t>
      </w:r>
      <w:r w:rsidR="00227DDB">
        <w:rPr>
          <w:i/>
          <w:iCs/>
        </w:rPr>
        <w:t xml:space="preserve">Speaking </w:t>
      </w:r>
      <w:proofErr w:type="spellStart"/>
      <w:r w:rsidR="00227DDB">
        <w:rPr>
          <w:i/>
          <w:iCs/>
        </w:rPr>
        <w:t>Shamanistically</w:t>
      </w:r>
      <w:proofErr w:type="spellEnd"/>
      <w:r w:rsidR="00227DDB">
        <w:rPr>
          <w:i/>
          <w:iCs/>
        </w:rPr>
        <w:t xml:space="preserve">: </w:t>
      </w:r>
      <w:proofErr w:type="spellStart"/>
      <w:r w:rsidR="00227DDB">
        <w:rPr>
          <w:i/>
          <w:iCs/>
        </w:rPr>
        <w:t>Seidr</w:t>
      </w:r>
      <w:proofErr w:type="spellEnd"/>
      <w:r w:rsidR="00227DDB">
        <w:rPr>
          <w:i/>
          <w:iCs/>
        </w:rPr>
        <w:t>, Academia and Rationality</w:t>
      </w:r>
      <w:r w:rsidR="0070457E">
        <w:t xml:space="preserve"> (DISKUS Volume 6, 2000)</w:t>
      </w:r>
    </w:p>
    <w:p w14:paraId="7134C2AE" w14:textId="130190E0" w:rsidR="00AA637D" w:rsidRDefault="00445BA7" w:rsidP="005F7ADB">
      <w:pPr>
        <w:spacing w:before="240"/>
      </w:pPr>
      <w:proofErr w:type="spellStart"/>
      <w:r>
        <w:t>Hennink</w:t>
      </w:r>
      <w:proofErr w:type="spellEnd"/>
      <w:r>
        <w:t xml:space="preserve">, Monique, Hutter, Inge and Bailey, Ajay, </w:t>
      </w:r>
      <w:r>
        <w:rPr>
          <w:i/>
          <w:iCs/>
        </w:rPr>
        <w:t>Qualitative Research Methods</w:t>
      </w:r>
      <w:r>
        <w:t xml:space="preserve"> (SAGE Publications Ltd, 2011)</w:t>
      </w:r>
    </w:p>
    <w:p w14:paraId="3D899EB4" w14:textId="78E415E3" w:rsidR="00445BA7" w:rsidRDefault="00445BA7" w:rsidP="005F7ADB">
      <w:pPr>
        <w:spacing w:before="240"/>
      </w:pPr>
      <w:r>
        <w:t>Haynes, Kathryn,</w:t>
      </w:r>
      <w:r w:rsidR="0051668C">
        <w:t xml:space="preserve"> ‘Reflexivity in Qualitative Research’,</w:t>
      </w:r>
      <w:r>
        <w:t xml:space="preserve"> </w:t>
      </w:r>
      <w:r w:rsidR="0051668C">
        <w:t xml:space="preserve">in a </w:t>
      </w:r>
      <w:r>
        <w:rPr>
          <w:i/>
          <w:iCs/>
        </w:rPr>
        <w:t xml:space="preserve">Qualitative </w:t>
      </w:r>
      <w:r w:rsidR="0051668C">
        <w:rPr>
          <w:i/>
          <w:iCs/>
        </w:rPr>
        <w:t>Organizational</w:t>
      </w:r>
      <w:r>
        <w:rPr>
          <w:i/>
          <w:iCs/>
        </w:rPr>
        <w:t xml:space="preserve"> Research</w:t>
      </w:r>
      <w:r>
        <w:t xml:space="preserve">, (SAGE Publications Ltd, 2012) pp. </w:t>
      </w:r>
      <w:r w:rsidR="0051668C">
        <w:t>72-89</w:t>
      </w:r>
    </w:p>
    <w:p w14:paraId="3A9E6AB7" w14:textId="124AB17E" w:rsidR="00F7005F" w:rsidRPr="00F7005F" w:rsidRDefault="00F7005F" w:rsidP="00F7005F">
      <w:r>
        <w:t xml:space="preserve">Occult-World, </w:t>
      </w:r>
      <w:r>
        <w:rPr>
          <w:i/>
          <w:iCs/>
        </w:rPr>
        <w:t>Blain, Jenny</w:t>
      </w:r>
      <w:r>
        <w:t xml:space="preserve"> &lt;https://occult-world.com/blain-jenny/&gt; [accessed 10 March 2024]</w:t>
      </w:r>
      <w:r w:rsidRPr="00F7005F">
        <w:t xml:space="preserve"> </w:t>
      </w:r>
    </w:p>
    <w:p w14:paraId="7616A22B" w14:textId="0F30049E" w:rsidR="0051668C" w:rsidRPr="00445BA7" w:rsidRDefault="0051668C" w:rsidP="0051668C">
      <w:pPr>
        <w:spacing w:before="240" w:line="276" w:lineRule="auto"/>
      </w:pPr>
      <w:r>
        <w:t>Walker, B</w:t>
      </w:r>
      <w:r>
        <w:t>arbara,</w:t>
      </w:r>
      <w:r>
        <w:t xml:space="preserve"> </w:t>
      </w:r>
      <w:r w:rsidR="00092FAA">
        <w:t>‘</w:t>
      </w:r>
      <w:r>
        <w:t xml:space="preserve">Out of the </w:t>
      </w:r>
      <w:r>
        <w:t>O</w:t>
      </w:r>
      <w:r>
        <w:t xml:space="preserve">rdinary: Folklore and the </w:t>
      </w:r>
      <w:r>
        <w:t>S</w:t>
      </w:r>
      <w:r>
        <w:t>upernatural</w:t>
      </w:r>
      <w:r>
        <w:t>’,</w:t>
      </w:r>
      <w:r>
        <w:t xml:space="preserve"> </w:t>
      </w:r>
      <w:r>
        <w:t>(</w:t>
      </w:r>
      <w:r>
        <w:t>Logan, Utah: Utah State University Press</w:t>
      </w:r>
      <w:r>
        <w:t>, 1987)</w:t>
      </w:r>
    </w:p>
    <w:sectPr w:rsidR="0051668C" w:rsidRPr="00445BA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B4EE4" w14:textId="77777777" w:rsidR="00F30ECD" w:rsidRDefault="00F30ECD" w:rsidP="00F30ECD">
      <w:pPr>
        <w:spacing w:after="0" w:line="240" w:lineRule="auto"/>
      </w:pPr>
      <w:r>
        <w:separator/>
      </w:r>
    </w:p>
  </w:endnote>
  <w:endnote w:type="continuationSeparator" w:id="0">
    <w:p w14:paraId="34F03702" w14:textId="77777777" w:rsidR="00F30ECD" w:rsidRDefault="00F30ECD" w:rsidP="00F3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371C3" w14:textId="77777777" w:rsidR="00F30ECD" w:rsidRDefault="00F30ECD" w:rsidP="00F30ECD">
      <w:pPr>
        <w:spacing w:after="0" w:line="240" w:lineRule="auto"/>
      </w:pPr>
      <w:r>
        <w:separator/>
      </w:r>
    </w:p>
  </w:footnote>
  <w:footnote w:type="continuationSeparator" w:id="0">
    <w:p w14:paraId="29BC1AE2" w14:textId="77777777" w:rsidR="00F30ECD" w:rsidRDefault="00F30ECD" w:rsidP="00F30ECD">
      <w:pPr>
        <w:spacing w:after="0" w:line="240" w:lineRule="auto"/>
      </w:pPr>
      <w:r>
        <w:continuationSeparator/>
      </w:r>
    </w:p>
  </w:footnote>
  <w:footnote w:id="1">
    <w:p w14:paraId="71758182" w14:textId="2CB22EEF" w:rsidR="00184F07" w:rsidRPr="002C0049" w:rsidRDefault="00184F07">
      <w:pPr>
        <w:pStyle w:val="FootnoteText"/>
      </w:pPr>
      <w:r>
        <w:rPr>
          <w:rStyle w:val="FootnoteReference"/>
        </w:rPr>
        <w:footnoteRef/>
      </w:r>
      <w:r>
        <w:t xml:space="preserve"> </w:t>
      </w:r>
      <w:r w:rsidR="002C0049">
        <w:t xml:space="preserve">Gillian Bennett, ‘” If I Knew You Were Coming, I’d Have Baked a Cake”: The Folklore of Foreknowledge in a Neighborhood Group’, in </w:t>
      </w:r>
      <w:r w:rsidR="002C0049">
        <w:rPr>
          <w:i/>
          <w:iCs/>
        </w:rPr>
        <w:t>Out of the Ordinary: Folklore and the Supernatural</w:t>
      </w:r>
      <w:r w:rsidR="002C0049">
        <w:t>, ed. by Barbara Walker (Logan, Utah: Utah State University Press, 1987) pp. 122-142</w:t>
      </w:r>
    </w:p>
  </w:footnote>
  <w:footnote w:id="2">
    <w:p w14:paraId="05757386" w14:textId="3FA691C5" w:rsidR="00184F07" w:rsidRPr="00445BA7" w:rsidRDefault="00184F07">
      <w:pPr>
        <w:pStyle w:val="FootnoteText"/>
      </w:pPr>
      <w:r>
        <w:rPr>
          <w:rStyle w:val="FootnoteReference"/>
        </w:rPr>
        <w:footnoteRef/>
      </w:r>
      <w:r>
        <w:t xml:space="preserve"> </w:t>
      </w:r>
      <w:r w:rsidR="00445BA7">
        <w:t xml:space="preserve">Jenny Blain. </w:t>
      </w:r>
      <w:r w:rsidR="00445BA7">
        <w:rPr>
          <w:i/>
          <w:iCs/>
        </w:rPr>
        <w:t xml:space="preserve">Speaking </w:t>
      </w:r>
      <w:proofErr w:type="spellStart"/>
      <w:r w:rsidR="00445BA7">
        <w:rPr>
          <w:i/>
          <w:iCs/>
        </w:rPr>
        <w:t>Shamanistically</w:t>
      </w:r>
      <w:proofErr w:type="spellEnd"/>
      <w:r w:rsidR="00445BA7">
        <w:rPr>
          <w:i/>
          <w:iCs/>
        </w:rPr>
        <w:t xml:space="preserve">: </w:t>
      </w:r>
      <w:proofErr w:type="spellStart"/>
      <w:r w:rsidR="00445BA7">
        <w:rPr>
          <w:i/>
          <w:iCs/>
        </w:rPr>
        <w:t>Seidr</w:t>
      </w:r>
      <w:proofErr w:type="spellEnd"/>
      <w:r w:rsidR="00445BA7">
        <w:rPr>
          <w:i/>
          <w:iCs/>
        </w:rPr>
        <w:t>, Academia and Rationality</w:t>
      </w:r>
      <w:r w:rsidR="00445BA7">
        <w:t xml:space="preserve"> (DISKUS Volume 6, 2000)</w:t>
      </w:r>
    </w:p>
  </w:footnote>
  <w:footnote w:id="3">
    <w:p w14:paraId="5EC69051" w14:textId="3A22A5BA" w:rsidR="002351DD" w:rsidRDefault="002351DD">
      <w:pPr>
        <w:pStyle w:val="FootnoteText"/>
      </w:pPr>
      <w:r>
        <w:rPr>
          <w:rStyle w:val="FootnoteReference"/>
        </w:rPr>
        <w:footnoteRef/>
      </w:r>
      <w:r>
        <w:t xml:space="preserve"> </w:t>
      </w:r>
      <w:r w:rsidR="00092FAA">
        <w:t>Barbara Walker,</w:t>
      </w:r>
      <w:r w:rsidR="00092FAA">
        <w:rPr>
          <w:i/>
          <w:iCs/>
        </w:rPr>
        <w:t xml:space="preserve"> Out of the Ordinary: Folklore and the Supernatural</w:t>
      </w:r>
      <w:r w:rsidR="00092FAA">
        <w:t>, (Logan, Utah: Utah State University Press, 1987)</w:t>
      </w:r>
      <w:r w:rsidR="00092FAA">
        <w:t xml:space="preserve"> pp. 213</w:t>
      </w:r>
    </w:p>
  </w:footnote>
  <w:footnote w:id="4">
    <w:p w14:paraId="12FFBDB6" w14:textId="0A3FEB28" w:rsidR="00F30ECD" w:rsidRPr="00092FAA" w:rsidRDefault="00F30ECD" w:rsidP="00F30ECD">
      <w:pPr>
        <w:pStyle w:val="FootnoteText"/>
      </w:pPr>
      <w:r>
        <w:rPr>
          <w:rStyle w:val="FootnoteReference"/>
        </w:rPr>
        <w:footnoteRef/>
      </w:r>
      <w:r>
        <w:t xml:space="preserve"> </w:t>
      </w:r>
      <w:r w:rsidR="00092FAA">
        <w:t xml:space="preserve">Gillian </w:t>
      </w:r>
      <w:r>
        <w:t>Bennett</w:t>
      </w:r>
      <w:r w:rsidR="00092FAA">
        <w:t>,</w:t>
      </w:r>
      <w:r>
        <w:t xml:space="preserve"> </w:t>
      </w:r>
      <w:r w:rsidRPr="00092FAA">
        <w:rPr>
          <w:i/>
          <w:iCs/>
        </w:rPr>
        <w:t>Traditions of Belief: Women and the Supernatural</w:t>
      </w:r>
      <w:r w:rsidR="00092FAA">
        <w:t>, (Penguin Books Ltd, 1987)</w:t>
      </w:r>
    </w:p>
  </w:footnote>
  <w:footnote w:id="5">
    <w:p w14:paraId="376BA9AD" w14:textId="29C30850" w:rsidR="00DA4312" w:rsidRPr="0051668C" w:rsidRDefault="00DA4312">
      <w:pPr>
        <w:pStyle w:val="FootnoteText"/>
      </w:pPr>
      <w:r>
        <w:rPr>
          <w:rStyle w:val="FootnoteReference"/>
        </w:rPr>
        <w:footnoteRef/>
      </w:r>
      <w:r>
        <w:t xml:space="preserve"> </w:t>
      </w:r>
      <w:r w:rsidR="0051668C">
        <w:t xml:space="preserve">Walker, </w:t>
      </w:r>
      <w:r w:rsidR="0051668C">
        <w:rPr>
          <w:i/>
          <w:iCs/>
        </w:rPr>
        <w:t>Out of the Ordinary: Folklore and the Supernat</w:t>
      </w:r>
      <w:r w:rsidR="00092FAA">
        <w:rPr>
          <w:i/>
          <w:iCs/>
        </w:rPr>
        <w:t>ural</w:t>
      </w:r>
    </w:p>
  </w:footnote>
  <w:footnote w:id="6">
    <w:p w14:paraId="781DA06B" w14:textId="32574714" w:rsidR="00F30ECD" w:rsidRPr="00426976" w:rsidRDefault="00F30ECD" w:rsidP="00F30ECD">
      <w:pPr>
        <w:pStyle w:val="FootnoteText"/>
      </w:pPr>
      <w:r>
        <w:rPr>
          <w:rStyle w:val="FootnoteReference"/>
        </w:rPr>
        <w:footnoteRef/>
      </w:r>
      <w:r>
        <w:t xml:space="preserve"> </w:t>
      </w:r>
      <w:r w:rsidR="00426976">
        <w:t xml:space="preserve">Jenny Blain, Douglas Ezzy and Graham Harvey, </w:t>
      </w:r>
      <w:r w:rsidR="00426976">
        <w:rPr>
          <w:i/>
          <w:iCs/>
        </w:rPr>
        <w:t>Researching Paganisms</w:t>
      </w:r>
      <w:r w:rsidR="00426976">
        <w:t>, (</w:t>
      </w:r>
      <w:proofErr w:type="spellStart"/>
      <w:r w:rsidR="00426976">
        <w:t>AltaMira</w:t>
      </w:r>
      <w:proofErr w:type="spellEnd"/>
      <w:r w:rsidR="00426976">
        <w:t xml:space="preserve"> Press, 2004)</w:t>
      </w:r>
    </w:p>
  </w:footnote>
  <w:footnote w:id="7">
    <w:p w14:paraId="37395DED" w14:textId="39B5831C" w:rsidR="00DA4312" w:rsidRPr="00F7005F" w:rsidRDefault="00DA4312">
      <w:pPr>
        <w:pStyle w:val="FootnoteText"/>
      </w:pPr>
      <w:r>
        <w:rPr>
          <w:rStyle w:val="FootnoteReference"/>
        </w:rPr>
        <w:footnoteRef/>
      </w:r>
      <w:r w:rsidR="00F7005F">
        <w:t xml:space="preserve">Occult-World, </w:t>
      </w:r>
      <w:r w:rsidR="00F7005F">
        <w:rPr>
          <w:i/>
          <w:iCs/>
        </w:rPr>
        <w:t>Blain, Jenny</w:t>
      </w:r>
      <w:r w:rsidR="00F7005F">
        <w:t xml:space="preserve"> &lt;https://occult-world,com/blain-jenny/&gt; [accessed 10 March 2024].</w:t>
      </w:r>
    </w:p>
  </w:footnote>
  <w:footnote w:id="8">
    <w:p w14:paraId="23A016A5" w14:textId="43EB652F" w:rsidR="00F30ECD" w:rsidRDefault="00F30ECD" w:rsidP="00F30ECD">
      <w:pPr>
        <w:pStyle w:val="FootnoteText"/>
      </w:pPr>
      <w:r>
        <w:rPr>
          <w:rStyle w:val="FootnoteReference"/>
        </w:rPr>
        <w:footnoteRef/>
      </w:r>
      <w:r>
        <w:t xml:space="preserve"> Blain</w:t>
      </w:r>
      <w:r w:rsidR="00E559FA">
        <w:t xml:space="preserve">, </w:t>
      </w:r>
      <w:r w:rsidR="00E559FA">
        <w:rPr>
          <w:i/>
          <w:iCs/>
        </w:rPr>
        <w:t>Speaking</w:t>
      </w:r>
      <w:r w:rsidR="00256614">
        <w:t>,</w:t>
      </w:r>
      <w:r w:rsidR="005C5470">
        <w:t xml:space="preserve"> p</w:t>
      </w:r>
      <w:r w:rsidR="00256614">
        <w:t>.</w:t>
      </w:r>
      <w:r w:rsidR="005C5470">
        <w:t xml:space="preserve"> 1</w:t>
      </w:r>
    </w:p>
  </w:footnote>
  <w:footnote w:id="9">
    <w:p w14:paraId="4F916F76" w14:textId="585A6D65" w:rsidR="00F30ECD" w:rsidRDefault="00F30ECD" w:rsidP="00F30ECD">
      <w:pPr>
        <w:pStyle w:val="FootnoteText"/>
      </w:pPr>
      <w:r>
        <w:rPr>
          <w:rStyle w:val="FootnoteReference"/>
        </w:rPr>
        <w:footnoteRef/>
      </w:r>
      <w:r>
        <w:t xml:space="preserve"> Bennett</w:t>
      </w:r>
      <w:r w:rsidR="00256614">
        <w:t>,</w:t>
      </w:r>
      <w:r w:rsidR="00106725">
        <w:t xml:space="preserve"> p</w:t>
      </w:r>
      <w:r w:rsidR="00256614">
        <w:t>.</w:t>
      </w:r>
      <w:r w:rsidR="00106725">
        <w:t xml:space="preserve"> 130</w:t>
      </w:r>
    </w:p>
  </w:footnote>
  <w:footnote w:id="10">
    <w:p w14:paraId="3269C906" w14:textId="76076FE4" w:rsidR="00F91F58" w:rsidRPr="0051668C" w:rsidRDefault="00F91F58">
      <w:pPr>
        <w:pStyle w:val="FootnoteText"/>
      </w:pPr>
      <w:r>
        <w:rPr>
          <w:rStyle w:val="FootnoteReference"/>
        </w:rPr>
        <w:footnoteRef/>
      </w:r>
      <w:r>
        <w:t xml:space="preserve"> </w:t>
      </w:r>
      <w:r w:rsidR="0051668C">
        <w:t xml:space="preserve">Kathryn Haynes, ‘Reflexivity in Qualitative Research’, in </w:t>
      </w:r>
      <w:r w:rsidR="0051668C">
        <w:rPr>
          <w:i/>
          <w:iCs/>
        </w:rPr>
        <w:t>Qualitative Organizational Research</w:t>
      </w:r>
      <w:r w:rsidR="0051668C">
        <w:t>, (SAGE Publications Ltd, 2012), pp. 72-89</w:t>
      </w:r>
    </w:p>
  </w:footnote>
  <w:footnote w:id="11">
    <w:p w14:paraId="196DF290" w14:textId="5940E3F0" w:rsidR="00F30ECD" w:rsidRDefault="00F30ECD" w:rsidP="00F30ECD">
      <w:pPr>
        <w:pStyle w:val="FootnoteText"/>
      </w:pPr>
      <w:r>
        <w:rPr>
          <w:rStyle w:val="FootnoteReference"/>
        </w:rPr>
        <w:footnoteRef/>
      </w:r>
      <w:r>
        <w:t xml:space="preserve"> Bennett</w:t>
      </w:r>
      <w:r w:rsidR="00256614">
        <w:t>, p.</w:t>
      </w:r>
      <w:r w:rsidR="00BC0402">
        <w:t xml:space="preserve"> 126</w:t>
      </w:r>
    </w:p>
  </w:footnote>
  <w:footnote w:id="12">
    <w:p w14:paraId="29FF38FC" w14:textId="3CFEC2BA" w:rsidR="00F30ECD" w:rsidRDefault="00F30ECD" w:rsidP="00F30ECD">
      <w:pPr>
        <w:pStyle w:val="FootnoteText"/>
      </w:pPr>
      <w:r>
        <w:rPr>
          <w:rStyle w:val="FootnoteReference"/>
        </w:rPr>
        <w:footnoteRef/>
      </w:r>
      <w:r>
        <w:t xml:space="preserve"> </w:t>
      </w:r>
      <w:r w:rsidR="00445BA7">
        <w:t xml:space="preserve">Monique </w:t>
      </w:r>
      <w:proofErr w:type="spellStart"/>
      <w:r w:rsidR="00445BA7">
        <w:t>Hennink</w:t>
      </w:r>
      <w:proofErr w:type="spellEnd"/>
      <w:r w:rsidR="00445BA7">
        <w:t xml:space="preserve">, Inge Hutter and Ajay Bailey, </w:t>
      </w:r>
      <w:r w:rsidR="00445BA7">
        <w:rPr>
          <w:i/>
          <w:iCs/>
        </w:rPr>
        <w:t>Qualitative Research Methods</w:t>
      </w:r>
      <w:r w:rsidR="00445BA7">
        <w:t xml:space="preserve"> (SAGE Publications Ltd, 2011),</w:t>
      </w:r>
      <w:r w:rsidR="00BC0402">
        <w:t xml:space="preserve"> </w:t>
      </w:r>
      <w:r w:rsidR="00B25BC1">
        <w:t>p</w:t>
      </w:r>
      <w:r w:rsidR="00445BA7">
        <w:t>.</w:t>
      </w:r>
      <w:r w:rsidR="00B25BC1">
        <w:t xml:space="preserve"> 18</w:t>
      </w:r>
    </w:p>
  </w:footnote>
  <w:footnote w:id="13">
    <w:p w14:paraId="3F39D7A4" w14:textId="62C6436A" w:rsidR="00F30ECD" w:rsidRDefault="00F30ECD" w:rsidP="00F30ECD">
      <w:pPr>
        <w:pStyle w:val="FootnoteText"/>
      </w:pPr>
      <w:r>
        <w:rPr>
          <w:rStyle w:val="FootnoteReference"/>
        </w:rPr>
        <w:footnoteRef/>
      </w:r>
      <w:r>
        <w:t xml:space="preserve"> Bennett</w:t>
      </w:r>
      <w:r w:rsidR="00256614">
        <w:t xml:space="preserve">, p. </w:t>
      </w:r>
      <w:r w:rsidR="00203690">
        <w:t>127</w:t>
      </w:r>
    </w:p>
  </w:footnote>
  <w:footnote w:id="14">
    <w:p w14:paraId="29127BFB" w14:textId="74B52566" w:rsidR="00F30ECD" w:rsidRDefault="00F30ECD" w:rsidP="00F30ECD">
      <w:pPr>
        <w:pStyle w:val="FootnoteText"/>
      </w:pPr>
      <w:r>
        <w:rPr>
          <w:rStyle w:val="FootnoteReference"/>
        </w:rPr>
        <w:footnoteRef/>
      </w:r>
      <w:r>
        <w:t xml:space="preserve"> Bennett</w:t>
      </w:r>
      <w:r w:rsidR="00256614">
        <w:t>, p.</w:t>
      </w:r>
      <w:r>
        <w:t xml:space="preserve"> 133</w:t>
      </w:r>
    </w:p>
  </w:footnote>
  <w:footnote w:id="15">
    <w:p w14:paraId="452B1803" w14:textId="7BFF556F" w:rsidR="00F30ECD" w:rsidRDefault="00F30ECD" w:rsidP="00F30ECD">
      <w:pPr>
        <w:pStyle w:val="FootnoteText"/>
      </w:pPr>
      <w:r>
        <w:rPr>
          <w:rStyle w:val="FootnoteReference"/>
        </w:rPr>
        <w:footnoteRef/>
      </w:r>
      <w:r>
        <w:t xml:space="preserve"> Bennett</w:t>
      </w:r>
      <w:r w:rsidR="00256614">
        <w:t xml:space="preserve">, p. </w:t>
      </w:r>
      <w:r>
        <w:t>136</w:t>
      </w:r>
    </w:p>
  </w:footnote>
  <w:footnote w:id="16">
    <w:p w14:paraId="2144FE0A" w14:textId="4EC5F27E" w:rsidR="00F30ECD" w:rsidRDefault="00F30ECD" w:rsidP="00F30ECD">
      <w:pPr>
        <w:pStyle w:val="FootnoteText"/>
      </w:pPr>
      <w:r>
        <w:rPr>
          <w:rStyle w:val="FootnoteReference"/>
        </w:rPr>
        <w:footnoteRef/>
      </w:r>
      <w:r>
        <w:t xml:space="preserve"> Bennett</w:t>
      </w:r>
      <w:r w:rsidR="00256614">
        <w:t xml:space="preserve">, p. </w:t>
      </w:r>
      <w:r w:rsidR="003859D9">
        <w:t>127-128</w:t>
      </w:r>
    </w:p>
  </w:footnote>
  <w:footnote w:id="17">
    <w:p w14:paraId="0C0A0274" w14:textId="74A55D53" w:rsidR="004C0346" w:rsidRDefault="004C0346">
      <w:pPr>
        <w:pStyle w:val="FootnoteText"/>
      </w:pPr>
      <w:r>
        <w:rPr>
          <w:rStyle w:val="FootnoteReference"/>
        </w:rPr>
        <w:footnoteRef/>
      </w:r>
      <w:r>
        <w:t xml:space="preserve"> Blain</w:t>
      </w:r>
      <w:r w:rsidR="00256614">
        <w:t xml:space="preserve">, p. </w:t>
      </w:r>
      <w:r w:rsidR="00AC49FE">
        <w:t>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ECD"/>
    <w:rsid w:val="00040E61"/>
    <w:rsid w:val="0004316F"/>
    <w:rsid w:val="00092FAA"/>
    <w:rsid w:val="000B493A"/>
    <w:rsid w:val="000B696D"/>
    <w:rsid w:val="00106725"/>
    <w:rsid w:val="001326DE"/>
    <w:rsid w:val="00150D56"/>
    <w:rsid w:val="00170C92"/>
    <w:rsid w:val="00183421"/>
    <w:rsid w:val="00184F07"/>
    <w:rsid w:val="00203690"/>
    <w:rsid w:val="00205B0E"/>
    <w:rsid w:val="00227DDB"/>
    <w:rsid w:val="002351DD"/>
    <w:rsid w:val="00256614"/>
    <w:rsid w:val="002B36E0"/>
    <w:rsid w:val="002C0049"/>
    <w:rsid w:val="002C4683"/>
    <w:rsid w:val="0032290B"/>
    <w:rsid w:val="003859D9"/>
    <w:rsid w:val="003A0662"/>
    <w:rsid w:val="003C65AA"/>
    <w:rsid w:val="00424556"/>
    <w:rsid w:val="00425E63"/>
    <w:rsid w:val="00426976"/>
    <w:rsid w:val="00426CA4"/>
    <w:rsid w:val="00445BA7"/>
    <w:rsid w:val="00470A50"/>
    <w:rsid w:val="004C0346"/>
    <w:rsid w:val="0051668C"/>
    <w:rsid w:val="0053661B"/>
    <w:rsid w:val="005C5470"/>
    <w:rsid w:val="005D3CDC"/>
    <w:rsid w:val="005F7ADB"/>
    <w:rsid w:val="00664435"/>
    <w:rsid w:val="006901FE"/>
    <w:rsid w:val="006E1E25"/>
    <w:rsid w:val="0070457E"/>
    <w:rsid w:val="00752351"/>
    <w:rsid w:val="008C220D"/>
    <w:rsid w:val="008F0F4A"/>
    <w:rsid w:val="00915352"/>
    <w:rsid w:val="009509BA"/>
    <w:rsid w:val="009930F4"/>
    <w:rsid w:val="009A0099"/>
    <w:rsid w:val="00AA637D"/>
    <w:rsid w:val="00AC49FE"/>
    <w:rsid w:val="00B012EB"/>
    <w:rsid w:val="00B25BC1"/>
    <w:rsid w:val="00BC0402"/>
    <w:rsid w:val="00BE45F5"/>
    <w:rsid w:val="00CA62B1"/>
    <w:rsid w:val="00DA4312"/>
    <w:rsid w:val="00DA7F98"/>
    <w:rsid w:val="00E559FA"/>
    <w:rsid w:val="00E75095"/>
    <w:rsid w:val="00E97C9A"/>
    <w:rsid w:val="00ED2178"/>
    <w:rsid w:val="00F30ECD"/>
    <w:rsid w:val="00F7005F"/>
    <w:rsid w:val="00F8367B"/>
    <w:rsid w:val="00F91F58"/>
    <w:rsid w:val="00FD1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EA92"/>
  <w15:chartTrackingRefBased/>
  <w15:docId w15:val="{0BF30924-D57C-4094-BC40-F244784D9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ECD"/>
  </w:style>
  <w:style w:type="paragraph" w:styleId="Heading3">
    <w:name w:val="heading 3"/>
    <w:basedOn w:val="Normal"/>
    <w:link w:val="Heading3Char"/>
    <w:qFormat/>
    <w:rsid w:val="00752351"/>
    <w:pPr>
      <w:keepNext/>
      <w:spacing w:after="0" w:line="240" w:lineRule="auto"/>
      <w:ind w:left="720"/>
      <w:jc w:val="both"/>
      <w:outlineLvl w:val="2"/>
    </w:pPr>
    <w:rPr>
      <w:rFonts w:ascii="Tahoma" w:eastAsia="SimSun" w:hAnsi="Tahoma" w:cs="Tahoma"/>
      <w:b/>
      <w:bCs/>
      <w:kern w:val="0"/>
      <w:sz w:val="20"/>
      <w:szCs w:val="2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30ECD"/>
    <w:rPr>
      <w:sz w:val="16"/>
      <w:szCs w:val="16"/>
    </w:rPr>
  </w:style>
  <w:style w:type="paragraph" w:styleId="CommentText">
    <w:name w:val="annotation text"/>
    <w:basedOn w:val="Normal"/>
    <w:link w:val="CommentTextChar"/>
    <w:uiPriority w:val="99"/>
    <w:unhideWhenUsed/>
    <w:rsid w:val="00F30ECD"/>
    <w:pPr>
      <w:spacing w:line="240" w:lineRule="auto"/>
    </w:pPr>
    <w:rPr>
      <w:sz w:val="20"/>
      <w:szCs w:val="20"/>
    </w:rPr>
  </w:style>
  <w:style w:type="character" w:customStyle="1" w:styleId="CommentTextChar">
    <w:name w:val="Comment Text Char"/>
    <w:basedOn w:val="DefaultParagraphFont"/>
    <w:link w:val="CommentText"/>
    <w:uiPriority w:val="99"/>
    <w:rsid w:val="00F30ECD"/>
    <w:rPr>
      <w:sz w:val="20"/>
      <w:szCs w:val="20"/>
    </w:rPr>
  </w:style>
  <w:style w:type="paragraph" w:styleId="FootnoteText">
    <w:name w:val="footnote text"/>
    <w:basedOn w:val="Normal"/>
    <w:link w:val="FootnoteTextChar"/>
    <w:uiPriority w:val="99"/>
    <w:semiHidden/>
    <w:unhideWhenUsed/>
    <w:rsid w:val="00F30E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0ECD"/>
    <w:rPr>
      <w:sz w:val="20"/>
      <w:szCs w:val="20"/>
    </w:rPr>
  </w:style>
  <w:style w:type="character" w:styleId="FootnoteReference">
    <w:name w:val="footnote reference"/>
    <w:basedOn w:val="DefaultParagraphFont"/>
    <w:uiPriority w:val="99"/>
    <w:semiHidden/>
    <w:unhideWhenUsed/>
    <w:rsid w:val="00F30ECD"/>
    <w:rPr>
      <w:vertAlign w:val="superscript"/>
    </w:rPr>
  </w:style>
  <w:style w:type="character" w:customStyle="1" w:styleId="Heading3Char">
    <w:name w:val="Heading 3 Char"/>
    <w:basedOn w:val="DefaultParagraphFont"/>
    <w:link w:val="Heading3"/>
    <w:rsid w:val="00752351"/>
    <w:rPr>
      <w:rFonts w:ascii="Tahoma" w:eastAsia="SimSun" w:hAnsi="Tahoma" w:cs="Tahoma"/>
      <w:b/>
      <w:bCs/>
      <w:kern w:val="0"/>
      <w:sz w:val="20"/>
      <w:szCs w:val="20"/>
      <w:lang w:val="en-GB" w:eastAsia="zh-CN"/>
      <w14:ligatures w14:val="none"/>
    </w:rPr>
  </w:style>
  <w:style w:type="paragraph" w:styleId="NormalWeb">
    <w:name w:val="Normal (Web)"/>
    <w:basedOn w:val="Normal"/>
    <w:rsid w:val="00752351"/>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character" w:styleId="Hyperlink">
    <w:name w:val="Hyperlink"/>
    <w:basedOn w:val="DefaultParagraphFont"/>
    <w:uiPriority w:val="99"/>
    <w:unhideWhenUsed/>
    <w:rsid w:val="00F7005F"/>
    <w:rPr>
      <w:color w:val="0000FF"/>
      <w:u w:val="single"/>
    </w:rPr>
  </w:style>
  <w:style w:type="character" w:styleId="UnresolvedMention">
    <w:name w:val="Unresolved Mention"/>
    <w:basedOn w:val="DefaultParagraphFont"/>
    <w:uiPriority w:val="99"/>
    <w:semiHidden/>
    <w:unhideWhenUsed/>
    <w:rsid w:val="00F700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customXml" Target="ink/ink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9:12:06.299"/>
    </inkml:context>
    <inkml:brush xml:id="br0">
      <inkml:brushProperty name="width" value="0.035" units="cm"/>
      <inkml:brushProperty name="height" value="0.035" units="cm"/>
    </inkml:brush>
  </inkml:definitions>
  <inkml:trace contextRef="#ctx0" brushRef="#br0">1 473 24575,'1'-3'0,"0"1"0,1-1 0,-1 1 0,1 0 0,-1-1 0,1 1 0,0 0 0,0 0 0,0 0 0,0 0 0,4-2 0,2-3 0,429-401 0,-416 391-1365,-5 5-5461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9:12:35.163"/>
    </inkml:context>
    <inkml:brush xml:id="br0">
      <inkml:brushProperty name="width" value="0.035" units="cm"/>
      <inkml:brushProperty name="height" value="0.035" units="cm"/>
    </inkml:brush>
  </inkml:definitions>
  <inkml:trace contextRef="#ctx0" brushRef="#br0">391 25 24575,'0'0'0,"0"-2"0,0 1 0,0 0 0,-1-1 0,1 1 0,0 0 0,0 0 0,-1-1 0,1 1 0,-1 0 0,0 0 0,1-1 0,-1 1 0,0 0 0,1 0 0,-2-1 0,-1 1 0,1 1 0,0-1 0,0 1 0,-1-1 0,1 1 0,0 0 0,-1 0 0,1 0 0,0 0 0,-1 0 0,1 1 0,0-1 0,-1 1 0,1 0 0,0-1 0,0 1 0,0 0 0,0 0 0,-4 3 0,-40 26 0,44-28 0,-24 19 0,0 2 0,2 1 0,1 1 0,1 1 0,1 0 0,1 2 0,1 0 0,2 2 0,1 0 0,1 0 0,2 2 0,1-1 0,-10 46 0,18-62 0,2-1 0,0 1 0,1 0 0,0 0 0,1 0 0,1 0 0,4 21 0,-5-31 0,1-1 0,0 1 0,0-1 0,1 0 0,0 1 0,-1-1 0,1 0 0,1 0 0,-1 0 0,0 0 0,1-1 0,0 1 0,0 0 0,0-1 0,0 0 0,1 0 0,-1 0 0,1 0 0,0-1 0,0 1 0,0-1 0,0 0 0,0 0 0,0-1 0,1 1 0,-1-1 0,1 0 0,4 1 0,4-1-195,-1-1 0,1-1 0,0 0 0,0 0 0,-1-1 0,18-5 0,22-9-6631</inkml:trace>
  <inkml:trace contextRef="#ctx0" brushRef="#br0" timeOffset="525.62">329 343 24575,'30'-14'0,"-4"4"0,0 0 0,37-7 0,-49 14 0,0 0 0,0 2 0,1-1 0,-1 2 0,0 0 0,21 3 0,-31-2 0,0-1 0,0 1 0,0 1 0,0-1 0,0 1 0,-1-1 0,1 1 0,-1 0 0,1 1 0,-1-1 0,0 0 0,0 1 0,0 0 0,0 0 0,0 0 0,-1 0 0,1 0 0,-1 0 0,0 1 0,0-1 0,0 1 0,0-1 0,-1 1 0,1 0 0,-1 0 0,0 0 0,0 0 0,0 0 0,-1 5 0,2 8 0,-2 0 0,0-1 0,-1 1 0,0 0 0,-7 28 0,-2-5-455,-2 0 0,-20 48 0,15-51-6371</inkml:trace>
  <inkml:trace contextRef="#ctx0" brushRef="#br0" timeOffset="2240.47">835 381 24575,'-1'3'0,"-1"0"0,1 0 0,0 1 0,0-1 0,0 0 0,0 0 0,1 1 0,-1-1 0,1 7 0,-2 3 0,-3 11 0,2-10 0,0 0 0,0 1 0,2-1 0,-1 1 0,2-1 0,2 30 0,-1-43 0,-1 0 0,1-1 0,-1 1 0,1 0 0,-1 0 0,1 0 0,-1-1 0,1 1 0,0 0 0,-1-1 0,1 1 0,0 0 0,0-1 0,0 1 0,-1-1 0,1 1 0,0-1 0,0 0 0,0 1 0,0-1 0,0 0 0,0 1 0,0-1 0,0 0 0,0 0 0,0 0 0,0 0 0,0 0 0,0 0 0,0 0 0,-1 0 0,1-1 0,0 1 0,0 0 0,0-1 0,0 1 0,0 0 0,0-1 0,1 0 0,41-20 0,-40 19 0,13-8 0,-9 6 0,0-1 0,0 1 0,0 1 0,0-1 0,0 2 0,10-4 0,-16 6 0,1 0 0,-1 0 0,1 0 0,-1 0 0,1 0 0,-1 0 0,1 0 0,-1 0 0,1 1 0,-1-1 0,0 0 0,1 1 0,-1 0 0,1-1 0,-1 1 0,0 0 0,0 0 0,1-1 0,-1 1 0,0 0 0,0 0 0,0 0 0,0 0 0,0 1 0,0-1 0,0 0 0,0 0 0,0 1 0,-1-1 0,1 0 0,-1 1 0,1-1 0,-1 1 0,1-1 0,-1 1 0,0-1 0,1 1 0,-1 1 0,5 30 0,-4-23 0,1 0 0,-1 0 0,2 0 0,6 18 0,-8-26 0,0 0 0,0 0 0,0 0 0,0 0 0,1-1 0,-1 1 0,1 0 0,-1 0 0,1-1 0,-1 1 0,1-1 0,0 0 0,0 1 0,0-1 0,0 0 0,0 0 0,0 0 0,0 0 0,0-1 0,0 1 0,0 0 0,1-1 0,-1 0 0,0 1 0,0-1 0,0 0 0,3 0 0,7-2 0,-1 1 0,1-2 0,-1 0 0,0 0 0,0-1 0,0 0 0,0-1 0,16-9 0,-14 6 0,-1 0 0,0-1 0,0 0 0,0-1 0,-2 0 0,14-16 0,-22 24 0,0-1 0,0 0 0,0 1 0,-1-1 0,1 0 0,-1 0 0,0 0 0,1 0 0,-1 0 0,-1 0 0,1-1 0,0 1 0,-1 0 0,0 0 0,1-1 0,-1 1 0,-1 0 0,1 0 0,0-1 0,-1 1 0,0 0 0,1 0 0,-1 0 0,-3-6 0,4 8 0,-1 0 0,1 0 0,-1 0 0,1 0 0,0 0 0,0 0 0,-1-1 0,1 1 0,0 0 0,0 0 0,0 0 0,0 0 0,0 0 0,1 0 0,-1 0 0,0 0 0,0-1 0,1 1 0,-1 0 0,1 0 0,-1 0 0,1 0 0,-1 0 0,2-1 0,-1 1 0,0 1 0,0 0 0,0-1 0,1 1 0,-1 0 0,0-1 0,0 1 0,0 0 0,0 0 0,1 0 0,-1 0 0,0 0 0,0 0 0,0 0 0,1 1 0,-1-1 0,0 0 0,2 1 0,4 2 0,0 0 0,0 1 0,0-1 0,0 1 0,11 9 0,-10-5 0,0 0 0,0 1 0,-1 0 0,0 0 0,6 11 0,17 23 0,-29-42 0,0 0 0,0 0 0,0 0 0,0-1 0,0 1 0,0 0 0,0-1 0,0 1 0,1-1 0,-1 0 0,0 1 0,0-1 0,1 0 0,-1 1 0,0-1 0,0 0 0,1 0 0,-1 0 0,0 0 0,1-1 0,-1 1 0,0 0 0,0 0 0,1-1 0,-1 1 0,0-1 0,0 1 0,0-1 0,1 1 0,0-2 0,37-25 0,-33 23 0,124-111 0,-129 114 0,0 0 0,1 0 0,-1 0 0,0 0 0,1 0 0,-1 0 0,0 0 0,1 1 0,-1-1 0,1 0 0,-1 1 0,1-1 0,0 1 0,-1-1 0,4 1 0,-5 0 0,1 0 0,-1 0 0,0 1 0,1-1 0,-1 0 0,1 1 0,-1-1 0,1 0 0,-1 1 0,0-1 0,1 1 0,-1-1 0,0 1 0,1-1 0,-1 1 0,0-1 0,0 1 0,1-1 0,-1 1 0,0-1 0,0 1 0,0-1 0,0 1 0,0-1 0,0 1 0,0-1 0,0 1 0,0-1 0,0 2 0,0 7 0,-2-1 0,1 1 0,-1-1 0,-5 16 0,-23 60 0,-63 121 0,-62 71 0,140-250 0,7-11 0,-1-1 0,0 1 0,-1-1 0,-1-1 0,0 0 0,-21 19 0,31-31 0,0 0 0,0 0 0,0 0 0,-1 0 0,1 0 0,0-1 0,-1 1 0,1 0 0,-1-1 0,1 1 0,-1-1 0,1 1 0,-1-1 0,1 0 0,-1 0 0,1 0 0,-1 1 0,0-2 0,1 1 0,-1 0 0,1 0 0,-1 0 0,1-1 0,-1 1 0,-1-1 0,0-1 0,1 0 0,-1 0 0,1 0 0,0 0 0,0 0 0,-1 0 0,2-1 0,-1 1 0,0-1 0,0 1 0,1-1 0,-2-3 0,-3-9 0,0 0 0,2 0 0,-6-28 0,4 11 0,2 0 0,-1-46 0,4 69 0,2 0 0,-1 0 0,1 0 0,0 0 0,1 0 0,0 0 0,0 0 0,1 0 0,0 1 0,1-1 0,0 1 0,0 0 0,9-11 0,-7 12 0,1 1 0,0 0 0,0 0 0,0 0 0,1 1 0,0 0 0,17-7 0,67-21 0,-40 16 0,-5-2 0,0-1 0,-1-3 0,-1-2 0,49-35 0,-71 43 0,-1 0 0,-1-2 0,0-1 0,-2 0 0,0-2 0,-1 0 0,-1-1 0,-1 0 0,14-29 0,-27 46 0,0 0 0,-1-1 0,1 1 0,-1-1 0,0 0 0,-1 1 0,0-1 0,0 0 0,0 0 0,-1-9 0,0 12 0,-1 0 0,0 0 0,0 0 0,0 0 0,0 0 0,-1 1 0,0-1 0,0 0 0,0 1 0,0-1 0,0 1 0,-1 0 0,1-1 0,-1 1 0,0 0 0,0 1 0,0-1 0,-5-3 0,-7-4 0,0 2 0,-1-1 0,0 2 0,0 0 0,0 1 0,-1 1 0,0 0 0,0 1 0,0 1 0,-32-2 0,13 4 0,0 1 0,0 2 0,1 2 0,-49 10 0,23 2 0,1 2 0,0 2 0,1 4 0,1 1 0,2 4 0,-84 55 0,140-84 0,-55 41 0,50-37 0,0 0 0,1 1 0,0-1 0,-1 1 0,2 0 0,-1 0 0,-6 11 0,10-14 0,-1-1 0,1 0 0,-1 1 0,1-1 0,-1 1 0,1-1 0,0 1 0,-1-1 0,1 1 0,0-1 0,0 1 0,0-1 0,0 0 0,1 1 0,-1-1 0,0 1 0,1-1 0,-1 1 0,1-1 0,-1 1 0,1-1 0,0 0 0,-1 0 0,1 1 0,0-1 0,0 0 0,0 0 0,0 0 0,0 0 0,0 0 0,0 0 0,0 0 0,3 2 0,3 0 0,0 1 0,0-1 0,0 0 0,0-1 0,0 0 0,13 2 0,13 1 0,-1-2 0,58-1 0,158-25 0,452-124-1365,-358 56-5461</inkml:trace>
  <inkml:trace contextRef="#ctx0" brushRef="#br0" timeOffset="3292.96">3373 149 24575,'0'-5'0,"0"0"0,-1 1 0,1-1 0,-1 0 0,0 0 0,0 0 0,0 1 0,0-1 0,-1 0 0,0 1 0,0 0 0,0-1 0,-1 1 0,-4-6 0,4 7 0,0 0 0,0 0 0,-1 1 0,1-1 0,-1 1 0,1 0 0,-1 0 0,0 0 0,0 1 0,0-1 0,0 1 0,0 0 0,0 0 0,0 0 0,0 1 0,0-1 0,-7 1 0,-13 1 0,0 1 0,0 1 0,1 1 0,-1 1 0,1 2 0,1 0 0,-30 13 0,-9 8 0,-78 49 0,-24 34 0,136-90 0,1 2 0,1 1 0,-35 42 0,58-63 0,-1 0 0,1 0 0,0 0 0,0 0 0,0 1 0,1-1 0,-2 5 0,3-7 0,-1-1 0,1 1 0,0 0 0,0 0 0,0-1 0,1 1 0,-1 0 0,0 0 0,0-1 0,0 1 0,0 0 0,1-1 0,-1 1 0,0 0 0,1-1 0,-1 1 0,0 0 0,1-1 0,-1 1 0,1-1 0,-1 1 0,1 0 0,-1-1 0,1 0 0,0 1 0,-1-1 0,1 1 0,0-1 0,-1 0 0,1 1 0,0-1 0,-1 0 0,1 0 0,0 1 0,-1-1 0,1 0 0,0 0 0,0 0 0,-1 0 0,1 0 0,0 0 0,0 0 0,1 0 0,16-1 0,0 0 0,0-1 0,0-1 0,0-1 0,0-1 0,28-11 0,-26 10 0,196-72 0,-113 39 0,199-50 0,-291 86 0,0 1 0,-1 0 0,1 1 0,0 0 0,0 1 0,0 0 0,0 1 0,0 0 0,14 3 0,-23-3 0,0-1 0,-1 1 0,1-1 0,0 1 0,-1 0 0,1 0 0,-1 0 0,1 0 0,-1 0 0,1 0 0,-1 0 0,0 0 0,0 0 0,1 1 0,-1-1 0,0 0 0,0 1 0,0-1 0,0 1 0,-1 0 0,1-1 0,0 1 0,-1-1 0,1 1 0,-1 0 0,1 0 0,-1-1 0,0 1 0,0 0 0,0 0 0,0-1 0,0 1 0,0 0 0,0 0 0,-1-1 0,0 3 0,-1 3 0,-1 1 0,0-1 0,0 0 0,0 0 0,-1 0 0,-1 0 0,-5 7 0,-15 16 0,-1-2 0,-2 0 0,0-2 0,-2-1 0,-40 27 0,-175 93 0,9-32 0,186-93 0,0-2 0,-97 20 0,126-34 0,-41 2 0,58-6 0,-1 0 0,0 0 0,0 0 0,0-1 0,1 0 0,-1 0 0,0 0 0,1 0 0,-1-1 0,1 0 0,-1 0 0,1 0 0,0 0 0,-5-4 0,8 5 0,0 0 0,0 0 0,0 0 0,0 0 0,0 0 0,1 0 0,-1 0 0,0 0 0,1 0 0,-1 0 0,1 0 0,-1 0 0,1-1 0,0 1 0,-1 0 0,1 0 0,0-1 0,0 1 0,0 0 0,0 0 0,0-1 0,0 1 0,0 0 0,0 0 0,1-2 0,0-1 0,0 1 0,1-1 0,0 1 0,-1 0 0,1 0 0,0 0 0,1 0 0,4-5 0,2-1 0,1 0 0,1 0 0,-1 1 0,2 0 0,17-8 0,73-31 0,35-3 33,230-53 0,160 0-362,545-62-2090,-765 122-3090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2969</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 Silver</dc:creator>
  <cp:keywords/>
  <dc:description/>
  <cp:lastModifiedBy>Gwyn Silver</cp:lastModifiedBy>
  <cp:revision>2</cp:revision>
  <dcterms:created xsi:type="dcterms:W3CDTF">2024-03-15T20:29:00Z</dcterms:created>
  <dcterms:modified xsi:type="dcterms:W3CDTF">2024-03-15T20:29:00Z</dcterms:modified>
</cp:coreProperties>
</file>