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8B438" w14:textId="77777777" w:rsidR="003A6008" w:rsidRPr="00D11BE7" w:rsidRDefault="003A6008" w:rsidP="00D11BE7">
      <w:pPr>
        <w:spacing w:line="360" w:lineRule="auto"/>
        <w:rPr>
          <w:rFonts w:ascii="Arial" w:hAnsi="Arial" w:cs="Arial"/>
          <w:sz w:val="24"/>
          <w:szCs w:val="24"/>
        </w:rPr>
      </w:pPr>
    </w:p>
    <w:p w14:paraId="6A2678BF" w14:textId="77777777" w:rsidR="003A6008" w:rsidRPr="00D11BE7" w:rsidRDefault="003A6008" w:rsidP="00D11BE7">
      <w:pPr>
        <w:spacing w:line="360" w:lineRule="auto"/>
        <w:jc w:val="center"/>
        <w:rPr>
          <w:rFonts w:ascii="Arial" w:hAnsi="Arial" w:cs="Arial"/>
          <w:sz w:val="24"/>
          <w:szCs w:val="24"/>
        </w:rPr>
      </w:pPr>
      <w:r w:rsidRPr="00D11BE7">
        <w:rPr>
          <w:rFonts w:ascii="Arial" w:hAnsi="Arial" w:cs="Arial"/>
          <w:sz w:val="24"/>
          <w:szCs w:val="24"/>
        </w:rPr>
        <w:t>UNIVERSITY OF WELLS TRINITY SANT DAVID</w:t>
      </w:r>
    </w:p>
    <w:p w14:paraId="60F31E43" w14:textId="77777777" w:rsidR="003A6008" w:rsidRPr="00D11BE7" w:rsidRDefault="003A6008" w:rsidP="00D11BE7">
      <w:pPr>
        <w:spacing w:line="360" w:lineRule="auto"/>
        <w:jc w:val="center"/>
        <w:rPr>
          <w:rFonts w:ascii="Arial" w:hAnsi="Arial" w:cs="Arial"/>
          <w:sz w:val="24"/>
          <w:szCs w:val="24"/>
        </w:rPr>
      </w:pPr>
    </w:p>
    <w:p w14:paraId="69DCD93D" w14:textId="77777777" w:rsidR="003A6008" w:rsidRPr="00D11BE7" w:rsidRDefault="003A6008" w:rsidP="00D11BE7">
      <w:pPr>
        <w:spacing w:line="360" w:lineRule="auto"/>
        <w:jc w:val="center"/>
        <w:rPr>
          <w:rFonts w:ascii="Arial" w:hAnsi="Arial" w:cs="Arial"/>
          <w:sz w:val="24"/>
          <w:szCs w:val="24"/>
        </w:rPr>
      </w:pPr>
      <w:r w:rsidRPr="00D11BE7">
        <w:rPr>
          <w:rFonts w:ascii="Arial" w:hAnsi="Arial" w:cs="Arial"/>
          <w:noProof/>
          <w:sz w:val="24"/>
          <w:szCs w:val="24"/>
        </w:rPr>
        <w:drawing>
          <wp:inline distT="0" distB="0" distL="0" distR="0" wp14:anchorId="485AC604" wp14:editId="5D6B60FE">
            <wp:extent cx="1667510" cy="1325880"/>
            <wp:effectExtent l="0" t="0" r="0" b="0"/>
            <wp:docPr id="1151481291" name="Picture 3" descr="Free Employability Workshop with University of Wales Trinity Saint ...">
              <a:extLst xmlns:a="http://schemas.openxmlformats.org/drawingml/2006/main">
                <a:ext uri="{FF2B5EF4-FFF2-40B4-BE49-F238E27FC236}">
                  <a16:creationId xmlns:a16="http://schemas.microsoft.com/office/drawing/2014/main" id="{F9B34880-FBAC-4983-939C-EE5598410C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Employability Workshop with University of Wales Trinity Sain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4291" cy="1331272"/>
                    </a:xfrm>
                    <a:prstGeom prst="rect">
                      <a:avLst/>
                    </a:prstGeom>
                    <a:noFill/>
                    <a:ln>
                      <a:noFill/>
                    </a:ln>
                  </pic:spPr>
                </pic:pic>
              </a:graphicData>
            </a:graphic>
          </wp:inline>
        </w:drawing>
      </w:r>
    </w:p>
    <w:p w14:paraId="5886DE63" w14:textId="77777777" w:rsidR="003A6008" w:rsidRPr="00D11BE7" w:rsidRDefault="003A6008" w:rsidP="00D11BE7">
      <w:pPr>
        <w:spacing w:line="360" w:lineRule="auto"/>
        <w:jc w:val="center"/>
        <w:rPr>
          <w:rFonts w:ascii="Arial" w:hAnsi="Arial" w:cs="Arial"/>
          <w:sz w:val="24"/>
          <w:szCs w:val="24"/>
        </w:rPr>
      </w:pPr>
    </w:p>
    <w:p w14:paraId="490E6504" w14:textId="77777777" w:rsidR="003A6008" w:rsidRPr="00D11BE7" w:rsidRDefault="003A6008" w:rsidP="00D11BE7">
      <w:pPr>
        <w:spacing w:line="360" w:lineRule="auto"/>
        <w:rPr>
          <w:rFonts w:ascii="Arial" w:hAnsi="Arial" w:cs="Arial"/>
          <w:sz w:val="24"/>
          <w:szCs w:val="24"/>
        </w:rPr>
      </w:pPr>
      <w:r w:rsidRPr="00D11BE7">
        <w:rPr>
          <w:rFonts w:ascii="Arial" w:hAnsi="Arial" w:cs="Arial"/>
          <w:sz w:val="24"/>
          <w:szCs w:val="24"/>
        </w:rPr>
        <w:t>MODULE: BUSINESS DEVELOPMENT PROPOSAL                    CODE: LCMB7037</w:t>
      </w:r>
    </w:p>
    <w:p w14:paraId="48461741" w14:textId="77777777" w:rsidR="003A6008" w:rsidRPr="00D11BE7" w:rsidRDefault="003A6008" w:rsidP="00D11BE7">
      <w:pPr>
        <w:spacing w:line="360" w:lineRule="auto"/>
        <w:rPr>
          <w:rFonts w:ascii="Arial" w:hAnsi="Arial" w:cs="Arial"/>
          <w:sz w:val="24"/>
          <w:szCs w:val="24"/>
        </w:rPr>
      </w:pPr>
    </w:p>
    <w:p w14:paraId="43F6F96C" w14:textId="77777777" w:rsidR="003A6008" w:rsidRPr="00D11BE7" w:rsidRDefault="003A6008" w:rsidP="00D11BE7">
      <w:pPr>
        <w:spacing w:line="360" w:lineRule="auto"/>
        <w:rPr>
          <w:rFonts w:ascii="Arial" w:hAnsi="Arial" w:cs="Arial"/>
          <w:sz w:val="24"/>
          <w:szCs w:val="24"/>
        </w:rPr>
      </w:pPr>
      <w:r w:rsidRPr="00D11BE7">
        <w:rPr>
          <w:rFonts w:ascii="Arial" w:hAnsi="Arial" w:cs="Arial"/>
          <w:sz w:val="24"/>
          <w:szCs w:val="24"/>
        </w:rPr>
        <w:t>STUDENT: KUMAKAMBA PUNGA                                                 ID: 2226848</w:t>
      </w:r>
    </w:p>
    <w:p w14:paraId="74CB71C8" w14:textId="77777777" w:rsidR="003A6008" w:rsidRPr="00D11BE7" w:rsidRDefault="003A6008" w:rsidP="00D11BE7">
      <w:pPr>
        <w:spacing w:line="360" w:lineRule="auto"/>
        <w:rPr>
          <w:rFonts w:ascii="Arial" w:hAnsi="Arial" w:cs="Arial"/>
          <w:sz w:val="24"/>
          <w:szCs w:val="24"/>
        </w:rPr>
      </w:pPr>
    </w:p>
    <w:p w14:paraId="45DAD4BA" w14:textId="01B2467F" w:rsidR="000D2CE5" w:rsidRPr="00D11BE7" w:rsidRDefault="003A6008" w:rsidP="00D11BE7">
      <w:pPr>
        <w:spacing w:line="360" w:lineRule="auto"/>
        <w:rPr>
          <w:rFonts w:ascii="Arial" w:hAnsi="Arial" w:cs="Arial"/>
          <w:sz w:val="24"/>
          <w:szCs w:val="24"/>
        </w:rPr>
      </w:pPr>
      <w:r w:rsidRPr="00D11BE7">
        <w:rPr>
          <w:rFonts w:ascii="Arial" w:hAnsi="Arial" w:cs="Arial"/>
          <w:sz w:val="24"/>
          <w:szCs w:val="24"/>
        </w:rPr>
        <w:t>SUPERVISOR: PROFESSOR MANSOOB MURSHED </w:t>
      </w:r>
    </w:p>
    <w:p w14:paraId="3FC02463" w14:textId="77777777" w:rsidR="00A8609D" w:rsidRPr="00D11BE7" w:rsidRDefault="00A8609D" w:rsidP="00D11BE7">
      <w:pPr>
        <w:spacing w:line="360" w:lineRule="auto"/>
        <w:jc w:val="center"/>
        <w:rPr>
          <w:rFonts w:ascii="Arial" w:hAnsi="Arial" w:cs="Arial"/>
          <w:sz w:val="24"/>
          <w:szCs w:val="24"/>
        </w:rPr>
      </w:pPr>
    </w:p>
    <w:p w14:paraId="4940CE38" w14:textId="77777777" w:rsidR="00A8609D" w:rsidRPr="00D11BE7" w:rsidRDefault="00A8609D" w:rsidP="00D11BE7">
      <w:pPr>
        <w:spacing w:line="360" w:lineRule="auto"/>
        <w:rPr>
          <w:rFonts w:ascii="Arial" w:hAnsi="Arial" w:cs="Arial"/>
          <w:sz w:val="24"/>
          <w:szCs w:val="24"/>
        </w:rPr>
      </w:pPr>
      <w:r w:rsidRPr="00D11BE7">
        <w:rPr>
          <w:rFonts w:ascii="Arial" w:hAnsi="Arial" w:cs="Arial"/>
          <w:sz w:val="24"/>
          <w:szCs w:val="24"/>
        </w:rPr>
        <w:t>DEVELOPING AN AI-POWERED ELECTRIC VEHICLE (EV) POWER-STATION SERVICE ENTERPRISE FOR UK SMEs: A BUSINESS DEVELOPMENT PROPOSAL FOR A NEW START-UP VENTURE WITHIN THE UK MARKET, WITH AN INITIAL FOCUS ON BRISTOL</w:t>
      </w:r>
    </w:p>
    <w:p w14:paraId="67DE288B" w14:textId="77777777" w:rsidR="00AA4B78" w:rsidRPr="00D11BE7" w:rsidRDefault="00AA4B78" w:rsidP="00D11BE7">
      <w:pPr>
        <w:spacing w:line="360" w:lineRule="auto"/>
        <w:rPr>
          <w:rFonts w:ascii="Arial" w:hAnsi="Arial" w:cs="Arial"/>
          <w:sz w:val="24"/>
          <w:szCs w:val="24"/>
        </w:rPr>
      </w:pPr>
    </w:p>
    <w:p w14:paraId="7DF5275F" w14:textId="77777777" w:rsidR="00FB5BBF" w:rsidRPr="00D11BE7" w:rsidRDefault="00AA4B78" w:rsidP="00D11BE7">
      <w:pPr>
        <w:spacing w:line="360" w:lineRule="auto"/>
        <w:rPr>
          <w:rFonts w:ascii="Arial" w:hAnsi="Arial" w:cs="Arial"/>
          <w:sz w:val="24"/>
          <w:szCs w:val="24"/>
        </w:rPr>
      </w:pPr>
      <w:r w:rsidRPr="00D11BE7">
        <w:rPr>
          <w:rFonts w:ascii="Arial" w:hAnsi="Arial" w:cs="Arial"/>
          <w:sz w:val="24"/>
          <w:szCs w:val="24"/>
        </w:rPr>
        <w:t>BUSINESS DEVELOPMENT PROPOSAL OUTLINE</w:t>
      </w:r>
      <w:r w:rsidR="00FB5BBF" w:rsidRPr="00D11BE7">
        <w:rPr>
          <w:rFonts w:ascii="Arial" w:hAnsi="Arial" w:cs="Arial"/>
          <w:sz w:val="24"/>
          <w:szCs w:val="24"/>
        </w:rPr>
        <w:t>.</w:t>
      </w:r>
    </w:p>
    <w:p w14:paraId="79923C5D" w14:textId="77777777" w:rsidR="00FB5BBF" w:rsidRPr="00D11BE7" w:rsidRDefault="00FB5BBF" w:rsidP="00D11BE7">
      <w:pPr>
        <w:spacing w:line="360" w:lineRule="auto"/>
        <w:rPr>
          <w:rFonts w:ascii="Arial" w:hAnsi="Arial" w:cs="Arial"/>
          <w:sz w:val="24"/>
          <w:szCs w:val="24"/>
        </w:rPr>
      </w:pPr>
    </w:p>
    <w:p w14:paraId="4534B93E" w14:textId="40F45CA0" w:rsidR="003A6008" w:rsidRPr="00D11BE7" w:rsidRDefault="00064DB8" w:rsidP="00D11BE7">
      <w:pPr>
        <w:spacing w:line="360" w:lineRule="auto"/>
        <w:rPr>
          <w:rFonts w:ascii="Arial" w:hAnsi="Arial" w:cs="Arial"/>
          <w:sz w:val="24"/>
          <w:szCs w:val="24"/>
        </w:rPr>
      </w:pPr>
      <w:r w:rsidRPr="00D11BE7">
        <w:rPr>
          <w:rFonts w:ascii="Arial" w:hAnsi="Arial" w:cs="Arial"/>
          <w:sz w:val="24"/>
          <w:szCs w:val="24"/>
        </w:rPr>
        <w:t xml:space="preserve"> </w:t>
      </w:r>
      <w:r w:rsidR="003A6008" w:rsidRPr="00D11BE7">
        <w:rPr>
          <w:rFonts w:ascii="Arial" w:hAnsi="Arial" w:cs="Arial"/>
          <w:sz w:val="24"/>
          <w:szCs w:val="24"/>
        </w:rPr>
        <w:t xml:space="preserve">AT K.P. BRISTOL POWERSTATION UK LTD </w:t>
      </w:r>
    </w:p>
    <w:p w14:paraId="054C3018" w14:textId="77777777" w:rsidR="000354D4" w:rsidRPr="00D11BE7" w:rsidRDefault="000354D4" w:rsidP="00D11BE7">
      <w:pPr>
        <w:spacing w:line="360" w:lineRule="auto"/>
        <w:rPr>
          <w:rFonts w:ascii="Arial" w:hAnsi="Arial" w:cs="Arial"/>
          <w:sz w:val="24"/>
          <w:szCs w:val="24"/>
        </w:rPr>
      </w:pPr>
    </w:p>
    <w:p w14:paraId="126748E7" w14:textId="77777777" w:rsidR="000354D4" w:rsidRPr="00D11BE7" w:rsidRDefault="000354D4" w:rsidP="00D11BE7">
      <w:pPr>
        <w:spacing w:line="360" w:lineRule="auto"/>
        <w:rPr>
          <w:rFonts w:ascii="Arial" w:hAnsi="Arial" w:cs="Arial"/>
          <w:sz w:val="24"/>
          <w:szCs w:val="24"/>
        </w:rPr>
      </w:pPr>
    </w:p>
    <w:p w14:paraId="1E4BA9FD" w14:textId="77777777" w:rsidR="006A69BF" w:rsidRDefault="006A69BF" w:rsidP="00D11BE7">
      <w:pPr>
        <w:spacing w:line="360" w:lineRule="auto"/>
        <w:rPr>
          <w:rFonts w:ascii="Arial" w:hAnsi="Arial" w:cs="Arial"/>
          <w:sz w:val="24"/>
          <w:szCs w:val="24"/>
        </w:rPr>
      </w:pPr>
    </w:p>
    <w:p w14:paraId="6EDE9B24" w14:textId="16F05DD0" w:rsidR="0079431E" w:rsidRPr="00D11BE7" w:rsidRDefault="00857717" w:rsidP="00D11BE7">
      <w:pPr>
        <w:spacing w:line="360" w:lineRule="auto"/>
        <w:rPr>
          <w:rFonts w:ascii="Arial" w:hAnsi="Arial" w:cs="Arial"/>
          <w:sz w:val="24"/>
          <w:szCs w:val="24"/>
        </w:rPr>
      </w:pPr>
      <w:r w:rsidRPr="00D11BE7">
        <w:rPr>
          <w:rFonts w:ascii="Arial" w:hAnsi="Arial" w:cs="Arial"/>
          <w:sz w:val="24"/>
          <w:szCs w:val="24"/>
        </w:rPr>
        <w:lastRenderedPageBreak/>
        <w:t>1 THE</w:t>
      </w:r>
      <w:r w:rsidR="002B4F8E" w:rsidRPr="00D11BE7">
        <w:rPr>
          <w:rFonts w:ascii="Arial" w:hAnsi="Arial" w:cs="Arial"/>
          <w:sz w:val="24"/>
          <w:szCs w:val="24"/>
        </w:rPr>
        <w:t xml:space="preserve"> </w:t>
      </w:r>
      <w:r w:rsidR="00DB4CB2" w:rsidRPr="00D11BE7">
        <w:rPr>
          <w:rFonts w:ascii="Arial" w:hAnsi="Arial" w:cs="Arial"/>
          <w:sz w:val="24"/>
          <w:szCs w:val="24"/>
        </w:rPr>
        <w:t>OUTLINE</w:t>
      </w:r>
      <w:r w:rsidR="0079431E" w:rsidRPr="00D11BE7">
        <w:rPr>
          <w:rFonts w:ascii="Arial" w:hAnsi="Arial" w:cs="Arial"/>
          <w:sz w:val="24"/>
          <w:szCs w:val="24"/>
        </w:rPr>
        <w:t xml:space="preserve"> </w:t>
      </w:r>
      <w:r w:rsidR="00253914" w:rsidRPr="00D11BE7">
        <w:rPr>
          <w:rFonts w:ascii="Arial" w:hAnsi="Arial" w:cs="Arial"/>
          <w:sz w:val="24"/>
          <w:szCs w:val="24"/>
        </w:rPr>
        <w:t>INTRODUCTION AND PROPOSED ENTERPRISE</w:t>
      </w:r>
      <w:r w:rsidR="006A5333" w:rsidRPr="00D11BE7">
        <w:rPr>
          <w:rFonts w:ascii="Arial" w:hAnsi="Arial" w:cs="Arial"/>
          <w:sz w:val="24"/>
          <w:szCs w:val="24"/>
        </w:rPr>
        <w:t>.</w:t>
      </w:r>
    </w:p>
    <w:p w14:paraId="75E617D2" w14:textId="77777777" w:rsidR="006A5333" w:rsidRPr="00D11BE7" w:rsidRDefault="006A5333" w:rsidP="00D11BE7">
      <w:pPr>
        <w:spacing w:line="360" w:lineRule="auto"/>
        <w:rPr>
          <w:rFonts w:ascii="Arial" w:hAnsi="Arial" w:cs="Arial"/>
          <w:sz w:val="24"/>
          <w:szCs w:val="24"/>
        </w:rPr>
      </w:pPr>
    </w:p>
    <w:p w14:paraId="6CF2A72A"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AT K.P. BRISTOL POWERSTATION UK LTD is a proposed Bristol-based start-up combining electric vehicle charging at SME-linked sites with a cloud-based management platform. This Business Development Proposal will investigate whether the combined service can attract customers, operate reliably and generate sufficient cash flow. It will produce an evidence-based recommendation to proceed, adapt or stop, with Bristol providing the initial market before potential expansion elsewhere in the United Kingdom.</w:t>
      </w:r>
    </w:p>
    <w:p w14:paraId="3403F676" w14:textId="09B812A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The charging offer would include asset monitoring, maintenance scheduling, energy-use reporting and customer support. A </w:t>
      </w:r>
      <w:r w:rsidR="00A8417E" w:rsidRPr="00D11BE7">
        <w:rPr>
          <w:rFonts w:ascii="Arial" w:hAnsi="Arial" w:cs="Arial"/>
          <w:sz w:val="24"/>
          <w:szCs w:val="24"/>
        </w:rPr>
        <w:t>c</w:t>
      </w:r>
      <w:r w:rsidRPr="00D11BE7">
        <w:rPr>
          <w:rFonts w:ascii="Arial" w:hAnsi="Arial" w:cs="Arial"/>
          <w:sz w:val="24"/>
          <w:szCs w:val="24"/>
        </w:rPr>
        <w:t>onnected Business Productivity Assistant would support invoicing, scheduling, reporting, project tracking and customer communications. The investigation will distinguish ordinary software automation from functions requiring AI, such as demand forecasting and anomaly detection. Predictive features would depend on suitable operational data and demonstrated accuracy.</w:t>
      </w:r>
    </w:p>
    <w:p w14:paraId="1712DE9E"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proposed problem is that some SMEs face fragmented charging access and resource-intensive administration. Combining infrastructure management with selected productivity functions could reduce coordination costs, but customer demand for the bundle remains unproven. The research will therefore compare a combined offer with a charging-only service and existing software alternatives. It will examine whether integration creates enough additional value to justify its costs and complexity.</w:t>
      </w:r>
    </w:p>
    <w:p w14:paraId="49F30D65"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proposed company name remains subject to availability and registration. The academic project will assess feasibility through secondary evidence; it will not install equipment, recruit participants or operate a customer trial. Any subsequent commercial pilot will require appropriate technical assessments, permissions and a separate review of any proposed research involving people.</w:t>
      </w:r>
    </w:p>
    <w:p w14:paraId="13B42270" w14:textId="77777777" w:rsidR="00846B6A" w:rsidRPr="00D11BE7" w:rsidRDefault="00846B6A" w:rsidP="00D11BE7">
      <w:pPr>
        <w:spacing w:line="360" w:lineRule="auto"/>
        <w:rPr>
          <w:rFonts w:ascii="Arial" w:hAnsi="Arial" w:cs="Arial"/>
          <w:sz w:val="24"/>
          <w:szCs w:val="24"/>
        </w:rPr>
      </w:pPr>
    </w:p>
    <w:p w14:paraId="0C55A5CD" w14:textId="172CD644"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2 </w:t>
      </w:r>
      <w:r w:rsidR="006A5333" w:rsidRPr="00D11BE7">
        <w:rPr>
          <w:rFonts w:ascii="Arial" w:hAnsi="Arial" w:cs="Arial"/>
          <w:sz w:val="24"/>
          <w:szCs w:val="24"/>
        </w:rPr>
        <w:t xml:space="preserve">THE OUTLINE </w:t>
      </w:r>
      <w:r w:rsidR="00846B6A" w:rsidRPr="00D11BE7">
        <w:rPr>
          <w:rFonts w:ascii="Arial" w:hAnsi="Arial" w:cs="Arial"/>
          <w:sz w:val="24"/>
          <w:szCs w:val="24"/>
        </w:rPr>
        <w:t>RESEARCH RELEVANCE AND TIMELY OPPORTUNITY.</w:t>
      </w:r>
    </w:p>
    <w:p w14:paraId="54AFE971" w14:textId="77777777" w:rsidR="00846B6A" w:rsidRPr="00D11BE7" w:rsidRDefault="00846B6A" w:rsidP="00D11BE7">
      <w:pPr>
        <w:spacing w:line="360" w:lineRule="auto"/>
        <w:rPr>
          <w:rFonts w:ascii="Arial" w:hAnsi="Arial" w:cs="Arial"/>
          <w:sz w:val="24"/>
          <w:szCs w:val="24"/>
        </w:rPr>
      </w:pPr>
    </w:p>
    <w:p w14:paraId="4CC64F3C"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UK charging market provides a relevant context for the venture. DfT recorded 121,171 public EV chargers on 1 July 2026, including 28,887 rated at least 50 kW, with geographical variation (DfT, 2026). National growth does not establish profitable demand at a particular Bristol site. The research will examine local provision, likely users and competing charging options before identifying opportunities.</w:t>
      </w:r>
    </w:p>
    <w:p w14:paraId="6EDA9F9D" w14:textId="664DDA69"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Bristol's Electric Vehicle Charging Infrastructure Strategy 2026–2036 prioritises accessible, reliable, </w:t>
      </w:r>
      <w:r w:rsidR="00DC0BB7" w:rsidRPr="00D11BE7">
        <w:rPr>
          <w:rFonts w:ascii="Arial" w:hAnsi="Arial" w:cs="Arial"/>
          <w:sz w:val="24"/>
          <w:szCs w:val="24"/>
        </w:rPr>
        <w:t>distributed</w:t>
      </w:r>
      <w:r w:rsidRPr="00D11BE7">
        <w:rPr>
          <w:rFonts w:ascii="Arial" w:hAnsi="Arial" w:cs="Arial"/>
          <w:sz w:val="24"/>
          <w:szCs w:val="24"/>
        </w:rPr>
        <w:t xml:space="preserve"> and commercially sustainable provision, including partnerships and private investment (Bristol City Council, 2026). These priorities make the city a suitable setting for investigating SME-linked charging. Existing local networks, including Revive, already create competition, so the proposal must explain where an additional service would add value.</w:t>
      </w:r>
    </w:p>
    <w:p w14:paraId="542A3CAD" w14:textId="2831C449"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Digital management is equally relevant. ONS reports that self-reported AI use among UK businesses with ten or more employees increased from approximately 12% in late 2023 to 35% by June 2026, while adoption remained uneven and often limited (ONS, 2026). These figures support investigating adoption conditions; they do not demonstrate demand for this </w:t>
      </w:r>
      <w:r w:rsidR="00DC0BB7" w:rsidRPr="00D11BE7">
        <w:rPr>
          <w:rFonts w:ascii="Arial" w:hAnsi="Arial" w:cs="Arial"/>
          <w:sz w:val="24"/>
          <w:szCs w:val="24"/>
        </w:rPr>
        <w:t>platform</w:t>
      </w:r>
      <w:r w:rsidRPr="00D11BE7">
        <w:rPr>
          <w:rFonts w:ascii="Arial" w:hAnsi="Arial" w:cs="Arial"/>
          <w:sz w:val="24"/>
          <w:szCs w:val="24"/>
        </w:rPr>
        <w:t>. The study could advance practical understanding of how charging operations and SME administration can be integrated within a financially sustainable local service.</w:t>
      </w:r>
    </w:p>
    <w:p w14:paraId="4983B0AD" w14:textId="77777777" w:rsidR="00CB763A" w:rsidRPr="00D11BE7" w:rsidRDefault="00CB763A" w:rsidP="00D11BE7">
      <w:pPr>
        <w:spacing w:line="360" w:lineRule="auto"/>
        <w:rPr>
          <w:rFonts w:ascii="Arial" w:hAnsi="Arial" w:cs="Arial"/>
          <w:sz w:val="24"/>
          <w:szCs w:val="24"/>
        </w:rPr>
      </w:pPr>
    </w:p>
    <w:p w14:paraId="73668F63" w14:textId="06717434"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3 </w:t>
      </w:r>
      <w:r w:rsidR="00F433D0" w:rsidRPr="00D11BE7">
        <w:rPr>
          <w:rFonts w:ascii="Arial" w:hAnsi="Arial" w:cs="Arial"/>
          <w:sz w:val="24"/>
          <w:szCs w:val="24"/>
        </w:rPr>
        <w:t>THE OUTLINE RESEARCH AIM</w:t>
      </w:r>
      <w:r w:rsidR="00CB763A" w:rsidRPr="00D11BE7">
        <w:rPr>
          <w:rFonts w:ascii="Arial" w:hAnsi="Arial" w:cs="Arial"/>
          <w:sz w:val="24"/>
          <w:szCs w:val="24"/>
        </w:rPr>
        <w:t>,</w:t>
      </w:r>
      <w:r w:rsidR="00F433D0" w:rsidRPr="00D11BE7">
        <w:rPr>
          <w:rFonts w:ascii="Arial" w:hAnsi="Arial" w:cs="Arial"/>
          <w:sz w:val="24"/>
          <w:szCs w:val="24"/>
        </w:rPr>
        <w:t xml:space="preserve"> OBJECTIVES AND QUESTIONS</w:t>
      </w:r>
    </w:p>
    <w:p w14:paraId="6320022C" w14:textId="77777777" w:rsidR="00291103" w:rsidRPr="00D11BE7" w:rsidRDefault="00291103" w:rsidP="00D11BE7">
      <w:pPr>
        <w:spacing w:line="360" w:lineRule="auto"/>
        <w:rPr>
          <w:rFonts w:ascii="Arial" w:hAnsi="Arial" w:cs="Arial"/>
          <w:sz w:val="24"/>
          <w:szCs w:val="24"/>
        </w:rPr>
      </w:pPr>
    </w:p>
    <w:p w14:paraId="4097C14D" w14:textId="0E5767AC" w:rsidR="0079431E" w:rsidRPr="00D11BE7" w:rsidRDefault="0059559A" w:rsidP="00D11BE7">
      <w:pPr>
        <w:spacing w:line="360" w:lineRule="auto"/>
        <w:rPr>
          <w:rFonts w:ascii="Arial" w:hAnsi="Arial" w:cs="Arial"/>
          <w:sz w:val="24"/>
          <w:szCs w:val="24"/>
        </w:rPr>
      </w:pPr>
      <w:r w:rsidRPr="00D11BE7">
        <w:rPr>
          <w:rFonts w:ascii="Arial" w:hAnsi="Arial" w:cs="Arial"/>
          <w:sz w:val="24"/>
          <w:szCs w:val="24"/>
        </w:rPr>
        <w:t>While t</w:t>
      </w:r>
      <w:r w:rsidR="0079431E" w:rsidRPr="00D11BE7">
        <w:rPr>
          <w:rFonts w:ascii="Arial" w:hAnsi="Arial" w:cs="Arial"/>
          <w:sz w:val="24"/>
          <w:szCs w:val="24"/>
        </w:rPr>
        <w:t>he aim</w:t>
      </w:r>
      <w:r w:rsidR="00291103" w:rsidRPr="00D11BE7">
        <w:rPr>
          <w:rFonts w:ascii="Arial" w:hAnsi="Arial" w:cs="Arial"/>
          <w:sz w:val="24"/>
          <w:szCs w:val="24"/>
        </w:rPr>
        <w:t xml:space="preserve"> </w:t>
      </w:r>
      <w:r w:rsidR="00BF382D" w:rsidRPr="00D11BE7">
        <w:rPr>
          <w:rFonts w:ascii="Arial" w:hAnsi="Arial" w:cs="Arial"/>
          <w:sz w:val="24"/>
          <w:szCs w:val="24"/>
        </w:rPr>
        <w:t>here</w:t>
      </w:r>
      <w:r w:rsidR="0079431E" w:rsidRPr="00D11BE7">
        <w:rPr>
          <w:rFonts w:ascii="Arial" w:hAnsi="Arial" w:cs="Arial"/>
          <w:sz w:val="24"/>
          <w:szCs w:val="24"/>
        </w:rPr>
        <w:t xml:space="preserve"> is to assess the </w:t>
      </w:r>
      <w:r w:rsidR="00AE0A01" w:rsidRPr="00D11BE7">
        <w:rPr>
          <w:rFonts w:ascii="Arial" w:hAnsi="Arial" w:cs="Arial"/>
          <w:sz w:val="24"/>
          <w:szCs w:val="24"/>
        </w:rPr>
        <w:t>C</w:t>
      </w:r>
      <w:r w:rsidR="0079431E" w:rsidRPr="00D11BE7">
        <w:rPr>
          <w:rFonts w:ascii="Arial" w:hAnsi="Arial" w:cs="Arial"/>
          <w:sz w:val="24"/>
          <w:szCs w:val="24"/>
        </w:rPr>
        <w:t xml:space="preserve">ommercial </w:t>
      </w:r>
      <w:r w:rsidR="00AE0A01" w:rsidRPr="00D11BE7">
        <w:rPr>
          <w:rFonts w:ascii="Arial" w:hAnsi="Arial" w:cs="Arial"/>
          <w:sz w:val="24"/>
          <w:szCs w:val="24"/>
        </w:rPr>
        <w:t>F</w:t>
      </w:r>
      <w:r w:rsidR="0079431E" w:rsidRPr="00D11BE7">
        <w:rPr>
          <w:rFonts w:ascii="Arial" w:hAnsi="Arial" w:cs="Arial"/>
          <w:sz w:val="24"/>
          <w:szCs w:val="24"/>
        </w:rPr>
        <w:t>easibility of AT K.P. BRISTOL POWER</w:t>
      </w:r>
      <w:r w:rsidR="00B42134" w:rsidRPr="00D11BE7">
        <w:rPr>
          <w:rFonts w:ascii="Arial" w:hAnsi="Arial" w:cs="Arial"/>
          <w:sz w:val="24"/>
          <w:szCs w:val="24"/>
        </w:rPr>
        <w:t xml:space="preserve"> </w:t>
      </w:r>
      <w:r w:rsidR="0079431E" w:rsidRPr="00D11BE7">
        <w:rPr>
          <w:rFonts w:ascii="Arial" w:hAnsi="Arial" w:cs="Arial"/>
          <w:sz w:val="24"/>
          <w:szCs w:val="24"/>
        </w:rPr>
        <w:t>STATION UK LTD as an AI-supported EV charging enterprise</w:t>
      </w:r>
      <w:r w:rsidR="00094E8A" w:rsidRPr="00D11BE7">
        <w:rPr>
          <w:rFonts w:ascii="Arial" w:hAnsi="Arial" w:cs="Arial"/>
          <w:sz w:val="24"/>
          <w:szCs w:val="24"/>
        </w:rPr>
        <w:t xml:space="preserve"> model</w:t>
      </w:r>
      <w:r w:rsidR="0079431E" w:rsidRPr="00D11BE7">
        <w:rPr>
          <w:rFonts w:ascii="Arial" w:hAnsi="Arial" w:cs="Arial"/>
          <w:sz w:val="24"/>
          <w:szCs w:val="24"/>
        </w:rPr>
        <w:t xml:space="preserve"> serving SMEs and EV users in Bristol, with potential for UK expansion.</w:t>
      </w:r>
      <w:r w:rsidR="00946A38" w:rsidRPr="00D11BE7">
        <w:rPr>
          <w:rFonts w:ascii="Arial" w:hAnsi="Arial" w:cs="Arial"/>
          <w:sz w:val="24"/>
          <w:szCs w:val="24"/>
        </w:rPr>
        <w:t xml:space="preserve"> </w:t>
      </w:r>
      <w:r w:rsidR="000C42EA" w:rsidRPr="00D11BE7">
        <w:rPr>
          <w:rFonts w:ascii="Arial" w:hAnsi="Arial" w:cs="Arial"/>
          <w:sz w:val="24"/>
          <w:szCs w:val="24"/>
        </w:rPr>
        <w:t>In the context that the AI being integrated</w:t>
      </w:r>
      <w:r w:rsidR="00326919" w:rsidRPr="00D11BE7">
        <w:rPr>
          <w:rFonts w:ascii="Arial" w:hAnsi="Arial" w:cs="Arial"/>
          <w:sz w:val="24"/>
          <w:szCs w:val="24"/>
        </w:rPr>
        <w:t xml:space="preserve"> t</w:t>
      </w:r>
      <w:r w:rsidR="00AB5030" w:rsidRPr="00D11BE7">
        <w:rPr>
          <w:rFonts w:ascii="Arial" w:hAnsi="Arial" w:cs="Arial"/>
          <w:sz w:val="24"/>
          <w:szCs w:val="24"/>
        </w:rPr>
        <w:t>o already existing EV char</w:t>
      </w:r>
      <w:r w:rsidR="007413DC" w:rsidRPr="00D11BE7">
        <w:rPr>
          <w:rFonts w:ascii="Arial" w:hAnsi="Arial" w:cs="Arial"/>
          <w:sz w:val="24"/>
          <w:szCs w:val="24"/>
        </w:rPr>
        <w:t>ging station market</w:t>
      </w:r>
      <w:r w:rsidR="00B420CE" w:rsidRPr="00D11BE7">
        <w:rPr>
          <w:rFonts w:ascii="Arial" w:hAnsi="Arial" w:cs="Arial"/>
          <w:sz w:val="24"/>
          <w:szCs w:val="24"/>
        </w:rPr>
        <w:t>.</w:t>
      </w:r>
    </w:p>
    <w:p w14:paraId="18DF7606" w14:textId="544F50EB"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The research objectives are </w:t>
      </w:r>
      <w:r w:rsidR="007E7C98" w:rsidRPr="00D11BE7">
        <w:rPr>
          <w:rFonts w:ascii="Arial" w:hAnsi="Arial" w:cs="Arial"/>
          <w:sz w:val="24"/>
          <w:szCs w:val="24"/>
        </w:rPr>
        <w:t xml:space="preserve">here </w:t>
      </w:r>
      <w:r w:rsidRPr="00D11BE7">
        <w:rPr>
          <w:rFonts w:ascii="Arial" w:hAnsi="Arial" w:cs="Arial"/>
          <w:sz w:val="24"/>
          <w:szCs w:val="24"/>
        </w:rPr>
        <w:t>to:</w:t>
      </w:r>
    </w:p>
    <w:p w14:paraId="4FBF8FDB" w14:textId="77777777" w:rsidR="0079431E" w:rsidRPr="00D11BE7" w:rsidRDefault="0079431E" w:rsidP="00D11BE7">
      <w:pPr>
        <w:pStyle w:val="ListParagraph"/>
        <w:numPr>
          <w:ilvl w:val="0"/>
          <w:numId w:val="5"/>
        </w:numPr>
        <w:spacing w:line="360" w:lineRule="auto"/>
        <w:rPr>
          <w:rFonts w:ascii="Arial" w:hAnsi="Arial" w:cs="Arial"/>
          <w:sz w:val="24"/>
          <w:szCs w:val="24"/>
        </w:rPr>
      </w:pPr>
      <w:r w:rsidRPr="00D11BE7">
        <w:rPr>
          <w:rFonts w:ascii="Arial" w:hAnsi="Arial" w:cs="Arial"/>
          <w:sz w:val="24"/>
          <w:szCs w:val="24"/>
        </w:rPr>
        <w:t>Analyse customer needs, market demand, competition and published willingness-to-pay indicators.</w:t>
      </w:r>
    </w:p>
    <w:p w14:paraId="02FEAFEF" w14:textId="77777777" w:rsidR="0079431E" w:rsidRPr="00D11BE7" w:rsidRDefault="0079431E" w:rsidP="00D11BE7">
      <w:pPr>
        <w:pStyle w:val="ListParagraph"/>
        <w:numPr>
          <w:ilvl w:val="0"/>
          <w:numId w:val="5"/>
        </w:numPr>
        <w:spacing w:line="360" w:lineRule="auto"/>
        <w:rPr>
          <w:rFonts w:ascii="Arial" w:hAnsi="Arial" w:cs="Arial"/>
          <w:sz w:val="24"/>
          <w:szCs w:val="24"/>
        </w:rPr>
      </w:pPr>
      <w:r w:rsidRPr="00D11BE7">
        <w:rPr>
          <w:rFonts w:ascii="Arial" w:hAnsi="Arial" w:cs="Arial"/>
          <w:sz w:val="24"/>
          <w:szCs w:val="24"/>
        </w:rPr>
        <w:lastRenderedPageBreak/>
        <w:t>Assess suitable site characteristics, infrastructure requirements and partnership options.</w:t>
      </w:r>
    </w:p>
    <w:p w14:paraId="7FB02276" w14:textId="77777777" w:rsidR="0079431E" w:rsidRPr="00D11BE7" w:rsidRDefault="0079431E" w:rsidP="00D11BE7">
      <w:pPr>
        <w:pStyle w:val="ListParagraph"/>
        <w:numPr>
          <w:ilvl w:val="0"/>
          <w:numId w:val="5"/>
        </w:numPr>
        <w:spacing w:line="360" w:lineRule="auto"/>
        <w:rPr>
          <w:rFonts w:ascii="Arial" w:hAnsi="Arial" w:cs="Arial"/>
          <w:sz w:val="24"/>
          <w:szCs w:val="24"/>
        </w:rPr>
      </w:pPr>
      <w:r w:rsidRPr="00D11BE7">
        <w:rPr>
          <w:rFonts w:ascii="Arial" w:hAnsi="Arial" w:cs="Arial"/>
          <w:sz w:val="24"/>
          <w:szCs w:val="24"/>
        </w:rPr>
        <w:t>Evaluate how digital management and AI could improve efficiency, reliability and customer experience.</w:t>
      </w:r>
    </w:p>
    <w:p w14:paraId="23270361" w14:textId="77777777" w:rsidR="0079431E" w:rsidRPr="00D11BE7" w:rsidRDefault="0079431E" w:rsidP="00D11BE7">
      <w:pPr>
        <w:pStyle w:val="ListParagraph"/>
        <w:numPr>
          <w:ilvl w:val="0"/>
          <w:numId w:val="5"/>
        </w:numPr>
        <w:spacing w:line="360" w:lineRule="auto"/>
        <w:rPr>
          <w:rFonts w:ascii="Arial" w:hAnsi="Arial" w:cs="Arial"/>
          <w:sz w:val="24"/>
          <w:szCs w:val="24"/>
        </w:rPr>
      </w:pPr>
      <w:r w:rsidRPr="00D11BE7">
        <w:rPr>
          <w:rFonts w:ascii="Arial" w:hAnsi="Arial" w:cs="Arial"/>
          <w:sz w:val="24"/>
          <w:szCs w:val="24"/>
        </w:rPr>
        <w:t>Estimate investment requirements, operating costs, revenues and cash-flow needs.</w:t>
      </w:r>
    </w:p>
    <w:p w14:paraId="2AB96A0B" w14:textId="151A1133" w:rsidR="0079431E" w:rsidRPr="00D11BE7" w:rsidRDefault="006B043C" w:rsidP="00D11BE7">
      <w:pPr>
        <w:spacing w:line="360" w:lineRule="auto"/>
        <w:rPr>
          <w:rFonts w:ascii="Arial" w:hAnsi="Arial" w:cs="Arial"/>
          <w:sz w:val="24"/>
          <w:szCs w:val="24"/>
        </w:rPr>
      </w:pPr>
      <w:r w:rsidRPr="00D11BE7">
        <w:rPr>
          <w:rFonts w:ascii="Arial" w:hAnsi="Arial" w:cs="Arial"/>
          <w:sz w:val="24"/>
          <w:szCs w:val="24"/>
        </w:rPr>
        <w:t>Then</w:t>
      </w:r>
      <w:r w:rsidR="009E78F9" w:rsidRPr="00D11BE7">
        <w:rPr>
          <w:rFonts w:ascii="Arial" w:hAnsi="Arial" w:cs="Arial"/>
          <w:sz w:val="24"/>
          <w:szCs w:val="24"/>
        </w:rPr>
        <w:t xml:space="preserve"> </w:t>
      </w:r>
      <w:r w:rsidR="00783239" w:rsidRPr="00D11BE7">
        <w:rPr>
          <w:rFonts w:ascii="Arial" w:hAnsi="Arial" w:cs="Arial"/>
          <w:sz w:val="24"/>
          <w:szCs w:val="24"/>
        </w:rPr>
        <w:t>e</w:t>
      </w:r>
      <w:r w:rsidR="0079431E" w:rsidRPr="00D11BE7">
        <w:rPr>
          <w:rFonts w:ascii="Arial" w:hAnsi="Arial" w:cs="Arial"/>
          <w:sz w:val="24"/>
          <w:szCs w:val="24"/>
        </w:rPr>
        <w:t>stablish</w:t>
      </w:r>
      <w:r w:rsidR="00783239" w:rsidRPr="00D11BE7">
        <w:rPr>
          <w:rFonts w:ascii="Arial" w:hAnsi="Arial" w:cs="Arial"/>
          <w:sz w:val="24"/>
          <w:szCs w:val="24"/>
        </w:rPr>
        <w:t>ing</w:t>
      </w:r>
      <w:r w:rsidR="0079431E" w:rsidRPr="00D11BE7">
        <w:rPr>
          <w:rFonts w:ascii="Arial" w:hAnsi="Arial" w:cs="Arial"/>
          <w:sz w:val="24"/>
          <w:szCs w:val="24"/>
        </w:rPr>
        <w:t xml:space="preserve"> criteria for a viable Bristol pilot and subsequent expansion</w:t>
      </w:r>
      <w:r w:rsidR="00783239" w:rsidRPr="00D11BE7">
        <w:rPr>
          <w:rFonts w:ascii="Arial" w:hAnsi="Arial" w:cs="Arial"/>
          <w:sz w:val="24"/>
          <w:szCs w:val="24"/>
        </w:rPr>
        <w:t xml:space="preserve"> start-</w:t>
      </w:r>
      <w:r w:rsidR="003F07C1" w:rsidRPr="00D11BE7">
        <w:rPr>
          <w:rFonts w:ascii="Arial" w:hAnsi="Arial" w:cs="Arial"/>
          <w:sz w:val="24"/>
          <w:szCs w:val="24"/>
        </w:rPr>
        <w:t xml:space="preserve">up, to </w:t>
      </w:r>
      <w:r w:rsidRPr="00D11BE7">
        <w:rPr>
          <w:rFonts w:ascii="Arial" w:hAnsi="Arial" w:cs="Arial"/>
          <w:sz w:val="24"/>
          <w:szCs w:val="24"/>
        </w:rPr>
        <w:t>its</w:t>
      </w:r>
      <w:r w:rsidR="003F07C1" w:rsidRPr="00D11BE7">
        <w:rPr>
          <w:rFonts w:ascii="Arial" w:hAnsi="Arial" w:cs="Arial"/>
          <w:sz w:val="24"/>
          <w:szCs w:val="24"/>
        </w:rPr>
        <w:t xml:space="preserve"> </w:t>
      </w:r>
      <w:r w:rsidR="00C618D2" w:rsidRPr="00D11BE7">
        <w:rPr>
          <w:rFonts w:ascii="Arial" w:hAnsi="Arial" w:cs="Arial"/>
          <w:sz w:val="24"/>
          <w:szCs w:val="24"/>
        </w:rPr>
        <w:t xml:space="preserve">expansion elsewhere </w:t>
      </w:r>
      <w:r w:rsidRPr="00D11BE7">
        <w:rPr>
          <w:rFonts w:ascii="Arial" w:hAnsi="Arial" w:cs="Arial"/>
          <w:sz w:val="24"/>
          <w:szCs w:val="24"/>
        </w:rPr>
        <w:t>in the UK</w:t>
      </w:r>
      <w:r w:rsidR="0079431E" w:rsidRPr="00D11BE7">
        <w:rPr>
          <w:rFonts w:ascii="Arial" w:hAnsi="Arial" w:cs="Arial"/>
          <w:sz w:val="24"/>
          <w:szCs w:val="24"/>
        </w:rPr>
        <w:t>.</w:t>
      </w:r>
    </w:p>
    <w:p w14:paraId="25DF765D" w14:textId="77777777" w:rsidR="00600553" w:rsidRPr="00D11BE7" w:rsidRDefault="0079431E" w:rsidP="00D11BE7">
      <w:pPr>
        <w:spacing w:line="360" w:lineRule="auto"/>
        <w:rPr>
          <w:rFonts w:ascii="Arial" w:hAnsi="Arial" w:cs="Arial"/>
          <w:sz w:val="24"/>
          <w:szCs w:val="24"/>
        </w:rPr>
      </w:pPr>
      <w:r w:rsidRPr="00D11BE7">
        <w:rPr>
          <w:rFonts w:ascii="Arial" w:hAnsi="Arial" w:cs="Arial"/>
          <w:sz w:val="24"/>
          <w:szCs w:val="24"/>
        </w:rPr>
        <w:t>T</w:t>
      </w:r>
      <w:r w:rsidR="000470FA" w:rsidRPr="00D11BE7">
        <w:rPr>
          <w:rFonts w:ascii="Arial" w:hAnsi="Arial" w:cs="Arial"/>
          <w:sz w:val="24"/>
          <w:szCs w:val="24"/>
        </w:rPr>
        <w:t>his leading to the research t</w:t>
      </w:r>
      <w:r w:rsidRPr="00D11BE7">
        <w:rPr>
          <w:rFonts w:ascii="Arial" w:hAnsi="Arial" w:cs="Arial"/>
          <w:sz w:val="24"/>
          <w:szCs w:val="24"/>
        </w:rPr>
        <w:t xml:space="preserve">hree questions </w:t>
      </w:r>
      <w:r w:rsidR="009F08E2" w:rsidRPr="00D11BE7">
        <w:rPr>
          <w:rFonts w:ascii="Arial" w:hAnsi="Arial" w:cs="Arial"/>
          <w:sz w:val="24"/>
          <w:szCs w:val="24"/>
        </w:rPr>
        <w:t xml:space="preserve">which </w:t>
      </w:r>
      <w:r w:rsidR="00922095" w:rsidRPr="00D11BE7">
        <w:rPr>
          <w:rFonts w:ascii="Arial" w:hAnsi="Arial" w:cs="Arial"/>
          <w:sz w:val="24"/>
          <w:szCs w:val="24"/>
        </w:rPr>
        <w:t>will</w:t>
      </w:r>
      <w:r w:rsidRPr="00D11BE7">
        <w:rPr>
          <w:rFonts w:ascii="Arial" w:hAnsi="Arial" w:cs="Arial"/>
          <w:sz w:val="24"/>
          <w:szCs w:val="24"/>
        </w:rPr>
        <w:t xml:space="preserve"> guide the investigation</w:t>
      </w:r>
      <w:r w:rsidR="00600553" w:rsidRPr="00D11BE7">
        <w:rPr>
          <w:rFonts w:ascii="Arial" w:hAnsi="Arial" w:cs="Arial"/>
          <w:sz w:val="24"/>
          <w:szCs w:val="24"/>
        </w:rPr>
        <w:t>:</w:t>
      </w:r>
    </w:p>
    <w:p w14:paraId="1FC06075" w14:textId="5C363015" w:rsidR="00922095" w:rsidRPr="00D11BE7" w:rsidRDefault="0079431E" w:rsidP="00D11BE7">
      <w:pPr>
        <w:pStyle w:val="ListParagraph"/>
        <w:numPr>
          <w:ilvl w:val="0"/>
          <w:numId w:val="1"/>
        </w:numPr>
        <w:spacing w:line="360" w:lineRule="auto"/>
        <w:rPr>
          <w:rFonts w:ascii="Arial" w:hAnsi="Arial" w:cs="Arial"/>
          <w:sz w:val="24"/>
          <w:szCs w:val="24"/>
        </w:rPr>
      </w:pPr>
      <w:r w:rsidRPr="00D11BE7">
        <w:rPr>
          <w:rFonts w:ascii="Arial" w:hAnsi="Arial" w:cs="Arial"/>
          <w:sz w:val="24"/>
          <w:szCs w:val="24"/>
        </w:rPr>
        <w:t>Which Bristol SME segments and site types offer the strongest evidence of unmet charging and administrative needs?</w:t>
      </w:r>
    </w:p>
    <w:p w14:paraId="51F4FB99" w14:textId="77777777" w:rsidR="00600553" w:rsidRPr="00D11BE7" w:rsidRDefault="0079431E" w:rsidP="00D11BE7">
      <w:pPr>
        <w:pStyle w:val="ListParagraph"/>
        <w:numPr>
          <w:ilvl w:val="0"/>
          <w:numId w:val="1"/>
        </w:numPr>
        <w:spacing w:line="360" w:lineRule="auto"/>
        <w:rPr>
          <w:rFonts w:ascii="Arial" w:hAnsi="Arial" w:cs="Arial"/>
          <w:sz w:val="24"/>
          <w:szCs w:val="24"/>
        </w:rPr>
      </w:pPr>
      <w:r w:rsidRPr="00D11BE7">
        <w:rPr>
          <w:rFonts w:ascii="Arial" w:hAnsi="Arial" w:cs="Arial"/>
          <w:sz w:val="24"/>
          <w:szCs w:val="24"/>
        </w:rPr>
        <w:t>How could an integrated management platform address those needs at an acceptable cost?</w:t>
      </w:r>
    </w:p>
    <w:p w14:paraId="2625FE9D" w14:textId="2B64B809" w:rsidR="0079431E" w:rsidRPr="00D11BE7" w:rsidRDefault="0079431E" w:rsidP="00D11BE7">
      <w:pPr>
        <w:pStyle w:val="ListParagraph"/>
        <w:numPr>
          <w:ilvl w:val="0"/>
          <w:numId w:val="1"/>
        </w:numPr>
        <w:spacing w:line="360" w:lineRule="auto"/>
        <w:rPr>
          <w:rFonts w:ascii="Arial" w:hAnsi="Arial" w:cs="Arial"/>
          <w:sz w:val="24"/>
          <w:szCs w:val="24"/>
        </w:rPr>
      </w:pPr>
      <w:r w:rsidRPr="00D11BE7">
        <w:rPr>
          <w:rFonts w:ascii="Arial" w:hAnsi="Arial" w:cs="Arial"/>
          <w:sz w:val="24"/>
          <w:szCs w:val="24"/>
        </w:rPr>
        <w:t>Under what demand, pricing and operating conditions could the venture achieve sustainable cash flow and justify expansion?</w:t>
      </w:r>
    </w:p>
    <w:p w14:paraId="7756F36E" w14:textId="77777777" w:rsidR="00AA2E0D" w:rsidRPr="00D11BE7" w:rsidRDefault="00AA2E0D" w:rsidP="00D11BE7">
      <w:pPr>
        <w:spacing w:line="360" w:lineRule="auto"/>
        <w:rPr>
          <w:rFonts w:ascii="Arial" w:hAnsi="Arial" w:cs="Arial"/>
          <w:sz w:val="24"/>
          <w:szCs w:val="24"/>
        </w:rPr>
      </w:pPr>
    </w:p>
    <w:p w14:paraId="1AA5A5FA" w14:textId="78A565A6"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4 </w:t>
      </w:r>
      <w:r w:rsidR="009B05F4" w:rsidRPr="00D11BE7">
        <w:rPr>
          <w:rFonts w:ascii="Arial" w:hAnsi="Arial" w:cs="Arial"/>
          <w:sz w:val="24"/>
          <w:szCs w:val="24"/>
        </w:rPr>
        <w:t xml:space="preserve">THE OUTLINE </w:t>
      </w:r>
      <w:r w:rsidR="00AA2E0D" w:rsidRPr="00D11BE7">
        <w:rPr>
          <w:rFonts w:ascii="Arial" w:hAnsi="Arial" w:cs="Arial"/>
          <w:sz w:val="24"/>
          <w:szCs w:val="24"/>
        </w:rPr>
        <w:t>COMPANY MODEL</w:t>
      </w:r>
      <w:r w:rsidR="009B05F4" w:rsidRPr="00D11BE7">
        <w:rPr>
          <w:rFonts w:ascii="Arial" w:hAnsi="Arial" w:cs="Arial"/>
          <w:sz w:val="24"/>
          <w:szCs w:val="24"/>
        </w:rPr>
        <w:t xml:space="preserve"> </w:t>
      </w:r>
      <w:r w:rsidR="00AA2E0D" w:rsidRPr="00D11BE7">
        <w:rPr>
          <w:rFonts w:ascii="Arial" w:hAnsi="Arial" w:cs="Arial"/>
          <w:sz w:val="24"/>
          <w:szCs w:val="24"/>
        </w:rPr>
        <w:t>AND OPERATIONAL FEASIBILITY.</w:t>
      </w:r>
    </w:p>
    <w:p w14:paraId="196554AC" w14:textId="77777777" w:rsidR="009B05F4" w:rsidRPr="00D11BE7" w:rsidRDefault="009B05F4" w:rsidP="00D11BE7">
      <w:pPr>
        <w:spacing w:line="360" w:lineRule="auto"/>
        <w:rPr>
          <w:rFonts w:ascii="Arial" w:hAnsi="Arial" w:cs="Arial"/>
          <w:sz w:val="24"/>
          <w:szCs w:val="24"/>
        </w:rPr>
      </w:pPr>
    </w:p>
    <w:p w14:paraId="5FDD3299" w14:textId="62E912AA"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The proposed legal structure is a UK </w:t>
      </w:r>
      <w:r w:rsidR="00EC3C39" w:rsidRPr="00D11BE7">
        <w:rPr>
          <w:rFonts w:ascii="Arial" w:hAnsi="Arial" w:cs="Arial"/>
          <w:sz w:val="24"/>
          <w:szCs w:val="24"/>
        </w:rPr>
        <w:t>P</w:t>
      </w:r>
      <w:r w:rsidRPr="00D11BE7">
        <w:rPr>
          <w:rFonts w:ascii="Arial" w:hAnsi="Arial" w:cs="Arial"/>
          <w:sz w:val="24"/>
          <w:szCs w:val="24"/>
        </w:rPr>
        <w:t xml:space="preserve">rivate </w:t>
      </w:r>
      <w:r w:rsidR="00EC3C39" w:rsidRPr="00D11BE7">
        <w:rPr>
          <w:rFonts w:ascii="Arial" w:hAnsi="Arial" w:cs="Arial"/>
          <w:sz w:val="24"/>
          <w:szCs w:val="24"/>
        </w:rPr>
        <w:t>C</w:t>
      </w:r>
      <w:r w:rsidRPr="00D11BE7">
        <w:rPr>
          <w:rFonts w:ascii="Arial" w:hAnsi="Arial" w:cs="Arial"/>
          <w:sz w:val="24"/>
          <w:szCs w:val="24"/>
        </w:rPr>
        <w:t xml:space="preserve">ompany </w:t>
      </w:r>
      <w:r w:rsidR="00EC3C39" w:rsidRPr="00D11BE7">
        <w:rPr>
          <w:rFonts w:ascii="Arial" w:hAnsi="Arial" w:cs="Arial"/>
          <w:sz w:val="24"/>
          <w:szCs w:val="24"/>
        </w:rPr>
        <w:t>L</w:t>
      </w:r>
      <w:r w:rsidRPr="00D11BE7">
        <w:rPr>
          <w:rFonts w:ascii="Arial" w:hAnsi="Arial" w:cs="Arial"/>
          <w:sz w:val="24"/>
          <w:szCs w:val="24"/>
        </w:rPr>
        <w:t>imited by shares. Ownership proportions and funding commitments will be determined before incorporation. The founder would coordinate strategy, customer relationships and business administration, with competent external electrical and EV specialists responsible for installation, testing and technical maintenance. Operational assistants would monitor availability, manage enquiries and escalate incidents within defined procedures.</w:t>
      </w:r>
    </w:p>
    <w:p w14:paraId="43EAFC10"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Potential customers include small fleet operators, businesses hosting workplace or destination charging, and SMEs seeking support for charging-related administration. Individual EV drivers could use sites where public access is permitted. Candidate partnerships could involve landlords, business parks and hospitality operators. Each </w:t>
      </w:r>
      <w:r w:rsidRPr="00D11BE7">
        <w:rPr>
          <w:rFonts w:ascii="Arial" w:hAnsi="Arial" w:cs="Arial"/>
          <w:sz w:val="24"/>
          <w:szCs w:val="24"/>
        </w:rPr>
        <w:lastRenderedPageBreak/>
        <w:t>segment will be evaluated separately because charging frequency, dwell time, purchasing authority and software requirements may differ.</w:t>
      </w:r>
    </w:p>
    <w:p w14:paraId="28D4BB8B"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Ownership, leasing and partnership models will be compared against capital requirements, control, maintenance responsibilities and revenue allocation. The initial platform would concentrate on charger monitoring, billing and operational reporting. Wider productivity functions would be introduced only where evidence supports customer benefit and affordable delivery. Using established infrastructure and software components could reduce development requirements, although supplier dependence and integration costs must be assessed.</w:t>
      </w:r>
    </w:p>
    <w:p w14:paraId="042B9326"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proposed differentiation is local service supported by integrated operational information. This is a proposition to evaluate against competitors, rather than an established competitive advantage. Physical accessibility, payment usability, electricity capacity and site permissions will be included in desktop screening. Professional surveys and connection quotations would be required before investment; the research itself will use published specifications and indicative costs.</w:t>
      </w:r>
    </w:p>
    <w:p w14:paraId="16B8CF81"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platform assessment will compare licence costs, integration capability, access controls and ongoing supplier support. A basic monitoring dashboard will be considered before commissioning bespoke predictive algorithms. Business cases will separate time saved from financial savings, since reduced administration may release staff capacity without reducing wages or producing additional sales.</w:t>
      </w:r>
    </w:p>
    <w:p w14:paraId="4C7F8AF1" w14:textId="77777777" w:rsidR="00F06F79" w:rsidRPr="00D11BE7" w:rsidRDefault="00F06F79" w:rsidP="00D11BE7">
      <w:pPr>
        <w:spacing w:line="360" w:lineRule="auto"/>
        <w:rPr>
          <w:rFonts w:ascii="Arial" w:hAnsi="Arial" w:cs="Arial"/>
          <w:sz w:val="24"/>
          <w:szCs w:val="24"/>
        </w:rPr>
      </w:pPr>
    </w:p>
    <w:p w14:paraId="4AFD5244" w14:textId="77F95D5E"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5 </w:t>
      </w:r>
      <w:r w:rsidR="00E96097" w:rsidRPr="00D11BE7">
        <w:rPr>
          <w:rFonts w:ascii="Arial" w:hAnsi="Arial" w:cs="Arial"/>
          <w:sz w:val="24"/>
          <w:szCs w:val="24"/>
        </w:rPr>
        <w:t xml:space="preserve">THE OUTLINE </w:t>
      </w:r>
      <w:r w:rsidR="00F06F79" w:rsidRPr="00D11BE7">
        <w:rPr>
          <w:rFonts w:ascii="Arial" w:hAnsi="Arial" w:cs="Arial"/>
          <w:sz w:val="24"/>
          <w:szCs w:val="24"/>
        </w:rPr>
        <w:t>METHODOLOGICAL FRAMEWORK AND RESEARCH DESIGN.</w:t>
      </w:r>
    </w:p>
    <w:p w14:paraId="0F268234" w14:textId="77777777" w:rsidR="00F06F79" w:rsidRPr="00D11BE7" w:rsidRDefault="00F06F79" w:rsidP="00D11BE7">
      <w:pPr>
        <w:spacing w:line="360" w:lineRule="auto"/>
        <w:rPr>
          <w:rFonts w:ascii="Arial" w:hAnsi="Arial" w:cs="Arial"/>
          <w:sz w:val="24"/>
          <w:szCs w:val="24"/>
        </w:rPr>
      </w:pPr>
    </w:p>
    <w:p w14:paraId="7349E2B3" w14:textId="79B2CD01"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Saunders, Lewis and Thornhill's Research Onion will structure the design, connecting philosophy, reasoning, methodological choice, strategy, time horizon and analysis procedures (Saunders, Lewis and Thornhill, 2023). Pragmatism is appropriate because the investigation addresses a practical feasibility decision using evidence suited to each question. Quantitative indicators will support market and financial assessment, while qualitative documents will explain customer barriers and operating conditions.</w:t>
      </w:r>
    </w:p>
    <w:p w14:paraId="748AF1B9" w14:textId="73E54113"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lastRenderedPageBreak/>
        <w:t xml:space="preserve">Deductive reasoning will assess propositions that integrated digital management could reduce administrative workload, improve charging reliability and strengthen commercial performance. These propositions will be derived from published research and evaluated against supporting and contradictory evidence. Secondary evidence can assess plausibility and </w:t>
      </w:r>
      <w:r w:rsidR="00656F05" w:rsidRPr="00D11BE7">
        <w:rPr>
          <w:rFonts w:ascii="Arial" w:hAnsi="Arial" w:cs="Arial"/>
          <w:sz w:val="24"/>
          <w:szCs w:val="24"/>
        </w:rPr>
        <w:t>conditions but</w:t>
      </w:r>
      <w:r w:rsidRPr="00D11BE7">
        <w:rPr>
          <w:rFonts w:ascii="Arial" w:hAnsi="Arial" w:cs="Arial"/>
          <w:sz w:val="24"/>
          <w:szCs w:val="24"/>
        </w:rPr>
        <w:t xml:space="preserve"> cannot establish the causal performance of a start-up that has not begun trading.</w:t>
      </w:r>
    </w:p>
    <w:p w14:paraId="11683A6D" w14:textId="2F13BD7C"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study will use a mixed-methods secondary-data design. Quantitative and qualitative evidence will be analysed separately and brought together in an evidence matrix organised around the research objectives</w:t>
      </w:r>
      <w:r w:rsidR="00792D05" w:rsidRPr="00D11BE7">
        <w:rPr>
          <w:rFonts w:ascii="Arial" w:hAnsi="Arial" w:cs="Arial"/>
          <w:sz w:val="24"/>
          <w:szCs w:val="24"/>
        </w:rPr>
        <w:t xml:space="preserve"> (Saunders and Thornhill, 2011)</w:t>
      </w:r>
      <w:r w:rsidR="00AB64CC" w:rsidRPr="00D11BE7">
        <w:rPr>
          <w:rFonts w:ascii="Arial" w:hAnsi="Arial" w:cs="Arial"/>
          <w:sz w:val="24"/>
          <w:szCs w:val="24"/>
        </w:rPr>
        <w:t>.</w:t>
      </w:r>
      <w:r w:rsidRPr="00D11BE7">
        <w:rPr>
          <w:rFonts w:ascii="Arial" w:hAnsi="Arial" w:cs="Arial"/>
          <w:sz w:val="24"/>
          <w:szCs w:val="24"/>
        </w:rPr>
        <w:t xml:space="preserve"> The cross-sectional horizon will provide a snapshot of market conditions at the research cut-off date. Earlier publications will provide context; repeated tracking of the same operators is outside the proposed design. Multi-year financial projections are forecasts, not longitudinal observations.</w:t>
      </w:r>
    </w:p>
    <w:p w14:paraId="66961095"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Structured searches will cover DfT, ONS, Ofgem, Bristol City Council, academic databases, industry publications and publicly accessible competitor information. Search combinations will include Bristol, SME, EV charging, AI adoption, charging management and financial feasibility. Recent market evidence will be prioritised, with older methodological and theoretical sources retained where relevant. Dates, search terms and selection decisions will be recorded.</w:t>
      </w:r>
    </w:p>
    <w:p w14:paraId="26070BAF"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Purposive source selection will prioritise geographical relevance, transparent methods, comparable definitions and traceable provenance. Comparator evidence will include alternative services and non-adoption barriers to reduce confirmation bias. Promotional claims will be treated cautiously, and documents lacking identifiable origins or supporting information will be excluded. An extraction table will record publication dates, geographical scope, measures, findings and limitations. Sources repeating the same underlying dataset will not be counted as independent corroboration.</w:t>
      </w:r>
    </w:p>
    <w:p w14:paraId="7757ED19"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Descriptive statistics will summarise charging provision and customer-segment indicators. Competitor benchmarking will compare tariffs, coverage, access conditions and service features. PESTEL will examine external conditions, Porter's Five Forces will assess industry pressures, and SWOT will summarise evidenced strengths, weaknesses, opportunities and threats (Porter, 2008). Desktop site </w:t>
      </w:r>
      <w:r w:rsidRPr="00D11BE7">
        <w:rPr>
          <w:rFonts w:ascii="Arial" w:hAnsi="Arial" w:cs="Arial"/>
          <w:sz w:val="24"/>
          <w:szCs w:val="24"/>
        </w:rPr>
        <w:lastRenderedPageBreak/>
        <w:t>screening will compare published accessibility, demand proxies and indicative costs. These frameworks will organise interpretation without substituting for evidence.</w:t>
      </w:r>
    </w:p>
    <w:p w14:paraId="032FBE97"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Qualitative documents will be coded thematically for operational problems, adoption barriers, reliability and integration requirements. Excel will support financial modelling and sensitivity tests. The evidence matrix will identify agreements, contradictions and unresolved gaps across numerical and documentary findings. Unsupported assumptions will remain visible in the final recommendation. This design is feasible within sixteen weeks because it uses accessible material and proportionate analytical techniques, without depending on participant recruitment or proprietary operational datasets.</w:t>
      </w:r>
    </w:p>
    <w:p w14:paraId="59AF468D" w14:textId="16659DAD"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An objective-to-evidence map will connect each research question to specified indicators, sources and analytical outputs. For example, reported charging availability will inform service comparisons, while published administrative costs will inform potential savings. Evidence quality and uncertainty will be recorded alongside </w:t>
      </w:r>
      <w:r w:rsidR="000C0722" w:rsidRPr="00D11BE7">
        <w:rPr>
          <w:rFonts w:ascii="Arial" w:hAnsi="Arial" w:cs="Arial"/>
          <w:sz w:val="24"/>
          <w:szCs w:val="24"/>
        </w:rPr>
        <w:t>findings,</w:t>
      </w:r>
      <w:r w:rsidRPr="00D11BE7">
        <w:rPr>
          <w:rFonts w:ascii="Arial" w:hAnsi="Arial" w:cs="Arial"/>
          <w:sz w:val="24"/>
          <w:szCs w:val="24"/>
        </w:rPr>
        <w:t xml:space="preserve"> so recommendations reflect the strength of their supporting material.</w:t>
      </w:r>
    </w:p>
    <w:p w14:paraId="4E98461B" w14:textId="77777777" w:rsidR="000C0722" w:rsidRPr="00D11BE7" w:rsidRDefault="000C0722" w:rsidP="00D11BE7">
      <w:pPr>
        <w:spacing w:line="360" w:lineRule="auto"/>
        <w:rPr>
          <w:rFonts w:ascii="Arial" w:hAnsi="Arial" w:cs="Arial"/>
          <w:sz w:val="24"/>
          <w:szCs w:val="24"/>
        </w:rPr>
      </w:pPr>
    </w:p>
    <w:p w14:paraId="343262B2" w14:textId="53E8D6E0"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6 </w:t>
      </w:r>
      <w:r w:rsidR="008773E1" w:rsidRPr="00D11BE7">
        <w:rPr>
          <w:rFonts w:ascii="Arial" w:hAnsi="Arial" w:cs="Arial"/>
          <w:sz w:val="24"/>
          <w:szCs w:val="24"/>
        </w:rPr>
        <w:t xml:space="preserve">THE OUTLINE </w:t>
      </w:r>
      <w:r w:rsidR="000C0722" w:rsidRPr="00D11BE7">
        <w:rPr>
          <w:rFonts w:ascii="Arial" w:hAnsi="Arial" w:cs="Arial"/>
          <w:sz w:val="24"/>
          <w:szCs w:val="24"/>
        </w:rPr>
        <w:t>MARKET RESEARCH AND VALIDATION.</w:t>
      </w:r>
    </w:p>
    <w:p w14:paraId="058A12A8" w14:textId="77777777" w:rsidR="000C0722" w:rsidRPr="00D11BE7" w:rsidRDefault="000C0722" w:rsidP="00D11BE7">
      <w:pPr>
        <w:spacing w:line="360" w:lineRule="auto"/>
        <w:rPr>
          <w:rFonts w:ascii="Arial" w:hAnsi="Arial" w:cs="Arial"/>
          <w:sz w:val="24"/>
          <w:szCs w:val="24"/>
        </w:rPr>
      </w:pPr>
    </w:p>
    <w:p w14:paraId="0C011E7C"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Validation will examine demand, customer fit, competitive position and commercial plausibility. Demand assessment will compare local EV adoption indicators and charging locations with candidate SME segments. Registered vehicle numbers, existing infrastructure and forecast requirements will be distinguished from actual charging transactions. Potential demand at a site will remain an estimate until operational evidence is available.</w:t>
      </w:r>
    </w:p>
    <w:p w14:paraId="21FB2A07"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Customer fit will be assessed through published SME research and documented purchasing barriers, including affordability, skills and integration requirements. Competitor comparisons will cover established charging networks, workplace provision, standalone management platforms and ordinary business software. Porter's framework will help examine buyer power, supplier dependence, substitutes, entry conditions and rivalry (Porter, 2008).</w:t>
      </w:r>
    </w:p>
    <w:p w14:paraId="3B88241D" w14:textId="61B3783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lastRenderedPageBreak/>
        <w:t xml:space="preserve">Published tariffs and adoption studies will provide willingness-to-pay </w:t>
      </w:r>
      <w:r w:rsidR="00C44CFA" w:rsidRPr="00D11BE7">
        <w:rPr>
          <w:rFonts w:ascii="Arial" w:hAnsi="Arial" w:cs="Arial"/>
          <w:sz w:val="24"/>
          <w:szCs w:val="24"/>
        </w:rPr>
        <w:t>indicators but</w:t>
      </w:r>
      <w:r w:rsidRPr="00D11BE7">
        <w:rPr>
          <w:rFonts w:ascii="Arial" w:hAnsi="Arial" w:cs="Arial"/>
          <w:sz w:val="24"/>
          <w:szCs w:val="24"/>
        </w:rPr>
        <w:t xml:space="preserve"> cannot confirm that Bristol customers would purchase the proposed bundle. The final proposal will identify this as a validation gap and recommend a later, separately authorised customer and operational pilot. A proceed recommendation will require credible segment demand, a differentiated service, feasible site arrangements and financial resilience. An adapt recommendation may narrow the platform or prioritise partnerships. A stop recommendation will be justified if evidence indicates insufficient demand or unmanageable funding exposure.</w:t>
      </w:r>
    </w:p>
    <w:p w14:paraId="26D7FB4C" w14:textId="77777777" w:rsidR="00C44CFA" w:rsidRPr="00D11BE7" w:rsidRDefault="00C44CFA" w:rsidP="00D11BE7">
      <w:pPr>
        <w:spacing w:line="360" w:lineRule="auto"/>
        <w:rPr>
          <w:rFonts w:ascii="Arial" w:hAnsi="Arial" w:cs="Arial"/>
          <w:sz w:val="24"/>
          <w:szCs w:val="24"/>
        </w:rPr>
      </w:pPr>
    </w:p>
    <w:p w14:paraId="70DE30A4" w14:textId="52ADE938" w:rsidR="0079431E" w:rsidRPr="00D11BE7" w:rsidRDefault="00C44CFA" w:rsidP="00D11BE7">
      <w:pPr>
        <w:spacing w:line="360" w:lineRule="auto"/>
        <w:rPr>
          <w:rFonts w:ascii="Arial" w:hAnsi="Arial" w:cs="Arial"/>
          <w:sz w:val="24"/>
          <w:szCs w:val="24"/>
        </w:rPr>
      </w:pPr>
      <w:r w:rsidRPr="00D11BE7">
        <w:rPr>
          <w:rFonts w:ascii="Arial" w:hAnsi="Arial" w:cs="Arial"/>
          <w:sz w:val="24"/>
          <w:szCs w:val="24"/>
        </w:rPr>
        <w:t>7 THE OUTLINE FINANCIAL ASSESSMENT AND REVENUE LOGI</w:t>
      </w:r>
      <w:r w:rsidR="00B03090">
        <w:rPr>
          <w:rFonts w:ascii="Arial" w:hAnsi="Arial" w:cs="Arial"/>
          <w:sz w:val="24"/>
          <w:szCs w:val="24"/>
        </w:rPr>
        <w:t>C</w:t>
      </w:r>
      <w:r w:rsidRPr="00D11BE7">
        <w:rPr>
          <w:rFonts w:ascii="Arial" w:hAnsi="Arial" w:cs="Arial"/>
          <w:sz w:val="24"/>
          <w:szCs w:val="24"/>
        </w:rPr>
        <w:t>.</w:t>
      </w:r>
    </w:p>
    <w:p w14:paraId="3C7FB59B" w14:textId="77777777" w:rsidR="00C44CFA" w:rsidRPr="00D11BE7" w:rsidRDefault="00C44CFA" w:rsidP="00D11BE7">
      <w:pPr>
        <w:spacing w:line="360" w:lineRule="auto"/>
        <w:rPr>
          <w:rFonts w:ascii="Arial" w:hAnsi="Arial" w:cs="Arial"/>
          <w:sz w:val="24"/>
          <w:szCs w:val="24"/>
        </w:rPr>
      </w:pPr>
    </w:p>
    <w:p w14:paraId="16FD080E"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module's Cash Flow Template will be used to develop an assumption-based financial model. Proposed revenue streams are charging transactions and commercial management agreements, with software subscriptions considered only where customer value is supported. Charging income will be modelled from delivered kilowatt-hours and the net tariff. Software revenue will depend on paying customers, subscription levels and retention assumptions. Revenue-sharing arrangements will be recorded explicitly.</w:t>
      </w:r>
    </w:p>
    <w:p w14:paraId="042AB9F6"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Investment estimates will cover equipment, installation, connection work, site preparation and platform integration. Operating assumptions will include electricity purchases and losses, maintenance, rent, staffing, insurance, payment fees, cloud services and customer support. Cash-flow schedules will recognise timing differences between expenditure, receipts and financing. Taxes and applicable VAT treatment will be checked before finalising the model.</w:t>
      </w:r>
    </w:p>
    <w:p w14:paraId="762CC0AB"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Low, central and high demand scenarios will test utilisation, tariffs, electricity costs, installation delays and development expenditure. Break-even calculations will identify the activity needed to cover costs, while sensitivity tests will examine which assumptions most strongly affect funding requirements. HM Treasury's appraisal guidance supports examining uncertainty and avoiding optimistic assumptions (HM Treasury, 2026). This private venture will use relevant appraisal principles without claiming to conduct a full public-sector appraisal. Grants, lending and equity will </w:t>
      </w:r>
      <w:r w:rsidRPr="00D11BE7">
        <w:rPr>
          <w:rFonts w:ascii="Arial" w:hAnsi="Arial" w:cs="Arial"/>
          <w:sz w:val="24"/>
          <w:szCs w:val="24"/>
        </w:rPr>
        <w:lastRenderedPageBreak/>
        <w:t>remain potential funding routes rather than confirmed resources. Each input will carry a source or an explicit justification.</w:t>
      </w:r>
    </w:p>
    <w:p w14:paraId="2DE86A11" w14:textId="575CF359"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Cash viability will require funding sufficient to meet the maximum cumulative deficit and an explicitly justified contingency. Site-level contribution will be assessed after electricity and transaction costs, alongside enterprise overheads. Expansion will be considered only when additional locations can be financed without undermining service standards or existing essential operating commitments</w:t>
      </w:r>
      <w:r w:rsidR="00D11BE7" w:rsidRPr="00D11BE7">
        <w:rPr>
          <w:rFonts w:ascii="Arial" w:hAnsi="Arial" w:cs="Arial"/>
          <w:sz w:val="24"/>
          <w:szCs w:val="24"/>
        </w:rPr>
        <w:t>.</w:t>
      </w:r>
    </w:p>
    <w:p w14:paraId="5C045A0D" w14:textId="77777777" w:rsidR="00D11BE7" w:rsidRPr="00D11BE7" w:rsidRDefault="00D11BE7" w:rsidP="00D11BE7">
      <w:pPr>
        <w:spacing w:line="360" w:lineRule="auto"/>
        <w:rPr>
          <w:rFonts w:ascii="Arial" w:hAnsi="Arial" w:cs="Arial"/>
          <w:sz w:val="24"/>
          <w:szCs w:val="24"/>
        </w:rPr>
      </w:pPr>
    </w:p>
    <w:p w14:paraId="4839D116" w14:textId="0588825B"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8 </w:t>
      </w:r>
      <w:r w:rsidR="00371588" w:rsidRPr="00D11BE7">
        <w:rPr>
          <w:rFonts w:ascii="Arial" w:hAnsi="Arial" w:cs="Arial"/>
          <w:sz w:val="24"/>
          <w:szCs w:val="24"/>
        </w:rPr>
        <w:t>THE OUTLINE BUSINESS RISKS AND RESEARCH DELIVERY.</w:t>
      </w:r>
    </w:p>
    <w:p w14:paraId="5437FA37" w14:textId="77777777" w:rsidR="00D11BE7" w:rsidRPr="00D11BE7" w:rsidRDefault="00D11BE7" w:rsidP="00D11BE7">
      <w:pPr>
        <w:spacing w:line="360" w:lineRule="auto"/>
        <w:rPr>
          <w:rFonts w:ascii="Arial" w:hAnsi="Arial" w:cs="Arial"/>
          <w:sz w:val="24"/>
          <w:szCs w:val="24"/>
        </w:rPr>
      </w:pPr>
    </w:p>
    <w:p w14:paraId="6D171AB2"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Major business risks include constrained grid capacity, expensive installation, low utilisation, electricity-price volatility, equipment failure and data breaches. Proposed responses include phased investment, professional site assessment, connection quotations, maintenance agreements and clear incident procedures. Software costs and uncertain AI benefits will be controlled by prioritising essential functions and retaining human review of consequential outputs.</w:t>
      </w:r>
    </w:p>
    <w:p w14:paraId="2A681979" w14:textId="77777777"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Publicly accessible charging would require assessment against applicable Public Charge Point Regulations. These address pricing transparency, payment, helplines and open data; the 99% reliability requirement applies across an operator's rapid public charging network, rather than every charger category (OPSS, n.d.). Compliance responsibilities and costs will therefore be included in operating-model comparisons.</w:t>
      </w:r>
    </w:p>
    <w:p w14:paraId="76A605B4" w14:textId="77777777" w:rsidR="0079431E" w:rsidRDefault="0079431E" w:rsidP="00D11BE7">
      <w:pPr>
        <w:spacing w:line="360" w:lineRule="auto"/>
        <w:rPr>
          <w:rFonts w:ascii="Arial" w:hAnsi="Arial" w:cs="Arial"/>
          <w:sz w:val="24"/>
          <w:szCs w:val="24"/>
        </w:rPr>
      </w:pPr>
      <w:r w:rsidRPr="00D11BE7">
        <w:rPr>
          <w:rFonts w:ascii="Arial" w:hAnsi="Arial" w:cs="Arial"/>
          <w:sz w:val="24"/>
          <w:szCs w:val="24"/>
        </w:rPr>
        <w:t>Research delivery risks include unavailable Bristol-specific data, incompatible measures, paywalls and time pressure. Alternative sources, transparent limitations and scheduled supervisor reviews will manage these risks. Claims will be cross-checked, and the scope will be narrowed if evidence cannot support a reliable assessment. Important unresolved issues will be carried into the recommendation instead of being filled with invented figures.</w:t>
      </w:r>
    </w:p>
    <w:p w14:paraId="5C96681B" w14:textId="77777777" w:rsidR="00410E0F" w:rsidRPr="00D11BE7" w:rsidRDefault="00410E0F" w:rsidP="00D11BE7">
      <w:pPr>
        <w:spacing w:line="360" w:lineRule="auto"/>
        <w:rPr>
          <w:rFonts w:ascii="Arial" w:hAnsi="Arial" w:cs="Arial"/>
          <w:sz w:val="24"/>
          <w:szCs w:val="24"/>
        </w:rPr>
      </w:pPr>
    </w:p>
    <w:p w14:paraId="757E361D" w14:textId="0F9272D6" w:rsidR="00434380" w:rsidRPr="009B7904" w:rsidRDefault="0079431E" w:rsidP="004B4B1F">
      <w:pPr>
        <w:spacing w:line="360" w:lineRule="auto"/>
        <w:rPr>
          <w:rFonts w:ascii="Arial" w:hAnsi="Arial" w:cs="Arial"/>
          <w:sz w:val="24"/>
          <w:szCs w:val="24"/>
        </w:rPr>
      </w:pPr>
      <w:r w:rsidRPr="00D11BE7">
        <w:rPr>
          <w:rFonts w:ascii="Arial" w:hAnsi="Arial" w:cs="Arial"/>
          <w:sz w:val="24"/>
          <w:szCs w:val="24"/>
        </w:rPr>
        <w:t xml:space="preserve">9 </w:t>
      </w:r>
      <w:r w:rsidR="00410E0F">
        <w:rPr>
          <w:rFonts w:ascii="Arial" w:hAnsi="Arial" w:cs="Arial"/>
          <w:sz w:val="24"/>
          <w:szCs w:val="24"/>
        </w:rPr>
        <w:t>THE</w:t>
      </w:r>
      <w:r w:rsidR="00410E0F" w:rsidRPr="00857717">
        <w:rPr>
          <w:rFonts w:ascii="Arial" w:hAnsi="Arial" w:cs="Arial"/>
          <w:sz w:val="24"/>
          <w:szCs w:val="24"/>
        </w:rPr>
        <w:t xml:space="preserve"> OUTLINE </w:t>
      </w:r>
      <w:r w:rsidR="00410E0F" w:rsidRPr="00D11BE7">
        <w:rPr>
          <w:rFonts w:ascii="Arial" w:hAnsi="Arial" w:cs="Arial"/>
          <w:sz w:val="24"/>
          <w:szCs w:val="24"/>
        </w:rPr>
        <w:t xml:space="preserve">ETHICS DATA MANAGEMENT AND AI </w:t>
      </w:r>
      <w:bookmarkStart w:id="0" w:name="_Hlk197984612"/>
      <w:r w:rsidR="003F46FD" w:rsidRPr="00D11BE7">
        <w:rPr>
          <w:rFonts w:ascii="Arial" w:hAnsi="Arial" w:cs="Arial"/>
          <w:sz w:val="24"/>
          <w:szCs w:val="24"/>
        </w:rPr>
        <w:t>USE</w:t>
      </w:r>
      <w:r w:rsidR="003F46FD">
        <w:rPr>
          <w:rFonts w:ascii="Arial" w:hAnsi="Arial" w:cs="Arial"/>
          <w:sz w:val="24"/>
          <w:szCs w:val="24"/>
        </w:rPr>
        <w:t>.</w:t>
      </w:r>
    </w:p>
    <w:bookmarkEnd w:id="0"/>
    <w:p w14:paraId="287FA2A2" w14:textId="77777777" w:rsidR="00410E0F" w:rsidRPr="00D11BE7" w:rsidRDefault="00410E0F" w:rsidP="00D11BE7">
      <w:pPr>
        <w:spacing w:line="360" w:lineRule="auto"/>
        <w:rPr>
          <w:rFonts w:ascii="Arial" w:hAnsi="Arial" w:cs="Arial"/>
          <w:sz w:val="24"/>
          <w:szCs w:val="24"/>
        </w:rPr>
      </w:pPr>
    </w:p>
    <w:p w14:paraId="5C1D2160" w14:textId="386B2873"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The research will use publicly accessible secondary documents and aggregate datasets.</w:t>
      </w:r>
      <w:r w:rsidR="00BF347F">
        <w:rPr>
          <w:rFonts w:ascii="Arial" w:hAnsi="Arial" w:cs="Arial"/>
          <w:sz w:val="24"/>
          <w:szCs w:val="24"/>
        </w:rPr>
        <w:t xml:space="preserve"> It </w:t>
      </w:r>
      <w:r w:rsidR="00BF347F" w:rsidRPr="009B7904">
        <w:rPr>
          <w:rFonts w:ascii="Arial" w:hAnsi="Arial" w:cs="Arial"/>
          <w:sz w:val="24"/>
          <w:szCs w:val="24"/>
        </w:rPr>
        <w:t>will use Open</w:t>
      </w:r>
      <w:r w:rsidR="00BF347F">
        <w:rPr>
          <w:rFonts w:ascii="Arial" w:hAnsi="Arial" w:cs="Arial"/>
          <w:sz w:val="24"/>
          <w:szCs w:val="24"/>
        </w:rPr>
        <w:t xml:space="preserve"> </w:t>
      </w:r>
      <w:r w:rsidR="00BF347F" w:rsidRPr="009B7904">
        <w:rPr>
          <w:rFonts w:ascii="Arial" w:hAnsi="Arial" w:cs="Arial"/>
          <w:sz w:val="24"/>
          <w:szCs w:val="24"/>
        </w:rPr>
        <w:t>AI ChatGPT and Microsoft Copilot accessed through my UWTSD</w:t>
      </w:r>
      <w:r w:rsidR="00BF347F">
        <w:rPr>
          <w:rFonts w:ascii="Arial" w:hAnsi="Arial" w:cs="Arial"/>
          <w:sz w:val="24"/>
          <w:szCs w:val="24"/>
        </w:rPr>
        <w:t xml:space="preserve"> compliance and data storage in accordance with the UWTSD ethical guidance</w:t>
      </w:r>
      <w:r w:rsidR="00BF347F" w:rsidRPr="009B7904">
        <w:rPr>
          <w:rFonts w:ascii="Arial" w:hAnsi="Arial" w:cs="Arial"/>
          <w:sz w:val="24"/>
          <w:szCs w:val="24"/>
        </w:rPr>
        <w:t xml:space="preserve"> </w:t>
      </w:r>
      <w:r w:rsidR="00BF347F">
        <w:rPr>
          <w:rFonts w:ascii="Arial" w:hAnsi="Arial" w:cs="Arial"/>
          <w:sz w:val="24"/>
          <w:szCs w:val="24"/>
        </w:rPr>
        <w:t>as stipulated at</w:t>
      </w:r>
      <w:r w:rsidR="00BF347F" w:rsidRPr="009B7904">
        <w:rPr>
          <w:rFonts w:ascii="Arial" w:hAnsi="Arial" w:cs="Arial"/>
          <w:sz w:val="24"/>
          <w:szCs w:val="24"/>
        </w:rPr>
        <w:t xml:space="preserve"> LCMB7037</w:t>
      </w:r>
      <w:r w:rsidR="007D0C4E">
        <w:rPr>
          <w:rFonts w:ascii="Arial" w:hAnsi="Arial" w:cs="Arial"/>
          <w:sz w:val="24"/>
          <w:szCs w:val="24"/>
        </w:rPr>
        <w:t>; however,</w:t>
      </w:r>
      <w:r w:rsidRPr="00D11BE7">
        <w:rPr>
          <w:rFonts w:ascii="Arial" w:hAnsi="Arial" w:cs="Arial"/>
          <w:sz w:val="24"/>
          <w:szCs w:val="24"/>
        </w:rPr>
        <w:t xml:space="preserve"> </w:t>
      </w:r>
      <w:r w:rsidR="005C5D00" w:rsidRPr="00D11BE7">
        <w:rPr>
          <w:rFonts w:ascii="Arial" w:hAnsi="Arial" w:cs="Arial"/>
          <w:sz w:val="24"/>
          <w:szCs w:val="24"/>
        </w:rPr>
        <w:t>it</w:t>
      </w:r>
      <w:r w:rsidRPr="00D11BE7">
        <w:rPr>
          <w:rFonts w:ascii="Arial" w:hAnsi="Arial" w:cs="Arial"/>
          <w:sz w:val="24"/>
          <w:szCs w:val="24"/>
        </w:rPr>
        <w:t xml:space="preserve"> will not involve</w:t>
      </w:r>
      <w:r w:rsidR="008B07F3">
        <w:rPr>
          <w:rFonts w:ascii="Arial" w:hAnsi="Arial" w:cs="Arial"/>
          <w:sz w:val="24"/>
          <w:szCs w:val="24"/>
        </w:rPr>
        <w:t xml:space="preserve"> primary</w:t>
      </w:r>
      <w:r w:rsidR="00882290">
        <w:rPr>
          <w:rFonts w:ascii="Arial" w:hAnsi="Arial" w:cs="Arial"/>
          <w:sz w:val="24"/>
          <w:szCs w:val="24"/>
        </w:rPr>
        <w:t xml:space="preserve"> research </w:t>
      </w:r>
      <w:r w:rsidRPr="00D11BE7">
        <w:rPr>
          <w:rFonts w:ascii="Arial" w:hAnsi="Arial" w:cs="Arial"/>
          <w:sz w:val="24"/>
          <w:szCs w:val="24"/>
        </w:rPr>
        <w:t xml:space="preserve">interviews, questionnaires, participant observation or collection of identifiable customer records. </w:t>
      </w:r>
      <w:r w:rsidR="00BD47A1">
        <w:rPr>
          <w:rFonts w:ascii="Arial" w:hAnsi="Arial" w:cs="Arial"/>
          <w:sz w:val="24"/>
          <w:szCs w:val="24"/>
        </w:rPr>
        <w:t>This mean</w:t>
      </w:r>
      <w:r w:rsidR="00CD0C6A">
        <w:rPr>
          <w:rFonts w:ascii="Arial" w:hAnsi="Arial" w:cs="Arial"/>
          <w:sz w:val="24"/>
          <w:szCs w:val="24"/>
        </w:rPr>
        <w:t xml:space="preserve"> a</w:t>
      </w:r>
      <w:r w:rsidRPr="00D11BE7">
        <w:rPr>
          <w:rFonts w:ascii="Arial" w:hAnsi="Arial" w:cs="Arial"/>
          <w:sz w:val="24"/>
          <w:szCs w:val="24"/>
        </w:rPr>
        <w:t>ny change involving participants or sensitive information will require an ethics amendment before implementation. This scope will remain consistent across the outline, Ethics Form and final proposal</w:t>
      </w:r>
      <w:r w:rsidR="00CD2439">
        <w:rPr>
          <w:rFonts w:ascii="Arial" w:hAnsi="Arial" w:cs="Arial"/>
          <w:sz w:val="24"/>
          <w:szCs w:val="24"/>
        </w:rPr>
        <w:t>, as</w:t>
      </w:r>
      <w:r w:rsidR="00AB1ACB">
        <w:rPr>
          <w:rFonts w:ascii="Arial" w:hAnsi="Arial" w:cs="Arial"/>
          <w:sz w:val="24"/>
          <w:szCs w:val="24"/>
        </w:rPr>
        <w:t xml:space="preserve"> </w:t>
      </w:r>
      <w:r w:rsidR="004756E0">
        <w:rPr>
          <w:rFonts w:ascii="Arial" w:hAnsi="Arial" w:cs="Arial"/>
          <w:sz w:val="24"/>
          <w:szCs w:val="24"/>
        </w:rPr>
        <w:t>in</w:t>
      </w:r>
      <w:r w:rsidR="00957878">
        <w:rPr>
          <w:rFonts w:ascii="Arial" w:hAnsi="Arial" w:cs="Arial"/>
          <w:sz w:val="24"/>
          <w:szCs w:val="24"/>
        </w:rPr>
        <w:t xml:space="preserve"> the</w:t>
      </w:r>
      <w:r w:rsidR="00C615F5">
        <w:rPr>
          <w:rFonts w:ascii="Arial" w:hAnsi="Arial" w:cs="Arial"/>
          <w:sz w:val="24"/>
          <w:szCs w:val="24"/>
        </w:rPr>
        <w:t xml:space="preserve"> t</w:t>
      </w:r>
      <w:r w:rsidR="00227820">
        <w:rPr>
          <w:rFonts w:ascii="Arial" w:hAnsi="Arial" w:cs="Arial"/>
          <w:sz w:val="24"/>
          <w:szCs w:val="24"/>
        </w:rPr>
        <w:t>erm</w:t>
      </w:r>
      <w:r w:rsidR="009B110A">
        <w:rPr>
          <w:rFonts w:ascii="Arial" w:hAnsi="Arial" w:cs="Arial"/>
          <w:sz w:val="24"/>
          <w:szCs w:val="24"/>
        </w:rPr>
        <w:t xml:space="preserve"> o</w:t>
      </w:r>
      <w:r w:rsidR="00A25DF1">
        <w:rPr>
          <w:rFonts w:ascii="Arial" w:hAnsi="Arial" w:cs="Arial"/>
          <w:sz w:val="24"/>
          <w:szCs w:val="24"/>
        </w:rPr>
        <w:t xml:space="preserve">f </w:t>
      </w:r>
      <w:r w:rsidR="003E52A4">
        <w:rPr>
          <w:rFonts w:ascii="Arial" w:hAnsi="Arial" w:cs="Arial"/>
          <w:sz w:val="24"/>
          <w:szCs w:val="24"/>
        </w:rPr>
        <w:t>th</w:t>
      </w:r>
      <w:r w:rsidR="00307478">
        <w:rPr>
          <w:rFonts w:ascii="Arial" w:hAnsi="Arial" w:cs="Arial"/>
          <w:sz w:val="24"/>
          <w:szCs w:val="24"/>
        </w:rPr>
        <w:t>e</w:t>
      </w:r>
      <w:r w:rsidR="000E3012">
        <w:rPr>
          <w:rFonts w:ascii="Arial" w:hAnsi="Arial" w:cs="Arial"/>
          <w:sz w:val="24"/>
          <w:szCs w:val="24"/>
        </w:rPr>
        <w:t xml:space="preserve"> </w:t>
      </w:r>
      <w:r w:rsidR="00002962">
        <w:rPr>
          <w:rFonts w:ascii="Arial" w:hAnsi="Arial" w:cs="Arial"/>
          <w:sz w:val="24"/>
          <w:szCs w:val="24"/>
        </w:rPr>
        <w:t>p</w:t>
      </w:r>
      <w:r w:rsidR="003F28DE" w:rsidRPr="00DB7982">
        <w:rPr>
          <w:rFonts w:ascii="Arial" w:hAnsi="Arial" w:cs="Arial"/>
          <w:sz w:val="24"/>
          <w:szCs w:val="24"/>
        </w:rPr>
        <w:t>ublic data requir</w:t>
      </w:r>
      <w:r w:rsidR="005426A3">
        <w:rPr>
          <w:rFonts w:ascii="Arial" w:hAnsi="Arial" w:cs="Arial"/>
          <w:sz w:val="24"/>
          <w:szCs w:val="24"/>
        </w:rPr>
        <w:t>ing</w:t>
      </w:r>
      <w:r w:rsidR="003F28DE" w:rsidRPr="00DB7982">
        <w:rPr>
          <w:rFonts w:ascii="Arial" w:hAnsi="Arial" w:cs="Arial"/>
          <w:sz w:val="24"/>
          <w:szCs w:val="24"/>
        </w:rPr>
        <w:t xml:space="preserve"> scrutiny of context, reidentification risks and research decisions (Zook et al., 2017)</w:t>
      </w:r>
    </w:p>
    <w:p w14:paraId="64965151" w14:textId="3B2B75A1" w:rsidR="0079431E" w:rsidRPr="00D11BE7" w:rsidRDefault="00CD0C6A" w:rsidP="00D11BE7">
      <w:pPr>
        <w:spacing w:line="360" w:lineRule="auto"/>
        <w:rPr>
          <w:rFonts w:ascii="Arial" w:hAnsi="Arial" w:cs="Arial"/>
          <w:sz w:val="24"/>
          <w:szCs w:val="24"/>
        </w:rPr>
      </w:pPr>
      <w:r>
        <w:rPr>
          <w:rFonts w:ascii="Arial" w:hAnsi="Arial" w:cs="Arial"/>
          <w:sz w:val="24"/>
          <w:szCs w:val="24"/>
        </w:rPr>
        <w:t>Peer review</w:t>
      </w:r>
      <w:r w:rsidR="007B3788">
        <w:rPr>
          <w:rFonts w:ascii="Arial" w:hAnsi="Arial" w:cs="Arial"/>
          <w:sz w:val="24"/>
          <w:szCs w:val="24"/>
        </w:rPr>
        <w:t xml:space="preserve"> s</w:t>
      </w:r>
      <w:r w:rsidR="0079431E" w:rsidRPr="00D11BE7">
        <w:rPr>
          <w:rFonts w:ascii="Arial" w:hAnsi="Arial" w:cs="Arial"/>
          <w:sz w:val="24"/>
          <w:szCs w:val="24"/>
        </w:rPr>
        <w:t xml:space="preserve">ources will be acknowledged, findings represented accurately and copyright and licensing conditions </w:t>
      </w:r>
      <w:r w:rsidR="007B3788">
        <w:rPr>
          <w:rFonts w:ascii="Arial" w:hAnsi="Arial" w:cs="Arial"/>
          <w:sz w:val="24"/>
          <w:szCs w:val="24"/>
        </w:rPr>
        <w:t>ethical</w:t>
      </w:r>
      <w:r w:rsidR="00610132">
        <w:rPr>
          <w:rFonts w:ascii="Arial" w:hAnsi="Arial" w:cs="Arial"/>
          <w:sz w:val="24"/>
          <w:szCs w:val="24"/>
        </w:rPr>
        <w:t>l</w:t>
      </w:r>
      <w:r w:rsidR="007B3788">
        <w:rPr>
          <w:rFonts w:ascii="Arial" w:hAnsi="Arial" w:cs="Arial"/>
          <w:sz w:val="24"/>
          <w:szCs w:val="24"/>
        </w:rPr>
        <w:t xml:space="preserve">y </w:t>
      </w:r>
      <w:r w:rsidR="0079431E" w:rsidRPr="00D11BE7">
        <w:rPr>
          <w:rFonts w:ascii="Arial" w:hAnsi="Arial" w:cs="Arial"/>
          <w:sz w:val="24"/>
          <w:szCs w:val="24"/>
        </w:rPr>
        <w:t xml:space="preserve">respected. Research files will be retained within UWTSD's </w:t>
      </w:r>
      <w:r w:rsidR="00610132">
        <w:rPr>
          <w:rFonts w:ascii="Arial" w:hAnsi="Arial" w:cs="Arial"/>
          <w:sz w:val="24"/>
          <w:szCs w:val="24"/>
        </w:rPr>
        <w:t xml:space="preserve">home </w:t>
      </w:r>
      <w:r w:rsidR="0079431E" w:rsidRPr="00D11BE7">
        <w:rPr>
          <w:rFonts w:ascii="Arial" w:hAnsi="Arial" w:cs="Arial"/>
          <w:sz w:val="24"/>
          <w:szCs w:val="24"/>
        </w:rPr>
        <w:t>managed environment, with access restricted appropriately (UWTSD, n.d.). The Ethics Form will be completed during Week 4 and included, alongside the outline, in the final appendices.</w:t>
      </w:r>
    </w:p>
    <w:p w14:paraId="75BA6A69" w14:textId="7839F4BD" w:rsidR="0079431E" w:rsidRPr="00D11BE7" w:rsidRDefault="0079431E" w:rsidP="00D11BE7">
      <w:pPr>
        <w:spacing w:line="360" w:lineRule="auto"/>
        <w:rPr>
          <w:rFonts w:ascii="Arial" w:hAnsi="Arial" w:cs="Arial"/>
          <w:sz w:val="24"/>
          <w:szCs w:val="24"/>
        </w:rPr>
      </w:pPr>
      <w:r w:rsidRPr="00D11BE7">
        <w:rPr>
          <w:rFonts w:ascii="Arial" w:hAnsi="Arial" w:cs="Arial"/>
          <w:sz w:val="24"/>
          <w:szCs w:val="24"/>
        </w:rPr>
        <w:t xml:space="preserve">ChatGPT and Microsoft Copilot accessed through the UWTSD university account are the identified AI tools. ChatGPT has supported drafting and organising proposal text. Its consumer-service content is stored in the United States and </w:t>
      </w:r>
      <w:r w:rsidR="002029DC">
        <w:rPr>
          <w:rFonts w:ascii="Arial" w:hAnsi="Arial" w:cs="Arial"/>
          <w:sz w:val="24"/>
          <w:szCs w:val="24"/>
        </w:rPr>
        <w:t xml:space="preserve">in the UK as for </w:t>
      </w:r>
      <w:r w:rsidRPr="00D11BE7">
        <w:rPr>
          <w:rFonts w:ascii="Arial" w:hAnsi="Arial" w:cs="Arial"/>
          <w:sz w:val="24"/>
          <w:szCs w:val="24"/>
        </w:rPr>
        <w:t>other countries; model-training controls will be disabled for subsequent use (Open</w:t>
      </w:r>
      <w:r w:rsidR="008A3C72">
        <w:rPr>
          <w:rFonts w:ascii="Arial" w:hAnsi="Arial" w:cs="Arial"/>
          <w:sz w:val="24"/>
          <w:szCs w:val="24"/>
        </w:rPr>
        <w:t xml:space="preserve"> </w:t>
      </w:r>
      <w:r w:rsidRPr="00D11BE7">
        <w:rPr>
          <w:rFonts w:ascii="Arial" w:hAnsi="Arial" w:cs="Arial"/>
          <w:sz w:val="24"/>
          <w:szCs w:val="24"/>
        </w:rPr>
        <w:t>AI, n.d.). UWTSD Copilot provides enterprise protections, with chat records stored in the university's Microsoft 365 Exchange environment and prompts excluded from foundation-model training. Its specific storage and processing region will be confirmed with university IT (Microsoft, n.d.).</w:t>
      </w:r>
    </w:p>
    <w:p w14:paraId="0B91441F" w14:textId="40E12228" w:rsidR="0079431E" w:rsidRDefault="0079431E" w:rsidP="00D11BE7">
      <w:pPr>
        <w:spacing w:line="360" w:lineRule="auto"/>
        <w:rPr>
          <w:rFonts w:ascii="Arial" w:hAnsi="Arial" w:cs="Arial"/>
          <w:sz w:val="24"/>
          <w:szCs w:val="24"/>
        </w:rPr>
      </w:pPr>
      <w:r w:rsidRPr="00D11BE7">
        <w:rPr>
          <w:rFonts w:ascii="Arial" w:hAnsi="Arial" w:cs="Arial"/>
          <w:sz w:val="24"/>
          <w:szCs w:val="24"/>
        </w:rPr>
        <w:t xml:space="preserve">Only authorised, non-sensitive material will be entered into either tool. Module-specific AI permissions and required </w:t>
      </w:r>
      <w:r w:rsidR="00D63589" w:rsidRPr="00D11BE7">
        <w:rPr>
          <w:rFonts w:ascii="Arial" w:hAnsi="Arial" w:cs="Arial"/>
          <w:sz w:val="24"/>
          <w:szCs w:val="24"/>
        </w:rPr>
        <w:t>Info skills</w:t>
      </w:r>
      <w:r w:rsidRPr="00D11BE7">
        <w:rPr>
          <w:rFonts w:ascii="Arial" w:hAnsi="Arial" w:cs="Arial"/>
          <w:sz w:val="24"/>
          <w:szCs w:val="24"/>
        </w:rPr>
        <w:t xml:space="preserve"> training will be checked. Sources and calculations will be independently verified, and original drafts, prompts and outputs retained. Each actual AI use will be acknowledged at the beginning of the submission in accordance with UWTSD guidance (UWTSD, 2025). AI-generated wording will be disclosed, with research interpretation remaining the researcher's responsibility.</w:t>
      </w:r>
    </w:p>
    <w:p w14:paraId="1A923343" w14:textId="77777777" w:rsidR="002A5269" w:rsidRPr="00D11BE7" w:rsidRDefault="002A5269" w:rsidP="00D11BE7">
      <w:pPr>
        <w:spacing w:line="360" w:lineRule="auto"/>
        <w:rPr>
          <w:rFonts w:ascii="Arial" w:hAnsi="Arial" w:cs="Arial"/>
          <w:sz w:val="24"/>
          <w:szCs w:val="24"/>
        </w:rPr>
      </w:pPr>
    </w:p>
    <w:p w14:paraId="5EEF040B" w14:textId="4D356672" w:rsidR="0079431E" w:rsidRDefault="0079431E" w:rsidP="00D11BE7">
      <w:pPr>
        <w:spacing w:line="360" w:lineRule="auto"/>
        <w:rPr>
          <w:rFonts w:ascii="Arial" w:hAnsi="Arial" w:cs="Arial"/>
          <w:sz w:val="24"/>
          <w:szCs w:val="24"/>
        </w:rPr>
      </w:pPr>
      <w:r w:rsidRPr="00D11BE7">
        <w:rPr>
          <w:rFonts w:ascii="Arial" w:hAnsi="Arial" w:cs="Arial"/>
          <w:sz w:val="24"/>
          <w:szCs w:val="24"/>
        </w:rPr>
        <w:lastRenderedPageBreak/>
        <w:t>10</w:t>
      </w:r>
      <w:r w:rsidR="00D63589" w:rsidRPr="00D63589">
        <w:rPr>
          <w:rFonts w:ascii="Arial" w:hAnsi="Arial" w:cs="Arial"/>
          <w:sz w:val="24"/>
          <w:szCs w:val="24"/>
        </w:rPr>
        <w:t xml:space="preserve"> </w:t>
      </w:r>
      <w:r w:rsidR="00D63589">
        <w:rPr>
          <w:rFonts w:ascii="Arial" w:hAnsi="Arial" w:cs="Arial"/>
          <w:sz w:val="24"/>
          <w:szCs w:val="24"/>
        </w:rPr>
        <w:t>THE</w:t>
      </w:r>
      <w:r w:rsidR="00D63589" w:rsidRPr="00857717">
        <w:rPr>
          <w:rFonts w:ascii="Arial" w:hAnsi="Arial" w:cs="Arial"/>
          <w:sz w:val="24"/>
          <w:szCs w:val="24"/>
        </w:rPr>
        <w:t xml:space="preserve"> OUTLINE</w:t>
      </w:r>
      <w:r w:rsidRPr="00D11BE7">
        <w:rPr>
          <w:rFonts w:ascii="Arial" w:hAnsi="Arial" w:cs="Arial"/>
          <w:sz w:val="24"/>
          <w:szCs w:val="24"/>
        </w:rPr>
        <w:t xml:space="preserve"> </w:t>
      </w:r>
      <w:r w:rsidR="00D63589" w:rsidRPr="00D11BE7">
        <w:rPr>
          <w:rFonts w:ascii="Arial" w:hAnsi="Arial" w:cs="Arial"/>
          <w:sz w:val="24"/>
          <w:szCs w:val="24"/>
        </w:rPr>
        <w:t>PROJECT SCHEDULE AND INTENDED IMPACT</w:t>
      </w:r>
      <w:r w:rsidR="00D63589">
        <w:rPr>
          <w:rFonts w:ascii="Arial" w:hAnsi="Arial" w:cs="Arial"/>
          <w:sz w:val="24"/>
          <w:szCs w:val="24"/>
        </w:rPr>
        <w:t>.</w:t>
      </w:r>
    </w:p>
    <w:p w14:paraId="390E8B3E" w14:textId="77777777" w:rsidR="004D7665" w:rsidRDefault="004D7665" w:rsidP="00D11BE7">
      <w:pPr>
        <w:spacing w:line="360" w:lineRule="auto"/>
        <w:rPr>
          <w:rFonts w:ascii="Arial" w:hAnsi="Arial" w:cs="Arial"/>
          <w:sz w:val="24"/>
          <w:szCs w:val="24"/>
        </w:rPr>
      </w:pPr>
    </w:p>
    <w:p w14:paraId="41E548F4" w14:textId="688D20C8" w:rsidR="0079431E" w:rsidRDefault="004D7665" w:rsidP="00D11BE7">
      <w:pPr>
        <w:spacing w:line="360" w:lineRule="auto"/>
        <w:rPr>
          <w:rFonts w:ascii="Arial" w:hAnsi="Arial" w:cs="Arial"/>
          <w:sz w:val="24"/>
          <w:szCs w:val="24"/>
        </w:rPr>
      </w:pPr>
      <w:r w:rsidRPr="00D11BE7">
        <w:rPr>
          <w:rFonts w:ascii="Arial" w:hAnsi="Arial" w:cs="Arial"/>
          <w:sz w:val="24"/>
          <w:szCs w:val="24"/>
        </w:rPr>
        <w:t>The sixteen-week schedule research tasks</w:t>
      </w:r>
      <w:r w:rsidR="00E31AFA">
        <w:rPr>
          <w:rFonts w:ascii="Arial" w:hAnsi="Arial" w:cs="Arial"/>
          <w:sz w:val="24"/>
          <w:szCs w:val="24"/>
        </w:rPr>
        <w:t xml:space="preserve"> </w:t>
      </w:r>
      <w:r w:rsidR="008C2E84">
        <w:rPr>
          <w:rFonts w:ascii="Arial" w:hAnsi="Arial" w:cs="Arial"/>
          <w:sz w:val="24"/>
          <w:szCs w:val="24"/>
        </w:rPr>
        <w:t>are align</w:t>
      </w:r>
      <w:r w:rsidR="00CF2235">
        <w:rPr>
          <w:rFonts w:ascii="Arial" w:hAnsi="Arial" w:cs="Arial"/>
          <w:sz w:val="24"/>
          <w:szCs w:val="24"/>
        </w:rPr>
        <w:t>ed</w:t>
      </w:r>
      <w:r w:rsidR="00566508">
        <w:rPr>
          <w:rFonts w:ascii="Arial" w:hAnsi="Arial" w:cs="Arial"/>
          <w:sz w:val="24"/>
          <w:szCs w:val="24"/>
        </w:rPr>
        <w:t xml:space="preserve"> within</w:t>
      </w:r>
      <w:r w:rsidR="00E31AFA">
        <w:rPr>
          <w:rFonts w:ascii="Arial" w:hAnsi="Arial" w:cs="Arial"/>
          <w:sz w:val="24"/>
          <w:szCs w:val="24"/>
        </w:rPr>
        <w:t xml:space="preserve"> the</w:t>
      </w:r>
      <w:r w:rsidR="00E31AFA" w:rsidRPr="00D11BE7">
        <w:rPr>
          <w:rFonts w:ascii="Arial" w:hAnsi="Arial" w:cs="Arial"/>
          <w:sz w:val="24"/>
          <w:szCs w:val="24"/>
        </w:rPr>
        <w:t xml:space="preserve"> module's workshops and supervision pattern</w:t>
      </w:r>
      <w:r w:rsidR="008C2E84">
        <w:rPr>
          <w:rFonts w:ascii="Arial" w:hAnsi="Arial" w:cs="Arial"/>
          <w:sz w:val="24"/>
          <w:szCs w:val="24"/>
        </w:rPr>
        <w:t>.</w:t>
      </w:r>
      <w:r w:rsidR="00ED468A">
        <w:rPr>
          <w:rFonts w:ascii="Arial" w:hAnsi="Arial" w:cs="Arial"/>
          <w:sz w:val="24"/>
          <w:szCs w:val="24"/>
        </w:rPr>
        <w:t xml:space="preserve"> </w:t>
      </w:r>
      <w:r w:rsidR="00CF2235">
        <w:rPr>
          <w:rFonts w:ascii="Arial" w:hAnsi="Arial" w:cs="Arial"/>
          <w:sz w:val="24"/>
          <w:szCs w:val="24"/>
        </w:rPr>
        <w:t>The o</w:t>
      </w:r>
      <w:r w:rsidR="0079431E" w:rsidRPr="00D11BE7">
        <w:rPr>
          <w:rFonts w:ascii="Arial" w:hAnsi="Arial" w:cs="Arial"/>
          <w:sz w:val="24"/>
          <w:szCs w:val="24"/>
        </w:rPr>
        <w:t xml:space="preserve">utputs will include the business model, indicative site criteria, funding forecast and phased pilot recommendation. </w:t>
      </w:r>
      <w:r w:rsidR="00CF2235">
        <w:rPr>
          <w:rFonts w:ascii="Arial" w:hAnsi="Arial" w:cs="Arial"/>
          <w:sz w:val="24"/>
          <w:szCs w:val="24"/>
        </w:rPr>
        <w:t>The p</w:t>
      </w:r>
      <w:r w:rsidR="0079431E" w:rsidRPr="00D11BE7">
        <w:rPr>
          <w:rFonts w:ascii="Arial" w:hAnsi="Arial" w:cs="Arial"/>
          <w:sz w:val="24"/>
          <w:szCs w:val="24"/>
        </w:rPr>
        <w:t>roposed measures include charger availability, administrative hours, customer satisfaction, energy use and cash flow. A subsequent pilot could connect these outputs to improved charging access and SME productivity. Environmental benefits would require appropriate baselines and energy evidence. UK expansion would depend on demonstrated local demand, operational capacity and financial performance.</w:t>
      </w:r>
    </w:p>
    <w:p w14:paraId="722A9858" w14:textId="77777777" w:rsidR="00743DF3" w:rsidRDefault="00743DF3" w:rsidP="00D11BE7">
      <w:pPr>
        <w:spacing w:line="360" w:lineRule="auto"/>
        <w:rPr>
          <w:rFonts w:ascii="Arial" w:hAnsi="Arial" w:cs="Arial"/>
          <w:sz w:val="24"/>
          <w:szCs w:val="24"/>
        </w:rPr>
      </w:pPr>
    </w:p>
    <w:p w14:paraId="535D7D5F" w14:textId="77777777" w:rsidR="00743DF3" w:rsidRDefault="00743DF3" w:rsidP="00D11BE7">
      <w:pPr>
        <w:spacing w:line="360" w:lineRule="auto"/>
        <w:rPr>
          <w:rFonts w:ascii="Arial" w:hAnsi="Arial" w:cs="Arial"/>
          <w:sz w:val="24"/>
          <w:szCs w:val="24"/>
        </w:rPr>
      </w:pPr>
    </w:p>
    <w:p w14:paraId="34F6DC1A" w14:textId="77777777" w:rsidR="00743DF3" w:rsidRDefault="00743DF3" w:rsidP="00D11BE7">
      <w:pPr>
        <w:spacing w:line="360" w:lineRule="auto"/>
        <w:rPr>
          <w:rFonts w:ascii="Arial" w:hAnsi="Arial" w:cs="Arial"/>
          <w:sz w:val="24"/>
          <w:szCs w:val="24"/>
        </w:rPr>
      </w:pPr>
    </w:p>
    <w:p w14:paraId="66390787" w14:textId="77777777" w:rsidR="00743DF3" w:rsidRDefault="00743DF3" w:rsidP="00D11BE7">
      <w:pPr>
        <w:spacing w:line="360" w:lineRule="auto"/>
        <w:rPr>
          <w:rFonts w:ascii="Arial" w:hAnsi="Arial" w:cs="Arial"/>
          <w:sz w:val="24"/>
          <w:szCs w:val="24"/>
        </w:rPr>
      </w:pPr>
    </w:p>
    <w:p w14:paraId="769221F5" w14:textId="77777777" w:rsidR="00743DF3" w:rsidRDefault="00743DF3" w:rsidP="00D11BE7">
      <w:pPr>
        <w:spacing w:line="360" w:lineRule="auto"/>
        <w:rPr>
          <w:rFonts w:ascii="Arial" w:hAnsi="Arial" w:cs="Arial"/>
          <w:sz w:val="24"/>
          <w:szCs w:val="24"/>
        </w:rPr>
      </w:pPr>
    </w:p>
    <w:p w14:paraId="7789A572" w14:textId="77777777" w:rsidR="00743DF3" w:rsidRDefault="00743DF3" w:rsidP="00D11BE7">
      <w:pPr>
        <w:spacing w:line="360" w:lineRule="auto"/>
        <w:rPr>
          <w:rFonts w:ascii="Arial" w:hAnsi="Arial" w:cs="Arial"/>
          <w:sz w:val="24"/>
          <w:szCs w:val="24"/>
        </w:rPr>
      </w:pPr>
    </w:p>
    <w:p w14:paraId="0064551D" w14:textId="77777777" w:rsidR="00743DF3" w:rsidRDefault="00743DF3" w:rsidP="00D11BE7">
      <w:pPr>
        <w:spacing w:line="360" w:lineRule="auto"/>
        <w:rPr>
          <w:rFonts w:ascii="Arial" w:hAnsi="Arial" w:cs="Arial"/>
          <w:sz w:val="24"/>
          <w:szCs w:val="24"/>
        </w:rPr>
      </w:pPr>
    </w:p>
    <w:p w14:paraId="440463F9" w14:textId="77777777" w:rsidR="00743DF3" w:rsidRDefault="00743DF3" w:rsidP="00D11BE7">
      <w:pPr>
        <w:spacing w:line="360" w:lineRule="auto"/>
        <w:rPr>
          <w:rFonts w:ascii="Arial" w:hAnsi="Arial" w:cs="Arial"/>
          <w:sz w:val="24"/>
          <w:szCs w:val="24"/>
        </w:rPr>
      </w:pPr>
    </w:p>
    <w:p w14:paraId="6D531218" w14:textId="77777777" w:rsidR="00743DF3" w:rsidRDefault="00743DF3" w:rsidP="00D11BE7">
      <w:pPr>
        <w:spacing w:line="360" w:lineRule="auto"/>
        <w:rPr>
          <w:rFonts w:ascii="Arial" w:hAnsi="Arial" w:cs="Arial"/>
          <w:sz w:val="24"/>
          <w:szCs w:val="24"/>
        </w:rPr>
      </w:pPr>
    </w:p>
    <w:p w14:paraId="7BEC3047" w14:textId="77777777" w:rsidR="00743DF3" w:rsidRDefault="00743DF3" w:rsidP="00D11BE7">
      <w:pPr>
        <w:spacing w:line="360" w:lineRule="auto"/>
        <w:rPr>
          <w:rFonts w:ascii="Arial" w:hAnsi="Arial" w:cs="Arial"/>
          <w:sz w:val="24"/>
          <w:szCs w:val="24"/>
        </w:rPr>
      </w:pPr>
    </w:p>
    <w:p w14:paraId="6D64B76B" w14:textId="77777777" w:rsidR="00743DF3" w:rsidRDefault="00743DF3" w:rsidP="00D11BE7">
      <w:pPr>
        <w:spacing w:line="360" w:lineRule="auto"/>
        <w:rPr>
          <w:rFonts w:ascii="Arial" w:hAnsi="Arial" w:cs="Arial"/>
          <w:sz w:val="24"/>
          <w:szCs w:val="24"/>
        </w:rPr>
      </w:pPr>
    </w:p>
    <w:p w14:paraId="0982DCDC" w14:textId="77777777" w:rsidR="00743DF3" w:rsidRDefault="00743DF3" w:rsidP="00D11BE7">
      <w:pPr>
        <w:spacing w:line="360" w:lineRule="auto"/>
        <w:rPr>
          <w:rFonts w:ascii="Arial" w:hAnsi="Arial" w:cs="Arial"/>
          <w:sz w:val="24"/>
          <w:szCs w:val="24"/>
        </w:rPr>
      </w:pPr>
    </w:p>
    <w:p w14:paraId="7C707C81" w14:textId="77777777" w:rsidR="00743DF3" w:rsidRDefault="00743DF3" w:rsidP="00D11BE7">
      <w:pPr>
        <w:spacing w:line="360" w:lineRule="auto"/>
        <w:rPr>
          <w:rFonts w:ascii="Arial" w:hAnsi="Arial" w:cs="Arial"/>
          <w:sz w:val="24"/>
          <w:szCs w:val="24"/>
        </w:rPr>
      </w:pPr>
    </w:p>
    <w:p w14:paraId="0688D815" w14:textId="77777777" w:rsidR="00743DF3" w:rsidRDefault="00743DF3" w:rsidP="00D11BE7">
      <w:pPr>
        <w:spacing w:line="360" w:lineRule="auto"/>
        <w:rPr>
          <w:rFonts w:ascii="Arial" w:hAnsi="Arial" w:cs="Arial"/>
          <w:sz w:val="24"/>
          <w:szCs w:val="24"/>
        </w:rPr>
      </w:pPr>
    </w:p>
    <w:p w14:paraId="19D5CE48" w14:textId="77777777" w:rsidR="00743DF3" w:rsidRDefault="00743DF3" w:rsidP="00D11BE7">
      <w:pPr>
        <w:spacing w:line="360" w:lineRule="auto"/>
        <w:rPr>
          <w:rFonts w:ascii="Arial" w:hAnsi="Arial" w:cs="Arial"/>
          <w:sz w:val="24"/>
          <w:szCs w:val="24"/>
        </w:rPr>
      </w:pPr>
    </w:p>
    <w:p w14:paraId="2FBDAA1A" w14:textId="77777777" w:rsidR="00D553E7" w:rsidRDefault="00D553E7" w:rsidP="00D11BE7">
      <w:pPr>
        <w:spacing w:line="360" w:lineRule="auto"/>
        <w:rPr>
          <w:rFonts w:ascii="Arial" w:hAnsi="Arial" w:cs="Arial"/>
          <w:sz w:val="24"/>
          <w:szCs w:val="24"/>
        </w:rPr>
      </w:pPr>
    </w:p>
    <w:p w14:paraId="158B6AA7" w14:textId="179AFBE1" w:rsidR="00017626" w:rsidRDefault="00743DF3" w:rsidP="00D11BE7">
      <w:pPr>
        <w:spacing w:line="360" w:lineRule="auto"/>
        <w:rPr>
          <w:rFonts w:ascii="Arial" w:hAnsi="Arial" w:cs="Arial"/>
          <w:sz w:val="24"/>
          <w:szCs w:val="24"/>
        </w:rPr>
      </w:pPr>
      <w:r w:rsidRPr="00D11BE7">
        <w:rPr>
          <w:rFonts w:ascii="Arial" w:hAnsi="Arial" w:cs="Arial"/>
          <w:sz w:val="24"/>
          <w:szCs w:val="24"/>
        </w:rPr>
        <w:lastRenderedPageBreak/>
        <w:t>REFERENCES</w:t>
      </w:r>
    </w:p>
    <w:p w14:paraId="2473D99E" w14:textId="77777777" w:rsidR="0022708F" w:rsidRDefault="0022708F" w:rsidP="007B5465">
      <w:pPr>
        <w:spacing w:line="360" w:lineRule="auto"/>
        <w:rPr>
          <w:rFonts w:ascii="Arial" w:hAnsi="Arial" w:cs="Arial"/>
          <w:sz w:val="24"/>
          <w:szCs w:val="24"/>
        </w:rPr>
      </w:pPr>
    </w:p>
    <w:p w14:paraId="710EEE6B" w14:textId="6D31A42A" w:rsidR="007B5465" w:rsidRPr="007B5465" w:rsidRDefault="007B5465" w:rsidP="007B5465">
      <w:pPr>
        <w:spacing w:line="360" w:lineRule="auto"/>
        <w:rPr>
          <w:rFonts w:ascii="Arial" w:hAnsi="Arial" w:cs="Arial"/>
          <w:sz w:val="24"/>
          <w:szCs w:val="24"/>
        </w:rPr>
      </w:pPr>
      <w:r w:rsidRPr="007B5465">
        <w:rPr>
          <w:rFonts w:ascii="Arial" w:hAnsi="Arial" w:cs="Arial"/>
          <w:sz w:val="24"/>
          <w:szCs w:val="24"/>
        </w:rPr>
        <w:t xml:space="preserve">Bristol City Council (2026) </w:t>
      </w:r>
      <w:r w:rsidRPr="007B5465">
        <w:rPr>
          <w:rFonts w:ascii="Arial" w:hAnsi="Arial" w:cs="Arial"/>
          <w:i/>
          <w:iCs/>
          <w:sz w:val="24"/>
          <w:szCs w:val="24"/>
        </w:rPr>
        <w:t>Bristol electric vehicle charging infrastructure strategy 2026–2036</w:t>
      </w:r>
      <w:r w:rsidRPr="007B5465">
        <w:rPr>
          <w:rFonts w:ascii="Arial" w:hAnsi="Arial" w:cs="Arial"/>
          <w:sz w:val="24"/>
          <w:szCs w:val="24"/>
        </w:rPr>
        <w:t xml:space="preserve">. Available at: </w:t>
      </w:r>
      <w:hyperlink r:id="rId10" w:history="1">
        <w:r w:rsidRPr="007B5465">
          <w:rPr>
            <w:rStyle w:val="Hyperlink"/>
            <w:rFonts w:ascii="Arial" w:hAnsi="Arial" w:cs="Arial"/>
            <w:sz w:val="24"/>
            <w:szCs w:val="24"/>
          </w:rPr>
          <w:t>https://www.bristol.gov.uk/files/documents/10850-bristol-electric-vehicle-infrastructure-strategy/file</w:t>
        </w:r>
      </w:hyperlink>
      <w:r w:rsidRPr="007B5465">
        <w:rPr>
          <w:rFonts w:ascii="Arial" w:hAnsi="Arial" w:cs="Arial"/>
          <w:sz w:val="24"/>
          <w:szCs w:val="24"/>
        </w:rPr>
        <w:t xml:space="preserve"> (</w:t>
      </w:r>
      <w:r w:rsidR="00B55895" w:rsidRPr="00D11BE7">
        <w:rPr>
          <w:rFonts w:ascii="Arial" w:hAnsi="Arial" w:cs="Arial"/>
          <w:sz w:val="24"/>
          <w:szCs w:val="24"/>
        </w:rPr>
        <w:t>(Accessed: 5,7, and 8 October 2026).</w:t>
      </w:r>
    </w:p>
    <w:p w14:paraId="520FF788" w14:textId="77777777" w:rsidR="009364D2" w:rsidRDefault="009364D2" w:rsidP="007B5465">
      <w:pPr>
        <w:spacing w:line="360" w:lineRule="auto"/>
        <w:rPr>
          <w:rFonts w:ascii="Arial" w:hAnsi="Arial" w:cs="Arial"/>
          <w:sz w:val="24"/>
          <w:szCs w:val="24"/>
        </w:rPr>
      </w:pPr>
    </w:p>
    <w:p w14:paraId="64DD6BD1" w14:textId="4F322706" w:rsidR="007B5465" w:rsidRDefault="007B5465" w:rsidP="007B5465">
      <w:pPr>
        <w:spacing w:line="360" w:lineRule="auto"/>
        <w:rPr>
          <w:rFonts w:ascii="Arial" w:hAnsi="Arial" w:cs="Arial"/>
          <w:sz w:val="24"/>
          <w:szCs w:val="24"/>
        </w:rPr>
      </w:pPr>
      <w:r w:rsidRPr="007B5465">
        <w:rPr>
          <w:rFonts w:ascii="Arial" w:hAnsi="Arial" w:cs="Arial"/>
          <w:sz w:val="24"/>
          <w:szCs w:val="24"/>
        </w:rPr>
        <w:t xml:space="preserve">Department for Transport [DfT] (2026) </w:t>
      </w:r>
      <w:r w:rsidRPr="007B5465">
        <w:rPr>
          <w:rFonts w:ascii="Arial" w:hAnsi="Arial" w:cs="Arial"/>
          <w:i/>
          <w:iCs/>
          <w:sz w:val="24"/>
          <w:szCs w:val="24"/>
        </w:rPr>
        <w:t>Public electric vehicle charging infrastructure statistics 1 July 2026</w:t>
      </w:r>
      <w:r w:rsidRPr="007B5465">
        <w:rPr>
          <w:rFonts w:ascii="Arial" w:hAnsi="Arial" w:cs="Arial"/>
          <w:sz w:val="24"/>
          <w:szCs w:val="24"/>
        </w:rPr>
        <w:t xml:space="preserve">. Available at: </w:t>
      </w:r>
      <w:hyperlink r:id="rId11" w:history="1">
        <w:r w:rsidRPr="007B5465">
          <w:rPr>
            <w:rStyle w:val="Hyperlink"/>
            <w:rFonts w:ascii="Arial" w:hAnsi="Arial" w:cs="Arial"/>
            <w:sz w:val="24"/>
            <w:szCs w:val="24"/>
          </w:rPr>
          <w:t>https://www.gov.uk/government/statistics/electric-vehicle-charging-infrastructure-statistics-1-july-2026/public-electric-vehicle-charging-infrastructure-statistics-1-july-2026</w:t>
        </w:r>
      </w:hyperlink>
      <w:r w:rsidRPr="007B5465">
        <w:rPr>
          <w:rFonts w:ascii="Arial" w:hAnsi="Arial" w:cs="Arial"/>
          <w:sz w:val="24"/>
          <w:szCs w:val="24"/>
        </w:rPr>
        <w:t xml:space="preserve"> (</w:t>
      </w:r>
      <w:r w:rsidR="00E663F1" w:rsidRPr="00D11BE7">
        <w:rPr>
          <w:rFonts w:ascii="Arial" w:hAnsi="Arial" w:cs="Arial"/>
          <w:sz w:val="24"/>
          <w:szCs w:val="24"/>
        </w:rPr>
        <w:t>(Accessed: 5,7, and 8 October 2026).</w:t>
      </w:r>
    </w:p>
    <w:p w14:paraId="516DC487" w14:textId="77777777" w:rsidR="00795FBC" w:rsidRDefault="00795FBC" w:rsidP="007B5465">
      <w:pPr>
        <w:spacing w:line="360" w:lineRule="auto"/>
        <w:rPr>
          <w:rFonts w:ascii="Arial" w:hAnsi="Arial" w:cs="Arial"/>
          <w:sz w:val="24"/>
          <w:szCs w:val="24"/>
        </w:rPr>
      </w:pPr>
    </w:p>
    <w:p w14:paraId="6692A71A" w14:textId="77777777" w:rsidR="00795FBC" w:rsidRPr="00795FBC" w:rsidRDefault="00795FBC" w:rsidP="00795FBC">
      <w:pPr>
        <w:spacing w:line="360" w:lineRule="auto"/>
        <w:rPr>
          <w:rFonts w:ascii="Arial" w:hAnsi="Arial" w:cs="Arial"/>
          <w:sz w:val="24"/>
          <w:szCs w:val="24"/>
        </w:rPr>
      </w:pPr>
      <w:r w:rsidRPr="00795FBC">
        <w:rPr>
          <w:rFonts w:ascii="Arial" w:hAnsi="Arial" w:cs="Arial"/>
          <w:sz w:val="24"/>
          <w:szCs w:val="24"/>
        </w:rPr>
        <w:t xml:space="preserve">Isokawa, D. (2014) “University of Wales Trinity Saint David,” </w:t>
      </w:r>
      <w:r w:rsidRPr="00795FBC">
        <w:rPr>
          <w:rFonts w:ascii="Arial" w:hAnsi="Arial" w:cs="Arial"/>
          <w:i/>
          <w:iCs/>
          <w:sz w:val="24"/>
          <w:szCs w:val="24"/>
        </w:rPr>
        <w:t>Poets &amp; writers</w:t>
      </w:r>
      <w:r w:rsidRPr="00795FBC">
        <w:rPr>
          <w:rFonts w:ascii="Arial" w:hAnsi="Arial" w:cs="Arial"/>
          <w:sz w:val="24"/>
          <w:szCs w:val="24"/>
        </w:rPr>
        <w:t>, 1 November, p. 143.</w:t>
      </w:r>
    </w:p>
    <w:p w14:paraId="6680D88A" w14:textId="77777777" w:rsidR="009364D2" w:rsidRDefault="009364D2" w:rsidP="007B5465">
      <w:pPr>
        <w:spacing w:line="360" w:lineRule="auto"/>
        <w:rPr>
          <w:rFonts w:ascii="Arial" w:hAnsi="Arial" w:cs="Arial"/>
          <w:sz w:val="24"/>
          <w:szCs w:val="24"/>
        </w:rPr>
      </w:pPr>
    </w:p>
    <w:p w14:paraId="1D7E0EF7" w14:textId="4997FAE4" w:rsidR="007B5465" w:rsidRPr="007B5465" w:rsidRDefault="007B5465" w:rsidP="007B5465">
      <w:pPr>
        <w:spacing w:line="360" w:lineRule="auto"/>
        <w:rPr>
          <w:rFonts w:ascii="Arial" w:hAnsi="Arial" w:cs="Arial"/>
          <w:sz w:val="24"/>
          <w:szCs w:val="24"/>
        </w:rPr>
      </w:pPr>
      <w:r w:rsidRPr="007B5465">
        <w:rPr>
          <w:rFonts w:ascii="Arial" w:hAnsi="Arial" w:cs="Arial"/>
          <w:sz w:val="24"/>
          <w:szCs w:val="24"/>
        </w:rPr>
        <w:t xml:space="preserve">HM Treasury (2026) </w:t>
      </w:r>
      <w:r w:rsidRPr="007B5465">
        <w:rPr>
          <w:rFonts w:ascii="Arial" w:hAnsi="Arial" w:cs="Arial"/>
          <w:i/>
          <w:iCs/>
          <w:sz w:val="24"/>
          <w:szCs w:val="24"/>
        </w:rPr>
        <w:t>The green book</w:t>
      </w:r>
      <w:r w:rsidRPr="007B5465">
        <w:rPr>
          <w:rFonts w:ascii="Arial" w:hAnsi="Arial" w:cs="Arial"/>
          <w:sz w:val="24"/>
          <w:szCs w:val="24"/>
        </w:rPr>
        <w:t xml:space="preserve">. Available at: </w:t>
      </w:r>
      <w:hyperlink r:id="rId12" w:history="1">
        <w:r w:rsidRPr="007B5465">
          <w:rPr>
            <w:rStyle w:val="Hyperlink"/>
            <w:rFonts w:ascii="Arial" w:hAnsi="Arial" w:cs="Arial"/>
            <w:sz w:val="24"/>
            <w:szCs w:val="24"/>
          </w:rPr>
          <w:t>https://www.gov.uk/government/publications/the-green-book--2/the-green-book-2026</w:t>
        </w:r>
      </w:hyperlink>
      <w:r w:rsidRPr="007B5465">
        <w:rPr>
          <w:rFonts w:ascii="Arial" w:hAnsi="Arial" w:cs="Arial"/>
          <w:sz w:val="24"/>
          <w:szCs w:val="24"/>
        </w:rPr>
        <w:t xml:space="preserve"> (</w:t>
      </w:r>
      <w:r w:rsidR="00AA2A39" w:rsidRPr="00D11BE7">
        <w:rPr>
          <w:rFonts w:ascii="Arial" w:hAnsi="Arial" w:cs="Arial"/>
          <w:sz w:val="24"/>
          <w:szCs w:val="24"/>
        </w:rPr>
        <w:t>(Accessed: 7, and 8 October 2026).</w:t>
      </w:r>
    </w:p>
    <w:p w14:paraId="34EEAF67" w14:textId="77777777" w:rsidR="009364D2" w:rsidRDefault="009364D2" w:rsidP="007B5465">
      <w:pPr>
        <w:spacing w:line="360" w:lineRule="auto"/>
        <w:rPr>
          <w:rFonts w:ascii="Arial" w:hAnsi="Arial" w:cs="Arial"/>
          <w:sz w:val="24"/>
          <w:szCs w:val="24"/>
        </w:rPr>
      </w:pPr>
    </w:p>
    <w:p w14:paraId="62D8629D" w14:textId="78000C8F" w:rsidR="00891633" w:rsidRDefault="007B5465" w:rsidP="007B5465">
      <w:pPr>
        <w:spacing w:line="360" w:lineRule="auto"/>
        <w:rPr>
          <w:rFonts w:ascii="Arial" w:hAnsi="Arial" w:cs="Arial"/>
          <w:sz w:val="24"/>
          <w:szCs w:val="24"/>
        </w:rPr>
      </w:pPr>
      <w:r w:rsidRPr="007B5465">
        <w:rPr>
          <w:rFonts w:ascii="Arial" w:hAnsi="Arial" w:cs="Arial"/>
          <w:sz w:val="24"/>
          <w:szCs w:val="24"/>
        </w:rPr>
        <w:t xml:space="preserve">Microsoft (2026) </w:t>
      </w:r>
      <w:r w:rsidRPr="007B5465">
        <w:rPr>
          <w:rFonts w:ascii="Arial" w:hAnsi="Arial" w:cs="Arial"/>
          <w:i/>
          <w:iCs/>
          <w:sz w:val="24"/>
          <w:szCs w:val="24"/>
        </w:rPr>
        <w:t>Microsoft Copilot Chat privacy and protections</w:t>
      </w:r>
      <w:r w:rsidRPr="007B5465">
        <w:rPr>
          <w:rFonts w:ascii="Arial" w:hAnsi="Arial" w:cs="Arial"/>
          <w:sz w:val="24"/>
          <w:szCs w:val="24"/>
        </w:rPr>
        <w:t xml:space="preserve">. Available at: </w:t>
      </w:r>
      <w:hyperlink r:id="rId13" w:history="1">
        <w:r w:rsidRPr="007B5465">
          <w:rPr>
            <w:rStyle w:val="Hyperlink"/>
            <w:rFonts w:ascii="Arial" w:hAnsi="Arial" w:cs="Arial"/>
            <w:sz w:val="24"/>
            <w:szCs w:val="24"/>
          </w:rPr>
          <w:t>https://learn.microsoft.com/en-us/copilot/privacy-and-protections</w:t>
        </w:r>
      </w:hyperlink>
      <w:r w:rsidRPr="007B5465">
        <w:rPr>
          <w:rFonts w:ascii="Arial" w:hAnsi="Arial" w:cs="Arial"/>
          <w:sz w:val="24"/>
          <w:szCs w:val="24"/>
        </w:rPr>
        <w:t xml:space="preserve"> (</w:t>
      </w:r>
      <w:r w:rsidR="00777FB3" w:rsidRPr="00D11BE7">
        <w:rPr>
          <w:rFonts w:ascii="Arial" w:hAnsi="Arial" w:cs="Arial"/>
          <w:sz w:val="24"/>
          <w:szCs w:val="24"/>
        </w:rPr>
        <w:t>(Accessed: 7, and 8 October 2026</w:t>
      </w:r>
      <w:r w:rsidR="00891633" w:rsidRPr="00D11BE7">
        <w:rPr>
          <w:rFonts w:ascii="Arial" w:hAnsi="Arial" w:cs="Arial"/>
          <w:sz w:val="24"/>
          <w:szCs w:val="24"/>
        </w:rPr>
        <w:t>).</w:t>
      </w:r>
      <w:r w:rsidR="00891633" w:rsidRPr="007B5465">
        <w:rPr>
          <w:rFonts w:ascii="Arial" w:hAnsi="Arial" w:cs="Arial"/>
          <w:sz w:val="24"/>
          <w:szCs w:val="24"/>
        </w:rPr>
        <w:t xml:space="preserve"> </w:t>
      </w:r>
    </w:p>
    <w:p w14:paraId="17DB32A2" w14:textId="77777777" w:rsidR="009364D2" w:rsidRDefault="009364D2" w:rsidP="007B5465">
      <w:pPr>
        <w:spacing w:line="360" w:lineRule="auto"/>
        <w:rPr>
          <w:rFonts w:ascii="Arial" w:hAnsi="Arial" w:cs="Arial"/>
          <w:sz w:val="24"/>
          <w:szCs w:val="24"/>
        </w:rPr>
      </w:pPr>
    </w:p>
    <w:p w14:paraId="0760DEA5" w14:textId="066CD2AF" w:rsidR="007B5465" w:rsidRPr="007B5465" w:rsidRDefault="00891633" w:rsidP="007B5465">
      <w:pPr>
        <w:spacing w:line="360" w:lineRule="auto"/>
        <w:rPr>
          <w:rFonts w:ascii="Arial" w:hAnsi="Arial" w:cs="Arial"/>
          <w:sz w:val="24"/>
          <w:szCs w:val="24"/>
        </w:rPr>
      </w:pPr>
      <w:r w:rsidRPr="007B5465">
        <w:rPr>
          <w:rFonts w:ascii="Arial" w:hAnsi="Arial" w:cs="Arial"/>
          <w:sz w:val="24"/>
          <w:szCs w:val="24"/>
        </w:rPr>
        <w:t>Office</w:t>
      </w:r>
      <w:r w:rsidR="007B5465" w:rsidRPr="007B5465">
        <w:rPr>
          <w:rFonts w:ascii="Arial" w:hAnsi="Arial" w:cs="Arial"/>
          <w:sz w:val="24"/>
          <w:szCs w:val="24"/>
        </w:rPr>
        <w:t xml:space="preserve"> for National Statistics [ONS] (2026) </w:t>
      </w:r>
      <w:r w:rsidR="007B5465" w:rsidRPr="007B5465">
        <w:rPr>
          <w:rFonts w:ascii="Arial" w:hAnsi="Arial" w:cs="Arial"/>
          <w:i/>
          <w:iCs/>
          <w:sz w:val="24"/>
          <w:szCs w:val="24"/>
        </w:rPr>
        <w:t>Artificial intelligence in UK businesses 2023 to 2026</w:t>
      </w:r>
      <w:r w:rsidR="007B5465" w:rsidRPr="007B5465">
        <w:rPr>
          <w:rFonts w:ascii="Arial" w:hAnsi="Arial" w:cs="Arial"/>
          <w:sz w:val="24"/>
          <w:szCs w:val="24"/>
        </w:rPr>
        <w:t xml:space="preserve">. Available at: </w:t>
      </w:r>
      <w:hyperlink r:id="rId14" w:history="1">
        <w:r w:rsidR="007B5465" w:rsidRPr="007B5465">
          <w:rPr>
            <w:rStyle w:val="Hyperlink"/>
            <w:rFonts w:ascii="Arial" w:hAnsi="Arial" w:cs="Arial"/>
            <w:sz w:val="24"/>
            <w:szCs w:val="24"/>
          </w:rPr>
          <w:t>https://www.ons.gov.uk/businessindustryandtrade/business/businessservices/articles/artificialintelligenceinukbusinesses/2023to2026</w:t>
        </w:r>
      </w:hyperlink>
      <w:r w:rsidR="007B5465" w:rsidRPr="007B5465">
        <w:rPr>
          <w:rFonts w:ascii="Arial" w:hAnsi="Arial" w:cs="Arial"/>
          <w:sz w:val="24"/>
          <w:szCs w:val="24"/>
        </w:rPr>
        <w:t xml:space="preserve"> (</w:t>
      </w:r>
      <w:r w:rsidRPr="00D11BE7">
        <w:rPr>
          <w:rFonts w:ascii="Arial" w:hAnsi="Arial" w:cs="Arial"/>
          <w:sz w:val="24"/>
          <w:szCs w:val="24"/>
        </w:rPr>
        <w:t>(Accessed: 5,7, and 8 October 2026).</w:t>
      </w:r>
    </w:p>
    <w:p w14:paraId="7E7D2544" w14:textId="77777777" w:rsidR="009364D2" w:rsidRDefault="009364D2" w:rsidP="007B5465">
      <w:pPr>
        <w:spacing w:line="360" w:lineRule="auto"/>
        <w:rPr>
          <w:rFonts w:ascii="Arial" w:hAnsi="Arial" w:cs="Arial"/>
          <w:sz w:val="24"/>
          <w:szCs w:val="24"/>
        </w:rPr>
      </w:pPr>
    </w:p>
    <w:p w14:paraId="2A4A1CC9" w14:textId="601CA948" w:rsidR="007B5465" w:rsidRPr="007B5465" w:rsidRDefault="007B5465" w:rsidP="007B5465">
      <w:pPr>
        <w:spacing w:line="360" w:lineRule="auto"/>
        <w:rPr>
          <w:rFonts w:ascii="Arial" w:hAnsi="Arial" w:cs="Arial"/>
          <w:sz w:val="24"/>
          <w:szCs w:val="24"/>
        </w:rPr>
      </w:pPr>
      <w:r w:rsidRPr="007B5465">
        <w:rPr>
          <w:rFonts w:ascii="Arial" w:hAnsi="Arial" w:cs="Arial"/>
          <w:sz w:val="24"/>
          <w:szCs w:val="24"/>
        </w:rPr>
        <w:lastRenderedPageBreak/>
        <w:t xml:space="preserve">Office for Product Safety and Standards [OPSS] and Office for Zero Emission Vehicles [OZEV] (2023) </w:t>
      </w:r>
      <w:r w:rsidRPr="007B5465">
        <w:rPr>
          <w:rFonts w:ascii="Arial" w:hAnsi="Arial" w:cs="Arial"/>
          <w:i/>
          <w:iCs/>
          <w:sz w:val="24"/>
          <w:szCs w:val="24"/>
        </w:rPr>
        <w:t>Regulations: public charge points</w:t>
      </w:r>
      <w:r w:rsidRPr="007B5465">
        <w:rPr>
          <w:rFonts w:ascii="Arial" w:hAnsi="Arial" w:cs="Arial"/>
          <w:sz w:val="24"/>
          <w:szCs w:val="24"/>
        </w:rPr>
        <w:t xml:space="preserve">. Available at: </w:t>
      </w:r>
      <w:hyperlink r:id="rId15" w:history="1">
        <w:r w:rsidRPr="007B5465">
          <w:rPr>
            <w:rStyle w:val="Hyperlink"/>
            <w:rFonts w:ascii="Arial" w:hAnsi="Arial" w:cs="Arial"/>
            <w:sz w:val="24"/>
            <w:szCs w:val="24"/>
          </w:rPr>
          <w:t>https://www.gov.uk/guidance/regulations-public-charge-points</w:t>
        </w:r>
      </w:hyperlink>
      <w:r w:rsidRPr="007B5465">
        <w:rPr>
          <w:rFonts w:ascii="Arial" w:hAnsi="Arial" w:cs="Arial"/>
          <w:sz w:val="24"/>
          <w:szCs w:val="24"/>
        </w:rPr>
        <w:t xml:space="preserve"> (Accessed: </w:t>
      </w:r>
      <w:r w:rsidR="006C426E">
        <w:rPr>
          <w:rFonts w:ascii="Arial" w:hAnsi="Arial" w:cs="Arial"/>
          <w:sz w:val="24"/>
          <w:szCs w:val="24"/>
        </w:rPr>
        <w:t>1 and</w:t>
      </w:r>
      <w:r w:rsidR="009B459A">
        <w:rPr>
          <w:rFonts w:ascii="Arial" w:hAnsi="Arial" w:cs="Arial"/>
          <w:sz w:val="24"/>
          <w:szCs w:val="24"/>
        </w:rPr>
        <w:t xml:space="preserve"> </w:t>
      </w:r>
      <w:r w:rsidRPr="007B5465">
        <w:rPr>
          <w:rFonts w:ascii="Arial" w:hAnsi="Arial" w:cs="Arial"/>
          <w:sz w:val="24"/>
          <w:szCs w:val="24"/>
        </w:rPr>
        <w:t>4 October 2026).</w:t>
      </w:r>
    </w:p>
    <w:p w14:paraId="1670D7A0" w14:textId="77777777" w:rsidR="00115800" w:rsidRDefault="00115800" w:rsidP="007B5465">
      <w:pPr>
        <w:spacing w:line="360" w:lineRule="auto"/>
        <w:rPr>
          <w:rFonts w:ascii="Arial" w:hAnsi="Arial" w:cs="Arial"/>
          <w:sz w:val="24"/>
          <w:szCs w:val="24"/>
        </w:rPr>
      </w:pPr>
    </w:p>
    <w:p w14:paraId="783F1160" w14:textId="36A95796" w:rsidR="007B5465" w:rsidRPr="007B5465" w:rsidRDefault="007B5465" w:rsidP="007B5465">
      <w:pPr>
        <w:spacing w:line="360" w:lineRule="auto"/>
        <w:rPr>
          <w:rFonts w:ascii="Arial" w:hAnsi="Arial" w:cs="Arial"/>
          <w:sz w:val="24"/>
          <w:szCs w:val="24"/>
        </w:rPr>
      </w:pPr>
      <w:r w:rsidRPr="007B5465">
        <w:rPr>
          <w:rFonts w:ascii="Arial" w:hAnsi="Arial" w:cs="Arial"/>
          <w:sz w:val="24"/>
          <w:szCs w:val="24"/>
        </w:rPr>
        <w:t>Open</w:t>
      </w:r>
      <w:r w:rsidR="006E6220">
        <w:rPr>
          <w:rFonts w:ascii="Arial" w:hAnsi="Arial" w:cs="Arial"/>
          <w:sz w:val="24"/>
          <w:szCs w:val="24"/>
        </w:rPr>
        <w:t xml:space="preserve"> </w:t>
      </w:r>
      <w:r w:rsidRPr="007B5465">
        <w:rPr>
          <w:rFonts w:ascii="Arial" w:hAnsi="Arial" w:cs="Arial"/>
          <w:sz w:val="24"/>
          <w:szCs w:val="24"/>
        </w:rPr>
        <w:t xml:space="preserve">AI (no date) </w:t>
      </w:r>
      <w:r w:rsidRPr="007B5465">
        <w:rPr>
          <w:rFonts w:ascii="Arial" w:hAnsi="Arial" w:cs="Arial"/>
          <w:i/>
          <w:iCs/>
          <w:sz w:val="24"/>
          <w:szCs w:val="24"/>
        </w:rPr>
        <w:t>How OpenAI handles data in consumer services</w:t>
      </w:r>
      <w:r w:rsidRPr="007B5465">
        <w:rPr>
          <w:rFonts w:ascii="Arial" w:hAnsi="Arial" w:cs="Arial"/>
          <w:sz w:val="24"/>
          <w:szCs w:val="24"/>
        </w:rPr>
        <w:t xml:space="preserve">. Available at: </w:t>
      </w:r>
      <w:hyperlink r:id="rId16" w:history="1">
        <w:r w:rsidRPr="007B5465">
          <w:rPr>
            <w:rStyle w:val="Hyperlink"/>
            <w:rFonts w:ascii="Arial" w:hAnsi="Arial" w:cs="Arial"/>
            <w:sz w:val="24"/>
            <w:szCs w:val="24"/>
          </w:rPr>
          <w:t>https://help.openai.com/en/articles/7039943-how-openai-handles-data-in-consumer-services</w:t>
        </w:r>
      </w:hyperlink>
      <w:r w:rsidRPr="007B5465">
        <w:rPr>
          <w:rFonts w:ascii="Arial" w:hAnsi="Arial" w:cs="Arial"/>
          <w:sz w:val="24"/>
          <w:szCs w:val="24"/>
        </w:rPr>
        <w:t xml:space="preserve"> (</w:t>
      </w:r>
      <w:r w:rsidR="00BF4B0A" w:rsidRPr="00D11BE7">
        <w:rPr>
          <w:rFonts w:ascii="Arial" w:hAnsi="Arial" w:cs="Arial"/>
          <w:sz w:val="24"/>
          <w:szCs w:val="24"/>
        </w:rPr>
        <w:t xml:space="preserve">(Accessed: </w:t>
      </w:r>
      <w:r w:rsidR="006C426E">
        <w:rPr>
          <w:rFonts w:ascii="Arial" w:hAnsi="Arial" w:cs="Arial"/>
          <w:sz w:val="24"/>
          <w:szCs w:val="24"/>
        </w:rPr>
        <w:t>1,</w:t>
      </w:r>
      <w:r w:rsidR="009B459A">
        <w:rPr>
          <w:rFonts w:ascii="Arial" w:hAnsi="Arial" w:cs="Arial"/>
          <w:sz w:val="24"/>
          <w:szCs w:val="24"/>
        </w:rPr>
        <w:t>4</w:t>
      </w:r>
      <w:r w:rsidR="00BF4B0A" w:rsidRPr="00D11BE7">
        <w:rPr>
          <w:rFonts w:ascii="Arial" w:hAnsi="Arial" w:cs="Arial"/>
          <w:sz w:val="24"/>
          <w:szCs w:val="24"/>
        </w:rPr>
        <w:t>,7, and 8 October 2026).</w:t>
      </w:r>
    </w:p>
    <w:p w14:paraId="43C29C37" w14:textId="77777777" w:rsidR="00115800" w:rsidRDefault="00115800" w:rsidP="007B5465">
      <w:pPr>
        <w:spacing w:line="360" w:lineRule="auto"/>
        <w:rPr>
          <w:rFonts w:ascii="Arial" w:hAnsi="Arial" w:cs="Arial"/>
          <w:sz w:val="24"/>
          <w:szCs w:val="24"/>
        </w:rPr>
      </w:pPr>
    </w:p>
    <w:p w14:paraId="0C33B5DF" w14:textId="77777777" w:rsidR="00CA610A" w:rsidRPr="00CA610A" w:rsidRDefault="00CA610A" w:rsidP="00CA610A">
      <w:pPr>
        <w:spacing w:line="360" w:lineRule="auto"/>
        <w:rPr>
          <w:rFonts w:ascii="Arial" w:hAnsi="Arial" w:cs="Arial"/>
          <w:sz w:val="24"/>
          <w:szCs w:val="24"/>
        </w:rPr>
      </w:pPr>
      <w:r w:rsidRPr="00CA610A">
        <w:rPr>
          <w:rFonts w:ascii="Arial" w:hAnsi="Arial" w:cs="Arial"/>
          <w:sz w:val="24"/>
          <w:szCs w:val="24"/>
        </w:rPr>
        <w:t xml:space="preserve">Porter, M.E. (2008) “The five competitive forces that shape strategy,” </w:t>
      </w:r>
      <w:r w:rsidRPr="00CA610A">
        <w:rPr>
          <w:rFonts w:ascii="Arial" w:hAnsi="Arial" w:cs="Arial"/>
          <w:i/>
          <w:iCs/>
          <w:sz w:val="24"/>
          <w:szCs w:val="24"/>
        </w:rPr>
        <w:t>Harvard business review</w:t>
      </w:r>
      <w:r w:rsidRPr="00CA610A">
        <w:rPr>
          <w:rFonts w:ascii="Arial" w:hAnsi="Arial" w:cs="Arial"/>
          <w:sz w:val="24"/>
          <w:szCs w:val="24"/>
        </w:rPr>
        <w:t>, January, p. 78.</w:t>
      </w:r>
    </w:p>
    <w:p w14:paraId="63CE21D1" w14:textId="77777777" w:rsidR="001507E8" w:rsidRDefault="001507E8" w:rsidP="00CA610A">
      <w:pPr>
        <w:spacing w:line="360" w:lineRule="auto"/>
        <w:rPr>
          <w:rFonts w:ascii="Arial" w:hAnsi="Arial" w:cs="Arial"/>
          <w:sz w:val="24"/>
          <w:szCs w:val="24"/>
        </w:rPr>
      </w:pPr>
    </w:p>
    <w:p w14:paraId="69C9D5D2" w14:textId="7C1C469E" w:rsidR="00DA4423" w:rsidRDefault="001B1001" w:rsidP="00CA610A">
      <w:pPr>
        <w:spacing w:line="360" w:lineRule="auto"/>
        <w:rPr>
          <w:rFonts w:ascii="Arial" w:hAnsi="Arial" w:cs="Arial"/>
          <w:sz w:val="24"/>
          <w:szCs w:val="24"/>
        </w:rPr>
      </w:pPr>
      <w:r w:rsidRPr="00FB294A">
        <w:rPr>
          <w:rFonts w:ascii="Arial" w:hAnsi="Arial" w:cs="Arial"/>
          <w:sz w:val="24"/>
          <w:szCs w:val="24"/>
        </w:rPr>
        <w:t xml:space="preserve">Saunders, M.N. and Thornhill, A. (2011) “Researching sensitively without sensitizing: Using a card sort in a concurrent mixed methods design to research trust and distrust,” </w:t>
      </w:r>
      <w:r w:rsidRPr="00FB294A">
        <w:rPr>
          <w:rFonts w:ascii="Arial" w:hAnsi="Arial" w:cs="Arial"/>
          <w:i/>
          <w:iCs/>
          <w:sz w:val="24"/>
          <w:szCs w:val="24"/>
        </w:rPr>
        <w:t>International journal of multiple research approaches</w:t>
      </w:r>
      <w:r w:rsidRPr="00FB294A">
        <w:rPr>
          <w:rFonts w:ascii="Arial" w:hAnsi="Arial" w:cs="Arial"/>
          <w:sz w:val="24"/>
          <w:szCs w:val="24"/>
        </w:rPr>
        <w:t>, 5(3), pp. 334–350. Available at: https://doi.org/10.5172/mra.2011.5.3.334.</w:t>
      </w:r>
    </w:p>
    <w:p w14:paraId="6794AA29" w14:textId="41F186B6" w:rsidR="000D6ED4" w:rsidRDefault="000D6ED4" w:rsidP="007B5465">
      <w:pPr>
        <w:spacing w:line="360" w:lineRule="auto"/>
        <w:rPr>
          <w:rFonts w:ascii="Arial" w:hAnsi="Arial" w:cs="Arial"/>
          <w:sz w:val="24"/>
          <w:szCs w:val="24"/>
        </w:rPr>
      </w:pPr>
    </w:p>
    <w:p w14:paraId="23A6AD6E" w14:textId="77777777" w:rsidR="002B0EFB" w:rsidRPr="002B0EFB" w:rsidRDefault="002B0EFB" w:rsidP="002B0EFB">
      <w:pPr>
        <w:spacing w:line="360" w:lineRule="auto"/>
        <w:rPr>
          <w:rFonts w:ascii="Arial" w:hAnsi="Arial" w:cs="Arial"/>
          <w:sz w:val="24"/>
          <w:szCs w:val="24"/>
        </w:rPr>
      </w:pPr>
      <w:r w:rsidRPr="002B0EFB">
        <w:rPr>
          <w:rFonts w:ascii="Arial" w:hAnsi="Arial" w:cs="Arial"/>
          <w:sz w:val="24"/>
          <w:szCs w:val="24"/>
        </w:rPr>
        <w:t xml:space="preserve">Saunders, M.N.K., Lewis, P. and Thornhill, A. (2023) </w:t>
      </w:r>
      <w:r w:rsidRPr="002B0EFB">
        <w:rPr>
          <w:rFonts w:ascii="Arial" w:hAnsi="Arial" w:cs="Arial"/>
          <w:i/>
          <w:iCs/>
          <w:sz w:val="24"/>
          <w:szCs w:val="24"/>
        </w:rPr>
        <w:t>Research methods for business students</w:t>
      </w:r>
      <w:r w:rsidRPr="002B0EFB">
        <w:rPr>
          <w:rFonts w:ascii="Arial" w:hAnsi="Arial" w:cs="Arial"/>
          <w:sz w:val="24"/>
          <w:szCs w:val="24"/>
        </w:rPr>
        <w:t>. Ninth edition. Harlow, England: Pearson.</w:t>
      </w:r>
    </w:p>
    <w:p w14:paraId="7502BCAF" w14:textId="77777777" w:rsidR="000B4E41" w:rsidRDefault="000B4E41" w:rsidP="00C00062">
      <w:pPr>
        <w:spacing w:line="360" w:lineRule="auto"/>
        <w:rPr>
          <w:rFonts w:ascii="Arial" w:hAnsi="Arial" w:cs="Arial"/>
          <w:sz w:val="24"/>
          <w:szCs w:val="24"/>
        </w:rPr>
      </w:pPr>
    </w:p>
    <w:p w14:paraId="5376CACD" w14:textId="4E92E908" w:rsidR="00C00062" w:rsidRPr="00C00062" w:rsidRDefault="00C00062" w:rsidP="00C00062">
      <w:pPr>
        <w:spacing w:line="360" w:lineRule="auto"/>
        <w:rPr>
          <w:rFonts w:ascii="Arial" w:hAnsi="Arial" w:cs="Arial"/>
          <w:sz w:val="24"/>
          <w:szCs w:val="24"/>
        </w:rPr>
      </w:pPr>
      <w:r w:rsidRPr="00C00062">
        <w:rPr>
          <w:rFonts w:ascii="Arial" w:hAnsi="Arial" w:cs="Arial"/>
          <w:sz w:val="24"/>
          <w:szCs w:val="24"/>
        </w:rPr>
        <w:t xml:space="preserve">Zook, M. </w:t>
      </w:r>
      <w:r w:rsidRPr="00C00062">
        <w:rPr>
          <w:rFonts w:ascii="Arial" w:hAnsi="Arial" w:cs="Arial"/>
          <w:i/>
          <w:iCs/>
          <w:sz w:val="24"/>
          <w:szCs w:val="24"/>
        </w:rPr>
        <w:t>et al.</w:t>
      </w:r>
      <w:r w:rsidRPr="00C00062">
        <w:rPr>
          <w:rFonts w:ascii="Arial" w:hAnsi="Arial" w:cs="Arial"/>
          <w:sz w:val="24"/>
          <w:szCs w:val="24"/>
        </w:rPr>
        <w:t xml:space="preserve"> (2017) “Ten simple rules for responsible big data research,” </w:t>
      </w:r>
      <w:proofErr w:type="spellStart"/>
      <w:r w:rsidRPr="00C00062">
        <w:rPr>
          <w:rFonts w:ascii="Arial" w:hAnsi="Arial" w:cs="Arial"/>
          <w:i/>
          <w:iCs/>
          <w:sz w:val="24"/>
          <w:szCs w:val="24"/>
        </w:rPr>
        <w:t>PLoS</w:t>
      </w:r>
      <w:proofErr w:type="spellEnd"/>
      <w:r w:rsidRPr="00C00062">
        <w:rPr>
          <w:rFonts w:ascii="Arial" w:hAnsi="Arial" w:cs="Arial"/>
          <w:i/>
          <w:iCs/>
          <w:sz w:val="24"/>
          <w:szCs w:val="24"/>
        </w:rPr>
        <w:t xml:space="preserve"> computational biology</w:t>
      </w:r>
      <w:r w:rsidRPr="00C00062">
        <w:rPr>
          <w:rFonts w:ascii="Arial" w:hAnsi="Arial" w:cs="Arial"/>
          <w:sz w:val="24"/>
          <w:szCs w:val="24"/>
        </w:rPr>
        <w:t>, 13(3), p. e1005399. Available at: https://doi.org/10.1371/journal.pcbi.1005399.</w:t>
      </w:r>
    </w:p>
    <w:p w14:paraId="4B1CD73D" w14:textId="77777777" w:rsidR="003C19E2" w:rsidRDefault="003C19E2" w:rsidP="007B5465">
      <w:pPr>
        <w:spacing w:line="360" w:lineRule="auto"/>
        <w:rPr>
          <w:rFonts w:ascii="Arial" w:hAnsi="Arial" w:cs="Arial"/>
          <w:sz w:val="24"/>
          <w:szCs w:val="24"/>
        </w:rPr>
      </w:pPr>
    </w:p>
    <w:p w14:paraId="07813283" w14:textId="263E9D14" w:rsidR="00712322" w:rsidRDefault="00712322" w:rsidP="00D11BE7">
      <w:pPr>
        <w:spacing w:line="360" w:lineRule="auto"/>
        <w:rPr>
          <w:rFonts w:ascii="Arial" w:hAnsi="Arial" w:cs="Arial"/>
          <w:sz w:val="24"/>
          <w:szCs w:val="24"/>
        </w:rPr>
      </w:pPr>
    </w:p>
    <w:p w14:paraId="7FE0187D" w14:textId="77777777" w:rsidR="00017626" w:rsidRDefault="00017626" w:rsidP="00D11BE7">
      <w:pPr>
        <w:spacing w:line="360" w:lineRule="auto"/>
        <w:rPr>
          <w:rFonts w:ascii="Arial" w:hAnsi="Arial" w:cs="Arial"/>
          <w:sz w:val="24"/>
          <w:szCs w:val="24"/>
        </w:rPr>
      </w:pPr>
    </w:p>
    <w:p w14:paraId="1DA97969" w14:textId="77777777" w:rsidR="0079431E" w:rsidRPr="00D11BE7" w:rsidRDefault="0079431E" w:rsidP="00D11BE7">
      <w:pPr>
        <w:spacing w:line="360" w:lineRule="auto"/>
        <w:rPr>
          <w:rFonts w:ascii="Arial" w:hAnsi="Arial" w:cs="Arial"/>
          <w:sz w:val="24"/>
          <w:szCs w:val="24"/>
        </w:rPr>
      </w:pPr>
    </w:p>
    <w:sectPr w:rsidR="0079431E" w:rsidRPr="00D11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E7165"/>
    <w:multiLevelType w:val="hybridMultilevel"/>
    <w:tmpl w:val="5E7E79BE"/>
    <w:lvl w:ilvl="0" w:tplc="5D202B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F1D54"/>
    <w:multiLevelType w:val="hybridMultilevel"/>
    <w:tmpl w:val="96942D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F7E84"/>
    <w:multiLevelType w:val="hybridMultilevel"/>
    <w:tmpl w:val="CBBA2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B16BB3"/>
    <w:multiLevelType w:val="hybridMultilevel"/>
    <w:tmpl w:val="FDA671EA"/>
    <w:lvl w:ilvl="0" w:tplc="0B1A2E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30051F"/>
    <w:multiLevelType w:val="hybridMultilevel"/>
    <w:tmpl w:val="B790B752"/>
    <w:lvl w:ilvl="0" w:tplc="974EF2EA">
      <w:start w:val="1"/>
      <w:numFmt w:val="decimal"/>
      <w:lvlText w:val="%1."/>
      <w:lvlJc w:val="left"/>
      <w:pPr>
        <w:ind w:left="444" w:hanging="360"/>
      </w:pPr>
      <w:rPr>
        <w:rFonts w:hint="default"/>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5" w15:restartNumberingAfterBreak="0">
    <w:nsid w:val="75156F74"/>
    <w:multiLevelType w:val="hybridMultilevel"/>
    <w:tmpl w:val="0E80C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9748859">
    <w:abstractNumId w:val="1"/>
  </w:num>
  <w:num w:numId="2" w16cid:durableId="1714428218">
    <w:abstractNumId w:val="3"/>
  </w:num>
  <w:num w:numId="3" w16cid:durableId="1758939619">
    <w:abstractNumId w:val="4"/>
  </w:num>
  <w:num w:numId="4" w16cid:durableId="2117678769">
    <w:abstractNumId w:val="2"/>
  </w:num>
  <w:num w:numId="5" w16cid:durableId="359742513">
    <w:abstractNumId w:val="5"/>
  </w:num>
  <w:num w:numId="6" w16cid:durableId="464011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A6008"/>
    <w:rsid w:val="00002962"/>
    <w:rsid w:val="00017626"/>
    <w:rsid w:val="0003190C"/>
    <w:rsid w:val="00034C34"/>
    <w:rsid w:val="000354D4"/>
    <w:rsid w:val="000470FA"/>
    <w:rsid w:val="00057082"/>
    <w:rsid w:val="00064DB8"/>
    <w:rsid w:val="00094E8A"/>
    <w:rsid w:val="000A3242"/>
    <w:rsid w:val="000B4E41"/>
    <w:rsid w:val="000B5634"/>
    <w:rsid w:val="000C0722"/>
    <w:rsid w:val="000C327A"/>
    <w:rsid w:val="000C42EA"/>
    <w:rsid w:val="000D2CE5"/>
    <w:rsid w:val="000D6ED4"/>
    <w:rsid w:val="000E3012"/>
    <w:rsid w:val="000F2AE0"/>
    <w:rsid w:val="00105FD3"/>
    <w:rsid w:val="00115800"/>
    <w:rsid w:val="001507E8"/>
    <w:rsid w:val="00160719"/>
    <w:rsid w:val="00175958"/>
    <w:rsid w:val="001770F3"/>
    <w:rsid w:val="001A5659"/>
    <w:rsid w:val="001B1001"/>
    <w:rsid w:val="001E36AE"/>
    <w:rsid w:val="001E63A6"/>
    <w:rsid w:val="002029DC"/>
    <w:rsid w:val="0022708F"/>
    <w:rsid w:val="00227820"/>
    <w:rsid w:val="0023338F"/>
    <w:rsid w:val="00253914"/>
    <w:rsid w:val="00291103"/>
    <w:rsid w:val="002A0074"/>
    <w:rsid w:val="002A5269"/>
    <w:rsid w:val="002B0EFB"/>
    <w:rsid w:val="002B4F8E"/>
    <w:rsid w:val="002E0E4F"/>
    <w:rsid w:val="00303629"/>
    <w:rsid w:val="00307478"/>
    <w:rsid w:val="00326919"/>
    <w:rsid w:val="003340E5"/>
    <w:rsid w:val="00343A73"/>
    <w:rsid w:val="003475A4"/>
    <w:rsid w:val="00354265"/>
    <w:rsid w:val="00371588"/>
    <w:rsid w:val="003A6008"/>
    <w:rsid w:val="003C19E2"/>
    <w:rsid w:val="003E52A4"/>
    <w:rsid w:val="003F07C1"/>
    <w:rsid w:val="003F28DE"/>
    <w:rsid w:val="003F46FD"/>
    <w:rsid w:val="00410E0F"/>
    <w:rsid w:val="00434380"/>
    <w:rsid w:val="00435C3B"/>
    <w:rsid w:val="004422A7"/>
    <w:rsid w:val="004756E0"/>
    <w:rsid w:val="004B4515"/>
    <w:rsid w:val="004B4B1F"/>
    <w:rsid w:val="004D7665"/>
    <w:rsid w:val="004E7AF7"/>
    <w:rsid w:val="00502E3D"/>
    <w:rsid w:val="00504A02"/>
    <w:rsid w:val="00512906"/>
    <w:rsid w:val="00533BD2"/>
    <w:rsid w:val="00533D6E"/>
    <w:rsid w:val="00541B00"/>
    <w:rsid w:val="005426A3"/>
    <w:rsid w:val="00561B41"/>
    <w:rsid w:val="00566508"/>
    <w:rsid w:val="0059559A"/>
    <w:rsid w:val="005A1956"/>
    <w:rsid w:val="005A5BCA"/>
    <w:rsid w:val="005C5D00"/>
    <w:rsid w:val="00600553"/>
    <w:rsid w:val="00610132"/>
    <w:rsid w:val="00611F83"/>
    <w:rsid w:val="006516DC"/>
    <w:rsid w:val="00656F05"/>
    <w:rsid w:val="00677AF0"/>
    <w:rsid w:val="006A5333"/>
    <w:rsid w:val="006A5A7E"/>
    <w:rsid w:val="006A69BF"/>
    <w:rsid w:val="006B043C"/>
    <w:rsid w:val="006B7CDA"/>
    <w:rsid w:val="006C426E"/>
    <w:rsid w:val="006E6220"/>
    <w:rsid w:val="00702A38"/>
    <w:rsid w:val="00712322"/>
    <w:rsid w:val="007413DC"/>
    <w:rsid w:val="00743DF3"/>
    <w:rsid w:val="007579BB"/>
    <w:rsid w:val="0077580B"/>
    <w:rsid w:val="00777FB3"/>
    <w:rsid w:val="00783239"/>
    <w:rsid w:val="00791039"/>
    <w:rsid w:val="00792D05"/>
    <w:rsid w:val="0079431E"/>
    <w:rsid w:val="00795FBC"/>
    <w:rsid w:val="007960DE"/>
    <w:rsid w:val="007B3788"/>
    <w:rsid w:val="007B5465"/>
    <w:rsid w:val="007D0C4E"/>
    <w:rsid w:val="007E0D1E"/>
    <w:rsid w:val="007E7C98"/>
    <w:rsid w:val="008058E2"/>
    <w:rsid w:val="00846B6A"/>
    <w:rsid w:val="00857717"/>
    <w:rsid w:val="008773E1"/>
    <w:rsid w:val="00882290"/>
    <w:rsid w:val="00891633"/>
    <w:rsid w:val="0089546F"/>
    <w:rsid w:val="008A3C72"/>
    <w:rsid w:val="008B07F3"/>
    <w:rsid w:val="008C0F07"/>
    <w:rsid w:val="008C2E84"/>
    <w:rsid w:val="008D78C0"/>
    <w:rsid w:val="00910CF3"/>
    <w:rsid w:val="00922095"/>
    <w:rsid w:val="00934890"/>
    <w:rsid w:val="009358C9"/>
    <w:rsid w:val="009364D2"/>
    <w:rsid w:val="00946A38"/>
    <w:rsid w:val="00957878"/>
    <w:rsid w:val="00963EEF"/>
    <w:rsid w:val="00967BFE"/>
    <w:rsid w:val="00980120"/>
    <w:rsid w:val="009B05F4"/>
    <w:rsid w:val="009B110A"/>
    <w:rsid w:val="009B459A"/>
    <w:rsid w:val="009C16B4"/>
    <w:rsid w:val="009C4D9A"/>
    <w:rsid w:val="009D660A"/>
    <w:rsid w:val="009E78F9"/>
    <w:rsid w:val="009F08E2"/>
    <w:rsid w:val="009F276C"/>
    <w:rsid w:val="00A25DF1"/>
    <w:rsid w:val="00A73243"/>
    <w:rsid w:val="00A81465"/>
    <w:rsid w:val="00A8417E"/>
    <w:rsid w:val="00A8609D"/>
    <w:rsid w:val="00AA2A39"/>
    <w:rsid w:val="00AA2E0D"/>
    <w:rsid w:val="00AA4B78"/>
    <w:rsid w:val="00AB1ACB"/>
    <w:rsid w:val="00AB5030"/>
    <w:rsid w:val="00AB64CC"/>
    <w:rsid w:val="00AE0A01"/>
    <w:rsid w:val="00B03090"/>
    <w:rsid w:val="00B11608"/>
    <w:rsid w:val="00B314DE"/>
    <w:rsid w:val="00B3376E"/>
    <w:rsid w:val="00B420CE"/>
    <w:rsid w:val="00B42134"/>
    <w:rsid w:val="00B55895"/>
    <w:rsid w:val="00BA4D4D"/>
    <w:rsid w:val="00BD3F72"/>
    <w:rsid w:val="00BD47A1"/>
    <w:rsid w:val="00BE1616"/>
    <w:rsid w:val="00BF347F"/>
    <w:rsid w:val="00BF382D"/>
    <w:rsid w:val="00BF4B0A"/>
    <w:rsid w:val="00C00062"/>
    <w:rsid w:val="00C43EE7"/>
    <w:rsid w:val="00C44CFA"/>
    <w:rsid w:val="00C451B3"/>
    <w:rsid w:val="00C615F5"/>
    <w:rsid w:val="00C618D2"/>
    <w:rsid w:val="00C777FC"/>
    <w:rsid w:val="00C85624"/>
    <w:rsid w:val="00CA610A"/>
    <w:rsid w:val="00CB763A"/>
    <w:rsid w:val="00CD0C6A"/>
    <w:rsid w:val="00CD2439"/>
    <w:rsid w:val="00CE12AA"/>
    <w:rsid w:val="00CF2235"/>
    <w:rsid w:val="00D11BE7"/>
    <w:rsid w:val="00D17986"/>
    <w:rsid w:val="00D553E7"/>
    <w:rsid w:val="00D63589"/>
    <w:rsid w:val="00D96FA2"/>
    <w:rsid w:val="00DA4423"/>
    <w:rsid w:val="00DB4CB2"/>
    <w:rsid w:val="00DC0BB7"/>
    <w:rsid w:val="00DD193B"/>
    <w:rsid w:val="00DE2EDE"/>
    <w:rsid w:val="00E03FCF"/>
    <w:rsid w:val="00E31AFA"/>
    <w:rsid w:val="00E3762B"/>
    <w:rsid w:val="00E44926"/>
    <w:rsid w:val="00E5066E"/>
    <w:rsid w:val="00E57D63"/>
    <w:rsid w:val="00E663F1"/>
    <w:rsid w:val="00E96097"/>
    <w:rsid w:val="00EC3C39"/>
    <w:rsid w:val="00ED468A"/>
    <w:rsid w:val="00EE5828"/>
    <w:rsid w:val="00EE69B6"/>
    <w:rsid w:val="00F02201"/>
    <w:rsid w:val="00F06F79"/>
    <w:rsid w:val="00F25492"/>
    <w:rsid w:val="00F27D7C"/>
    <w:rsid w:val="00F35E6A"/>
    <w:rsid w:val="00F433D0"/>
    <w:rsid w:val="00F92C07"/>
    <w:rsid w:val="00F937CC"/>
    <w:rsid w:val="00FB294A"/>
    <w:rsid w:val="00FB5BBF"/>
    <w:rsid w:val="00FB7482"/>
    <w:rsid w:val="00FD6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0E74"/>
  <w15:chartTrackingRefBased/>
  <w15:docId w15:val="{A6EEBEC1-AECC-41A0-8FD4-C5776F826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0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60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60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60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60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60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0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0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0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0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60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60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60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60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60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0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0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008"/>
    <w:rPr>
      <w:rFonts w:eastAsiaTheme="majorEastAsia" w:cstheme="majorBidi"/>
      <w:color w:val="272727" w:themeColor="text1" w:themeTint="D8"/>
    </w:rPr>
  </w:style>
  <w:style w:type="paragraph" w:styleId="Title">
    <w:name w:val="Title"/>
    <w:basedOn w:val="Normal"/>
    <w:next w:val="Normal"/>
    <w:link w:val="TitleChar"/>
    <w:uiPriority w:val="10"/>
    <w:qFormat/>
    <w:rsid w:val="003A60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0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0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0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008"/>
    <w:pPr>
      <w:spacing w:before="160"/>
      <w:jc w:val="center"/>
    </w:pPr>
    <w:rPr>
      <w:i/>
      <w:iCs/>
      <w:color w:val="404040" w:themeColor="text1" w:themeTint="BF"/>
    </w:rPr>
  </w:style>
  <w:style w:type="character" w:customStyle="1" w:styleId="QuoteChar">
    <w:name w:val="Quote Char"/>
    <w:basedOn w:val="DefaultParagraphFont"/>
    <w:link w:val="Quote"/>
    <w:uiPriority w:val="29"/>
    <w:rsid w:val="003A6008"/>
    <w:rPr>
      <w:i/>
      <w:iCs/>
      <w:color w:val="404040" w:themeColor="text1" w:themeTint="BF"/>
    </w:rPr>
  </w:style>
  <w:style w:type="paragraph" w:styleId="ListParagraph">
    <w:name w:val="List Paragraph"/>
    <w:basedOn w:val="Normal"/>
    <w:uiPriority w:val="34"/>
    <w:qFormat/>
    <w:rsid w:val="003A6008"/>
    <w:pPr>
      <w:ind w:left="720"/>
      <w:contextualSpacing/>
    </w:pPr>
  </w:style>
  <w:style w:type="character" w:styleId="IntenseEmphasis">
    <w:name w:val="Intense Emphasis"/>
    <w:basedOn w:val="DefaultParagraphFont"/>
    <w:uiPriority w:val="21"/>
    <w:qFormat/>
    <w:rsid w:val="003A6008"/>
    <w:rPr>
      <w:i/>
      <w:iCs/>
      <w:color w:val="0F4761" w:themeColor="accent1" w:themeShade="BF"/>
    </w:rPr>
  </w:style>
  <w:style w:type="paragraph" w:styleId="IntenseQuote">
    <w:name w:val="Intense Quote"/>
    <w:basedOn w:val="Normal"/>
    <w:next w:val="Normal"/>
    <w:link w:val="IntenseQuoteChar"/>
    <w:uiPriority w:val="30"/>
    <w:qFormat/>
    <w:rsid w:val="003A60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008"/>
    <w:rPr>
      <w:i/>
      <w:iCs/>
      <w:color w:val="0F4761" w:themeColor="accent1" w:themeShade="BF"/>
    </w:rPr>
  </w:style>
  <w:style w:type="character" w:styleId="IntenseReference">
    <w:name w:val="Intense Reference"/>
    <w:basedOn w:val="DefaultParagraphFont"/>
    <w:uiPriority w:val="32"/>
    <w:qFormat/>
    <w:rsid w:val="003A6008"/>
    <w:rPr>
      <w:b/>
      <w:bCs/>
      <w:smallCaps/>
      <w:color w:val="0F4761" w:themeColor="accent1" w:themeShade="BF"/>
      <w:spacing w:val="5"/>
    </w:rPr>
  </w:style>
  <w:style w:type="character" w:styleId="Hyperlink">
    <w:name w:val="Hyperlink"/>
    <w:basedOn w:val="DefaultParagraphFont"/>
    <w:uiPriority w:val="99"/>
    <w:unhideWhenUsed/>
    <w:rsid w:val="003A6008"/>
    <w:rPr>
      <w:color w:val="467886" w:themeColor="hyperlink"/>
      <w:u w:val="single"/>
    </w:rPr>
  </w:style>
  <w:style w:type="character" w:styleId="UnresolvedMention">
    <w:name w:val="Unresolved Mention"/>
    <w:basedOn w:val="DefaultParagraphFont"/>
    <w:uiPriority w:val="99"/>
    <w:semiHidden/>
    <w:unhideWhenUsed/>
    <w:rsid w:val="003A60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arn.microsoft.com/en-us/copilot/privacy-and-protect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the-green-book--2/the-green-book-202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help.openai.com/en/articles/7039943-how-openai-handles-data-in-consumer-serv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statistics/electric-vehicle-charging-infrastructure-statistics-1-july-2026/public-electric-vehicle-charging-infrastructure-statistics-1-july-2026" TargetMode="External"/><Relationship Id="rId5" Type="http://schemas.openxmlformats.org/officeDocument/2006/relationships/numbering" Target="numbering.xml"/><Relationship Id="rId15" Type="http://schemas.openxmlformats.org/officeDocument/2006/relationships/hyperlink" Target="https://www.gov.uk/guidance/regulations-public-charge-points" TargetMode="External"/><Relationship Id="rId10" Type="http://schemas.openxmlformats.org/officeDocument/2006/relationships/hyperlink" Target="https://www.bristol.gov.uk/files/documents/10850-bristol-electric-vehicle-infrastructure-strategy/fil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ons.gov.uk/businessindustryandtrade/business/businessservices/articles/artificialintelligenceinukbusinesses/2023to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eeb3095dbbaea890f142df45897202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d3400ff80774ef3634fdac6fe1b91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4D378-5CA7-49E9-BC2A-9ABA3988D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D99EF6-1AD7-4D47-AC0F-F2914E2D2168}">
  <ds:schemaRefs>
    <ds:schemaRef ds:uri="http://schemas.microsoft.com/sharepoint/v3/contenttype/forms"/>
  </ds:schemaRefs>
</ds:datastoreItem>
</file>

<file path=customXml/itemProps3.xml><?xml version="1.0" encoding="utf-8"?>
<ds:datastoreItem xmlns:ds="http://schemas.openxmlformats.org/officeDocument/2006/customXml" ds:itemID="{EFEA9DC6-44FD-457D-AA63-7EE5B7E0EFD9}">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6F026034-7BBE-4412-B691-7D9224EF6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3462</Words>
  <Characters>19739</Characters>
  <Application>Microsoft Office Word</Application>
  <DocSecurity>0</DocSecurity>
  <Lines>164</Lines>
  <Paragraphs>46</Paragraphs>
  <ScaleCrop>false</ScaleCrop>
  <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Kumakamba Punga (2226848)</dc:creator>
  <cp:keywords/>
  <dc:description/>
  <cp:lastModifiedBy>Kumakamba Punga (2226848)</cp:lastModifiedBy>
  <cp:revision>6</cp:revision>
  <dcterms:created xsi:type="dcterms:W3CDTF">2026-10-08T16:39:00Z</dcterms:created>
  <dcterms:modified xsi:type="dcterms:W3CDTF">2026-10-08T16:41:00Z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