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C6326" w14:textId="77777777" w:rsidR="004908C9" w:rsidRDefault="004908C9" w:rsidP="004908C9"/>
    <w:p w14:paraId="57824035" w14:textId="292C3754" w:rsidR="004908C9" w:rsidRDefault="004908C9" w:rsidP="00760456">
      <w:pPr>
        <w:spacing w:line="480" w:lineRule="auto"/>
      </w:pPr>
      <w:r>
        <w:t xml:space="preserve"> Module code - ECEY5004 </w:t>
      </w:r>
    </w:p>
    <w:p w14:paraId="3AA7B441" w14:textId="76841B76" w:rsidR="004908C9" w:rsidRDefault="004908C9" w:rsidP="00760456">
      <w:pPr>
        <w:spacing w:line="480" w:lineRule="auto"/>
      </w:pPr>
      <w:r>
        <w:t xml:space="preserve">Student number -  2519219 </w:t>
      </w:r>
    </w:p>
    <w:p w14:paraId="75A3CA71" w14:textId="33DB8474" w:rsidR="004908C9" w:rsidRDefault="004908C9" w:rsidP="00760456">
      <w:pPr>
        <w:spacing w:line="480" w:lineRule="auto"/>
        <w:jc w:val="center"/>
      </w:pPr>
      <w:r>
        <w:t>Language and Literacy in the digital age.</w:t>
      </w:r>
    </w:p>
    <w:p w14:paraId="39BCEF00" w14:textId="77777777" w:rsidR="004908C9" w:rsidRDefault="004908C9" w:rsidP="00760456">
      <w:pPr>
        <w:spacing w:line="480" w:lineRule="auto"/>
      </w:pPr>
    </w:p>
    <w:p w14:paraId="32910675" w14:textId="76446AAA" w:rsidR="004908C9" w:rsidRDefault="004908C9" w:rsidP="00760456">
      <w:pPr>
        <w:spacing w:line="480" w:lineRule="auto"/>
      </w:pPr>
      <w:r w:rsidRPr="004908C9">
        <w:t>I confirm that I have not used AI tools in the research and creation of this assignment. I confirm that I have not presented any AI generated materials as my own work. I confirm I have copies of my drafts, notes, and other resources I used, which I may be asked to provide in evidence</w:t>
      </w:r>
    </w:p>
    <w:p w14:paraId="0AE7BF1E" w14:textId="77777777" w:rsidR="004908C9" w:rsidRDefault="004908C9" w:rsidP="00760456">
      <w:pPr>
        <w:spacing w:line="480" w:lineRule="auto"/>
      </w:pPr>
    </w:p>
    <w:p w14:paraId="6FD14C00" w14:textId="4EC2632A" w:rsidR="009B29FF" w:rsidRDefault="009B29FF" w:rsidP="00760456">
      <w:pPr>
        <w:spacing w:line="480" w:lineRule="auto"/>
      </w:pPr>
      <w:r>
        <w:t>Storytelling offers young children an enjoyable way to explore language, relationships and ideas. When an adult shares a story, children can listen, talk about characters and events, predict what may happen and connect the narrative with their own experiences. These opportunities can support oral language, emergent reading and early writing. Storytelling can also help children begin to understand how digital media communicate stories. This essay examines a shared reading of Michael Rosen and Helen Oxenbury’s We’re Going on a Bear Hunt, comparing the storyteller’s reading of the printed book with a digital version. It considers how the two formats may shape children’s participation and how the activity can encourage oracy, reading, writing and digital literacy. Drawing on educational theory and research, the discussion evaluates the benefits and limitations of each approach. It recognises that storytelling’s value depends not only on the format but also on how the adult supports children’s engagement. The activity is also connected to Wales’ emphasis on literacy and digital competence across the curriculum.</w:t>
      </w:r>
    </w:p>
    <w:p w14:paraId="6172064F" w14:textId="7ACF7E70" w:rsidR="009B29FF" w:rsidRDefault="009B29FF" w:rsidP="00760456">
      <w:pPr>
        <w:spacing w:line="480" w:lineRule="auto"/>
      </w:pPr>
      <w:r>
        <w:t xml:space="preserve">Storytelling can nurture children’s enjoyment of language and books while supporting their understanding of how stories work. We’re Going on a Bear Hunt is particularly suitable for </w:t>
      </w:r>
      <w:r>
        <w:lastRenderedPageBreak/>
        <w:t>shared reading because it has a clear journey structure, recurring language, a build-up of obstacles and a memorable ending. Its rhythm and repeated patterns invite children to anticipate what comes next and join in with sounds, actions or familiar words. The storyteller used two techniques: expressive voice with controlled pacing, and repetition with invitations for children to join in. These techniques supported the shared nature of the reading and gave children opportunities to listen, understand and use language.</w:t>
      </w:r>
    </w:p>
    <w:p w14:paraId="6E68E79A" w14:textId="77777777" w:rsidR="009B29FF" w:rsidRDefault="009B29FF" w:rsidP="00760456">
      <w:pPr>
        <w:spacing w:line="480" w:lineRule="auto"/>
      </w:pPr>
      <w:r>
        <w:t>The first technique was expressive voice and controlled pacing. The storyteller varied their tone, volume and speed to reflect the action and atmosphere of the story. A slower pace and pause could build suspense before a new obstacle, while a quicker or more energetic voice could suggest movement and excitement. The storyteller used this technique to make the narrative engaging and to help children notice how a speaker’s voice can communicate meaning. Changes in expression can draw attention to important events and emotions, supporting children’s listening comprehension. Pauses also give children time to process what they have heard, think about what might happen next and formulate a response. When children are invited to predict or describe an event, they practise using vocabulary and arranging ideas into sentences.</w:t>
      </w:r>
    </w:p>
    <w:p w14:paraId="4989F628" w14:textId="77777777" w:rsidR="009B29FF" w:rsidRDefault="009B29FF" w:rsidP="00760456">
      <w:pPr>
        <w:spacing w:line="480" w:lineRule="auto"/>
      </w:pPr>
    </w:p>
    <w:p w14:paraId="5EE82CB3" w14:textId="5C17C6F2" w:rsidR="009B29FF" w:rsidRDefault="009B29FF" w:rsidP="00760456">
      <w:pPr>
        <w:spacing w:line="480" w:lineRule="auto"/>
      </w:pPr>
      <w:r>
        <w:t xml:space="preserve">The second technique was repetition, combined with invitations for children to join in with familiar words, sounds or actions. The story’s repeated phrases give children a predictable structure: after hearing a phrase several times, they can begin to anticipate and say it with the storyteller. This technique was used to encourage active participation without requiring children to invent a new response each time. Joining in can build confidence, particularly for children who are still developing their spoken language or are hesitant to speak in a group. Repetition also gives children repeated exposure to vocabulary, sentence patterns and speech sounds. As they become familiar with the text, they can practise pronunciation, recall words and develop </w:t>
      </w:r>
      <w:r>
        <w:lastRenderedPageBreak/>
        <w:t>an understanding of how phrases fit into a story. Together, expressive delivery and repetition make the reading more than an adult simply saying the words on the page.</w:t>
      </w:r>
    </w:p>
    <w:p w14:paraId="1F4D42A6" w14:textId="40437E92" w:rsidR="009B29FF" w:rsidRDefault="009B29FF" w:rsidP="00760456">
      <w:pPr>
        <w:spacing w:line="480" w:lineRule="auto"/>
      </w:pPr>
      <w:r>
        <w:t>This practice connects with Bruner’s view that children learn language through meaningful interaction with more experienced speakers (Bruner, 1983). The adult provides a supportive structure for participation: children may first listen, then contribute a sound, a repeated phrase, a prediction or a retelling. Vygotsky’s sociocultural theory similarly emphasises that learning develops through social interaction, with support helping children achieve more than they might manage alone (Vygotsky, 1978). In this activity, a child who initially watches can be included through a manageable invitation, such as choosing what the characters might encounter next or making a movement associated with the story. This is preferable to insisting that every child speak in front of the group. Participation can also be non-verbal, through gesture, facial expression, movement or pointing. These responses show that children can engage with meaning even when they are not ready to express it verbally.</w:t>
      </w:r>
    </w:p>
    <w:p w14:paraId="67060353" w14:textId="77021855" w:rsidR="009B29FF" w:rsidRDefault="009B29FF" w:rsidP="00760456">
      <w:pPr>
        <w:spacing w:line="480" w:lineRule="auto"/>
      </w:pPr>
      <w:r>
        <w:t>Reading the print book aloud can promote oracy by creating opportunities to listen, understand, express ideas and respond to others. Children can practise taking turns, speaking clearly, using new words, explaining a prediction and recounting events in sequence. The narrative’s repeated patterns provide a supportive structure for children developing confidence in speech: they can join a familiar refrain without needing to construct an entirely new sentence. Sound effects and movement can encourage expressive communication, while open questions invite children to explain their thinking. For instance, the storyteller could ask what the characters might hear, feel or see as they travel, or why they continue despite the obstacles. Such prompts extend talk beyond naming pictures and support children in using descriptive and explanatory language.</w:t>
      </w:r>
    </w:p>
    <w:p w14:paraId="4ADC003F" w14:textId="5B431ACF" w:rsidR="009B29FF" w:rsidRDefault="009B29FF" w:rsidP="00760456">
      <w:pPr>
        <w:spacing w:line="480" w:lineRule="auto"/>
      </w:pPr>
      <w:r>
        <w:t xml:space="preserve">The value of questioning depends on how it is used. If the storyteller asks a rapid series of questions with only one accepted answer, the activity can become a test, giving children little opportunity to develop their own ideas. Dialogic reading offers a more reciprocal approach: the </w:t>
      </w:r>
      <w:r>
        <w:lastRenderedPageBreak/>
        <w:t>adult invites children to contribute, listens, expands on their responses and encourages them to become storytellers themselves. The What Works Clearinghouse identifies dialogic reading as an interactive shared-book approach and reports positive effects on oral language, while finding no discernible effects on phonological processing (Institute of Education Sciences, n.d.).</w:t>
      </w:r>
    </w:p>
    <w:p w14:paraId="7666774E" w14:textId="35E39FF4" w:rsidR="009B29FF" w:rsidRDefault="009B29FF" w:rsidP="00760456">
      <w:pPr>
        <w:spacing w:line="480" w:lineRule="auto"/>
      </w:pPr>
      <w:r>
        <w:t>This distinction is important: shared storytelling can support language, but it should not be assumed to teach every aspect of reading automatically. Whitehurst et al. (1988) also examined how adults’ use of open-ended questions and expansions can support language development during picture-book reading. For example, if a child says that the characters are going through water, the storyteller could respond by repeating the idea and adding a descriptive word, such as “cold water” or “deep water”. This models richer language without dismissing the child’s contribution. Allowing time for children to respond is also important. A pause after a question gives children a chance to think, and the storyteller can build on their answers rather than moving immediately to the next part of the text.</w:t>
      </w:r>
    </w:p>
    <w:p w14:paraId="01516CDA" w14:textId="2A7988BF" w:rsidR="009B29FF" w:rsidRDefault="009B29FF" w:rsidP="00760456">
      <w:pPr>
        <w:spacing w:line="480" w:lineRule="auto"/>
      </w:pPr>
      <w:r>
        <w:t>The print format also provides opportunities to develop emergent reading. Children can see that the book has a front and back cover, that pages are turned in an order and that illustrations relate to the written story. The storyteller can point to the title, author and illustrations, or briefly track the print while reading, helping children notice how spoken language connects with written marks. The large physical illustrations can be shared among a group, and children can point to details or revisit a page at their own pace. Repeated reading is especially useful: as children become familiar with the story, they may anticipate events, notice new details or begin to retell sections independently. Their familiarity should not be mistaken for independent decoding</w:t>
      </w:r>
      <w:r w:rsidR="00252F42">
        <w:t>,</w:t>
      </w:r>
      <w:r>
        <w:t xml:space="preserve"> rather, it shows growing knowledge of story sequence, language and the conventions of books.</w:t>
      </w:r>
    </w:p>
    <w:p w14:paraId="6EEF3949" w14:textId="376798BB" w:rsidR="009B29FF" w:rsidRDefault="009B29FF" w:rsidP="00760456">
      <w:pPr>
        <w:spacing w:line="480" w:lineRule="auto"/>
      </w:pPr>
      <w:r>
        <w:t xml:space="preserve">Print storytelling can also provide a foundation for early writing. After the reading, children might draw a map of the journey, mark the order of events, create a picture of a new obstacle or </w:t>
      </w:r>
      <w:r>
        <w:lastRenderedPageBreak/>
        <w:t>dictate a sentence for an adult to write. They could make their own book using drawings and marks, or write a label for a place or character. These activities allow children to see writing as a way to communicate ideas, not merely as handwriting practice. The storyteller can model how spoken ideas are recorded, invite children to tell the story in their own words and value early mark-making as an attempt to convey meaning. A simple follow-up task should remain connected to the story and open to different levels of participation</w:t>
      </w:r>
      <w:r w:rsidR="00252F42">
        <w:t>,</w:t>
      </w:r>
      <w:r>
        <w:t xml:space="preserve"> expecting every child to produce the same written sentence would be less inclusive.</w:t>
      </w:r>
    </w:p>
    <w:p w14:paraId="3D90356C" w14:textId="27B1B7C2" w:rsidR="009B29FF" w:rsidRDefault="009B29FF" w:rsidP="00760456">
      <w:pPr>
        <w:spacing w:line="480" w:lineRule="auto"/>
      </w:pPr>
      <w:r>
        <w:t>Reading a digital book changes the conditions of the storytelling experience. Depending on the edition, it may include narration, sound effects, animation, page-turn controls or interactive areas. These features can attract attention and make particular aspects of the story more vivid. If sounds correspond closely to events, they may support children’s understanding of the narrative and give them new words to discuss. The digital format may also enable children to control the pace by turning pages or replaying parts. However, the experience depends on the specific book. A digital copy that simply displays scanned pages offers different opportunities from an app containing narration or interactive features, so it would be inaccurate to treat all e-books as the same.</w:t>
      </w:r>
    </w:p>
    <w:p w14:paraId="1C272E42" w14:textId="7E0BC913" w:rsidR="009B29FF" w:rsidRDefault="009B29FF" w:rsidP="00760456">
      <w:pPr>
        <w:spacing w:line="480" w:lineRule="auto"/>
      </w:pPr>
      <w:r>
        <w:t>The research on digital stories is mixed rather than a simple argument for or against screens. Takacs, Swart and Bus (2015) conducted a meta-analysis of 43 studies involving 2,147 children. They found small positive additional effects of technology</w:t>
      </w:r>
      <w:r w:rsidR="00593559">
        <w:t xml:space="preserve"> </w:t>
      </w:r>
      <w:r>
        <w:t>enhanced stories on comprehension and expressive vocabulary overall. Their analysis suggested that multimedia features such as sounds and animation could support learning, whereas interactive elements such as unrelated hotspots or games could distract children from the story.</w:t>
      </w:r>
    </w:p>
    <w:p w14:paraId="28AC7356" w14:textId="0633ED2A" w:rsidR="009B29FF" w:rsidRDefault="009B29FF" w:rsidP="00760456">
      <w:pPr>
        <w:spacing w:line="480" w:lineRule="auto"/>
      </w:pPr>
      <w:r>
        <w:t xml:space="preserve">More recent research by Strouse, Troseth and Stuckelman (2023) found that, in their study, children’s conversations with parents were similar in quantity and quality when sharing print and digital books. They also found that built-in conversational prompts could increase the </w:t>
      </w:r>
      <w:r>
        <w:lastRenderedPageBreak/>
        <w:t>amount and quality of conversation. Together, these findings suggest that design and adult mediation matter: digital features can support literacy when they serve the narrative, but novelty alone is not evidence of learning.</w:t>
      </w:r>
    </w:p>
    <w:p w14:paraId="51C516CF" w14:textId="66F51325" w:rsidR="009B29FF" w:rsidRDefault="009B29FF" w:rsidP="00760456">
      <w:pPr>
        <w:spacing w:line="480" w:lineRule="auto"/>
      </w:pPr>
      <w:r>
        <w:t>The differences between the two readings could therefore arise from several factors. During the print reading, the storyteller controlled the pace and could respond immediately to children’s faces, comments and gestures. The physical book made the pages, words and illustrations visible as shared objects, and the storyteller could pause without needing to manage a device. During the digital reading, children may have focused more on the screen, animation, sound or act of tapping. They may have shown greater excitement or taken turns navigating the book, but some may have concentrated on operating the device rather than interpreting the story. These are possibilities to consider rather than assumptions about what every child will do. The practitioner should observe whether children are talking about the narrative or mainly discussing buttons and effects.</w:t>
      </w:r>
    </w:p>
    <w:p w14:paraId="1F3F35D6" w14:textId="03B253D1" w:rsidR="009B29FF" w:rsidRDefault="009B29FF" w:rsidP="00760456">
      <w:pPr>
        <w:spacing w:line="480" w:lineRule="auto"/>
      </w:pPr>
      <w:r>
        <w:t>The order of the activity is also a limitation when comparing children’s responses. Since the print version was read first and the digital version second, the children were already familiar with the plot and repeated language when they encountered the digital book. Their greater participation in the second reading, if observed, might reflect familiarity and confidence rather than a special benefit of digital media. Conversely, children might appear less responsive to the second reading because the story is no longer new. The storyteller’s delivery may also differ. For example, the storyteller may use more dramatic gestures with the print version or give children more control during the digital one. A fair comparison therefore involves reflecting on what changed</w:t>
      </w:r>
      <w:r w:rsidR="00593559">
        <w:t xml:space="preserve"> </w:t>
      </w:r>
      <w:r>
        <w:t>format, pacing, narration, interactivity, adult behaviour or familiarity</w:t>
      </w:r>
      <w:r w:rsidR="00593559">
        <w:t xml:space="preserve"> </w:t>
      </w:r>
      <w:r>
        <w:t>rather than attributing every difference to print versus screen.</w:t>
      </w:r>
    </w:p>
    <w:p w14:paraId="6157B5F9" w14:textId="3A102742" w:rsidR="009B29FF" w:rsidRDefault="009B29FF" w:rsidP="00760456">
      <w:pPr>
        <w:spacing w:line="480" w:lineRule="auto"/>
      </w:pPr>
      <w:r>
        <w:t xml:space="preserve">Both versions can promote oracy, but they may prompt different kinds of talk. In print, the storyteller can pause frequently for children’s predictions and comments, and direct attention </w:t>
      </w:r>
      <w:r>
        <w:lastRenderedPageBreak/>
        <w:t>to details in the illustrations. In a digital version, children may talk about the sounds, animations or choices available, potentially adding vocabulary related to technology as well as the story. If the digital narration plays continuously, however, it may reduce opportunities for children to interrupt, ask questions or hear the adult’s expressive reading. The storyteller can address this by pausing the narration where possible, discussing an event before proceeding and asking children to retell or predict. The adult should remain the social partner, rather than becoming a passive operator of the device.</w:t>
      </w:r>
    </w:p>
    <w:p w14:paraId="2C55A2E1" w14:textId="44A4FC8C" w:rsidR="009B29FF" w:rsidRDefault="009B29FF" w:rsidP="00760456">
      <w:pPr>
        <w:spacing w:line="480" w:lineRule="auto"/>
      </w:pPr>
      <w:r>
        <w:t>Digital literacy involves more than learning how to tap a screen. In the context of this activity, children can begin to understand that a digital book contains a story, that page</w:t>
      </w:r>
      <w:r w:rsidR="00DA6DD8">
        <w:t xml:space="preserve"> </w:t>
      </w:r>
      <w:r>
        <w:t>turn icons move the narrative forward and that touch can produce a particular response. With adult support, they can practise taking turns, making intentional choices and considering whether an on-screen feature helps them understand the story. If children are invited to create a simple digital retelling afterwards</w:t>
      </w:r>
      <w:r w:rsidR="00973528">
        <w:t xml:space="preserve"> </w:t>
      </w:r>
      <w:r>
        <w:t>by choosing photographs or drawings for story events and recording their voices</w:t>
      </w:r>
      <w:r w:rsidR="00973528">
        <w:t xml:space="preserve"> </w:t>
      </w:r>
      <w:r>
        <w:t>they can begin to use technology to communicate meaning, not just consume entertainment. The Digital Competence Framework in Wales includes developing learners as users and producers of digital content, while literacy and digital competence are cross</w:t>
      </w:r>
      <w:r w:rsidR="00DA6DD8">
        <w:t xml:space="preserve"> </w:t>
      </w:r>
      <w:r>
        <w:t>curricular responsibilities (Hwb, n.d.).</w:t>
      </w:r>
    </w:p>
    <w:p w14:paraId="4A24E18A" w14:textId="515CD1ED" w:rsidR="009B29FF" w:rsidRDefault="009B29FF" w:rsidP="00760456">
      <w:pPr>
        <w:spacing w:line="480" w:lineRule="auto"/>
      </w:pPr>
      <w:r>
        <w:t>For young children, these experiences should be age</w:t>
      </w:r>
      <w:r w:rsidR="00A3097E">
        <w:t xml:space="preserve"> </w:t>
      </w:r>
      <w:r>
        <w:t xml:space="preserve">appropriate, shared and purposeful. There are also reasons to use digital books thoughtfully. If interactions are frequent, unrelated to the plot or difficult to manage, they can distract from listening and comprehension. A child may focus on repeatedly activating an animation rather than following the sequence of events. Digital reading may require a smaller group so that every child can see the screen and have a turn, whereas a large printed book may be more visible to a whole group. Device access, screen brightness, sound levels and children’s additional needs should also be considered. Some children may benefit from audio narration or enlarged images, while others may find sounds or </w:t>
      </w:r>
      <w:r>
        <w:lastRenderedPageBreak/>
        <w:t>movement distracting. It is therefore important to select digital books for the quality of their content and accessibility, not simply because they appear more exciting.</w:t>
      </w:r>
    </w:p>
    <w:p w14:paraId="43C3305E" w14:textId="0BBE5BE4" w:rsidR="009B29FF" w:rsidRDefault="009B29FF" w:rsidP="00760456">
      <w:pPr>
        <w:spacing w:line="480" w:lineRule="auto"/>
      </w:pPr>
      <w:r>
        <w:t xml:space="preserve">Comparing the two </w:t>
      </w:r>
      <w:r w:rsidR="0061383C">
        <w:t>techniques</w:t>
      </w:r>
      <w:r>
        <w:t xml:space="preserve"> is most useful when the aim is to enrich, rather than replace, storytelling. The printed book offers tangible pages, visible print and a flexible shared reading experience. The digital version can introduce multimodal storytelling and purposeful interaction with technology. Neither</w:t>
      </w:r>
      <w:r w:rsidR="0061383C">
        <w:t xml:space="preserve"> </w:t>
      </w:r>
      <w:r>
        <w:t>guarantees meaningful learning</w:t>
      </w:r>
      <w:r w:rsidR="0061383C">
        <w:t>,</w:t>
      </w:r>
      <w:r>
        <w:t xml:space="preserve"> a lively print reading can still leave children passive, while a carefully chosen digital book can support rich conversation. For future practice, the storyteller could make their role explicit in both sessions by using expressive voice, repetition, pauses, open questions, wait time and invitations to retell. The storyteller could also observe which children participate, how they communicate and what draws their attention. A follow-up activity could allow children to sequence pictures, create a story map, dictate a new journey or record their own retelling, connecting oral language, reading, writing and digital production.</w:t>
      </w:r>
    </w:p>
    <w:p w14:paraId="7DC546AC" w14:textId="32235174" w:rsidR="009B29FF" w:rsidRDefault="009B29FF" w:rsidP="00760456">
      <w:pPr>
        <w:spacing w:line="480" w:lineRule="auto"/>
      </w:pPr>
      <w:r>
        <w:t xml:space="preserve">Overall, reading We’re Going on a Bear Hunt in print and digitally provides complementary opportunities for children’s literacy development. Shared storytelling can support listening, vocabulary, confidence in speaking, narrative understanding and early awareness of books and print. The storyteller’s use of expressive voice and controlled pacing helped make meaning clear, build interest and give children time to respond. Repetition and invitations to join in supported children in practising familiar words and phrases, developing confidence and participating in the shared narrative. Follow-up drawing, dictation and mark-making can extend these experiences into emergent writing. A digital version can contribute to digital literacy when children use its features purposefully and with adult guidance, but excessive or irrelevant interactivity may compete with attention to the story. Research suggests that the quality of the design and the interaction around the book are more important than format alone. By reflecting on children’s responses, accounting for the order of reading and adapting support to individual </w:t>
      </w:r>
      <w:r>
        <w:lastRenderedPageBreak/>
        <w:t>needs, the storyteller can use both print and digital storytelling to foster communication, imagination and developing literacy.</w:t>
      </w:r>
    </w:p>
    <w:p w14:paraId="7FFF2BE6" w14:textId="77777777" w:rsidR="009B29FF" w:rsidRDefault="009B29FF" w:rsidP="00760456">
      <w:pPr>
        <w:spacing w:line="480" w:lineRule="auto"/>
      </w:pPr>
    </w:p>
    <w:p w14:paraId="138E22E7" w14:textId="3F1FEDBB" w:rsidR="004908C9" w:rsidRDefault="004908C9" w:rsidP="00760456">
      <w:pPr>
        <w:spacing w:line="480" w:lineRule="auto"/>
      </w:pPr>
      <w:r>
        <w:t>Bruner, J.S. (1983) Child’s talk: learning to use language. Oxford: Oxford University Press. Available at: https://obnb.uk/p12605071-childs-talk-learning-to-use-language</w:t>
      </w:r>
    </w:p>
    <w:p w14:paraId="292791D0" w14:textId="0286103C" w:rsidR="004908C9" w:rsidRDefault="004908C9" w:rsidP="00760456">
      <w:pPr>
        <w:spacing w:line="480" w:lineRule="auto"/>
      </w:pPr>
      <w:r>
        <w:t>Hwb (n.d.) Cross-curricular skills frameworks. Available at: https://hwb.gov.wales/curriculum-for-wales/cross-curricular-skills-frameworks (Accessed</w:t>
      </w:r>
      <w:r w:rsidR="00D33C24">
        <w:t xml:space="preserve"> on 17th</w:t>
      </w:r>
      <w:r>
        <w:t xml:space="preserve"> October 2026).</w:t>
      </w:r>
    </w:p>
    <w:p w14:paraId="363B3F02" w14:textId="5B79B2F3" w:rsidR="004908C9" w:rsidRDefault="004908C9" w:rsidP="00760456">
      <w:pPr>
        <w:spacing w:line="480" w:lineRule="auto"/>
      </w:pPr>
      <w:r>
        <w:t>Hwb (n.d.) Digital Competence Framework (DCF). Available at: https://hwb.gov.wales/curriculum-for-wales/cross-curricular-skills-frameworks/digital-competence-framework-dcf (Accessed</w:t>
      </w:r>
      <w:r w:rsidR="00D33C24">
        <w:t xml:space="preserve"> on</w:t>
      </w:r>
      <w:r>
        <w:t xml:space="preserve"> 20 October 2026).</w:t>
      </w:r>
    </w:p>
    <w:p w14:paraId="32E2F063" w14:textId="0F248D17" w:rsidR="004908C9" w:rsidRDefault="004908C9" w:rsidP="00760456">
      <w:pPr>
        <w:spacing w:line="480" w:lineRule="auto"/>
      </w:pPr>
      <w:r>
        <w:t>Hwb (n.d.) Languages, Literacy and Communication: Introduction. Available at: https://hwb.gov.wales/curriculum-for-wales/languages-literacy-and-communication (Accessed</w:t>
      </w:r>
      <w:r w:rsidR="00D33C24">
        <w:t xml:space="preserve"> on 19th</w:t>
      </w:r>
      <w:r>
        <w:t xml:space="preserve"> October 2026).</w:t>
      </w:r>
    </w:p>
    <w:p w14:paraId="1E3F82C5" w14:textId="672C9E99" w:rsidR="004908C9" w:rsidRDefault="004908C9" w:rsidP="00760456">
      <w:pPr>
        <w:spacing w:line="480" w:lineRule="auto"/>
      </w:pPr>
      <w:r>
        <w:t>Institute of Education Sciences (n.d.) Dialogic Reading: Intervention report. What Works Clearinghouse. Available at: https://ies.ed.gov/ncee/WWC/InterventionReport/135/Published (Accessed</w:t>
      </w:r>
      <w:r w:rsidR="00D33C24">
        <w:t xml:space="preserve"> on </w:t>
      </w:r>
      <w:r>
        <w:t>20 October 2026).</w:t>
      </w:r>
    </w:p>
    <w:p w14:paraId="628392B2" w14:textId="696241C0" w:rsidR="004908C9" w:rsidRDefault="004908C9" w:rsidP="00760456">
      <w:pPr>
        <w:spacing w:line="480" w:lineRule="auto"/>
      </w:pPr>
      <w:r>
        <w:t xml:space="preserve">Rosen, M. and Oxenbury, H. (1989) We’re going on a bear hunt. London: Walker Books. Available at: </w:t>
      </w:r>
      <w:hyperlink r:id="rId6" w:history="1">
        <w:r w:rsidR="00D33C24" w:rsidRPr="00144464">
          <w:rPr>
            <w:rStyle w:val="Hyperlink"/>
          </w:rPr>
          <w:t>https://www.ifla.org/files/assets/libraries-for-children-and-ya/Picturebooks/PictureBooksCompilation.pdf</w:t>
        </w:r>
      </w:hyperlink>
      <w:r w:rsidR="00D33C24">
        <w:t xml:space="preserve"> (Accessed on 20th October 2026)</w:t>
      </w:r>
    </w:p>
    <w:p w14:paraId="432397C1" w14:textId="72D44466" w:rsidR="004908C9" w:rsidRDefault="004908C9" w:rsidP="00760456">
      <w:pPr>
        <w:spacing w:line="480" w:lineRule="auto"/>
      </w:pPr>
      <w:r>
        <w:t xml:space="preserve">Strouse, G.A., Troseth, G.L. and Stuckelman, Z.D. (2023) ‘Page and screen: Storybook features that promote parent-child talk during shared reading’, Journal of Applied Developmental Psychology, 86, article 101522. Available at: </w:t>
      </w:r>
      <w:hyperlink r:id="rId7" w:history="1">
        <w:r w:rsidR="00D33C24" w:rsidRPr="00144464">
          <w:rPr>
            <w:rStyle w:val="Hyperlink"/>
          </w:rPr>
          <w:t>https://doi.org/10.1016/j.appdev.2023.101522</w:t>
        </w:r>
      </w:hyperlink>
      <w:r w:rsidR="00D33C24">
        <w:t xml:space="preserve"> (Accessed on 19th October 2026)</w:t>
      </w:r>
    </w:p>
    <w:p w14:paraId="55756661" w14:textId="0C9C42AB" w:rsidR="004908C9" w:rsidRDefault="004908C9" w:rsidP="00760456">
      <w:pPr>
        <w:spacing w:line="480" w:lineRule="auto"/>
      </w:pPr>
      <w:r>
        <w:lastRenderedPageBreak/>
        <w:t xml:space="preserve">Takacs, Z.K., Swart, E.K. and Bus, A.G. (2015) ‘Benefits and pitfalls of multimedia and interactive features in technology-enhanced storybooks: A meta-analysis’, Review of Educational Research, 85(4), pp. 698–739. Available at: </w:t>
      </w:r>
      <w:hyperlink r:id="rId8" w:history="1">
        <w:r w:rsidR="00D33C24" w:rsidRPr="00144464">
          <w:rPr>
            <w:rStyle w:val="Hyperlink"/>
          </w:rPr>
          <w:t>https://doi.org/10.3102/0034654314566989</w:t>
        </w:r>
      </w:hyperlink>
      <w:r w:rsidR="00D33C24">
        <w:t xml:space="preserve"> (Accessed on 19th October 2026)</w:t>
      </w:r>
    </w:p>
    <w:p w14:paraId="62F3AC29" w14:textId="646D18B9" w:rsidR="004908C9" w:rsidRDefault="004908C9" w:rsidP="00760456">
      <w:pPr>
        <w:spacing w:line="480" w:lineRule="auto"/>
      </w:pPr>
      <w:r>
        <w:t xml:space="preserve">Vygotsky, L.S. (1978) Mind in society: the development of higher psychological processes. Cambridge, MA: Harvard University Press. Available at: </w:t>
      </w:r>
      <w:hyperlink r:id="rId9" w:history="1">
        <w:r w:rsidR="00D33C24" w:rsidRPr="00144464">
          <w:rPr>
            <w:rStyle w:val="Hyperlink"/>
          </w:rPr>
          <w:t>https://doi.org/10.2307/j.ctvjf9vz4</w:t>
        </w:r>
      </w:hyperlink>
      <w:r w:rsidR="00D33C24">
        <w:t xml:space="preserve"> (Accessed on 19th October 2026)</w:t>
      </w:r>
    </w:p>
    <w:p w14:paraId="220FADBB" w14:textId="02D7D9E5" w:rsidR="00DF000D" w:rsidRDefault="00DF000D" w:rsidP="00760456">
      <w:pPr>
        <w:spacing w:line="480" w:lineRule="auto"/>
      </w:pPr>
      <w:r w:rsidRPr="00DF000D">
        <w:t>Welsh Government (2026) Principles for teaching language and literacy in Wales. First published 3 March 2026. Accessed 25 October 2026.</w:t>
      </w:r>
    </w:p>
    <w:p w14:paraId="4FBB9BFD" w14:textId="714A96ED" w:rsidR="004908C9" w:rsidRDefault="004908C9" w:rsidP="00760456">
      <w:pPr>
        <w:spacing w:line="480" w:lineRule="auto"/>
      </w:pPr>
      <w:r>
        <w:t xml:space="preserve">Whitehurst, G.J., Falco, F.L., Lonigan, C.J., Fischel, J.E., DeBaryshe, B.D., Valdez-Menchaca, M.C. and Caulfield, M. (1988) ‘Accelerating language development through picture book reading’, Developmental Psychology, 24(4), pp. 552–559. Available at: </w:t>
      </w:r>
      <w:hyperlink r:id="rId10" w:history="1">
        <w:r w:rsidR="00D33C24" w:rsidRPr="00144464">
          <w:rPr>
            <w:rStyle w:val="Hyperlink"/>
          </w:rPr>
          <w:t>https://doi.org/10.1037/0012-1649.24.4.552</w:t>
        </w:r>
      </w:hyperlink>
      <w:r w:rsidR="00D33C24">
        <w:t xml:space="preserve"> (Accessed on 19th October 2026)</w:t>
      </w:r>
    </w:p>
    <w:sectPr w:rsidR="004908C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24FBE" w14:textId="77777777" w:rsidR="00E936DE" w:rsidRDefault="00E936DE" w:rsidP="004908C9">
      <w:pPr>
        <w:spacing w:after="0" w:line="240" w:lineRule="auto"/>
      </w:pPr>
      <w:r>
        <w:separator/>
      </w:r>
    </w:p>
  </w:endnote>
  <w:endnote w:type="continuationSeparator" w:id="0">
    <w:p w14:paraId="1D3B1955" w14:textId="77777777" w:rsidR="00E936DE" w:rsidRDefault="00E936DE" w:rsidP="00490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A7974" w14:textId="77777777" w:rsidR="00E936DE" w:rsidRDefault="00E936DE" w:rsidP="004908C9">
      <w:pPr>
        <w:spacing w:after="0" w:line="240" w:lineRule="auto"/>
      </w:pPr>
      <w:r>
        <w:separator/>
      </w:r>
    </w:p>
  </w:footnote>
  <w:footnote w:type="continuationSeparator" w:id="0">
    <w:p w14:paraId="4C6C18D9" w14:textId="77777777" w:rsidR="00E936DE" w:rsidRDefault="00E936DE" w:rsidP="00490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C80A8" w14:textId="16F30818" w:rsidR="004908C9" w:rsidRDefault="004908C9">
    <w:pPr>
      <w:pStyle w:val="Header"/>
    </w:pPr>
    <w:r>
      <w:t>ECEY5004</w:t>
    </w:r>
  </w:p>
  <w:p w14:paraId="4465FAD2" w14:textId="6305B34A" w:rsidR="004908C9" w:rsidRDefault="004908C9">
    <w:pPr>
      <w:pStyle w:val="Header"/>
    </w:pPr>
    <w:r>
      <w:t>2519219</w:t>
    </w:r>
  </w:p>
  <w:p w14:paraId="040C8F82" w14:textId="4B85B6FC" w:rsidR="004908C9" w:rsidRDefault="004908C9">
    <w:pPr>
      <w:pStyle w:val="Header"/>
    </w:pPr>
    <w:r>
      <w:t xml:space="preserve">Word count - </w:t>
    </w:r>
    <w:r w:rsidR="00CC6115">
      <w:t>2461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8C9"/>
    <w:rsid w:val="00252F42"/>
    <w:rsid w:val="004306CE"/>
    <w:rsid w:val="004908C9"/>
    <w:rsid w:val="00593559"/>
    <w:rsid w:val="0061383C"/>
    <w:rsid w:val="00760456"/>
    <w:rsid w:val="007833BC"/>
    <w:rsid w:val="00973528"/>
    <w:rsid w:val="009B29FF"/>
    <w:rsid w:val="00A16942"/>
    <w:rsid w:val="00A3097E"/>
    <w:rsid w:val="00BE67AE"/>
    <w:rsid w:val="00CC6115"/>
    <w:rsid w:val="00D33C24"/>
    <w:rsid w:val="00D96E45"/>
    <w:rsid w:val="00DA1FD8"/>
    <w:rsid w:val="00DA6DD8"/>
    <w:rsid w:val="00DF000D"/>
    <w:rsid w:val="00E93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F5543"/>
  <w15:chartTrackingRefBased/>
  <w15:docId w15:val="{2E865BA2-D590-487D-A1A5-475EECFC8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8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8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8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8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8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8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8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8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8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8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8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8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8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8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8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8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8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8C9"/>
    <w:rPr>
      <w:rFonts w:eastAsiaTheme="majorEastAsia" w:cstheme="majorBidi"/>
      <w:color w:val="272727" w:themeColor="text1" w:themeTint="D8"/>
    </w:rPr>
  </w:style>
  <w:style w:type="paragraph" w:styleId="Title">
    <w:name w:val="Title"/>
    <w:basedOn w:val="Normal"/>
    <w:next w:val="Normal"/>
    <w:link w:val="TitleChar"/>
    <w:uiPriority w:val="10"/>
    <w:qFormat/>
    <w:rsid w:val="004908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8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8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8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8C9"/>
    <w:pPr>
      <w:spacing w:before="160"/>
      <w:jc w:val="center"/>
    </w:pPr>
    <w:rPr>
      <w:i/>
      <w:iCs/>
      <w:color w:val="404040" w:themeColor="text1" w:themeTint="BF"/>
    </w:rPr>
  </w:style>
  <w:style w:type="character" w:customStyle="1" w:styleId="QuoteChar">
    <w:name w:val="Quote Char"/>
    <w:basedOn w:val="DefaultParagraphFont"/>
    <w:link w:val="Quote"/>
    <w:uiPriority w:val="29"/>
    <w:rsid w:val="004908C9"/>
    <w:rPr>
      <w:i/>
      <w:iCs/>
      <w:color w:val="404040" w:themeColor="text1" w:themeTint="BF"/>
    </w:rPr>
  </w:style>
  <w:style w:type="paragraph" w:styleId="ListParagraph">
    <w:name w:val="List Paragraph"/>
    <w:basedOn w:val="Normal"/>
    <w:uiPriority w:val="34"/>
    <w:qFormat/>
    <w:rsid w:val="004908C9"/>
    <w:pPr>
      <w:ind w:left="720"/>
      <w:contextualSpacing/>
    </w:pPr>
  </w:style>
  <w:style w:type="character" w:styleId="IntenseEmphasis">
    <w:name w:val="Intense Emphasis"/>
    <w:basedOn w:val="DefaultParagraphFont"/>
    <w:uiPriority w:val="21"/>
    <w:qFormat/>
    <w:rsid w:val="004908C9"/>
    <w:rPr>
      <w:i/>
      <w:iCs/>
      <w:color w:val="0F4761" w:themeColor="accent1" w:themeShade="BF"/>
    </w:rPr>
  </w:style>
  <w:style w:type="paragraph" w:styleId="IntenseQuote">
    <w:name w:val="Intense Quote"/>
    <w:basedOn w:val="Normal"/>
    <w:next w:val="Normal"/>
    <w:link w:val="IntenseQuoteChar"/>
    <w:uiPriority w:val="30"/>
    <w:qFormat/>
    <w:rsid w:val="004908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8C9"/>
    <w:rPr>
      <w:i/>
      <w:iCs/>
      <w:color w:val="0F4761" w:themeColor="accent1" w:themeShade="BF"/>
    </w:rPr>
  </w:style>
  <w:style w:type="character" w:styleId="IntenseReference">
    <w:name w:val="Intense Reference"/>
    <w:basedOn w:val="DefaultParagraphFont"/>
    <w:uiPriority w:val="32"/>
    <w:qFormat/>
    <w:rsid w:val="004908C9"/>
    <w:rPr>
      <w:b/>
      <w:bCs/>
      <w:smallCaps/>
      <w:color w:val="0F4761" w:themeColor="accent1" w:themeShade="BF"/>
      <w:spacing w:val="5"/>
    </w:rPr>
  </w:style>
  <w:style w:type="paragraph" w:styleId="Header">
    <w:name w:val="header"/>
    <w:basedOn w:val="Normal"/>
    <w:link w:val="HeaderChar"/>
    <w:uiPriority w:val="99"/>
    <w:unhideWhenUsed/>
    <w:rsid w:val="00490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8C9"/>
  </w:style>
  <w:style w:type="paragraph" w:styleId="Footer">
    <w:name w:val="footer"/>
    <w:basedOn w:val="Normal"/>
    <w:link w:val="FooterChar"/>
    <w:uiPriority w:val="99"/>
    <w:unhideWhenUsed/>
    <w:rsid w:val="00490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8C9"/>
  </w:style>
  <w:style w:type="character" w:styleId="Hyperlink">
    <w:name w:val="Hyperlink"/>
    <w:basedOn w:val="DefaultParagraphFont"/>
    <w:uiPriority w:val="99"/>
    <w:unhideWhenUsed/>
    <w:rsid w:val="00D33C24"/>
    <w:rPr>
      <w:color w:val="467886" w:themeColor="hyperlink"/>
      <w:u w:val="single"/>
    </w:rPr>
  </w:style>
  <w:style w:type="character" w:styleId="UnresolvedMention">
    <w:name w:val="Unresolved Mention"/>
    <w:basedOn w:val="DefaultParagraphFont"/>
    <w:uiPriority w:val="99"/>
    <w:semiHidden/>
    <w:unhideWhenUsed/>
    <w:rsid w:val="00D33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3465431456698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appdev.2023.10152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fla.org/files/assets/libraries-for-children-and-ya/Picturebooks/PictureBooksCompilation.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037/0012-1649.24.4.552" TargetMode="External"/><Relationship Id="rId4" Type="http://schemas.openxmlformats.org/officeDocument/2006/relationships/footnotes" Target="footnotes.xml"/><Relationship Id="rId9" Type="http://schemas.openxmlformats.org/officeDocument/2006/relationships/hyperlink" Target="https://doi.org/10.2307/j.ctvjf9vz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Lambert</dc:creator>
  <cp:keywords/>
  <dc:description/>
  <cp:lastModifiedBy>Mollie Lambert</cp:lastModifiedBy>
  <cp:revision>14</cp:revision>
  <dcterms:created xsi:type="dcterms:W3CDTF">2026-10-20T10:01:00Z</dcterms:created>
  <dcterms:modified xsi:type="dcterms:W3CDTF">2026-10-25T17:05:00Z</dcterms:modified>
</cp:coreProperties>
</file>