
<file path=[Content_Types].xml><?xml version="1.0" encoding="utf-8"?>
<Types xmlns="http://schemas.openxmlformats.org/package/2006/content-types">
  <Default Extension="png" ContentType="image/pn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231E9" w:rsidRDefault="00D24D35">
      <w:pPr>
        <w:spacing w:before="2000" w:after="240"/>
        <w:jc w:val="center"/>
      </w:pPr>
      <w:r w:rsidRPr="00D24D35">
        <w:drawing>
          <wp:inline distT="0" distB="0" distL="0" distR="0">
            <wp:extent cx="2584323" cy="1121389"/>
            <wp:effectExtent l="19050" t="0" r="6477" b="0"/>
            <wp:docPr id="2"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pic:cNvPicPr>
                      <a:picLocks noChangeAspect="1" noChangeArrowheads="1"/>
                    </pic:cNvPicPr>
                  </pic:nvPicPr>
                  <pic:blipFill>
                    <a:blip r:embed="rId5"/>
                    <a:stretch>
                      <a:fillRect/>
                    </a:stretch>
                  </pic:blipFill>
                  <pic:spPr bwMode="auto">
                    <a:xfrm>
                      <a:off x="0" y="0"/>
                      <a:ext cx="2590800" cy="1124199"/>
                    </a:xfrm>
                    <a:prstGeom prst="rect">
                      <a:avLst/>
                    </a:prstGeom>
                  </pic:spPr>
                </pic:pic>
              </a:graphicData>
            </a:graphic>
          </wp:inline>
        </w:drawing>
      </w:r>
    </w:p>
    <w:p w:rsidR="00DD4945" w:rsidRDefault="00B25625" w:rsidP="00B25625">
      <w:pPr>
        <w:spacing w:before="2000" w:after="240"/>
      </w:pPr>
      <w:r>
        <w:rPr>
          <w:b/>
          <w:bCs/>
          <w:color w:val="2E75B6"/>
          <w:sz w:val="72"/>
          <w:szCs w:val="72"/>
        </w:rPr>
        <w:t xml:space="preserve">                       </w:t>
      </w:r>
      <w:r w:rsidR="00DD4945">
        <w:rPr>
          <w:b/>
          <w:bCs/>
          <w:sz w:val="36"/>
          <w:szCs w:val="36"/>
        </w:rPr>
        <w:t>GROUP 4</w:t>
      </w:r>
    </w:p>
    <w:p w:rsidR="00E231E9" w:rsidRDefault="00DD4945" w:rsidP="00DD4945">
      <w:pPr>
        <w:spacing w:after="240"/>
      </w:pPr>
      <w:r>
        <w:rPr>
          <w:b/>
          <w:bCs/>
          <w:color w:val="2E75B6"/>
          <w:sz w:val="72"/>
          <w:szCs w:val="72"/>
        </w:rPr>
        <w:t xml:space="preserve">                  </w:t>
      </w:r>
      <w:proofErr w:type="spellStart"/>
      <w:r w:rsidR="005115B2">
        <w:rPr>
          <w:b/>
          <w:bCs/>
          <w:color w:val="2E75B6"/>
          <w:sz w:val="72"/>
          <w:szCs w:val="72"/>
        </w:rPr>
        <w:t>ArtBridge</w:t>
      </w:r>
      <w:proofErr w:type="spellEnd"/>
    </w:p>
    <w:p w:rsidR="00E231E9" w:rsidRDefault="005115B2">
      <w:pPr>
        <w:spacing w:after="480"/>
        <w:jc w:val="center"/>
      </w:pPr>
      <w:r>
        <w:rPr>
          <w:i/>
          <w:iCs/>
          <w:sz w:val="28"/>
          <w:szCs w:val="28"/>
        </w:rPr>
        <w:t>A Social Enterprise Gallery for Youth Inclusion</w:t>
      </w:r>
    </w:p>
    <w:p w:rsidR="00E231E9" w:rsidRDefault="005115B2">
      <w:pPr>
        <w:spacing w:after="240"/>
        <w:jc w:val="center"/>
      </w:pPr>
      <w:r>
        <w:rPr>
          <w:b/>
          <w:bCs/>
          <w:sz w:val="32"/>
          <w:szCs w:val="32"/>
        </w:rPr>
        <w:t>Reflective Blogs</w:t>
      </w:r>
    </w:p>
    <w:p w:rsidR="00E231E9" w:rsidRDefault="005115B2">
      <w:pPr>
        <w:spacing w:after="240"/>
        <w:jc w:val="center"/>
        <w:rPr>
          <w:sz w:val="28"/>
          <w:szCs w:val="28"/>
        </w:rPr>
      </w:pPr>
      <w:proofErr w:type="spellStart"/>
      <w:r>
        <w:rPr>
          <w:sz w:val="28"/>
          <w:szCs w:val="28"/>
        </w:rPr>
        <w:t>Florina</w:t>
      </w:r>
      <w:proofErr w:type="spellEnd"/>
      <w:r>
        <w:rPr>
          <w:sz w:val="28"/>
          <w:szCs w:val="28"/>
        </w:rPr>
        <w:t xml:space="preserve"> </w:t>
      </w:r>
      <w:proofErr w:type="spellStart"/>
      <w:r>
        <w:rPr>
          <w:sz w:val="28"/>
          <w:szCs w:val="28"/>
        </w:rPr>
        <w:t>Dinitica</w:t>
      </w:r>
      <w:proofErr w:type="spellEnd"/>
    </w:p>
    <w:p w:rsidR="00DD4945" w:rsidRDefault="00DD4945" w:rsidP="00DD4945">
      <w:pPr>
        <w:spacing w:after="120" w:line="360" w:lineRule="auto"/>
        <w:jc w:val="center"/>
        <w:rPr>
          <w:bCs/>
          <w:sz w:val="28"/>
          <w:szCs w:val="28"/>
        </w:rPr>
      </w:pPr>
      <w:r w:rsidRPr="00DD4945">
        <w:rPr>
          <w:bCs/>
          <w:sz w:val="28"/>
          <w:szCs w:val="28"/>
        </w:rPr>
        <w:t>Student ID:  2321857</w:t>
      </w:r>
    </w:p>
    <w:p w:rsidR="00DD4945" w:rsidRPr="00B25625" w:rsidRDefault="00DD4945" w:rsidP="00DD4945">
      <w:pPr>
        <w:spacing w:after="120" w:line="360" w:lineRule="auto"/>
        <w:jc w:val="center"/>
      </w:pPr>
      <w:r w:rsidRPr="00B25625">
        <w:rPr>
          <w:bCs/>
          <w:sz w:val="28"/>
          <w:szCs w:val="28"/>
        </w:rPr>
        <w:t>Date:  19.06.2026</w:t>
      </w:r>
    </w:p>
    <w:p w:rsidR="00DD4945" w:rsidRDefault="00DD4945" w:rsidP="00DD4945">
      <w:pPr>
        <w:spacing w:after="120" w:line="360" w:lineRule="auto"/>
        <w:jc w:val="center"/>
        <w:rPr>
          <w:bCs/>
          <w:sz w:val="28"/>
          <w:szCs w:val="28"/>
        </w:rPr>
      </w:pPr>
    </w:p>
    <w:p w:rsidR="00DD4945" w:rsidRPr="00DD4945" w:rsidRDefault="00DD4945" w:rsidP="00DD4945">
      <w:pPr>
        <w:spacing w:after="120" w:line="360" w:lineRule="auto"/>
        <w:jc w:val="center"/>
      </w:pPr>
    </w:p>
    <w:p w:rsidR="00DD4945" w:rsidRDefault="00DD4945">
      <w:pPr>
        <w:spacing w:after="240"/>
        <w:jc w:val="center"/>
      </w:pPr>
    </w:p>
    <w:p w:rsidR="00E231E9" w:rsidRDefault="005115B2">
      <w:r>
        <w:br w:type="page"/>
      </w:r>
    </w:p>
    <w:p w:rsidR="00E231E9" w:rsidRDefault="005115B2">
      <w:pPr>
        <w:spacing w:before="120" w:after="200"/>
      </w:pPr>
      <w:r>
        <w:rPr>
          <w:b/>
          <w:bCs/>
          <w:color w:val="2E75B6"/>
          <w:sz w:val="28"/>
          <w:szCs w:val="28"/>
        </w:rPr>
        <w:lastRenderedPageBreak/>
        <w:t>Blog 1 – Project Introduction and Team Role</w:t>
      </w:r>
    </w:p>
    <w:p w:rsidR="00E231E9" w:rsidRDefault="005115B2">
      <w:pPr>
        <w:spacing w:after="160" w:line="276" w:lineRule="auto"/>
        <w:jc w:val="both"/>
      </w:pPr>
      <w:r>
        <w:t xml:space="preserve">Week 1 was really about finding our feet as a group and agreeing on something we all believed in. After kicking a few ideas around we settled on </w:t>
      </w:r>
      <w:proofErr w:type="spellStart"/>
      <w:r>
        <w:t>ArtBridge</w:t>
      </w:r>
      <w:proofErr w:type="spellEnd"/>
      <w:r>
        <w:t xml:space="preserve">: A Social Enterprise Gallery for Youth Inclusion, which aims to support disadvantaged young people and local </w:t>
      </w:r>
      <w:proofErr w:type="spellStart"/>
      <w:r>
        <w:t>creatives</w:t>
      </w:r>
      <w:proofErr w:type="spellEnd"/>
      <w:r>
        <w:t xml:space="preserve"> through workshops, exhibitions and mentoring. What struck me early on was how different a project is from ordinary day-to-day work: it has a clear start and finish, a one-off goal, and an end point we are all working towards. Seeing it that way helped me understand why structure was going to matter so much right from the outset.</w:t>
      </w:r>
    </w:p>
    <w:p w:rsidR="00E231E9" w:rsidRDefault="005115B2">
      <w:pPr>
        <w:spacing w:after="160" w:line="276" w:lineRule="auto"/>
        <w:jc w:val="both"/>
      </w:pPr>
      <w:r>
        <w:t xml:space="preserve">When we discussed how each of us would contribute, I kept coming back to communication and keeping people </w:t>
      </w:r>
      <w:proofErr w:type="spellStart"/>
      <w:r>
        <w:t>organised</w:t>
      </w:r>
      <w:proofErr w:type="spellEnd"/>
      <w:r>
        <w:t xml:space="preserve">, and using </w:t>
      </w:r>
      <w:proofErr w:type="spellStart"/>
      <w:r>
        <w:t>Belbin</w:t>
      </w:r>
      <w:proofErr w:type="spellEnd"/>
      <w:r>
        <w:t xml:space="preserve"> (2010) I placed myself as a Team Worker. Looking at it more critically, though, I’m not sure how much that label is worth this early. </w:t>
      </w:r>
      <w:proofErr w:type="spellStart"/>
      <w:r>
        <w:t>Belbin’s</w:t>
      </w:r>
      <w:proofErr w:type="spellEnd"/>
      <w:r>
        <w:t xml:space="preserve"> roles rest on </w:t>
      </w:r>
      <w:proofErr w:type="gramStart"/>
      <w:r>
        <w:t>self-perception,</w:t>
      </w:r>
      <w:proofErr w:type="gramEnd"/>
      <w:r>
        <w:t xml:space="preserve"> and it’s easy to claim the role you like the sound of when nothing has actually been tested yet. I suspect the honest version only shows up once we are under real deadline pressure, so I’m treating it as a starting hypothesis rather than a fixed truth.</w:t>
      </w:r>
    </w:p>
    <w:p w:rsidR="00E231E9" w:rsidRDefault="005115B2">
      <w:pPr>
        <w:spacing w:before="80" w:after="80"/>
      </w:pPr>
      <w:r>
        <w:rPr>
          <w:b/>
          <w:bCs/>
        </w:rPr>
        <w:t>Reference</w:t>
      </w:r>
    </w:p>
    <w:p w:rsidR="00E231E9" w:rsidRDefault="005115B2">
      <w:pPr>
        <w:spacing w:after="200" w:line="276" w:lineRule="auto"/>
        <w:ind w:left="720" w:hanging="720"/>
      </w:pPr>
      <w:proofErr w:type="spellStart"/>
      <w:proofErr w:type="gramStart"/>
      <w:r>
        <w:t>Belbin</w:t>
      </w:r>
      <w:proofErr w:type="spellEnd"/>
      <w:r>
        <w:t xml:space="preserve">, R.M. (2010) </w:t>
      </w:r>
      <w:r>
        <w:rPr>
          <w:i/>
          <w:iCs/>
        </w:rPr>
        <w:t>Team Roles at Work.</w:t>
      </w:r>
      <w:proofErr w:type="gramEnd"/>
      <w:r>
        <w:t xml:space="preserve"> </w:t>
      </w:r>
      <w:proofErr w:type="gramStart"/>
      <w:r>
        <w:t xml:space="preserve">2nd </w:t>
      </w:r>
      <w:proofErr w:type="spellStart"/>
      <w:r>
        <w:t>edn</w:t>
      </w:r>
      <w:proofErr w:type="spellEnd"/>
      <w:r>
        <w:t>.</w:t>
      </w:r>
      <w:proofErr w:type="gramEnd"/>
      <w:r>
        <w:t xml:space="preserve"> Oxford: Butterworth-Heinemann.</w:t>
      </w:r>
    </w:p>
    <w:p w:rsidR="00E231E9" w:rsidRDefault="00E231E9">
      <w:pPr>
        <w:spacing w:after="120"/>
      </w:pPr>
    </w:p>
    <w:p w:rsidR="00E231E9" w:rsidRDefault="005115B2">
      <w:pPr>
        <w:spacing w:before="120" w:after="200"/>
      </w:pPr>
      <w:r>
        <w:rPr>
          <w:b/>
          <w:bCs/>
          <w:color w:val="2E75B6"/>
          <w:sz w:val="28"/>
          <w:szCs w:val="28"/>
        </w:rPr>
        <w:t>Blog 2 – Project Initiation, Scope, Aims and Objectives</w:t>
      </w:r>
    </w:p>
    <w:p w:rsidR="00E231E9" w:rsidRDefault="005115B2">
      <w:pPr>
        <w:spacing w:after="160" w:line="276" w:lineRule="auto"/>
        <w:jc w:val="both"/>
      </w:pPr>
      <w:r>
        <w:t xml:space="preserve">Week 2 moved us from a rough idea into something that felt like a plan. The focus was project initiation – turning the concept into an aim, clear objectives and a defined scope. We agreed our aim was a financially sustainable community arts gallery for disadvantaged young people and emerging </w:t>
      </w:r>
      <w:proofErr w:type="spellStart"/>
      <w:r>
        <w:t>creatives</w:t>
      </w:r>
      <w:proofErr w:type="spellEnd"/>
      <w:r>
        <w:t>, and because funding was the area I took on, the word ‘sustainable’ was the one I kept circling back to. An aim is easy to write; paying for it is the hard part.</w:t>
      </w:r>
    </w:p>
    <w:p w:rsidR="00E231E9" w:rsidRDefault="005115B2">
      <w:pPr>
        <w:spacing w:after="160" w:line="276" w:lineRule="auto"/>
        <w:jc w:val="both"/>
      </w:pPr>
      <w:r>
        <w:t xml:space="preserve">Breaking the ambition into objectives made it feel achievable, and agreeing what sat outside our scope stopped us promising more than we could deliver. The Iron Triangle of time, cost and quality was a useful check, but from a funding point of view I’m </w:t>
      </w:r>
      <w:proofErr w:type="spellStart"/>
      <w:r>
        <w:t>sceptical</w:t>
      </w:r>
      <w:proofErr w:type="spellEnd"/>
      <w:r>
        <w:t xml:space="preserve"> of how it handles cost. It presents cost as a corner the team controls, yet most of our income would depend on grants, sponsors and partners who decide if and when the money arrives. Atkinson (1999) argues the triangle leaves out too much of what determines success, and our case backs that up – our biggest uncertainty wasn’t time or quality but whether the funding would </w:t>
      </w:r>
      <w:proofErr w:type="spellStart"/>
      <w:r>
        <w:t>materialise</w:t>
      </w:r>
      <w:proofErr w:type="spellEnd"/>
      <w:r>
        <w:t xml:space="preserve"> at all. So the triangle helped us frame the trade-offs, but it quietly assumed a control over money that we simply didn’t have.</w:t>
      </w:r>
    </w:p>
    <w:p w:rsidR="00E231E9" w:rsidRDefault="005115B2">
      <w:pPr>
        <w:spacing w:before="80" w:after="80"/>
      </w:pPr>
      <w:r>
        <w:rPr>
          <w:b/>
          <w:bCs/>
        </w:rPr>
        <w:t>Reference</w:t>
      </w:r>
    </w:p>
    <w:p w:rsidR="00E231E9" w:rsidRDefault="005115B2">
      <w:pPr>
        <w:spacing w:after="200" w:line="276" w:lineRule="auto"/>
        <w:ind w:left="720" w:hanging="720"/>
      </w:pPr>
      <w:r>
        <w:t xml:space="preserve">Atkinson, R. (1999) ‘Project management: cost, time and quality, two best guesses and a phenomenon, it’s time to accept other success criteria’, </w:t>
      </w:r>
      <w:r>
        <w:rPr>
          <w:i/>
          <w:iCs/>
        </w:rPr>
        <w:t>International Journal of Project Management,</w:t>
      </w:r>
      <w:r>
        <w:t xml:space="preserve"> 17(6), pp. 337–342.</w:t>
      </w:r>
    </w:p>
    <w:p w:rsidR="00E231E9" w:rsidRDefault="00E231E9">
      <w:pPr>
        <w:spacing w:after="120"/>
      </w:pPr>
    </w:p>
    <w:p w:rsidR="00E231E9" w:rsidRDefault="005115B2">
      <w:pPr>
        <w:spacing w:before="120" w:after="200"/>
      </w:pPr>
      <w:r>
        <w:rPr>
          <w:b/>
          <w:bCs/>
          <w:color w:val="2E75B6"/>
          <w:sz w:val="28"/>
          <w:szCs w:val="28"/>
        </w:rPr>
        <w:t>Blog 3 – Stakeholder Analysis and Communication</w:t>
      </w:r>
    </w:p>
    <w:p w:rsidR="00E231E9" w:rsidRDefault="005115B2">
      <w:pPr>
        <w:spacing w:after="160" w:line="276" w:lineRule="auto"/>
        <w:jc w:val="both"/>
      </w:pPr>
      <w:r>
        <w:t xml:space="preserve">Week 3 shifted our attention to the people around the project rather than the tasks. I hadn’t really thought of a project as a web of relationships before, but it quickly became obvious that </w:t>
      </w:r>
      <w:proofErr w:type="spellStart"/>
      <w:r>
        <w:t>ArtBridge</w:t>
      </w:r>
      <w:proofErr w:type="spellEnd"/>
      <w:r>
        <w:t xml:space="preserve"> only works if we manage the groups that affect it and are affected by it – funders, partners and participants alike. That </w:t>
      </w:r>
      <w:proofErr w:type="spellStart"/>
      <w:r>
        <w:t>realisation</w:t>
      </w:r>
      <w:proofErr w:type="spellEnd"/>
      <w:r>
        <w:t xml:space="preserve"> set the tone for everything that followed.</w:t>
      </w:r>
    </w:p>
    <w:p w:rsidR="00E231E9" w:rsidRDefault="005115B2">
      <w:pPr>
        <w:spacing w:after="160" w:line="276" w:lineRule="auto"/>
        <w:jc w:val="both"/>
      </w:pPr>
      <w:r>
        <w:t xml:space="preserve">We mapped our stakeholders – the young people we want to reach, local </w:t>
      </w:r>
      <w:proofErr w:type="spellStart"/>
      <w:r>
        <w:t>creatives</w:t>
      </w:r>
      <w:proofErr w:type="spellEnd"/>
      <w:r>
        <w:t xml:space="preserve">, schools, charities, funders – using the power–interest grid from </w:t>
      </w:r>
      <w:proofErr w:type="spellStart"/>
      <w:r>
        <w:t>Mendelow</w:t>
      </w:r>
      <w:proofErr w:type="spellEnd"/>
      <w:r>
        <w:t xml:space="preserve"> (1981), which sorts them by influence and interest. It was genuinely useful for deciding who needed close management and who only needed occasional contact. What I’d question is how static the grid is. It captures a single moment, yet interest clearly moves: a funder barely engaged now will jump to high interest the week before a grant decision. It also sits uncomfortably with me that the young people, who are the whole point of </w:t>
      </w:r>
      <w:proofErr w:type="spellStart"/>
      <w:r>
        <w:t>ArtBridge</w:t>
      </w:r>
      <w:proofErr w:type="spellEnd"/>
      <w:r>
        <w:t>, can end up filed in a low-power box simply because they hold no formal leverage. The tool is a good prompt, but I think it works best as a rough guide we keep revisiting, not a fixed map.</w:t>
      </w:r>
    </w:p>
    <w:p w:rsidR="00E231E9" w:rsidRDefault="005115B2">
      <w:pPr>
        <w:spacing w:before="80" w:after="80"/>
      </w:pPr>
      <w:r>
        <w:rPr>
          <w:b/>
          <w:bCs/>
        </w:rPr>
        <w:t>Reference</w:t>
      </w:r>
    </w:p>
    <w:p w:rsidR="00E231E9" w:rsidRDefault="005115B2">
      <w:pPr>
        <w:spacing w:after="200" w:line="276" w:lineRule="auto"/>
        <w:ind w:left="720" w:hanging="720"/>
      </w:pPr>
      <w:proofErr w:type="spellStart"/>
      <w:r>
        <w:t>Mendelow</w:t>
      </w:r>
      <w:proofErr w:type="spellEnd"/>
      <w:r>
        <w:t xml:space="preserve">, A. (1981) ‘Environmental scanning: the impact of the stakeholder concept’, </w:t>
      </w:r>
      <w:r>
        <w:rPr>
          <w:i/>
          <w:iCs/>
        </w:rPr>
        <w:t>Proceedings of the 2nd International Conference on Information Systems.</w:t>
      </w:r>
      <w:r>
        <w:t xml:space="preserve"> Cambridge, MA, pp. 407–417.</w:t>
      </w:r>
    </w:p>
    <w:p w:rsidR="00E231E9" w:rsidRDefault="00E231E9">
      <w:pPr>
        <w:spacing w:after="120"/>
      </w:pPr>
    </w:p>
    <w:p w:rsidR="00E231E9" w:rsidRDefault="005115B2">
      <w:pPr>
        <w:spacing w:before="120" w:after="200"/>
      </w:pPr>
      <w:r>
        <w:rPr>
          <w:b/>
          <w:bCs/>
          <w:color w:val="2E75B6"/>
          <w:sz w:val="28"/>
          <w:szCs w:val="28"/>
        </w:rPr>
        <w:t xml:space="preserve">Blog 4 – Work Breakdown Structure and Gantt </w:t>
      </w:r>
      <w:proofErr w:type="gramStart"/>
      <w:r>
        <w:rPr>
          <w:b/>
          <w:bCs/>
          <w:color w:val="2E75B6"/>
          <w:sz w:val="28"/>
          <w:szCs w:val="28"/>
        </w:rPr>
        <w:t>Chart</w:t>
      </w:r>
      <w:proofErr w:type="gramEnd"/>
    </w:p>
    <w:p w:rsidR="00E231E9" w:rsidRDefault="005115B2">
      <w:pPr>
        <w:spacing w:after="160" w:line="276" w:lineRule="auto"/>
        <w:jc w:val="both"/>
      </w:pPr>
      <w:r>
        <w:t xml:space="preserve">Week 4 introduced the Work Breakdown Structure and the Gantt chart, and as the person looking after funding and partnerships I had a real stake in both. The WBS split </w:t>
      </w:r>
      <w:proofErr w:type="spellStart"/>
      <w:r>
        <w:t>ArtBridge</w:t>
      </w:r>
      <w:proofErr w:type="spellEnd"/>
      <w:r>
        <w:t xml:space="preserve"> into planning, partnerships, funding, marketing and events, which finally made the sheer amount of work visible. Meredith, Mantel and Shafer (2021) describe the WBS as the foundation the rest of the plan is built on, and I can see the logic – you can’t schedule or cost work you haven’t named yet.</w:t>
      </w:r>
    </w:p>
    <w:p w:rsidR="00E231E9" w:rsidRDefault="005115B2">
      <w:pPr>
        <w:spacing w:after="160" w:line="276" w:lineRule="auto"/>
        <w:jc w:val="both"/>
      </w:pPr>
      <w:r>
        <w:t>Where I’d push back is that the WBS made the stages look tidy and almost independent, as if each could be worked on in parallel. The reality was messier. My funding tasks sat near the front of the chain: grants and partnerships had to be secured before workshops, events or marketing could be confirmed, and it was the Gantt chart that actually exposed this. Laying the timeline out showed how much of the project waited on funding decisions that weren’t ours to make. For me, then, the Gantt was the more useful tool, not the WBS – it turned a flat list of tasks into a chain of dependencies and made it uncomfortably clear that if my part slipped, a lot of other people’s work slipped with it.</w:t>
      </w:r>
    </w:p>
    <w:p w:rsidR="00E231E9" w:rsidRDefault="005115B2">
      <w:pPr>
        <w:spacing w:before="80" w:after="80"/>
      </w:pPr>
      <w:r>
        <w:rPr>
          <w:b/>
          <w:bCs/>
        </w:rPr>
        <w:t>Reference</w:t>
      </w:r>
    </w:p>
    <w:p w:rsidR="00E231E9" w:rsidRDefault="005115B2">
      <w:pPr>
        <w:spacing w:after="200" w:line="276" w:lineRule="auto"/>
        <w:ind w:left="720" w:hanging="720"/>
      </w:pPr>
      <w:r>
        <w:t xml:space="preserve">Meredith, J.R., Mantel, S.J. and Shafer, S.M. (2021) </w:t>
      </w:r>
      <w:r>
        <w:rPr>
          <w:i/>
          <w:iCs/>
        </w:rPr>
        <w:t>Project Management: A Managerial Approach.</w:t>
      </w:r>
      <w:r>
        <w:t xml:space="preserve"> </w:t>
      </w:r>
      <w:proofErr w:type="gramStart"/>
      <w:r>
        <w:t xml:space="preserve">11th </w:t>
      </w:r>
      <w:proofErr w:type="spellStart"/>
      <w:r>
        <w:t>edn</w:t>
      </w:r>
      <w:proofErr w:type="spellEnd"/>
      <w:r>
        <w:t>.</w:t>
      </w:r>
      <w:proofErr w:type="gramEnd"/>
      <w:r>
        <w:t xml:space="preserve"> Hoboken, NJ: Wiley.</w:t>
      </w:r>
    </w:p>
    <w:p w:rsidR="00E231E9" w:rsidRDefault="00E231E9">
      <w:pPr>
        <w:spacing w:after="120"/>
      </w:pPr>
    </w:p>
    <w:p w:rsidR="00E231E9" w:rsidRDefault="005115B2">
      <w:pPr>
        <w:spacing w:before="120" w:after="200"/>
      </w:pPr>
      <w:r>
        <w:rPr>
          <w:b/>
          <w:bCs/>
          <w:color w:val="2E75B6"/>
          <w:sz w:val="28"/>
          <w:szCs w:val="28"/>
        </w:rPr>
        <w:t>Blog 5 – Reflection and Self-Development</w:t>
      </w:r>
    </w:p>
    <w:p w:rsidR="00E231E9" w:rsidRDefault="005115B2">
      <w:pPr>
        <w:spacing w:after="160" w:line="276" w:lineRule="auto"/>
        <w:jc w:val="both"/>
      </w:pPr>
      <w:r>
        <w:t>Week 5 was where I stopped looking at what we produced and started looking at how I worked. Gibbs’ (1988) reflective cycle gave me a way in, though I’ll admit I find the ‘feelings’ stage awkward – it’s tempting to write the tidy version where every problem became a neat lesson rather than something I actually got wrong.</w:t>
      </w:r>
    </w:p>
    <w:p w:rsidR="00E231E9" w:rsidRDefault="005115B2">
      <w:pPr>
        <w:spacing w:after="160" w:line="276" w:lineRule="auto"/>
        <w:jc w:val="both"/>
      </w:pPr>
      <w:r>
        <w:t xml:space="preserve">Being honest, my strength was the people side: communication and keeping the group moving. But that same instinct became a weakness. Around the time our team leader stepped down and the group felt less coordinated, two members disagreed over the funding section, and rather than let it surface I smoothed it over and quietly absorbed the extra work myself. It kept the peace, but it </w:t>
      </w:r>
      <w:proofErr w:type="spellStart"/>
      <w:r>
        <w:t>hid</w:t>
      </w:r>
      <w:proofErr w:type="spellEnd"/>
      <w:r>
        <w:t xml:space="preserve"> a real problem and left me overloaded near a deadline – the exact uneven-workload risk we had identified, which I then walked straight into. The real failing was that I only </w:t>
      </w:r>
      <w:proofErr w:type="spellStart"/>
      <w:r>
        <w:t>recognised</w:t>
      </w:r>
      <w:proofErr w:type="spellEnd"/>
      <w:r>
        <w:t xml:space="preserve"> the pattern once the pressure had passed, rather than catching it in the moment. What I’d change is concrete: name tensions when they appear instead of papering over them, push back on quietly taking on other people’s tasks, and keep a short running log so I’m reflecting as I go. Avoiding conflict felt like helping. Mostly it just delayed it.</w:t>
      </w:r>
    </w:p>
    <w:p w:rsidR="00E231E9" w:rsidRDefault="005115B2">
      <w:pPr>
        <w:spacing w:before="80" w:after="80"/>
      </w:pPr>
      <w:r>
        <w:rPr>
          <w:b/>
          <w:bCs/>
        </w:rPr>
        <w:t>Reference</w:t>
      </w:r>
    </w:p>
    <w:p w:rsidR="00E231E9" w:rsidRDefault="005115B2">
      <w:pPr>
        <w:spacing w:after="200" w:line="276" w:lineRule="auto"/>
        <w:ind w:left="720" w:hanging="720"/>
      </w:pPr>
      <w:proofErr w:type="gramStart"/>
      <w:r>
        <w:t xml:space="preserve">Gibbs, G. (1988) </w:t>
      </w:r>
      <w:r>
        <w:rPr>
          <w:i/>
          <w:iCs/>
        </w:rPr>
        <w:t>Learning by Doing: A Guide to Teaching and Learning Methods.</w:t>
      </w:r>
      <w:proofErr w:type="gramEnd"/>
      <w:r>
        <w:t xml:space="preserve"> Oxford: Further Education Unit.</w:t>
      </w:r>
    </w:p>
    <w:sectPr w:rsidR="00E231E9" w:rsidSect="00E231E9">
      <w:pgSz w:w="12240" w:h="15840"/>
      <w:pgMar w:top="1440" w:right="1440" w:bottom="1440" w:left="1440" w:header="708" w:footer="708"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02C12EC"/>
    <w:multiLevelType w:val="hybridMultilevel"/>
    <w:tmpl w:val="384E96B6"/>
    <w:lvl w:ilvl="0" w:tplc="2A149EE2">
      <w:start w:val="1"/>
      <w:numFmt w:val="bullet"/>
      <w:lvlText w:val="●"/>
      <w:lvlJc w:val="left"/>
      <w:pPr>
        <w:ind w:left="720" w:hanging="360"/>
      </w:pPr>
    </w:lvl>
    <w:lvl w:ilvl="1" w:tplc="BF5CE6AE">
      <w:start w:val="1"/>
      <w:numFmt w:val="bullet"/>
      <w:lvlText w:val="○"/>
      <w:lvlJc w:val="left"/>
      <w:pPr>
        <w:ind w:left="1440" w:hanging="360"/>
      </w:pPr>
    </w:lvl>
    <w:lvl w:ilvl="2" w:tplc="4AB8D76E">
      <w:start w:val="1"/>
      <w:numFmt w:val="bullet"/>
      <w:lvlText w:val="■"/>
      <w:lvlJc w:val="left"/>
      <w:pPr>
        <w:ind w:left="2160" w:hanging="360"/>
      </w:pPr>
    </w:lvl>
    <w:lvl w:ilvl="3" w:tplc="3378DE6C">
      <w:start w:val="1"/>
      <w:numFmt w:val="bullet"/>
      <w:lvlText w:val="●"/>
      <w:lvlJc w:val="left"/>
      <w:pPr>
        <w:ind w:left="2880" w:hanging="360"/>
      </w:pPr>
    </w:lvl>
    <w:lvl w:ilvl="4" w:tplc="5B5C3372">
      <w:start w:val="1"/>
      <w:numFmt w:val="bullet"/>
      <w:lvlText w:val="○"/>
      <w:lvlJc w:val="left"/>
      <w:pPr>
        <w:ind w:left="3600" w:hanging="360"/>
      </w:pPr>
    </w:lvl>
    <w:lvl w:ilvl="5" w:tplc="FBC4416C">
      <w:start w:val="1"/>
      <w:numFmt w:val="bullet"/>
      <w:lvlText w:val="■"/>
      <w:lvlJc w:val="left"/>
      <w:pPr>
        <w:ind w:left="4320" w:hanging="360"/>
      </w:pPr>
    </w:lvl>
    <w:lvl w:ilvl="6" w:tplc="5BF06524">
      <w:start w:val="1"/>
      <w:numFmt w:val="bullet"/>
      <w:lvlText w:val="●"/>
      <w:lvlJc w:val="left"/>
      <w:pPr>
        <w:ind w:left="5040" w:hanging="360"/>
      </w:pPr>
    </w:lvl>
    <w:lvl w:ilvl="7" w:tplc="72CEE984">
      <w:start w:val="1"/>
      <w:numFmt w:val="bullet"/>
      <w:lvlText w:val="●"/>
      <w:lvlJc w:val="left"/>
      <w:pPr>
        <w:ind w:left="5760" w:hanging="360"/>
      </w:pPr>
    </w:lvl>
    <w:lvl w:ilvl="8" w:tplc="346211DA">
      <w:start w:val="1"/>
      <w:numFmt w:val="bullet"/>
      <w:lvlText w:val="●"/>
      <w:lvlJc w:val="left"/>
      <w:pPr>
        <w:ind w:left="6480" w:hanging="360"/>
      </w:pPr>
    </w:lvl>
  </w:abstractNum>
  <w:num w:numId="1">
    <w:abstractNumId w:val="0"/>
    <w:lvlOverride w:ilvl="0">
      <w:startOverride w:val="1"/>
    </w:lvlOverride>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val="fullPage" w:percent="78"/>
  <w:displayBackgroundShape/>
  <w:proofState w:spelling="clean" w:grammar="clean"/>
  <w:defaultTabStop w:val="720"/>
  <w:characterSpacingControl w:val="doNotCompress"/>
  <w:savePreviewPicture/>
  <w:compat/>
  <w:rsids>
    <w:rsidRoot w:val="00E231E9"/>
    <w:rsid w:val="000748A2"/>
    <w:rsid w:val="001656B9"/>
    <w:rsid w:val="005115B2"/>
    <w:rsid w:val="00B25625"/>
    <w:rsid w:val="00D24D35"/>
    <w:rsid w:val="00DD4945"/>
    <w:rsid w:val="00E231E9"/>
    <w:rsid w:val="00E53796"/>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Calibri"/>
        <w:sz w:val="24"/>
        <w:szCs w:val="24"/>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748A2"/>
  </w:style>
  <w:style w:type="paragraph" w:styleId="Heading1">
    <w:name w:val="heading 1"/>
    <w:qFormat/>
    <w:rsid w:val="00E231E9"/>
    <w:pPr>
      <w:outlineLvl w:val="0"/>
    </w:pPr>
    <w:rPr>
      <w:color w:val="2E74B5"/>
      <w:sz w:val="32"/>
      <w:szCs w:val="32"/>
    </w:rPr>
  </w:style>
  <w:style w:type="paragraph" w:styleId="Heading2">
    <w:name w:val="heading 2"/>
    <w:qFormat/>
    <w:rsid w:val="00E231E9"/>
    <w:pPr>
      <w:outlineLvl w:val="1"/>
    </w:pPr>
    <w:rPr>
      <w:color w:val="2E74B5"/>
      <w:sz w:val="26"/>
      <w:szCs w:val="26"/>
    </w:rPr>
  </w:style>
  <w:style w:type="paragraph" w:styleId="Heading3">
    <w:name w:val="heading 3"/>
    <w:qFormat/>
    <w:rsid w:val="00E231E9"/>
    <w:pPr>
      <w:outlineLvl w:val="2"/>
    </w:pPr>
    <w:rPr>
      <w:color w:val="1F4D78"/>
    </w:rPr>
  </w:style>
  <w:style w:type="paragraph" w:styleId="Heading4">
    <w:name w:val="heading 4"/>
    <w:qFormat/>
    <w:rsid w:val="00E231E9"/>
    <w:pPr>
      <w:outlineLvl w:val="3"/>
    </w:pPr>
    <w:rPr>
      <w:i/>
      <w:iCs/>
      <w:color w:val="2E74B5"/>
    </w:rPr>
  </w:style>
  <w:style w:type="paragraph" w:styleId="Heading5">
    <w:name w:val="heading 5"/>
    <w:qFormat/>
    <w:rsid w:val="00E231E9"/>
    <w:pPr>
      <w:outlineLvl w:val="4"/>
    </w:pPr>
    <w:rPr>
      <w:color w:val="2E74B5"/>
    </w:rPr>
  </w:style>
  <w:style w:type="paragraph" w:styleId="Heading6">
    <w:name w:val="heading 6"/>
    <w:qFormat/>
    <w:rsid w:val="00E231E9"/>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sid w:val="00E231E9"/>
    <w:rPr>
      <w:sz w:val="56"/>
      <w:szCs w:val="56"/>
    </w:rPr>
  </w:style>
  <w:style w:type="paragraph" w:customStyle="1" w:styleId="Strong1">
    <w:name w:val="Strong1"/>
    <w:qFormat/>
    <w:rsid w:val="00E231E9"/>
    <w:rPr>
      <w:b/>
      <w:bCs/>
    </w:rPr>
  </w:style>
  <w:style w:type="paragraph" w:styleId="ListParagraph">
    <w:name w:val="List Paragraph"/>
    <w:qFormat/>
    <w:rsid w:val="00E231E9"/>
  </w:style>
  <w:style w:type="character" w:styleId="Hyperlink">
    <w:name w:val="Hyperlink"/>
    <w:uiPriority w:val="99"/>
    <w:unhideWhenUsed/>
    <w:rsid w:val="00E231E9"/>
    <w:rPr>
      <w:color w:val="0563C1"/>
      <w:u w:val="single"/>
    </w:rPr>
  </w:style>
  <w:style w:type="character" w:styleId="FootnoteReference">
    <w:name w:val="footnote reference"/>
    <w:uiPriority w:val="99"/>
    <w:semiHidden/>
    <w:unhideWhenUsed/>
    <w:rsid w:val="00E231E9"/>
    <w:rPr>
      <w:vertAlign w:val="superscript"/>
    </w:rPr>
  </w:style>
  <w:style w:type="paragraph" w:styleId="FootnoteText">
    <w:name w:val="footnote text"/>
    <w:link w:val="FootnoteTextChar"/>
    <w:uiPriority w:val="99"/>
    <w:semiHidden/>
    <w:unhideWhenUsed/>
    <w:rsid w:val="00E231E9"/>
    <w:rPr>
      <w:sz w:val="20"/>
      <w:szCs w:val="20"/>
    </w:rPr>
  </w:style>
  <w:style w:type="character" w:customStyle="1" w:styleId="FootnoteTextChar">
    <w:name w:val="Footnote Text Char"/>
    <w:link w:val="FootnoteText"/>
    <w:uiPriority w:val="99"/>
    <w:semiHidden/>
    <w:unhideWhenUsed/>
    <w:rsid w:val="00E231E9"/>
    <w:rPr>
      <w:sz w:val="20"/>
      <w:szCs w:val="20"/>
    </w:rPr>
  </w:style>
  <w:style w:type="character" w:styleId="EndnoteReference">
    <w:name w:val="endnote reference"/>
    <w:uiPriority w:val="99"/>
    <w:semiHidden/>
    <w:unhideWhenUsed/>
    <w:rsid w:val="00E231E9"/>
    <w:rPr>
      <w:vertAlign w:val="superscript"/>
    </w:rPr>
  </w:style>
  <w:style w:type="paragraph" w:styleId="EndnoteText">
    <w:name w:val="endnote text"/>
    <w:link w:val="EndnoteTextChar"/>
    <w:uiPriority w:val="99"/>
    <w:semiHidden/>
    <w:unhideWhenUsed/>
    <w:rsid w:val="00E231E9"/>
    <w:rPr>
      <w:sz w:val="20"/>
      <w:szCs w:val="20"/>
    </w:rPr>
  </w:style>
  <w:style w:type="character" w:customStyle="1" w:styleId="EndnoteTextChar">
    <w:name w:val="Endnote Text Char"/>
    <w:link w:val="EndnoteText"/>
    <w:uiPriority w:val="99"/>
    <w:semiHidden/>
    <w:unhideWhenUsed/>
    <w:rsid w:val="00E231E9"/>
    <w:rPr>
      <w:sz w:val="20"/>
      <w:szCs w:val="20"/>
    </w:rPr>
  </w:style>
  <w:style w:type="paragraph" w:styleId="BalloonText">
    <w:name w:val="Balloon Text"/>
    <w:basedOn w:val="Normal"/>
    <w:link w:val="BalloonTextChar"/>
    <w:uiPriority w:val="99"/>
    <w:semiHidden/>
    <w:unhideWhenUsed/>
    <w:rsid w:val="00DD4945"/>
    <w:rPr>
      <w:rFonts w:ascii="Tahoma" w:hAnsi="Tahoma" w:cs="Tahoma"/>
      <w:sz w:val="16"/>
      <w:szCs w:val="16"/>
    </w:rPr>
  </w:style>
  <w:style w:type="character" w:customStyle="1" w:styleId="BalloonTextChar">
    <w:name w:val="Balloon Text Char"/>
    <w:basedOn w:val="DefaultParagraphFont"/>
    <w:link w:val="BalloonText"/>
    <w:uiPriority w:val="99"/>
    <w:semiHidden/>
    <w:rsid w:val="00DD4945"/>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23</TotalTime>
  <Pages>4</Pages>
  <Words>1070</Words>
  <Characters>6103</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7159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Florina Dinitica</dc:creator>
  <cp:lastModifiedBy>cristian.dinicuta@yahoo.com</cp:lastModifiedBy>
  <cp:revision>6</cp:revision>
  <dcterms:created xsi:type="dcterms:W3CDTF">2026-06-17T09:43:00Z</dcterms:created>
  <dcterms:modified xsi:type="dcterms:W3CDTF">2026-06-17T10:16:00Z</dcterms:modified>
</cp:coreProperties>
</file>