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3F950" w14:textId="77777777" w:rsidR="0098410B" w:rsidRDefault="0098410B" w:rsidP="0098410B">
      <w:pPr>
        <w:pStyle w:val="Title"/>
        <w:jc w:val="center"/>
      </w:pPr>
    </w:p>
    <w:p w14:paraId="50BC0CDA" w14:textId="77777777" w:rsidR="0098410B" w:rsidRDefault="0098410B" w:rsidP="0098410B">
      <w:pPr>
        <w:pStyle w:val="Title"/>
        <w:jc w:val="center"/>
      </w:pPr>
    </w:p>
    <w:p w14:paraId="698EDFAA" w14:textId="77777777" w:rsidR="0098410B" w:rsidRDefault="0098410B" w:rsidP="0098410B">
      <w:pPr>
        <w:pStyle w:val="Title"/>
        <w:jc w:val="center"/>
      </w:pPr>
    </w:p>
    <w:p w14:paraId="65D8B5C0" w14:textId="77777777" w:rsidR="0098410B" w:rsidRDefault="0098410B" w:rsidP="0098410B">
      <w:pPr>
        <w:pStyle w:val="Title"/>
        <w:jc w:val="center"/>
      </w:pPr>
    </w:p>
    <w:p w14:paraId="2AFEA05A" w14:textId="77777777" w:rsidR="0098410B" w:rsidRDefault="0098410B" w:rsidP="0098410B">
      <w:pPr>
        <w:pStyle w:val="Title"/>
        <w:jc w:val="center"/>
      </w:pPr>
    </w:p>
    <w:p w14:paraId="7688A538" w14:textId="77777777" w:rsidR="0098410B" w:rsidRDefault="0098410B" w:rsidP="0098410B">
      <w:pPr>
        <w:pStyle w:val="Title"/>
        <w:jc w:val="center"/>
      </w:pPr>
    </w:p>
    <w:p w14:paraId="2CF0AC93" w14:textId="77777777" w:rsidR="0098410B" w:rsidRDefault="0098410B" w:rsidP="0098410B">
      <w:pPr>
        <w:pStyle w:val="Title"/>
        <w:jc w:val="center"/>
      </w:pPr>
    </w:p>
    <w:p w14:paraId="464F256C" w14:textId="73375625" w:rsidR="00A30178" w:rsidRDefault="0098410B" w:rsidP="0098410B">
      <w:pPr>
        <w:pStyle w:val="Title"/>
        <w:jc w:val="center"/>
      </w:pPr>
      <w:r>
        <w:t>The Global Business Environment</w:t>
      </w:r>
    </w:p>
    <w:p w14:paraId="6003B30D" w14:textId="1C58BDD8" w:rsidR="0098410B" w:rsidRDefault="0098410B" w:rsidP="0098410B">
      <w:pPr>
        <w:pStyle w:val="Title"/>
        <w:jc w:val="center"/>
      </w:pPr>
      <w:r>
        <w:t>Assessment 1</w:t>
      </w:r>
    </w:p>
    <w:p w14:paraId="1377C24A" w14:textId="74655AE9" w:rsidR="00B37134" w:rsidRDefault="00B37134" w:rsidP="00B37134"/>
    <w:p w14:paraId="6F5D882A" w14:textId="23CBF46B" w:rsidR="00B37134" w:rsidRDefault="00B37134" w:rsidP="00B37134">
      <w:pPr>
        <w:rPr>
          <w:noProof/>
        </w:rPr>
      </w:pPr>
    </w:p>
    <w:p w14:paraId="626C6D28" w14:textId="36E53803" w:rsidR="00D852E7" w:rsidRDefault="00D852E7" w:rsidP="00B37134">
      <w:pPr>
        <w:rPr>
          <w:noProof/>
        </w:rPr>
      </w:pPr>
    </w:p>
    <w:p w14:paraId="6A3F5A9B" w14:textId="185F2952" w:rsidR="00D852E7" w:rsidRDefault="00256DDC" w:rsidP="00256DDC">
      <w:pPr>
        <w:jc w:val="center"/>
      </w:pPr>
      <w:r w:rsidRPr="001B5857">
        <w:rPr>
          <w:rFonts w:cs="Arial"/>
          <w:noProof/>
          <w:szCs w:val="24"/>
        </w:rPr>
        <w:drawing>
          <wp:inline distT="0" distB="0" distL="0" distR="0" wp14:anchorId="15C0FC45" wp14:editId="07C92E2B">
            <wp:extent cx="2886075" cy="3723969"/>
            <wp:effectExtent l="0" t="0" r="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4440" cy="3734762"/>
                    </a:xfrm>
                    <a:prstGeom prst="rect">
                      <a:avLst/>
                    </a:prstGeom>
                    <a:noFill/>
                    <a:ln>
                      <a:noFill/>
                    </a:ln>
                  </pic:spPr>
                </pic:pic>
              </a:graphicData>
            </a:graphic>
          </wp:inline>
        </w:drawing>
      </w:r>
    </w:p>
    <w:p w14:paraId="2D6BC267" w14:textId="1A0DBEEA" w:rsidR="00D852E7" w:rsidRDefault="00D852E7" w:rsidP="00D852E7"/>
    <w:p w14:paraId="1C61D427" w14:textId="70149808" w:rsidR="00D852E7" w:rsidRDefault="00D852E7" w:rsidP="00D852E7"/>
    <w:p w14:paraId="61197021" w14:textId="27EF7A55" w:rsidR="00D852E7" w:rsidRDefault="00D852E7" w:rsidP="00D852E7"/>
    <w:p w14:paraId="5164C745" w14:textId="09D8C05C" w:rsidR="002555A5" w:rsidRDefault="002555A5" w:rsidP="00D852E7"/>
    <w:sdt>
      <w:sdtPr>
        <w:rPr>
          <w:rFonts w:ascii="Arial" w:eastAsia="Times New Roman" w:hAnsi="Arial" w:cs="Times New Roman"/>
          <w:color w:val="auto"/>
          <w:sz w:val="24"/>
          <w:szCs w:val="20"/>
          <w:lang w:val="en-GB"/>
        </w:rPr>
        <w:id w:val="-1156761109"/>
        <w:docPartObj>
          <w:docPartGallery w:val="Table of Contents"/>
          <w:docPartUnique/>
        </w:docPartObj>
      </w:sdtPr>
      <w:sdtEndPr>
        <w:rPr>
          <w:b/>
          <w:bCs/>
          <w:noProof/>
        </w:rPr>
      </w:sdtEndPr>
      <w:sdtContent>
        <w:p w14:paraId="316858A4" w14:textId="66E06267" w:rsidR="006815AF" w:rsidRDefault="006815AF">
          <w:pPr>
            <w:pStyle w:val="TOCHeading"/>
          </w:pPr>
          <w:r>
            <w:t>Contents</w:t>
          </w:r>
        </w:p>
        <w:p w14:paraId="7FC58B99" w14:textId="48E0D7BD" w:rsidR="006815AF" w:rsidRPr="006815AF" w:rsidRDefault="006815AF">
          <w:pPr>
            <w:pStyle w:val="TOC1"/>
            <w:tabs>
              <w:tab w:val="left" w:pos="440"/>
              <w:tab w:val="right" w:leader="dot" w:pos="9016"/>
            </w:tabs>
            <w:rPr>
              <w:rFonts w:asciiTheme="minorHAnsi" w:eastAsiaTheme="minorEastAsia" w:hAnsiTheme="minorHAnsi" w:cstheme="minorBidi"/>
              <w:i/>
              <w:iCs/>
              <w:noProof/>
              <w:sz w:val="22"/>
              <w:szCs w:val="22"/>
              <w:lang w:eastAsia="en-GB"/>
            </w:rPr>
          </w:pPr>
          <w:r>
            <w:fldChar w:fldCharType="begin"/>
          </w:r>
          <w:r>
            <w:instrText xml:space="preserve"> TOC \o "1-3" \h \z \u </w:instrText>
          </w:r>
          <w:r>
            <w:fldChar w:fldCharType="separate"/>
          </w:r>
          <w:hyperlink w:anchor="_Toc92213681" w:history="1">
            <w:r w:rsidRPr="006815AF">
              <w:rPr>
                <w:rStyle w:val="Hyperlink"/>
                <w:i/>
                <w:iCs/>
                <w:noProof/>
              </w:rPr>
              <w:t>1.</w:t>
            </w:r>
            <w:r w:rsidRPr="006815AF">
              <w:rPr>
                <w:rFonts w:asciiTheme="minorHAnsi" w:eastAsiaTheme="minorEastAsia" w:hAnsiTheme="minorHAnsi" w:cstheme="minorBidi"/>
                <w:i/>
                <w:iCs/>
                <w:noProof/>
                <w:sz w:val="22"/>
                <w:szCs w:val="22"/>
                <w:lang w:eastAsia="en-GB"/>
              </w:rPr>
              <w:tab/>
            </w:r>
            <w:r w:rsidRPr="006815AF">
              <w:rPr>
                <w:rStyle w:val="Hyperlink"/>
                <w:i/>
                <w:iCs/>
                <w:noProof/>
              </w:rPr>
              <w:t>Introduction</w:t>
            </w:r>
            <w:r w:rsidRPr="006815AF">
              <w:rPr>
                <w:i/>
                <w:iCs/>
                <w:noProof/>
                <w:webHidden/>
              </w:rPr>
              <w:tab/>
            </w:r>
            <w:r w:rsidRPr="006815AF">
              <w:rPr>
                <w:i/>
                <w:iCs/>
                <w:noProof/>
                <w:webHidden/>
              </w:rPr>
              <w:fldChar w:fldCharType="begin"/>
            </w:r>
            <w:r w:rsidRPr="006815AF">
              <w:rPr>
                <w:i/>
                <w:iCs/>
                <w:noProof/>
                <w:webHidden/>
              </w:rPr>
              <w:instrText xml:space="preserve"> PAGEREF _Toc92213681 \h </w:instrText>
            </w:r>
            <w:r w:rsidRPr="006815AF">
              <w:rPr>
                <w:i/>
                <w:iCs/>
                <w:noProof/>
                <w:webHidden/>
              </w:rPr>
            </w:r>
            <w:r w:rsidRPr="006815AF">
              <w:rPr>
                <w:i/>
                <w:iCs/>
                <w:noProof/>
                <w:webHidden/>
              </w:rPr>
              <w:fldChar w:fldCharType="separate"/>
            </w:r>
            <w:r w:rsidRPr="006815AF">
              <w:rPr>
                <w:i/>
                <w:iCs/>
                <w:noProof/>
                <w:webHidden/>
              </w:rPr>
              <w:t>3</w:t>
            </w:r>
            <w:r w:rsidRPr="006815AF">
              <w:rPr>
                <w:i/>
                <w:iCs/>
                <w:noProof/>
                <w:webHidden/>
              </w:rPr>
              <w:fldChar w:fldCharType="end"/>
            </w:r>
          </w:hyperlink>
        </w:p>
        <w:p w14:paraId="5889776C" w14:textId="740773BD" w:rsidR="006815AF" w:rsidRPr="006815AF" w:rsidRDefault="00D81518">
          <w:pPr>
            <w:pStyle w:val="TOC1"/>
            <w:tabs>
              <w:tab w:val="left" w:pos="440"/>
              <w:tab w:val="right" w:leader="dot" w:pos="9016"/>
            </w:tabs>
            <w:rPr>
              <w:rFonts w:asciiTheme="minorHAnsi" w:eastAsiaTheme="minorEastAsia" w:hAnsiTheme="minorHAnsi" w:cstheme="minorBidi"/>
              <w:i/>
              <w:iCs/>
              <w:noProof/>
              <w:sz w:val="22"/>
              <w:szCs w:val="22"/>
              <w:lang w:eastAsia="en-GB"/>
            </w:rPr>
          </w:pPr>
          <w:hyperlink w:anchor="_Toc92213682" w:history="1">
            <w:r w:rsidR="006815AF" w:rsidRPr="006815AF">
              <w:rPr>
                <w:rStyle w:val="Hyperlink"/>
                <w:i/>
                <w:iCs/>
                <w:noProof/>
              </w:rPr>
              <w:t>2.</w:t>
            </w:r>
            <w:r w:rsidR="006815AF" w:rsidRPr="006815AF">
              <w:rPr>
                <w:rFonts w:asciiTheme="minorHAnsi" w:eastAsiaTheme="minorEastAsia" w:hAnsiTheme="minorHAnsi" w:cstheme="minorBidi"/>
                <w:i/>
                <w:iCs/>
                <w:noProof/>
                <w:sz w:val="22"/>
                <w:szCs w:val="22"/>
                <w:lang w:eastAsia="en-GB"/>
              </w:rPr>
              <w:tab/>
            </w:r>
            <w:r w:rsidR="006815AF" w:rsidRPr="006815AF">
              <w:rPr>
                <w:rStyle w:val="Hyperlink"/>
                <w:i/>
                <w:iCs/>
                <w:noProof/>
              </w:rPr>
              <w:t>External analysis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_Toc92213682 \h </w:instrText>
            </w:r>
            <w:r w:rsidR="006815AF" w:rsidRPr="006815AF">
              <w:rPr>
                <w:i/>
                <w:iCs/>
                <w:noProof/>
                <w:webHidden/>
              </w:rPr>
            </w:r>
            <w:r w:rsidR="006815AF" w:rsidRPr="006815AF">
              <w:rPr>
                <w:i/>
                <w:iCs/>
                <w:noProof/>
                <w:webHidden/>
              </w:rPr>
              <w:fldChar w:fldCharType="separate"/>
            </w:r>
            <w:r w:rsidR="006815AF" w:rsidRPr="006815AF">
              <w:rPr>
                <w:i/>
                <w:iCs/>
                <w:noProof/>
                <w:webHidden/>
              </w:rPr>
              <w:t>3</w:t>
            </w:r>
            <w:r w:rsidR="006815AF" w:rsidRPr="006815AF">
              <w:rPr>
                <w:i/>
                <w:iCs/>
                <w:noProof/>
                <w:webHidden/>
              </w:rPr>
              <w:fldChar w:fldCharType="end"/>
            </w:r>
          </w:hyperlink>
        </w:p>
        <w:p w14:paraId="2CB75A67" w14:textId="2CC83E18" w:rsidR="006815AF" w:rsidRPr="006815AF" w:rsidRDefault="00D81518">
          <w:pPr>
            <w:pStyle w:val="TOC2"/>
            <w:tabs>
              <w:tab w:val="left" w:pos="880"/>
              <w:tab w:val="right" w:leader="dot" w:pos="9016"/>
            </w:tabs>
            <w:rPr>
              <w:rFonts w:asciiTheme="minorHAnsi" w:eastAsiaTheme="minorEastAsia" w:hAnsiTheme="minorHAnsi" w:cstheme="minorBidi"/>
              <w:i/>
              <w:iCs/>
              <w:noProof/>
              <w:sz w:val="22"/>
              <w:szCs w:val="22"/>
              <w:lang w:eastAsia="en-GB"/>
            </w:rPr>
          </w:pPr>
          <w:hyperlink w:anchor="_Toc92213683" w:history="1">
            <w:r w:rsidR="006815AF" w:rsidRPr="006815AF">
              <w:rPr>
                <w:rStyle w:val="Hyperlink"/>
                <w:i/>
                <w:iCs/>
                <w:noProof/>
              </w:rPr>
              <w:t>2.1.</w:t>
            </w:r>
            <w:r w:rsidR="006815AF" w:rsidRPr="006815AF">
              <w:rPr>
                <w:rFonts w:asciiTheme="minorHAnsi" w:eastAsiaTheme="minorEastAsia" w:hAnsiTheme="minorHAnsi" w:cstheme="minorBidi"/>
                <w:i/>
                <w:iCs/>
                <w:noProof/>
                <w:sz w:val="22"/>
                <w:szCs w:val="22"/>
                <w:lang w:eastAsia="en-GB"/>
              </w:rPr>
              <w:tab/>
            </w:r>
            <w:r w:rsidR="006815AF" w:rsidRPr="006815AF">
              <w:rPr>
                <w:rStyle w:val="Hyperlink"/>
                <w:i/>
                <w:iCs/>
                <w:noProof/>
              </w:rPr>
              <w:t>PESTLE</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_Toc92213683 \h </w:instrText>
            </w:r>
            <w:r w:rsidR="006815AF" w:rsidRPr="006815AF">
              <w:rPr>
                <w:i/>
                <w:iCs/>
                <w:noProof/>
                <w:webHidden/>
              </w:rPr>
            </w:r>
            <w:r w:rsidR="006815AF" w:rsidRPr="006815AF">
              <w:rPr>
                <w:i/>
                <w:iCs/>
                <w:noProof/>
                <w:webHidden/>
              </w:rPr>
              <w:fldChar w:fldCharType="separate"/>
            </w:r>
            <w:r w:rsidR="006815AF" w:rsidRPr="006815AF">
              <w:rPr>
                <w:i/>
                <w:iCs/>
                <w:noProof/>
                <w:webHidden/>
              </w:rPr>
              <w:t>3</w:t>
            </w:r>
            <w:r w:rsidR="006815AF" w:rsidRPr="006815AF">
              <w:rPr>
                <w:i/>
                <w:iCs/>
                <w:noProof/>
                <w:webHidden/>
              </w:rPr>
              <w:fldChar w:fldCharType="end"/>
            </w:r>
          </w:hyperlink>
        </w:p>
        <w:p w14:paraId="1113F80A" w14:textId="7E1D389E" w:rsidR="006815AF" w:rsidRPr="006815AF" w:rsidRDefault="00D81518">
          <w:pPr>
            <w:pStyle w:val="TOC2"/>
            <w:tabs>
              <w:tab w:val="left" w:pos="880"/>
              <w:tab w:val="right" w:leader="dot" w:pos="9016"/>
            </w:tabs>
            <w:rPr>
              <w:rFonts w:asciiTheme="minorHAnsi" w:eastAsiaTheme="minorEastAsia" w:hAnsiTheme="minorHAnsi" w:cstheme="minorBidi"/>
              <w:i/>
              <w:iCs/>
              <w:noProof/>
              <w:sz w:val="22"/>
              <w:szCs w:val="22"/>
              <w:lang w:eastAsia="en-GB"/>
            </w:rPr>
          </w:pPr>
          <w:hyperlink w:anchor="_Toc92213684" w:history="1">
            <w:r w:rsidR="006815AF" w:rsidRPr="006815AF">
              <w:rPr>
                <w:rStyle w:val="Hyperlink"/>
                <w:i/>
                <w:iCs/>
                <w:noProof/>
              </w:rPr>
              <w:t>2.2.</w:t>
            </w:r>
            <w:r w:rsidR="006815AF" w:rsidRPr="006815AF">
              <w:rPr>
                <w:rFonts w:asciiTheme="minorHAnsi" w:eastAsiaTheme="minorEastAsia" w:hAnsiTheme="minorHAnsi" w:cstheme="minorBidi"/>
                <w:i/>
                <w:iCs/>
                <w:noProof/>
                <w:sz w:val="22"/>
                <w:szCs w:val="22"/>
                <w:lang w:eastAsia="en-GB"/>
              </w:rPr>
              <w:tab/>
            </w:r>
            <w:r w:rsidR="006815AF" w:rsidRPr="006815AF">
              <w:rPr>
                <w:rStyle w:val="Hyperlink"/>
                <w:i/>
                <w:iCs/>
                <w:noProof/>
              </w:rPr>
              <w:t>Porter’s five forces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_Toc92213684 \h </w:instrText>
            </w:r>
            <w:r w:rsidR="006815AF" w:rsidRPr="006815AF">
              <w:rPr>
                <w:i/>
                <w:iCs/>
                <w:noProof/>
                <w:webHidden/>
              </w:rPr>
            </w:r>
            <w:r w:rsidR="006815AF" w:rsidRPr="006815AF">
              <w:rPr>
                <w:i/>
                <w:iCs/>
                <w:noProof/>
                <w:webHidden/>
              </w:rPr>
              <w:fldChar w:fldCharType="separate"/>
            </w:r>
            <w:r w:rsidR="006815AF" w:rsidRPr="006815AF">
              <w:rPr>
                <w:i/>
                <w:iCs/>
                <w:noProof/>
                <w:webHidden/>
              </w:rPr>
              <w:t>6</w:t>
            </w:r>
            <w:r w:rsidR="006815AF" w:rsidRPr="006815AF">
              <w:rPr>
                <w:i/>
                <w:iCs/>
                <w:noProof/>
                <w:webHidden/>
              </w:rPr>
              <w:fldChar w:fldCharType="end"/>
            </w:r>
          </w:hyperlink>
        </w:p>
        <w:p w14:paraId="461F4A36" w14:textId="13F174A8" w:rsidR="006815AF" w:rsidRPr="006815AF" w:rsidRDefault="00D81518">
          <w:pPr>
            <w:pStyle w:val="TOC1"/>
            <w:tabs>
              <w:tab w:val="right" w:leader="dot" w:pos="9016"/>
            </w:tabs>
            <w:rPr>
              <w:rFonts w:asciiTheme="minorHAnsi" w:eastAsiaTheme="minorEastAsia" w:hAnsiTheme="minorHAnsi" w:cstheme="minorBidi"/>
              <w:i/>
              <w:iCs/>
              <w:noProof/>
              <w:sz w:val="22"/>
              <w:szCs w:val="22"/>
              <w:lang w:eastAsia="en-GB"/>
            </w:rPr>
          </w:pPr>
          <w:hyperlink w:anchor="_Toc92213685" w:history="1">
            <w:r w:rsidR="006815AF" w:rsidRPr="006815AF">
              <w:rPr>
                <w:rStyle w:val="Hyperlink"/>
                <w:i/>
                <w:iCs/>
                <w:noProof/>
              </w:rPr>
              <w:t>Internal analysis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_Toc92213685 \h </w:instrText>
            </w:r>
            <w:r w:rsidR="006815AF" w:rsidRPr="006815AF">
              <w:rPr>
                <w:i/>
                <w:iCs/>
                <w:noProof/>
                <w:webHidden/>
              </w:rPr>
            </w:r>
            <w:r w:rsidR="006815AF" w:rsidRPr="006815AF">
              <w:rPr>
                <w:i/>
                <w:iCs/>
                <w:noProof/>
                <w:webHidden/>
              </w:rPr>
              <w:fldChar w:fldCharType="separate"/>
            </w:r>
            <w:r w:rsidR="006815AF" w:rsidRPr="006815AF">
              <w:rPr>
                <w:i/>
                <w:iCs/>
                <w:noProof/>
                <w:webHidden/>
              </w:rPr>
              <w:t>9</w:t>
            </w:r>
            <w:r w:rsidR="006815AF" w:rsidRPr="006815AF">
              <w:rPr>
                <w:i/>
                <w:iCs/>
                <w:noProof/>
                <w:webHidden/>
              </w:rPr>
              <w:fldChar w:fldCharType="end"/>
            </w:r>
          </w:hyperlink>
        </w:p>
        <w:p w14:paraId="396EC465" w14:textId="063AA8CE" w:rsidR="006815AF" w:rsidRPr="006815AF" w:rsidRDefault="00D81518">
          <w:pPr>
            <w:pStyle w:val="TOC2"/>
            <w:tabs>
              <w:tab w:val="right" w:leader="dot" w:pos="9016"/>
            </w:tabs>
            <w:rPr>
              <w:rFonts w:asciiTheme="minorHAnsi" w:eastAsiaTheme="minorEastAsia" w:hAnsiTheme="minorHAnsi" w:cstheme="minorBidi"/>
              <w:i/>
              <w:iCs/>
              <w:noProof/>
              <w:sz w:val="22"/>
              <w:szCs w:val="22"/>
              <w:lang w:eastAsia="en-GB"/>
            </w:rPr>
          </w:pPr>
          <w:hyperlink w:anchor="_Toc92213686" w:history="1">
            <w:r w:rsidR="006815AF" w:rsidRPr="006815AF">
              <w:rPr>
                <w:rStyle w:val="Hyperlink"/>
                <w:i/>
                <w:iCs/>
                <w:noProof/>
                <w:shd w:val="clear" w:color="auto" w:fill="FFFFFF"/>
              </w:rPr>
              <w:t>Strengths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_Toc92213686 \h </w:instrText>
            </w:r>
            <w:r w:rsidR="006815AF" w:rsidRPr="006815AF">
              <w:rPr>
                <w:i/>
                <w:iCs/>
                <w:noProof/>
                <w:webHidden/>
              </w:rPr>
            </w:r>
            <w:r w:rsidR="006815AF" w:rsidRPr="006815AF">
              <w:rPr>
                <w:i/>
                <w:iCs/>
                <w:noProof/>
                <w:webHidden/>
              </w:rPr>
              <w:fldChar w:fldCharType="separate"/>
            </w:r>
            <w:r w:rsidR="006815AF" w:rsidRPr="006815AF">
              <w:rPr>
                <w:i/>
                <w:iCs/>
                <w:noProof/>
                <w:webHidden/>
              </w:rPr>
              <w:t>9</w:t>
            </w:r>
            <w:r w:rsidR="006815AF" w:rsidRPr="006815AF">
              <w:rPr>
                <w:i/>
                <w:iCs/>
                <w:noProof/>
                <w:webHidden/>
              </w:rPr>
              <w:fldChar w:fldCharType="end"/>
            </w:r>
          </w:hyperlink>
        </w:p>
        <w:p w14:paraId="69713B2B" w14:textId="5AC84DB2" w:rsidR="006815AF" w:rsidRPr="006815AF" w:rsidRDefault="00D81518">
          <w:pPr>
            <w:pStyle w:val="TOC2"/>
            <w:tabs>
              <w:tab w:val="right" w:leader="dot" w:pos="9016"/>
            </w:tabs>
            <w:rPr>
              <w:rFonts w:asciiTheme="minorHAnsi" w:eastAsiaTheme="minorEastAsia" w:hAnsiTheme="minorHAnsi" w:cstheme="minorBidi"/>
              <w:i/>
              <w:iCs/>
              <w:noProof/>
              <w:sz w:val="22"/>
              <w:szCs w:val="22"/>
              <w:lang w:eastAsia="en-GB"/>
            </w:rPr>
          </w:pPr>
          <w:hyperlink w:anchor="_Toc92213687" w:history="1">
            <w:r w:rsidR="006815AF" w:rsidRPr="006815AF">
              <w:rPr>
                <w:rStyle w:val="Hyperlink"/>
                <w:i/>
                <w:iCs/>
                <w:noProof/>
                <w:shd w:val="clear" w:color="auto" w:fill="FFFFFF"/>
              </w:rPr>
              <w:t>Weaknesses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_Toc92213687 \h </w:instrText>
            </w:r>
            <w:r w:rsidR="006815AF" w:rsidRPr="006815AF">
              <w:rPr>
                <w:i/>
                <w:iCs/>
                <w:noProof/>
                <w:webHidden/>
              </w:rPr>
            </w:r>
            <w:r w:rsidR="006815AF" w:rsidRPr="006815AF">
              <w:rPr>
                <w:i/>
                <w:iCs/>
                <w:noProof/>
                <w:webHidden/>
              </w:rPr>
              <w:fldChar w:fldCharType="separate"/>
            </w:r>
            <w:r w:rsidR="006815AF" w:rsidRPr="006815AF">
              <w:rPr>
                <w:i/>
                <w:iCs/>
                <w:noProof/>
                <w:webHidden/>
              </w:rPr>
              <w:t>10</w:t>
            </w:r>
            <w:r w:rsidR="006815AF" w:rsidRPr="006815AF">
              <w:rPr>
                <w:i/>
                <w:iCs/>
                <w:noProof/>
                <w:webHidden/>
              </w:rPr>
              <w:fldChar w:fldCharType="end"/>
            </w:r>
          </w:hyperlink>
        </w:p>
        <w:p w14:paraId="37F7D0B7" w14:textId="49D6ACC2" w:rsidR="006815AF" w:rsidRPr="006815AF" w:rsidRDefault="00D81518">
          <w:pPr>
            <w:pStyle w:val="TOC1"/>
            <w:tabs>
              <w:tab w:val="right" w:leader="dot" w:pos="9016"/>
            </w:tabs>
            <w:rPr>
              <w:rFonts w:asciiTheme="minorHAnsi" w:eastAsiaTheme="minorEastAsia" w:hAnsiTheme="minorHAnsi" w:cstheme="minorBidi"/>
              <w:i/>
              <w:iCs/>
              <w:noProof/>
              <w:sz w:val="22"/>
              <w:szCs w:val="22"/>
              <w:lang w:eastAsia="en-GB"/>
            </w:rPr>
          </w:pPr>
          <w:hyperlink w:anchor="_Toc92213688" w:history="1">
            <w:r w:rsidR="006815AF" w:rsidRPr="006815AF">
              <w:rPr>
                <w:rStyle w:val="Hyperlink"/>
                <w:i/>
                <w:iCs/>
                <w:noProof/>
                <w:shd w:val="clear" w:color="auto" w:fill="FFFFFF"/>
              </w:rPr>
              <w:t>Value chain analysis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_Toc92213688 \h </w:instrText>
            </w:r>
            <w:r w:rsidR="006815AF" w:rsidRPr="006815AF">
              <w:rPr>
                <w:i/>
                <w:iCs/>
                <w:noProof/>
                <w:webHidden/>
              </w:rPr>
            </w:r>
            <w:r w:rsidR="006815AF" w:rsidRPr="006815AF">
              <w:rPr>
                <w:i/>
                <w:iCs/>
                <w:noProof/>
                <w:webHidden/>
              </w:rPr>
              <w:fldChar w:fldCharType="separate"/>
            </w:r>
            <w:r w:rsidR="006815AF" w:rsidRPr="006815AF">
              <w:rPr>
                <w:i/>
                <w:iCs/>
                <w:noProof/>
                <w:webHidden/>
              </w:rPr>
              <w:t>11</w:t>
            </w:r>
            <w:r w:rsidR="006815AF" w:rsidRPr="006815AF">
              <w:rPr>
                <w:i/>
                <w:iCs/>
                <w:noProof/>
                <w:webHidden/>
              </w:rPr>
              <w:fldChar w:fldCharType="end"/>
            </w:r>
          </w:hyperlink>
        </w:p>
        <w:p w14:paraId="390ECC21" w14:textId="0AE5A1B0" w:rsidR="006815AF" w:rsidRPr="006815AF" w:rsidRDefault="00D81518">
          <w:pPr>
            <w:pStyle w:val="TOC1"/>
            <w:tabs>
              <w:tab w:val="right" w:leader="dot" w:pos="9016"/>
            </w:tabs>
            <w:rPr>
              <w:rFonts w:asciiTheme="minorHAnsi" w:eastAsiaTheme="minorEastAsia" w:hAnsiTheme="minorHAnsi" w:cstheme="minorBidi"/>
              <w:i/>
              <w:iCs/>
              <w:noProof/>
              <w:sz w:val="22"/>
              <w:szCs w:val="22"/>
              <w:lang w:eastAsia="en-GB"/>
            </w:rPr>
          </w:pPr>
          <w:hyperlink w:anchor="_Toc92213689" w:history="1">
            <w:r w:rsidR="006815AF" w:rsidRPr="006815AF">
              <w:rPr>
                <w:rStyle w:val="Hyperlink"/>
                <w:i/>
                <w:iCs/>
                <w:noProof/>
              </w:rPr>
              <w:t>VRIO Analysis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_Toc92213689 \h </w:instrText>
            </w:r>
            <w:r w:rsidR="006815AF" w:rsidRPr="006815AF">
              <w:rPr>
                <w:i/>
                <w:iCs/>
                <w:noProof/>
                <w:webHidden/>
              </w:rPr>
            </w:r>
            <w:r w:rsidR="006815AF" w:rsidRPr="006815AF">
              <w:rPr>
                <w:i/>
                <w:iCs/>
                <w:noProof/>
                <w:webHidden/>
              </w:rPr>
              <w:fldChar w:fldCharType="separate"/>
            </w:r>
            <w:r w:rsidR="006815AF" w:rsidRPr="006815AF">
              <w:rPr>
                <w:i/>
                <w:iCs/>
                <w:noProof/>
                <w:webHidden/>
              </w:rPr>
              <w:t>12</w:t>
            </w:r>
            <w:r w:rsidR="006815AF" w:rsidRPr="006815AF">
              <w:rPr>
                <w:i/>
                <w:iCs/>
                <w:noProof/>
                <w:webHidden/>
              </w:rPr>
              <w:fldChar w:fldCharType="end"/>
            </w:r>
          </w:hyperlink>
        </w:p>
        <w:p w14:paraId="07B9EB0E" w14:textId="11AB7252" w:rsidR="006815AF" w:rsidRPr="006815AF" w:rsidRDefault="00D81518">
          <w:pPr>
            <w:pStyle w:val="TOC1"/>
            <w:tabs>
              <w:tab w:val="right" w:leader="dot" w:pos="9016"/>
            </w:tabs>
            <w:rPr>
              <w:rFonts w:asciiTheme="minorHAnsi" w:eastAsiaTheme="minorEastAsia" w:hAnsiTheme="minorHAnsi" w:cstheme="minorBidi"/>
              <w:i/>
              <w:iCs/>
              <w:noProof/>
              <w:sz w:val="22"/>
              <w:szCs w:val="22"/>
              <w:lang w:eastAsia="en-GB"/>
            </w:rPr>
          </w:pPr>
          <w:hyperlink w:anchor="_Toc92213690" w:history="1">
            <w:r w:rsidR="006815AF" w:rsidRPr="006815AF">
              <w:rPr>
                <w:rStyle w:val="Hyperlink"/>
                <w:i/>
                <w:iCs/>
                <w:noProof/>
              </w:rPr>
              <w:t>Conclusion</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_Toc92213690 \h </w:instrText>
            </w:r>
            <w:r w:rsidR="006815AF" w:rsidRPr="006815AF">
              <w:rPr>
                <w:i/>
                <w:iCs/>
                <w:noProof/>
                <w:webHidden/>
              </w:rPr>
            </w:r>
            <w:r w:rsidR="006815AF" w:rsidRPr="006815AF">
              <w:rPr>
                <w:i/>
                <w:iCs/>
                <w:noProof/>
                <w:webHidden/>
              </w:rPr>
              <w:fldChar w:fldCharType="separate"/>
            </w:r>
            <w:r w:rsidR="006815AF" w:rsidRPr="006815AF">
              <w:rPr>
                <w:i/>
                <w:iCs/>
                <w:noProof/>
                <w:webHidden/>
              </w:rPr>
              <w:t>12</w:t>
            </w:r>
            <w:r w:rsidR="006815AF" w:rsidRPr="006815AF">
              <w:rPr>
                <w:i/>
                <w:iCs/>
                <w:noProof/>
                <w:webHidden/>
              </w:rPr>
              <w:fldChar w:fldCharType="end"/>
            </w:r>
          </w:hyperlink>
        </w:p>
        <w:p w14:paraId="027B1C21" w14:textId="2AF2EDE5" w:rsidR="006815AF" w:rsidRPr="006815AF" w:rsidRDefault="00D81518">
          <w:pPr>
            <w:pStyle w:val="TOC1"/>
            <w:tabs>
              <w:tab w:val="right" w:leader="dot" w:pos="9016"/>
            </w:tabs>
            <w:rPr>
              <w:rFonts w:asciiTheme="minorHAnsi" w:eastAsiaTheme="minorEastAsia" w:hAnsiTheme="minorHAnsi" w:cstheme="minorBidi"/>
              <w:i/>
              <w:iCs/>
              <w:noProof/>
              <w:sz w:val="22"/>
              <w:szCs w:val="22"/>
              <w:lang w:eastAsia="en-GB"/>
            </w:rPr>
          </w:pPr>
          <w:hyperlink w:anchor="_Toc92213691" w:history="1">
            <w:r w:rsidR="006815AF" w:rsidRPr="006815AF">
              <w:rPr>
                <w:rStyle w:val="Hyperlink"/>
                <w:i/>
                <w:iCs/>
                <w:noProof/>
              </w:rPr>
              <w:t>References</w:t>
            </w:r>
            <w:r w:rsidR="006815AF" w:rsidRPr="006815AF">
              <w:rPr>
                <w:i/>
                <w:iCs/>
                <w:noProof/>
                <w:webHidden/>
              </w:rPr>
              <w:tab/>
            </w:r>
            <w:r w:rsidR="006815AF" w:rsidRPr="006815AF">
              <w:rPr>
                <w:i/>
                <w:iCs/>
                <w:noProof/>
                <w:webHidden/>
              </w:rPr>
              <w:fldChar w:fldCharType="begin"/>
            </w:r>
            <w:r w:rsidR="006815AF" w:rsidRPr="006815AF">
              <w:rPr>
                <w:i/>
                <w:iCs/>
                <w:noProof/>
                <w:webHidden/>
              </w:rPr>
              <w:instrText xml:space="preserve"> PAGEREF _Toc92213691 \h </w:instrText>
            </w:r>
            <w:r w:rsidR="006815AF" w:rsidRPr="006815AF">
              <w:rPr>
                <w:i/>
                <w:iCs/>
                <w:noProof/>
                <w:webHidden/>
              </w:rPr>
            </w:r>
            <w:r w:rsidR="006815AF" w:rsidRPr="006815AF">
              <w:rPr>
                <w:i/>
                <w:iCs/>
                <w:noProof/>
                <w:webHidden/>
              </w:rPr>
              <w:fldChar w:fldCharType="separate"/>
            </w:r>
            <w:r w:rsidR="006815AF" w:rsidRPr="006815AF">
              <w:rPr>
                <w:i/>
                <w:iCs/>
                <w:noProof/>
                <w:webHidden/>
              </w:rPr>
              <w:t>12</w:t>
            </w:r>
            <w:r w:rsidR="006815AF" w:rsidRPr="006815AF">
              <w:rPr>
                <w:i/>
                <w:iCs/>
                <w:noProof/>
                <w:webHidden/>
              </w:rPr>
              <w:fldChar w:fldCharType="end"/>
            </w:r>
          </w:hyperlink>
        </w:p>
        <w:p w14:paraId="0B1D5BC1" w14:textId="47F2DFA0" w:rsidR="006815AF" w:rsidRDefault="006815AF">
          <w:r>
            <w:rPr>
              <w:b/>
              <w:bCs/>
              <w:noProof/>
            </w:rPr>
            <w:fldChar w:fldCharType="end"/>
          </w:r>
        </w:p>
      </w:sdtContent>
    </w:sdt>
    <w:p w14:paraId="5B585014" w14:textId="23300FCC" w:rsidR="005F74C9" w:rsidRDefault="005F74C9" w:rsidP="00D852E7"/>
    <w:p w14:paraId="05DAD1EA" w14:textId="36B3B874" w:rsidR="006815AF" w:rsidRDefault="006815AF" w:rsidP="00D852E7"/>
    <w:p w14:paraId="27B807B1" w14:textId="0B5F5641" w:rsidR="006815AF" w:rsidRDefault="006815AF" w:rsidP="00D852E7"/>
    <w:p w14:paraId="637CA319" w14:textId="04A97E9C" w:rsidR="006815AF" w:rsidRDefault="006815AF" w:rsidP="00D852E7"/>
    <w:p w14:paraId="756AE66F" w14:textId="4DEC4F56" w:rsidR="006815AF" w:rsidRDefault="006815AF" w:rsidP="00D852E7"/>
    <w:p w14:paraId="7DAC7E04" w14:textId="44DD19BA" w:rsidR="006815AF" w:rsidRDefault="006815AF" w:rsidP="00D852E7"/>
    <w:p w14:paraId="7130BD9F" w14:textId="572DDE0C" w:rsidR="006815AF" w:rsidRDefault="006815AF" w:rsidP="00D852E7"/>
    <w:p w14:paraId="15AC526C" w14:textId="21D9916E" w:rsidR="006815AF" w:rsidRDefault="006815AF" w:rsidP="00D852E7"/>
    <w:p w14:paraId="32ACDCF6" w14:textId="672B3B34" w:rsidR="006815AF" w:rsidRDefault="006815AF" w:rsidP="00D852E7"/>
    <w:p w14:paraId="008B39B9" w14:textId="0F929899" w:rsidR="006815AF" w:rsidRDefault="006815AF" w:rsidP="00D852E7"/>
    <w:p w14:paraId="05F4DB89" w14:textId="45BC8796" w:rsidR="006815AF" w:rsidRDefault="006815AF" w:rsidP="00D852E7"/>
    <w:p w14:paraId="6CAA501E" w14:textId="0189C6F9" w:rsidR="006815AF" w:rsidRDefault="006815AF" w:rsidP="00D852E7"/>
    <w:p w14:paraId="1DA2F814" w14:textId="63869A0B" w:rsidR="006815AF" w:rsidRDefault="006815AF" w:rsidP="00D852E7"/>
    <w:p w14:paraId="3DD07642" w14:textId="022720C0" w:rsidR="006815AF" w:rsidRDefault="006815AF" w:rsidP="00D852E7"/>
    <w:p w14:paraId="322006A5" w14:textId="38D5CFBF" w:rsidR="006815AF" w:rsidRDefault="006815AF" w:rsidP="00D852E7"/>
    <w:p w14:paraId="7D8F95F8" w14:textId="60D0BC61" w:rsidR="006815AF" w:rsidRDefault="006815AF" w:rsidP="00D852E7"/>
    <w:p w14:paraId="42D7CD59" w14:textId="1715D8FC" w:rsidR="006815AF" w:rsidRDefault="006815AF" w:rsidP="00D852E7"/>
    <w:p w14:paraId="3C320AF9" w14:textId="1E06725A" w:rsidR="006815AF" w:rsidRDefault="006815AF" w:rsidP="00D852E7"/>
    <w:p w14:paraId="785DA93B" w14:textId="09A57717" w:rsidR="006815AF" w:rsidRDefault="006815AF" w:rsidP="00D852E7"/>
    <w:p w14:paraId="2BD663AE" w14:textId="75E66F76" w:rsidR="006815AF" w:rsidRDefault="006815AF" w:rsidP="00D852E7"/>
    <w:p w14:paraId="244F079E" w14:textId="3481EED9" w:rsidR="006815AF" w:rsidRDefault="006815AF" w:rsidP="00D852E7"/>
    <w:p w14:paraId="77B4CEF9" w14:textId="51FDB35D" w:rsidR="006815AF" w:rsidRDefault="006815AF" w:rsidP="00D852E7"/>
    <w:p w14:paraId="0CD6E6BB" w14:textId="2A2CBA8B" w:rsidR="006815AF" w:rsidRDefault="006815AF" w:rsidP="00D852E7"/>
    <w:p w14:paraId="10FD2F2E" w14:textId="2100EED9" w:rsidR="006815AF" w:rsidRDefault="006815AF" w:rsidP="00D852E7"/>
    <w:p w14:paraId="3BD7C769" w14:textId="318B4F12" w:rsidR="006815AF" w:rsidRDefault="006815AF" w:rsidP="00D852E7"/>
    <w:p w14:paraId="48653AE2" w14:textId="5CBB7467" w:rsidR="006815AF" w:rsidRDefault="006815AF" w:rsidP="00D852E7"/>
    <w:p w14:paraId="1E6D799F" w14:textId="31419F59" w:rsidR="006815AF" w:rsidRDefault="006815AF" w:rsidP="00D852E7"/>
    <w:p w14:paraId="3D8ADF77" w14:textId="31BBF622" w:rsidR="006815AF" w:rsidRDefault="006815AF" w:rsidP="00D852E7"/>
    <w:p w14:paraId="12DE4794" w14:textId="47A2E102" w:rsidR="006815AF" w:rsidRDefault="006815AF" w:rsidP="00D852E7"/>
    <w:p w14:paraId="4E9ED64D" w14:textId="15D0818C" w:rsidR="006815AF" w:rsidRDefault="006815AF" w:rsidP="00D852E7"/>
    <w:p w14:paraId="7B0686C3" w14:textId="446CDBCE" w:rsidR="006815AF" w:rsidRDefault="006815AF" w:rsidP="00D852E7"/>
    <w:p w14:paraId="367C7E02" w14:textId="77777777" w:rsidR="006815AF" w:rsidRDefault="006815AF" w:rsidP="00D852E7"/>
    <w:p w14:paraId="2BDE43EC" w14:textId="22C42BC9" w:rsidR="002555A5" w:rsidRDefault="002555A5" w:rsidP="00230596">
      <w:pPr>
        <w:pStyle w:val="Heading1"/>
        <w:numPr>
          <w:ilvl w:val="0"/>
          <w:numId w:val="2"/>
        </w:numPr>
      </w:pPr>
      <w:bookmarkStart w:id="0" w:name="_Toc92213681"/>
      <w:r>
        <w:lastRenderedPageBreak/>
        <w:t>Introduction</w:t>
      </w:r>
      <w:bookmarkEnd w:id="0"/>
    </w:p>
    <w:p w14:paraId="215EFACC" w14:textId="53C82140" w:rsidR="00863711" w:rsidRDefault="00863711" w:rsidP="00863711"/>
    <w:p w14:paraId="0B703344" w14:textId="22FC3E4A" w:rsidR="002C2F86" w:rsidRDefault="006057B3" w:rsidP="00E70E03">
      <w:pPr>
        <w:spacing w:line="360" w:lineRule="auto"/>
        <w:jc w:val="both"/>
      </w:pPr>
      <w:r w:rsidRPr="006057B3">
        <w:t>Just before to the outbreak of the coronavirus that engulfed the world, the car industry had been on an upward trajectory throughout 2018 and had just recently began a period of stagnation in 2019. During the three-month period from March to May 2020, global automobile sales plummeted by about 15% globally. With automobile sales maintaining at pre-pandemic levels for months after the outbreak, China was the first market to fully recover from the catastrophe. Automobiles, autonomous driving, and mobility services are projected to continue to propel the sector, which will result in an overall recovery in the following quarters (Statista, 2021).</w:t>
      </w:r>
    </w:p>
    <w:p w14:paraId="41EE70E1" w14:textId="77777777" w:rsidR="006057B3" w:rsidRDefault="006057B3" w:rsidP="00E70E03">
      <w:pPr>
        <w:spacing w:line="360" w:lineRule="auto"/>
        <w:jc w:val="both"/>
      </w:pPr>
    </w:p>
    <w:p w14:paraId="429D6EA4" w14:textId="5B0CDC99" w:rsidR="00E70E03" w:rsidRDefault="006057B3" w:rsidP="006057B3">
      <w:pPr>
        <w:spacing w:line="360" w:lineRule="auto"/>
        <w:jc w:val="both"/>
      </w:pPr>
      <w:r w:rsidRPr="006057B3">
        <w:t>It was decided to use the example of Tesla in order to get a better knowledge of the issues facing the automobile sector. An internal and external examination of the business environment was carried out to achieve this goal. The California-based company Tesla Inc. (formerly known as Tesla Motors Inc. prior to the SolarCity merger) began operations as an electric vehicle (EV) manufacturer with the primary goal of developing a high-end, all-electric plug-in car. The company later expanded into the solar energy equipment market, with the stated goal of reducing the environmental impact of emissions and the cost of solar energy (Tesla, 2020). Known as the Roadster, it was Tesla's first all-electric sports automobile and the world's first all-electric sports car (Tesla, 2007).</w:t>
      </w:r>
    </w:p>
    <w:p w14:paraId="207848C0" w14:textId="77777777" w:rsidR="00E70E03" w:rsidRPr="00863711" w:rsidRDefault="00E70E03" w:rsidP="00863711"/>
    <w:p w14:paraId="6F416FA0" w14:textId="793C8C89" w:rsidR="002555A5" w:rsidRDefault="002555A5" w:rsidP="00230596">
      <w:pPr>
        <w:pStyle w:val="Heading1"/>
        <w:numPr>
          <w:ilvl w:val="0"/>
          <w:numId w:val="2"/>
        </w:numPr>
      </w:pPr>
      <w:bookmarkStart w:id="1" w:name="_Toc92213682"/>
      <w:r>
        <w:t>External analysis</w:t>
      </w:r>
      <w:bookmarkEnd w:id="1"/>
    </w:p>
    <w:p w14:paraId="1C9D1CF5" w14:textId="05D1A360" w:rsidR="00230596" w:rsidRDefault="00230596" w:rsidP="00230596"/>
    <w:p w14:paraId="56754D5A" w14:textId="74782144" w:rsidR="00230596" w:rsidRDefault="00230596" w:rsidP="001C349F">
      <w:pPr>
        <w:pStyle w:val="Heading2"/>
        <w:numPr>
          <w:ilvl w:val="1"/>
          <w:numId w:val="2"/>
        </w:numPr>
      </w:pPr>
      <w:bookmarkStart w:id="2" w:name="_Toc92213683"/>
      <w:r>
        <w:t>PESTLE</w:t>
      </w:r>
      <w:bookmarkEnd w:id="2"/>
    </w:p>
    <w:p w14:paraId="3FA118B3" w14:textId="223D738E" w:rsidR="00993B81" w:rsidRDefault="00993B81" w:rsidP="00993B81"/>
    <w:p w14:paraId="2A86D0F9" w14:textId="659876FF" w:rsidR="00993B81" w:rsidRDefault="00993B81" w:rsidP="00993B81">
      <w:pPr>
        <w:spacing w:line="360" w:lineRule="auto"/>
        <w:jc w:val="both"/>
      </w:pPr>
      <w:r>
        <w:t>Despite the fact</w:t>
      </w:r>
      <w:r w:rsidRPr="00993B81">
        <w:t xml:space="preserve"> Tesla Inc. is not the first corporation to focus on non-fossil energy consumption on a larger scale, it is one of the most recognisable on the market owing to the "clean energy" rules imposed. The external elements of influence will be examined in the following PESTLE analysis.</w:t>
      </w:r>
    </w:p>
    <w:p w14:paraId="2519FC44" w14:textId="70EF7832" w:rsidR="00993B81" w:rsidRDefault="00993B81" w:rsidP="00993B81">
      <w:pPr>
        <w:spacing w:line="360" w:lineRule="auto"/>
        <w:jc w:val="both"/>
      </w:pPr>
    </w:p>
    <w:p w14:paraId="2DE2F88C" w14:textId="17F8B30B" w:rsidR="00993B81" w:rsidRDefault="00993B81" w:rsidP="00993B81">
      <w:pPr>
        <w:spacing w:line="360" w:lineRule="auto"/>
        <w:jc w:val="both"/>
      </w:pPr>
      <w:r w:rsidRPr="0031589C">
        <w:rPr>
          <w:b/>
          <w:bCs/>
        </w:rPr>
        <w:t>Political</w:t>
      </w:r>
      <w:r w:rsidR="005B43E5">
        <w:rPr>
          <w:b/>
          <w:bCs/>
        </w:rPr>
        <w:t xml:space="preserve"> </w:t>
      </w:r>
      <w:r w:rsidR="005B43E5">
        <w:t>factors include different policies, restrictions and other things that can facilitate</w:t>
      </w:r>
      <w:r w:rsidR="00E438F7">
        <w:t xml:space="preserve"> or impede the long term growth of a business in certain macroenvironments. In Tesla’s case, US government incentive where</w:t>
      </w:r>
      <w:r w:rsidR="00E438F7" w:rsidRPr="00E438F7">
        <w:t xml:space="preserve"> the Department of Energy provided </w:t>
      </w:r>
      <w:r w:rsidR="00E438F7" w:rsidRPr="00E438F7">
        <w:lastRenderedPageBreak/>
        <w:t>$465 million in subsidised loans to electric engine designers and manufacturers (Department of Energy, 2010)</w:t>
      </w:r>
      <w:r w:rsidR="00FD0190">
        <w:t xml:space="preserve"> represents an opportunity for the company expansion. Furthermore, </w:t>
      </w:r>
      <w:r w:rsidR="006E0095">
        <w:t xml:space="preserve">UK plan of </w:t>
      </w:r>
      <w:r w:rsidR="000865F5">
        <w:t xml:space="preserve">transitioning to zero emissions by 2035 </w:t>
      </w:r>
      <w:r w:rsidR="00A176EC">
        <w:t>(GOV.UK, 2021)</w:t>
      </w:r>
      <w:r w:rsidR="00814576">
        <w:t xml:space="preserve"> also is a favourable factor for the business expansion.</w:t>
      </w:r>
    </w:p>
    <w:p w14:paraId="3AF9656B" w14:textId="77777777" w:rsidR="00814576" w:rsidRPr="005B43E5" w:rsidRDefault="00814576" w:rsidP="00993B81">
      <w:pPr>
        <w:spacing w:line="360" w:lineRule="auto"/>
        <w:jc w:val="both"/>
      </w:pPr>
    </w:p>
    <w:p w14:paraId="75DD2E2B" w14:textId="63F36EE6" w:rsidR="00DF6F1A" w:rsidRDefault="00993B81" w:rsidP="00993B81">
      <w:pPr>
        <w:spacing w:line="360" w:lineRule="auto"/>
        <w:jc w:val="both"/>
        <w:rPr>
          <w:b/>
          <w:bCs/>
        </w:rPr>
      </w:pPr>
      <w:r w:rsidRPr="0031589C">
        <w:rPr>
          <w:b/>
          <w:bCs/>
        </w:rPr>
        <w:t>Economic</w:t>
      </w:r>
    </w:p>
    <w:p w14:paraId="0CF25E07" w14:textId="77777777" w:rsidR="00DF6F1A" w:rsidRDefault="00DF6F1A" w:rsidP="00993B81">
      <w:pPr>
        <w:spacing w:line="360" w:lineRule="auto"/>
        <w:jc w:val="both"/>
        <w:rPr>
          <w:b/>
          <w:bCs/>
        </w:rPr>
      </w:pPr>
    </w:p>
    <w:p w14:paraId="7837C2B6" w14:textId="490DD84E" w:rsidR="00DF6F1A" w:rsidRDefault="00DF6F1A" w:rsidP="00993B81">
      <w:pPr>
        <w:spacing w:line="360" w:lineRule="auto"/>
        <w:jc w:val="both"/>
        <w:rPr>
          <w:rFonts w:cs="Arial"/>
          <w:szCs w:val="24"/>
          <w:shd w:val="clear" w:color="auto" w:fill="FFFFFF"/>
        </w:rPr>
      </w:pPr>
      <w:r w:rsidRPr="00DF6F1A">
        <w:rPr>
          <w:rFonts w:cs="Arial"/>
          <w:szCs w:val="24"/>
          <w:shd w:val="clear" w:color="auto" w:fill="FFFFFF"/>
        </w:rPr>
        <w:t>The cost of buying an electric vehicle is falling due to continued innovation in battery manufacturing, resulting in increased range on a single charge, with the cost dropping rapidly from $ 1000 / KWh in 2010 to $ 156 / KWh by the end of 2019 and one Expectation of USD 100 / KWh by 2023 (Bloomberg, 2019), making the economic factor an opportunity for Tesla.</w:t>
      </w:r>
    </w:p>
    <w:p w14:paraId="33301728" w14:textId="77777777" w:rsidR="00DF6F1A" w:rsidRPr="00DF6F1A" w:rsidRDefault="00DF6F1A" w:rsidP="00993B81">
      <w:pPr>
        <w:spacing w:line="360" w:lineRule="auto"/>
        <w:jc w:val="both"/>
        <w:rPr>
          <w:b/>
          <w:bCs/>
          <w:szCs w:val="24"/>
        </w:rPr>
      </w:pPr>
    </w:p>
    <w:p w14:paraId="58BD749A" w14:textId="29014DF7" w:rsidR="00993B81" w:rsidRDefault="00993B81" w:rsidP="00993B81">
      <w:pPr>
        <w:spacing w:line="360" w:lineRule="auto"/>
        <w:jc w:val="both"/>
        <w:rPr>
          <w:b/>
          <w:bCs/>
        </w:rPr>
      </w:pPr>
      <w:r w:rsidRPr="0031589C">
        <w:rPr>
          <w:b/>
          <w:bCs/>
        </w:rPr>
        <w:t>Socio-cultural</w:t>
      </w:r>
    </w:p>
    <w:p w14:paraId="3218C4BD" w14:textId="77777777" w:rsidR="00AE5C7B" w:rsidRDefault="00AE5C7B" w:rsidP="00993B81">
      <w:pPr>
        <w:spacing w:line="360" w:lineRule="auto"/>
        <w:jc w:val="both"/>
        <w:rPr>
          <w:b/>
          <w:bCs/>
        </w:rPr>
      </w:pPr>
    </w:p>
    <w:p w14:paraId="1CEA6FA9" w14:textId="77777777" w:rsidR="00A956FD" w:rsidRDefault="00010AF1" w:rsidP="00010AF1">
      <w:pPr>
        <w:spacing w:line="360" w:lineRule="auto"/>
        <w:jc w:val="both"/>
        <w:rPr>
          <w:rFonts w:cs="Arial"/>
          <w:szCs w:val="24"/>
          <w:shd w:val="clear" w:color="auto" w:fill="FFFFFF"/>
        </w:rPr>
      </w:pPr>
      <w:r w:rsidRPr="00010AF1">
        <w:rPr>
          <w:rFonts w:cs="Arial"/>
          <w:szCs w:val="24"/>
          <w:shd w:val="clear" w:color="auto" w:fill="FFFFFF"/>
        </w:rPr>
        <w:t>People's environmental sentiments, as well as the widespread availability of renewable energy sources, both work to Tesla's favour in this regard. As seen in Figure 1, the estimated sales of electric vehicles as a proportion of overall automobile sales are expected to increase significantly over the next 30 years (Morgan Stanley, 2020). Companies should take prudence while making investments in new markets or developing technologies. These marketplaces may be able to aid the organisation in generating more favourable feedback from its customers and other stakeholders. This macro-environmental factor, which Tesla gives to its competitors, is a significant source of rivalry.</w:t>
      </w:r>
    </w:p>
    <w:p w14:paraId="7BB69157" w14:textId="6EED33D5" w:rsidR="00744AA1" w:rsidRDefault="00744AA1" w:rsidP="00A956FD">
      <w:pPr>
        <w:spacing w:line="360" w:lineRule="auto"/>
        <w:jc w:val="center"/>
        <w:rPr>
          <w:rFonts w:cs="Arial"/>
          <w:szCs w:val="24"/>
          <w:shd w:val="clear" w:color="auto" w:fill="FFFFFF"/>
        </w:rPr>
      </w:pPr>
      <w:r w:rsidRPr="00744AA1">
        <w:rPr>
          <w:rFonts w:cs="Arial"/>
          <w:noProof/>
          <w:szCs w:val="24"/>
          <w:shd w:val="clear" w:color="auto" w:fill="FFFFFF"/>
        </w:rPr>
        <w:drawing>
          <wp:inline distT="0" distB="0" distL="0" distR="0" wp14:anchorId="168FF41D" wp14:editId="7DF42870">
            <wp:extent cx="3228975" cy="1979026"/>
            <wp:effectExtent l="0" t="0" r="0" b="254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9"/>
                    <a:stretch>
                      <a:fillRect/>
                    </a:stretch>
                  </pic:blipFill>
                  <pic:spPr>
                    <a:xfrm>
                      <a:off x="0" y="0"/>
                      <a:ext cx="3237939" cy="1984520"/>
                    </a:xfrm>
                    <a:prstGeom prst="rect">
                      <a:avLst/>
                    </a:prstGeom>
                  </pic:spPr>
                </pic:pic>
              </a:graphicData>
            </a:graphic>
          </wp:inline>
        </w:drawing>
      </w:r>
    </w:p>
    <w:p w14:paraId="015C753F" w14:textId="01428BB3" w:rsidR="00744AA1" w:rsidRPr="00744AA1" w:rsidRDefault="00744AA1" w:rsidP="00744AA1">
      <w:pPr>
        <w:jc w:val="center"/>
        <w:rPr>
          <w:rFonts w:cs="Arial"/>
          <w:i/>
          <w:iCs/>
          <w:szCs w:val="24"/>
          <w:shd w:val="clear" w:color="auto" w:fill="FFFFFF"/>
        </w:rPr>
      </w:pPr>
      <w:r w:rsidRPr="00744AA1">
        <w:rPr>
          <w:rFonts w:cs="Arial"/>
          <w:i/>
          <w:iCs/>
          <w:szCs w:val="24"/>
          <w:shd w:val="clear" w:color="auto" w:fill="FFFFFF"/>
        </w:rPr>
        <w:t xml:space="preserve">Figure 1: </w:t>
      </w:r>
      <w:r w:rsidRPr="00744AA1">
        <w:rPr>
          <w:i/>
          <w:iCs/>
          <w:shd w:val="clear" w:color="auto" w:fill="FFFFFF"/>
        </w:rPr>
        <w:t>Projected electric vehicle sales as a percentage of car sales worldwide between 2030 and 2050</w:t>
      </w:r>
      <w:r w:rsidR="00AE1756">
        <w:rPr>
          <w:i/>
          <w:iCs/>
          <w:shd w:val="clear" w:color="auto" w:fill="FFFFFF"/>
        </w:rPr>
        <w:t>, Source: Morgan Stanley (2020)</w:t>
      </w:r>
    </w:p>
    <w:p w14:paraId="577453BD" w14:textId="77777777" w:rsidR="009513F7" w:rsidRPr="009513F7" w:rsidRDefault="009513F7" w:rsidP="009513F7">
      <w:pPr>
        <w:spacing w:line="360" w:lineRule="auto"/>
        <w:jc w:val="both"/>
        <w:rPr>
          <w:rFonts w:cs="Arial"/>
          <w:szCs w:val="24"/>
          <w:shd w:val="clear" w:color="auto" w:fill="FFFFFF"/>
        </w:rPr>
      </w:pPr>
    </w:p>
    <w:p w14:paraId="59410DC6" w14:textId="346D80A5" w:rsidR="000911F8" w:rsidRDefault="0031589C" w:rsidP="00993B81">
      <w:pPr>
        <w:spacing w:line="360" w:lineRule="auto"/>
        <w:jc w:val="both"/>
        <w:rPr>
          <w:b/>
          <w:bCs/>
        </w:rPr>
      </w:pPr>
      <w:r w:rsidRPr="0031589C">
        <w:rPr>
          <w:b/>
          <w:bCs/>
        </w:rPr>
        <w:t>Technological</w:t>
      </w:r>
    </w:p>
    <w:p w14:paraId="67ED132E" w14:textId="77777777" w:rsidR="007E3C62" w:rsidRDefault="007E3C62" w:rsidP="00993B81">
      <w:pPr>
        <w:spacing w:line="360" w:lineRule="auto"/>
        <w:jc w:val="both"/>
        <w:rPr>
          <w:b/>
          <w:bCs/>
        </w:rPr>
      </w:pPr>
    </w:p>
    <w:p w14:paraId="1D001D6E" w14:textId="60C14A7E" w:rsidR="007E3C62" w:rsidRDefault="00A956FD" w:rsidP="007E3C62">
      <w:pPr>
        <w:spacing w:line="360" w:lineRule="auto"/>
        <w:jc w:val="both"/>
      </w:pPr>
      <w:r w:rsidRPr="00A956FD">
        <w:t>Tesla autos are cutting-edge in terms of technology. Customers are attracted to these high-end cars that have cutting-edge technology because they represent the future of transportation. The fuel-efficiency feature completely changes the meaning of the word "sustainable." Technological advancement, on the other hand, is always evolving. It doesn't take long for a rival to create a feature that is similar to yours. Nonetheless, internet mobile systems and automation such to those used by Tesla offer unrivalled benefits. This portion of the study expresses optimism about the potential for future improvement as a result of technological advancement.</w:t>
      </w:r>
    </w:p>
    <w:p w14:paraId="7253B3CA" w14:textId="77777777" w:rsidR="00A956FD" w:rsidRPr="007E3C62" w:rsidRDefault="00A956FD" w:rsidP="007E3C62">
      <w:pPr>
        <w:spacing w:line="360" w:lineRule="auto"/>
        <w:jc w:val="both"/>
      </w:pPr>
    </w:p>
    <w:p w14:paraId="4270DC0C" w14:textId="10253B6E" w:rsidR="00993B81" w:rsidRDefault="00993B81" w:rsidP="00993B81">
      <w:pPr>
        <w:spacing w:line="360" w:lineRule="auto"/>
        <w:jc w:val="both"/>
        <w:rPr>
          <w:b/>
          <w:bCs/>
        </w:rPr>
      </w:pPr>
      <w:r w:rsidRPr="0031589C">
        <w:rPr>
          <w:b/>
          <w:bCs/>
        </w:rPr>
        <w:t>Legal</w:t>
      </w:r>
    </w:p>
    <w:p w14:paraId="7F65A5ED" w14:textId="77777777" w:rsidR="00A956FD" w:rsidRDefault="00A956FD" w:rsidP="00993B81">
      <w:pPr>
        <w:spacing w:line="360" w:lineRule="auto"/>
        <w:jc w:val="both"/>
        <w:rPr>
          <w:b/>
          <w:bCs/>
        </w:rPr>
      </w:pPr>
    </w:p>
    <w:p w14:paraId="1A636B20" w14:textId="69AA811F" w:rsidR="00906ECC" w:rsidRDefault="00A12F68" w:rsidP="00906ECC">
      <w:pPr>
        <w:spacing w:line="360" w:lineRule="auto"/>
        <w:jc w:val="both"/>
      </w:pPr>
      <w:r w:rsidRPr="00A12F68">
        <w:t>When Tesla opens up operations in new countries, it must comply with regulations by maintaining high standards and implementing new processes. Tesla has the ability to expand its global patent portfolio while simultaneously promoting its eco-friendly car. Selling its energy solution products to foreign nations is another option. On top of being restricted in certain places, Tesla has a limited worldwide sales operation.</w:t>
      </w:r>
    </w:p>
    <w:p w14:paraId="4D287893" w14:textId="77777777" w:rsidR="00A12F68" w:rsidRPr="00906ECC" w:rsidRDefault="00A12F68" w:rsidP="00906ECC">
      <w:pPr>
        <w:spacing w:line="360" w:lineRule="auto"/>
        <w:jc w:val="both"/>
      </w:pPr>
    </w:p>
    <w:p w14:paraId="4ED216C2" w14:textId="3C76398F" w:rsidR="00993B81" w:rsidRDefault="000911F8" w:rsidP="00993B81">
      <w:pPr>
        <w:spacing w:line="360" w:lineRule="auto"/>
        <w:jc w:val="both"/>
        <w:rPr>
          <w:b/>
          <w:bCs/>
        </w:rPr>
      </w:pPr>
      <w:r w:rsidRPr="0031589C">
        <w:rPr>
          <w:b/>
          <w:bCs/>
        </w:rPr>
        <w:t xml:space="preserve">Environmental </w:t>
      </w:r>
    </w:p>
    <w:p w14:paraId="1E8AF48C" w14:textId="53D47148" w:rsidR="007D73DD" w:rsidRDefault="007D73DD" w:rsidP="00993B81">
      <w:pPr>
        <w:spacing w:line="360" w:lineRule="auto"/>
        <w:jc w:val="both"/>
        <w:rPr>
          <w:b/>
          <w:bCs/>
        </w:rPr>
      </w:pPr>
    </w:p>
    <w:p w14:paraId="1F1E065C" w14:textId="77777777" w:rsidR="00250BC8" w:rsidRDefault="00250BC8" w:rsidP="00250BC8">
      <w:pPr>
        <w:spacing w:line="360" w:lineRule="auto"/>
        <w:jc w:val="both"/>
      </w:pPr>
      <w:r>
        <w:t>When it comes to pollution from human industry, the automotive industry remains one of the worst polluters. However, by automating and developing new methods of processing raw materials, as well as releasing zero-emission cars to the public, the industry is working to reduce pollution from both the manufacturing process and the use of finished products (The Guardian, 2019). A significant potential exists in the automotive sector because of Tesla's ambition to be the leader in the application of "green" principles throughout all of the company's goods and services, including its vehicles.</w:t>
      </w:r>
    </w:p>
    <w:p w14:paraId="5DE6B66F" w14:textId="77777777" w:rsidR="00250BC8" w:rsidRDefault="00250BC8" w:rsidP="00250BC8">
      <w:pPr>
        <w:spacing w:line="360" w:lineRule="auto"/>
        <w:jc w:val="both"/>
      </w:pPr>
    </w:p>
    <w:p w14:paraId="40B61713" w14:textId="76F1B74F" w:rsidR="00B1191E" w:rsidRPr="00906ECC" w:rsidRDefault="00250BC8" w:rsidP="00250BC8">
      <w:pPr>
        <w:spacing w:line="360" w:lineRule="auto"/>
        <w:jc w:val="both"/>
      </w:pPr>
      <w:r>
        <w:t>Overall, the PESTEL analysis of Tesla reveals that, given its legal macro-environment remote factors, the company has significant development potential in the global vehicle market.</w:t>
      </w:r>
    </w:p>
    <w:p w14:paraId="35A6EB77" w14:textId="77777777" w:rsidR="00906ECC" w:rsidRPr="00993B81" w:rsidRDefault="00906ECC" w:rsidP="00993B81">
      <w:pPr>
        <w:spacing w:line="360" w:lineRule="auto"/>
        <w:jc w:val="both"/>
      </w:pPr>
    </w:p>
    <w:p w14:paraId="7EB8583E" w14:textId="486DC213" w:rsidR="00230596" w:rsidRDefault="001C349F" w:rsidP="001C349F">
      <w:pPr>
        <w:pStyle w:val="Heading2"/>
        <w:numPr>
          <w:ilvl w:val="1"/>
          <w:numId w:val="2"/>
        </w:numPr>
      </w:pPr>
      <w:bookmarkStart w:id="3" w:name="_Toc92213684"/>
      <w:r>
        <w:t>Porter’s five forces</w:t>
      </w:r>
      <w:bookmarkEnd w:id="3"/>
    </w:p>
    <w:p w14:paraId="35BB3429" w14:textId="69CCD9E4" w:rsidR="00693909" w:rsidRDefault="00693909" w:rsidP="00693909"/>
    <w:p w14:paraId="72CFE73A" w14:textId="0C2FE121" w:rsidR="00693909" w:rsidRDefault="00693909" w:rsidP="00693909">
      <w:r>
        <w:rPr>
          <w:noProof/>
        </w:rPr>
        <mc:AlternateContent>
          <mc:Choice Requires="wps">
            <w:drawing>
              <wp:anchor distT="0" distB="0" distL="114300" distR="114300" simplePos="0" relativeHeight="251659264" behindDoc="0" locked="0" layoutInCell="1" allowOverlap="1" wp14:anchorId="4CF85B36" wp14:editId="35D318E4">
                <wp:simplePos x="0" y="0"/>
                <wp:positionH relativeFrom="column">
                  <wp:posOffset>2276475</wp:posOffset>
                </wp:positionH>
                <wp:positionV relativeFrom="paragraph">
                  <wp:posOffset>90805</wp:posOffset>
                </wp:positionV>
                <wp:extent cx="1304925" cy="752475"/>
                <wp:effectExtent l="0" t="0" r="28575" b="28575"/>
                <wp:wrapNone/>
                <wp:docPr id="1" name="Rectangle: Rounded Corners 1"/>
                <wp:cNvGraphicFramePr/>
                <a:graphic xmlns:a="http://schemas.openxmlformats.org/drawingml/2006/main">
                  <a:graphicData uri="http://schemas.microsoft.com/office/word/2010/wordprocessingShape">
                    <wps:wsp>
                      <wps:cNvSpPr/>
                      <wps:spPr>
                        <a:xfrm>
                          <a:off x="0" y="0"/>
                          <a:ext cx="1304925" cy="752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8B3F96" w14:textId="79BB6DA8" w:rsidR="00CC3DB5" w:rsidRDefault="00CC3DB5" w:rsidP="00CC3DB5">
                            <w:pPr>
                              <w:jc w:val="center"/>
                            </w:pPr>
                            <w:r>
                              <w:t>Threat of new entrants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CF85B36" id="Rectangle: Rounded Corners 1" o:spid="_x0000_s1026" style="position:absolute;margin-left:179.25pt;margin-top:7.15pt;width:102.75pt;height:59.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" fillcolor="#4472c4 [3204]" strokecolor="#1f3763 [1604]" strokeweight="1pt">
                <v:stroke joinstyle="miter"/>
                <v:textbox>
                  <w:txbxContent>
                    <w:p w14:paraId="2C8B3F96" w14:textId="79BB6DA8" w:rsidR="00CC3DB5" w:rsidRDefault="00CC3DB5" w:rsidP="00CC3DB5">
                      <w:pPr>
                        <w:jc w:val="center"/>
                      </w:pPr>
                      <w:r>
                        <w:t>Threat of new entrants</w:t>
                      </w:r>
                    </w:p>
                  </w:txbxContent>
                </v:textbox>
              </v:roundrect>
            </w:pict>
          </mc:Fallback>
        </mc:AlternateContent>
      </w:r>
    </w:p>
    <w:p w14:paraId="2417916C" w14:textId="3A370F2B" w:rsidR="00693909" w:rsidRDefault="00693909" w:rsidP="00693909"/>
    <w:p w14:paraId="2D777FFC" w14:textId="13BE0A2D" w:rsidR="00693909" w:rsidRDefault="00693909" w:rsidP="00693909"/>
    <w:p w14:paraId="291DED46" w14:textId="1661F595" w:rsidR="00693909" w:rsidRDefault="00693909" w:rsidP="00693909"/>
    <w:p w14:paraId="18A12A88" w14:textId="33ABBC63" w:rsidR="00693909" w:rsidRDefault="00693909" w:rsidP="00693909"/>
    <w:p w14:paraId="09B696C2" w14:textId="36869354" w:rsidR="00693909" w:rsidRDefault="001904AD" w:rsidP="00693909">
      <w:r>
        <w:rPr>
          <w:noProof/>
        </w:rPr>
        <mc:AlternateContent>
          <mc:Choice Requires="wps">
            <w:drawing>
              <wp:anchor distT="0" distB="0" distL="114300" distR="114300" simplePos="0" relativeHeight="251668480" behindDoc="0" locked="0" layoutInCell="1" allowOverlap="1" wp14:anchorId="7D4F92D6" wp14:editId="26377914">
                <wp:simplePos x="0" y="0"/>
                <wp:positionH relativeFrom="column">
                  <wp:posOffset>2781300</wp:posOffset>
                </wp:positionH>
                <wp:positionV relativeFrom="paragraph">
                  <wp:posOffset>52705</wp:posOffset>
                </wp:positionV>
                <wp:extent cx="257175" cy="628650"/>
                <wp:effectExtent l="19050" t="0" r="28575" b="38100"/>
                <wp:wrapNone/>
                <wp:docPr id="7" name="Arrow: Down 7"/>
                <wp:cNvGraphicFramePr/>
                <a:graphic xmlns:a="http://schemas.openxmlformats.org/drawingml/2006/main">
                  <a:graphicData uri="http://schemas.microsoft.com/office/word/2010/wordprocessingShape">
                    <wps:wsp>
                      <wps:cNvSpPr/>
                      <wps:spPr>
                        <a:xfrm>
                          <a:off x="0" y="0"/>
                          <a:ext cx="257175" cy="628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E6CF5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19pt;margin-top:4.15pt;width:20.25pt;height:4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" adj="17182" fillcolor="#4472c4 [3204]" strokecolor="#1f3763 [1604]" strokeweight="1pt"/>
            </w:pict>
          </mc:Fallback>
        </mc:AlternateContent>
      </w:r>
    </w:p>
    <w:p w14:paraId="02F2421C" w14:textId="07252ED1" w:rsidR="00693909" w:rsidRDefault="00693909" w:rsidP="00693909"/>
    <w:p w14:paraId="5CE5E194" w14:textId="0D623A5E" w:rsidR="00693909" w:rsidRDefault="00693909" w:rsidP="00693909"/>
    <w:p w14:paraId="333CC08E" w14:textId="651DB0B0" w:rsidR="00693909" w:rsidRDefault="00693909" w:rsidP="00693909"/>
    <w:p w14:paraId="5B352BC5" w14:textId="59778147" w:rsidR="00693909" w:rsidRDefault="00CC3DB5" w:rsidP="00693909">
      <w:r>
        <w:rPr>
          <w:noProof/>
        </w:rPr>
        <mc:AlternateContent>
          <mc:Choice Requires="wps">
            <w:drawing>
              <wp:anchor distT="0" distB="0" distL="114300" distR="114300" simplePos="0" relativeHeight="251665408" behindDoc="0" locked="0" layoutInCell="1" allowOverlap="1" wp14:anchorId="507AE642" wp14:editId="24B4DEBE">
                <wp:simplePos x="0" y="0"/>
                <wp:positionH relativeFrom="column">
                  <wp:posOffset>1981200</wp:posOffset>
                </wp:positionH>
                <wp:positionV relativeFrom="paragraph">
                  <wp:posOffset>27940</wp:posOffset>
                </wp:positionV>
                <wp:extent cx="1762125" cy="752475"/>
                <wp:effectExtent l="0" t="0" r="28575" b="28575"/>
                <wp:wrapNone/>
                <wp:docPr id="5" name="Rectangle: Rounded Corners 5"/>
                <wp:cNvGraphicFramePr/>
                <a:graphic xmlns:a="http://schemas.openxmlformats.org/drawingml/2006/main">
                  <a:graphicData uri="http://schemas.microsoft.com/office/word/2010/wordprocessingShape">
                    <wps:wsp>
                      <wps:cNvSpPr/>
                      <wps:spPr>
                        <a:xfrm>
                          <a:off x="0" y="0"/>
                          <a:ext cx="1762125" cy="752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4BA2E4" w14:textId="4120F1B3" w:rsidR="000533A6" w:rsidRDefault="000533A6" w:rsidP="000533A6">
                            <w:pPr>
                              <w:jc w:val="center"/>
                            </w:pPr>
                            <w:r>
                              <w:t>Competitive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07AE642" id="Rectangle: Rounded Corners 5" o:spid="_x0000_s1027" style="position:absolute;margin-left:156pt;margin-top:2.2pt;width:138.75pt;height:59.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" fillcolor="#4472c4 [3204]" strokecolor="#1f3763 [1604]" strokeweight="1pt">
                <v:stroke joinstyle="miter"/>
                <v:textbox>
                  <w:txbxContent>
                    <w:p w14:paraId="444BA2E4" w14:textId="4120F1B3" w:rsidR="000533A6" w:rsidRDefault="000533A6" w:rsidP="000533A6">
                      <w:pPr>
                        <w:jc w:val="center"/>
                      </w:pPr>
                      <w:r>
                        <w:t>Competitive rivalry</w:t>
                      </w:r>
                    </w:p>
                  </w:txbxContent>
                </v:textbox>
              </v:roundrect>
            </w:pict>
          </mc:Fallback>
        </mc:AlternateContent>
      </w:r>
      <w:r>
        <w:rPr>
          <w:noProof/>
        </w:rPr>
        <mc:AlternateContent>
          <mc:Choice Requires="wps">
            <w:drawing>
              <wp:anchor distT="0" distB="0" distL="114300" distR="114300" simplePos="0" relativeHeight="251672576" behindDoc="0" locked="0" layoutInCell="1" allowOverlap="1" wp14:anchorId="50C67541" wp14:editId="180F1A5A">
                <wp:simplePos x="0" y="0"/>
                <wp:positionH relativeFrom="column">
                  <wp:posOffset>4005897</wp:posOffset>
                </wp:positionH>
                <wp:positionV relativeFrom="paragraph">
                  <wp:posOffset>75247</wp:posOffset>
                </wp:positionV>
                <wp:extent cx="257175" cy="610871"/>
                <wp:effectExtent l="13653" t="24447" r="0" b="42228"/>
                <wp:wrapNone/>
                <wp:docPr id="9" name="Arrow: Down 9"/>
                <wp:cNvGraphicFramePr/>
                <a:graphic xmlns:a="http://schemas.openxmlformats.org/drawingml/2006/main">
                  <a:graphicData uri="http://schemas.microsoft.com/office/word/2010/wordprocessingShape">
                    <wps:wsp>
                      <wps:cNvSpPr/>
                      <wps:spPr>
                        <a:xfrm rot="5400000">
                          <a:off x="0" y="0"/>
                          <a:ext cx="257175" cy="61087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A4D0B53" id="Arrow: Down 9" o:spid="_x0000_s1026" type="#_x0000_t67" style="position:absolute;margin-left:315.4pt;margin-top:5.9pt;width:20.25pt;height:48.1pt;rotation:90;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" adj="17053" fillcolor="#4472c4 [3204]" strokecolor="#1f3763 [1604]" strokeweight="1pt"/>
            </w:pict>
          </mc:Fallback>
        </mc:AlternateContent>
      </w:r>
      <w:r>
        <w:rPr>
          <w:noProof/>
        </w:rPr>
        <mc:AlternateContent>
          <mc:Choice Requires="wps">
            <w:drawing>
              <wp:anchor distT="0" distB="0" distL="114300" distR="114300" simplePos="0" relativeHeight="251661312" behindDoc="0" locked="0" layoutInCell="1" allowOverlap="1" wp14:anchorId="2EC09F80" wp14:editId="7D0F3E21">
                <wp:simplePos x="0" y="0"/>
                <wp:positionH relativeFrom="margin">
                  <wp:posOffset>4550410</wp:posOffset>
                </wp:positionH>
                <wp:positionV relativeFrom="paragraph">
                  <wp:posOffset>56515</wp:posOffset>
                </wp:positionV>
                <wp:extent cx="1209675" cy="71437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1209675" cy="714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13BB8F" w14:textId="3DEA3D03" w:rsidR="000533A6" w:rsidRDefault="000533A6" w:rsidP="000533A6">
                            <w:pPr>
                              <w:jc w:val="center"/>
                            </w:pPr>
                            <w:r>
                              <w:t>Power of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EC09F80" id="Rectangle: Rounded Corners 3" o:spid="_x0000_s1028" style="position:absolute;margin-left:358.3pt;margin-top:4.45pt;width:95.25pt;height:56.2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" fillcolor="#4472c4 [3204]" strokecolor="#1f3763 [1604]" strokeweight="1pt">
                <v:stroke joinstyle="miter"/>
                <v:textbox>
                  <w:txbxContent>
                    <w:p w14:paraId="5113BB8F" w14:textId="3DEA3D03" w:rsidR="000533A6" w:rsidRDefault="000533A6" w:rsidP="000533A6">
                      <w:pPr>
                        <w:jc w:val="center"/>
                      </w:pPr>
                      <w:r>
                        <w:t>Power of buyers</w:t>
                      </w:r>
                    </w:p>
                  </w:txbxContent>
                </v:textbox>
                <w10:wrap anchorx="margin"/>
              </v:roundrect>
            </w:pict>
          </mc:Fallback>
        </mc:AlternateContent>
      </w:r>
      <w:r w:rsidR="00A15A42">
        <w:rPr>
          <w:noProof/>
        </w:rPr>
        <mc:AlternateContent>
          <mc:Choice Requires="wps">
            <w:drawing>
              <wp:anchor distT="0" distB="0" distL="114300" distR="114300" simplePos="0" relativeHeight="251670528" behindDoc="0" locked="0" layoutInCell="1" allowOverlap="1" wp14:anchorId="4D4996B6" wp14:editId="20ADBEED">
                <wp:simplePos x="0" y="0"/>
                <wp:positionH relativeFrom="column">
                  <wp:posOffset>1504633</wp:posOffset>
                </wp:positionH>
                <wp:positionV relativeFrom="paragraph">
                  <wp:posOffset>84773</wp:posOffset>
                </wp:positionV>
                <wp:extent cx="257175" cy="628650"/>
                <wp:effectExtent l="4763" t="14287" r="0" b="33338"/>
                <wp:wrapNone/>
                <wp:docPr id="8" name="Arrow: Down 8"/>
                <wp:cNvGraphicFramePr/>
                <a:graphic xmlns:a="http://schemas.openxmlformats.org/drawingml/2006/main">
                  <a:graphicData uri="http://schemas.microsoft.com/office/word/2010/wordprocessingShape">
                    <wps:wsp>
                      <wps:cNvSpPr/>
                      <wps:spPr>
                        <a:xfrm rot="16200000">
                          <a:off x="0" y="0"/>
                          <a:ext cx="257175" cy="628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10FB9B" id="Arrow: Down 8" o:spid="_x0000_s1026" type="#_x0000_t67" style="position:absolute;margin-left:118.5pt;margin-top:6.7pt;width:20.25pt;height:49.5pt;rotation:-90;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" adj="17182" fillcolor="#4472c4 [3204]" strokecolor="#1f3763 [1604]" strokeweight="1pt"/>
            </w:pict>
          </mc:Fallback>
        </mc:AlternateContent>
      </w:r>
      <w:r w:rsidR="00A15A42">
        <w:rPr>
          <w:noProof/>
        </w:rPr>
        <mc:AlternateContent>
          <mc:Choice Requires="wps">
            <w:drawing>
              <wp:anchor distT="0" distB="0" distL="114300" distR="114300" simplePos="0" relativeHeight="251663360" behindDoc="0" locked="0" layoutInCell="1" allowOverlap="1" wp14:anchorId="3155EB49" wp14:editId="358CADC4">
                <wp:simplePos x="0" y="0"/>
                <wp:positionH relativeFrom="margin">
                  <wp:align>left</wp:align>
                </wp:positionH>
                <wp:positionV relativeFrom="paragraph">
                  <wp:posOffset>56515</wp:posOffset>
                </wp:positionV>
                <wp:extent cx="1209675" cy="695325"/>
                <wp:effectExtent l="0" t="0" r="28575" b="28575"/>
                <wp:wrapNone/>
                <wp:docPr id="4" name="Rectangle: Rounded Corners 4"/>
                <wp:cNvGraphicFramePr/>
                <a:graphic xmlns:a="http://schemas.openxmlformats.org/drawingml/2006/main">
                  <a:graphicData uri="http://schemas.microsoft.com/office/word/2010/wordprocessingShape">
                    <wps:wsp>
                      <wps:cNvSpPr/>
                      <wps:spPr>
                        <a:xfrm>
                          <a:off x="0" y="0"/>
                          <a:ext cx="1209675" cy="6953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3710D0" w14:textId="48ABA51A" w:rsidR="000533A6" w:rsidRDefault="000533A6" w:rsidP="000533A6">
                            <w:pPr>
                              <w:jc w:val="center"/>
                            </w:pPr>
                            <w:r>
                              <w:t>Power of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55EB49" id="Rectangle: Rounded Corners 4" o:spid="_x0000_s1029" style="position:absolute;margin-left:0;margin-top:4.45pt;width:95.25pt;height:54.7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" fillcolor="#4472c4 [3204]" strokecolor="#1f3763 [1604]" strokeweight="1pt">
                <v:stroke joinstyle="miter"/>
                <v:textbox>
                  <w:txbxContent>
                    <w:p w14:paraId="223710D0" w14:textId="48ABA51A" w:rsidR="000533A6" w:rsidRDefault="000533A6" w:rsidP="000533A6">
                      <w:pPr>
                        <w:jc w:val="center"/>
                      </w:pPr>
                      <w:r>
                        <w:t>Power of suppliers</w:t>
                      </w:r>
                    </w:p>
                  </w:txbxContent>
                </v:textbox>
                <w10:wrap anchorx="margin"/>
              </v:roundrect>
            </w:pict>
          </mc:Fallback>
        </mc:AlternateContent>
      </w:r>
    </w:p>
    <w:p w14:paraId="375A9EF8" w14:textId="65B82055" w:rsidR="00693909" w:rsidRDefault="00693909" w:rsidP="00693909"/>
    <w:p w14:paraId="275A8A58" w14:textId="2302AFDD" w:rsidR="00693909" w:rsidRDefault="00693909" w:rsidP="00693909"/>
    <w:p w14:paraId="013520D0" w14:textId="5A3C050B" w:rsidR="00693909" w:rsidRDefault="00693909" w:rsidP="00693909"/>
    <w:p w14:paraId="066ECB54" w14:textId="56A180A3" w:rsidR="00693909" w:rsidRDefault="00A15A42" w:rsidP="00693909">
      <w:r>
        <w:rPr>
          <w:noProof/>
        </w:rPr>
        <mc:AlternateContent>
          <mc:Choice Requires="wps">
            <w:drawing>
              <wp:anchor distT="0" distB="0" distL="114300" distR="114300" simplePos="0" relativeHeight="251674624" behindDoc="0" locked="0" layoutInCell="1" allowOverlap="1" wp14:anchorId="197F33AE" wp14:editId="47EF1A5D">
                <wp:simplePos x="0" y="0"/>
                <wp:positionH relativeFrom="column">
                  <wp:posOffset>2771774</wp:posOffset>
                </wp:positionH>
                <wp:positionV relativeFrom="paragraph">
                  <wp:posOffset>127000</wp:posOffset>
                </wp:positionV>
                <wp:extent cx="257175" cy="628650"/>
                <wp:effectExtent l="19050" t="19050" r="47625" b="19050"/>
                <wp:wrapNone/>
                <wp:docPr id="10" name="Arrow: Down 10"/>
                <wp:cNvGraphicFramePr/>
                <a:graphic xmlns:a="http://schemas.openxmlformats.org/drawingml/2006/main">
                  <a:graphicData uri="http://schemas.microsoft.com/office/word/2010/wordprocessingShape">
                    <wps:wsp>
                      <wps:cNvSpPr/>
                      <wps:spPr>
                        <a:xfrm rot="10800000">
                          <a:off x="0" y="0"/>
                          <a:ext cx="257175" cy="628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3D4C09" id="Arrow: Down 10" o:spid="_x0000_s1026" type="#_x0000_t67" style="position:absolute;margin-left:218.25pt;margin-top:10pt;width:20.25pt;height:49.5pt;rotation:180;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" adj="17182" fillcolor="#4472c4 [3204]" strokecolor="#1f3763 [1604]" strokeweight="1pt"/>
            </w:pict>
          </mc:Fallback>
        </mc:AlternateContent>
      </w:r>
    </w:p>
    <w:p w14:paraId="04706ECA" w14:textId="52926E62" w:rsidR="00693909" w:rsidRDefault="00693909" w:rsidP="00693909"/>
    <w:p w14:paraId="6C8EA324" w14:textId="3715838E" w:rsidR="00693909" w:rsidRDefault="00693909" w:rsidP="00693909"/>
    <w:p w14:paraId="4F64B294" w14:textId="38EE3A2B" w:rsidR="00693909" w:rsidRDefault="00693909" w:rsidP="00693909"/>
    <w:p w14:paraId="2607DC87" w14:textId="77777777" w:rsidR="00AE1756" w:rsidRDefault="00AE1756" w:rsidP="00693909"/>
    <w:p w14:paraId="27143137" w14:textId="42D306C0" w:rsidR="00AE1756" w:rsidRDefault="00630DDD" w:rsidP="00693909">
      <w:r>
        <w:rPr>
          <w:noProof/>
        </w:rPr>
        <mc:AlternateContent>
          <mc:Choice Requires="wps">
            <w:drawing>
              <wp:anchor distT="0" distB="0" distL="114300" distR="114300" simplePos="0" relativeHeight="251667456" behindDoc="0" locked="0" layoutInCell="1" allowOverlap="1" wp14:anchorId="59384F90" wp14:editId="3577F52D">
                <wp:simplePos x="0" y="0"/>
                <wp:positionH relativeFrom="margin">
                  <wp:posOffset>2218055</wp:posOffset>
                </wp:positionH>
                <wp:positionV relativeFrom="paragraph">
                  <wp:posOffset>16510</wp:posOffset>
                </wp:positionV>
                <wp:extent cx="1381125" cy="752475"/>
                <wp:effectExtent l="0" t="0" r="28575" b="28575"/>
                <wp:wrapNone/>
                <wp:docPr id="6" name="Rectangle: Rounded Corners 6"/>
                <wp:cNvGraphicFramePr/>
                <a:graphic xmlns:a="http://schemas.openxmlformats.org/drawingml/2006/main">
                  <a:graphicData uri="http://schemas.microsoft.com/office/word/2010/wordprocessingShape">
                    <wps:wsp>
                      <wps:cNvSpPr/>
                      <wps:spPr>
                        <a:xfrm>
                          <a:off x="0" y="0"/>
                          <a:ext cx="1381125" cy="752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45C58A" w14:textId="72546BA1" w:rsidR="00CC3DB5" w:rsidRDefault="00CC3DB5" w:rsidP="00CC3DB5">
                            <w:pPr>
                              <w:jc w:val="center"/>
                            </w:pPr>
                            <w:r>
                              <w:t>Threat of substitutes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9384F90" id="Rectangle: Rounded Corners 6" o:spid="_x0000_s1030" style="position:absolute;margin-left:174.65pt;margin-top:1.3pt;width:108.75pt;height:59.2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" fillcolor="#4472c4 [3204]" strokecolor="#1f3763 [1604]" strokeweight="1pt">
                <v:stroke joinstyle="miter"/>
                <v:textbox>
                  <w:txbxContent>
                    <w:p w14:paraId="6F45C58A" w14:textId="72546BA1" w:rsidR="00CC3DB5" w:rsidRDefault="00CC3DB5" w:rsidP="00CC3DB5">
                      <w:pPr>
                        <w:jc w:val="center"/>
                      </w:pPr>
                      <w:r>
                        <w:t>Threat of substitutes</w:t>
                      </w:r>
                    </w:p>
                  </w:txbxContent>
                </v:textbox>
                <w10:wrap anchorx="margin"/>
              </v:roundrect>
            </w:pict>
          </mc:Fallback>
        </mc:AlternateContent>
      </w:r>
    </w:p>
    <w:p w14:paraId="3581496A" w14:textId="4286A775" w:rsidR="00AE1756" w:rsidRDefault="00AE1756" w:rsidP="00693909"/>
    <w:p w14:paraId="25527F93" w14:textId="77777777" w:rsidR="00AE1756" w:rsidRDefault="00AE1756" w:rsidP="00693909"/>
    <w:p w14:paraId="17AE32DB" w14:textId="0C124EDD" w:rsidR="00AE1756" w:rsidRDefault="00AE1756" w:rsidP="00693909"/>
    <w:p w14:paraId="417CCA78" w14:textId="77777777" w:rsidR="00AE1756" w:rsidRDefault="00AE1756" w:rsidP="00693909"/>
    <w:p w14:paraId="28F08FFC" w14:textId="33BD6418" w:rsidR="00693909" w:rsidRPr="00D741D6" w:rsidRDefault="00D741D6" w:rsidP="00D741D6">
      <w:pPr>
        <w:jc w:val="center"/>
        <w:rPr>
          <w:rFonts w:cs="Arial"/>
          <w:i/>
          <w:iCs/>
          <w:szCs w:val="24"/>
        </w:rPr>
      </w:pPr>
      <w:r w:rsidRPr="00D741D6">
        <w:rPr>
          <w:rFonts w:cs="Arial"/>
          <w:i/>
          <w:iCs/>
          <w:szCs w:val="24"/>
        </w:rPr>
        <w:t xml:space="preserve">Figure 2: </w:t>
      </w:r>
      <w:r w:rsidRPr="00D741D6">
        <w:rPr>
          <w:rFonts w:cs="Arial"/>
          <w:i/>
          <w:iCs/>
          <w:color w:val="212529"/>
          <w:szCs w:val="24"/>
          <w:shd w:val="clear" w:color="auto" w:fill="FFFFFF"/>
        </w:rPr>
        <w:t>Porter’s five forces, Source: Porter (1979)</w:t>
      </w:r>
    </w:p>
    <w:p w14:paraId="493B882B" w14:textId="33C012F8" w:rsidR="00A5346F" w:rsidRDefault="00A5346F" w:rsidP="00A5346F"/>
    <w:p w14:paraId="2BA2A9D5" w14:textId="7D25266C" w:rsidR="00A5346F" w:rsidRDefault="00A5346F" w:rsidP="00A5346F">
      <w:pPr>
        <w:spacing w:line="360" w:lineRule="auto"/>
        <w:jc w:val="both"/>
        <w:rPr>
          <w:rFonts w:cs="Arial"/>
          <w:szCs w:val="24"/>
        </w:rPr>
      </w:pPr>
      <w:r w:rsidRPr="001B5857">
        <w:rPr>
          <w:rFonts w:cs="Arial"/>
          <w:szCs w:val="24"/>
        </w:rPr>
        <w:t>The Porter’s five forces analysis will provide a better understating on the threats faced by Tesla both globally and at hom</w:t>
      </w:r>
      <w:r>
        <w:rPr>
          <w:rFonts w:cs="Arial"/>
          <w:szCs w:val="24"/>
        </w:rPr>
        <w:t>e by analysing the threat of new entrants and substitutes, as well as the power of suppliers and buyers.</w:t>
      </w:r>
    </w:p>
    <w:p w14:paraId="153FF2E0" w14:textId="515535BE" w:rsidR="00A5346F" w:rsidRDefault="00A5346F" w:rsidP="00A5346F">
      <w:pPr>
        <w:spacing w:line="360" w:lineRule="auto"/>
        <w:jc w:val="both"/>
        <w:rPr>
          <w:rFonts w:cs="Arial"/>
          <w:szCs w:val="24"/>
        </w:rPr>
      </w:pPr>
    </w:p>
    <w:p w14:paraId="4CFBA6F8" w14:textId="5BB8BACA" w:rsidR="00A5346F" w:rsidRDefault="00A5346F" w:rsidP="00A5346F">
      <w:pPr>
        <w:spacing w:line="360" w:lineRule="auto"/>
        <w:jc w:val="both"/>
        <w:rPr>
          <w:rFonts w:cs="Arial"/>
          <w:b/>
          <w:bCs/>
          <w:szCs w:val="24"/>
        </w:rPr>
      </w:pPr>
      <w:r w:rsidRPr="007A3C96">
        <w:rPr>
          <w:rFonts w:cs="Arial"/>
          <w:b/>
          <w:bCs/>
          <w:szCs w:val="24"/>
        </w:rPr>
        <w:t>Threat of new entrants</w:t>
      </w:r>
    </w:p>
    <w:p w14:paraId="58E2B15F" w14:textId="77777777" w:rsidR="009F2D87" w:rsidRDefault="009F2D87" w:rsidP="00A5346F">
      <w:pPr>
        <w:spacing w:line="360" w:lineRule="auto"/>
        <w:jc w:val="both"/>
        <w:rPr>
          <w:rFonts w:cs="Arial"/>
          <w:b/>
          <w:bCs/>
          <w:szCs w:val="24"/>
        </w:rPr>
      </w:pPr>
    </w:p>
    <w:p w14:paraId="303DAF62" w14:textId="1279CC2F" w:rsidR="009D0BAF" w:rsidRDefault="000D6341" w:rsidP="008069A4">
      <w:pPr>
        <w:spacing w:line="360" w:lineRule="auto"/>
        <w:jc w:val="both"/>
        <w:rPr>
          <w:rFonts w:cs="Arial"/>
          <w:szCs w:val="24"/>
        </w:rPr>
      </w:pPr>
      <w:r w:rsidRPr="000D6341">
        <w:rPr>
          <w:rFonts w:cs="Arial"/>
          <w:szCs w:val="24"/>
        </w:rPr>
        <w:t>As a result of the company's strong brand visibility, the addition of new c</w:t>
      </w:r>
      <w:r w:rsidR="008069A4">
        <w:rPr>
          <w:rFonts w:cs="Arial"/>
          <w:szCs w:val="24"/>
        </w:rPr>
        <w:t>ustomers</w:t>
      </w:r>
      <w:r w:rsidRPr="000D6341">
        <w:rPr>
          <w:rFonts w:cs="Arial"/>
          <w:szCs w:val="24"/>
        </w:rPr>
        <w:t xml:space="preserve"> following the SolarCity merger (Tesla, 2016), which expanded the c</w:t>
      </w:r>
      <w:r w:rsidR="008069A4">
        <w:rPr>
          <w:rFonts w:cs="Arial"/>
          <w:szCs w:val="24"/>
        </w:rPr>
        <w:t>ustomer base</w:t>
      </w:r>
      <w:r w:rsidRPr="000D6341">
        <w:rPr>
          <w:rFonts w:cs="Arial"/>
          <w:szCs w:val="24"/>
        </w:rPr>
        <w:t xml:space="preserve"> to include people other than car owners, the exposure and popularity of its CEO Elon Musk, which makes it difficult for new companies to advertise their brands on the same level, and the high costs associated with developing and manufacturing vehicles and energy solutions at the same time, Tesla has been able to solidify its market position.</w:t>
      </w:r>
      <w:r>
        <w:rPr>
          <w:rFonts w:cs="Arial"/>
          <w:szCs w:val="24"/>
        </w:rPr>
        <w:t xml:space="preserve"> </w:t>
      </w:r>
      <w:r w:rsidR="00F31F63" w:rsidRPr="00F31F63">
        <w:rPr>
          <w:rFonts w:cs="Arial"/>
          <w:szCs w:val="24"/>
        </w:rPr>
        <w:t>As a result of technical advancement and a drop in the cost of batteries, Tesla faces a Medium to High level of competition in the electric vehicle industry, despite its</w:t>
      </w:r>
      <w:r w:rsidR="008069A4">
        <w:rPr>
          <w:rFonts w:cs="Arial"/>
          <w:szCs w:val="24"/>
        </w:rPr>
        <w:t xml:space="preserve"> </w:t>
      </w:r>
      <w:r w:rsidR="00F31F63" w:rsidRPr="00F31F63">
        <w:rPr>
          <w:rFonts w:cs="Arial"/>
          <w:szCs w:val="24"/>
        </w:rPr>
        <w:lastRenderedPageBreak/>
        <w:t>established position within this market segment.</w:t>
      </w:r>
      <w:r w:rsidR="009D0BAF" w:rsidRPr="009D0BAF">
        <w:rPr>
          <w:rFonts w:cs="Arial"/>
          <w:noProof/>
          <w:szCs w:val="24"/>
        </w:rPr>
        <w:drawing>
          <wp:inline distT="0" distB="0" distL="0" distR="0" wp14:anchorId="0DCDE2FB" wp14:editId="2E897E71">
            <wp:extent cx="5182323" cy="3734321"/>
            <wp:effectExtent l="0" t="0" r="0" b="0"/>
            <wp:docPr id="14" name="Picture 1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histogram&#10;&#10;Description automatically generated"/>
                    <pic:cNvPicPr/>
                  </pic:nvPicPr>
                  <pic:blipFill>
                    <a:blip r:embed="rId10"/>
                    <a:stretch>
                      <a:fillRect/>
                    </a:stretch>
                  </pic:blipFill>
                  <pic:spPr>
                    <a:xfrm>
                      <a:off x="0" y="0"/>
                      <a:ext cx="5182323" cy="3734321"/>
                    </a:xfrm>
                    <a:prstGeom prst="rect">
                      <a:avLst/>
                    </a:prstGeom>
                  </pic:spPr>
                </pic:pic>
              </a:graphicData>
            </a:graphic>
          </wp:inline>
        </w:drawing>
      </w:r>
    </w:p>
    <w:p w14:paraId="0BFE52A4" w14:textId="07A09F10" w:rsidR="001E057B" w:rsidRPr="004371BF" w:rsidRDefault="001E057B" w:rsidP="004371BF">
      <w:pPr>
        <w:spacing w:line="360" w:lineRule="auto"/>
        <w:jc w:val="center"/>
        <w:rPr>
          <w:rFonts w:cs="Arial"/>
          <w:i/>
          <w:iCs/>
          <w:szCs w:val="24"/>
        </w:rPr>
      </w:pPr>
      <w:r w:rsidRPr="004371BF">
        <w:rPr>
          <w:rFonts w:cs="Arial"/>
          <w:i/>
          <w:iCs/>
          <w:szCs w:val="24"/>
        </w:rPr>
        <w:t>Figure 3: Predicted global sales of electric vehicles</w:t>
      </w:r>
    </w:p>
    <w:p w14:paraId="3802DC4A" w14:textId="77777777" w:rsidR="004371BF" w:rsidRDefault="004371BF" w:rsidP="00A5346F">
      <w:pPr>
        <w:spacing w:line="360" w:lineRule="auto"/>
        <w:jc w:val="both"/>
        <w:rPr>
          <w:rFonts w:cs="Arial"/>
          <w:szCs w:val="24"/>
        </w:rPr>
      </w:pPr>
    </w:p>
    <w:p w14:paraId="14A37715" w14:textId="49BBF844" w:rsidR="009F2D87" w:rsidRDefault="00B87A4D" w:rsidP="00A5346F">
      <w:pPr>
        <w:spacing w:line="360" w:lineRule="auto"/>
        <w:jc w:val="both"/>
        <w:rPr>
          <w:rFonts w:cs="Arial"/>
          <w:szCs w:val="24"/>
        </w:rPr>
      </w:pPr>
      <w:r w:rsidRPr="00B87A4D">
        <w:rPr>
          <w:rFonts w:cs="Arial"/>
          <w:szCs w:val="24"/>
        </w:rPr>
        <w:t>The timing of entry into the electric vehicle sector is critical in encouraging present and future manufacturers to compete for a piece of the growing pie in the future. By 2040, it is estimated that sales of electric vehicles in the United States would surpass 6.5 millions vehicles, while sales of autonomous electric vehicles will exceed 8.5 million vehicles worldwide, as seen in Figure 3.</w:t>
      </w:r>
    </w:p>
    <w:p w14:paraId="4B301F2C" w14:textId="77777777" w:rsidR="00B87A4D" w:rsidRPr="009F2D87" w:rsidRDefault="00B87A4D" w:rsidP="00A5346F">
      <w:pPr>
        <w:spacing w:line="360" w:lineRule="auto"/>
        <w:jc w:val="both"/>
        <w:rPr>
          <w:rFonts w:cs="Arial"/>
          <w:szCs w:val="24"/>
        </w:rPr>
      </w:pPr>
    </w:p>
    <w:p w14:paraId="53F3F6D5" w14:textId="2A4BAC79" w:rsidR="00A5346F" w:rsidRDefault="00A5346F" w:rsidP="00A5346F">
      <w:pPr>
        <w:spacing w:line="360" w:lineRule="auto"/>
        <w:jc w:val="both"/>
        <w:rPr>
          <w:rFonts w:cs="Arial"/>
          <w:b/>
          <w:bCs/>
          <w:szCs w:val="24"/>
        </w:rPr>
      </w:pPr>
      <w:r w:rsidRPr="007A3C96">
        <w:rPr>
          <w:rFonts w:cs="Arial"/>
          <w:b/>
          <w:bCs/>
          <w:szCs w:val="24"/>
        </w:rPr>
        <w:t>Threat of substitutes</w:t>
      </w:r>
    </w:p>
    <w:p w14:paraId="342468A9" w14:textId="77777777" w:rsidR="009C0BA8" w:rsidRDefault="009C0BA8" w:rsidP="00A5346F">
      <w:pPr>
        <w:spacing w:line="360" w:lineRule="auto"/>
        <w:jc w:val="both"/>
        <w:rPr>
          <w:rFonts w:cs="Arial"/>
          <w:b/>
          <w:bCs/>
          <w:szCs w:val="24"/>
        </w:rPr>
      </w:pPr>
    </w:p>
    <w:p w14:paraId="3F97D8F1" w14:textId="0EC3F14C" w:rsidR="009C0BA8" w:rsidRDefault="009C0BA8" w:rsidP="00A5346F">
      <w:pPr>
        <w:spacing w:line="360" w:lineRule="auto"/>
        <w:jc w:val="both"/>
        <w:rPr>
          <w:rFonts w:cs="Arial"/>
          <w:szCs w:val="24"/>
        </w:rPr>
      </w:pPr>
      <w:r w:rsidRPr="009C0BA8">
        <w:rPr>
          <w:rFonts w:cs="Arial"/>
          <w:szCs w:val="24"/>
        </w:rPr>
        <w:t>Due to the growing number of firms that include the use of alternative energy in their means of production and end products, the danger of replacement is a problem in the solar energy and electric car sector. Although many towns advocate the use of public transit</w:t>
      </w:r>
      <w:r w:rsidR="00B40A26">
        <w:rPr>
          <w:rFonts w:cs="Arial"/>
          <w:szCs w:val="24"/>
        </w:rPr>
        <w:t xml:space="preserve">, </w:t>
      </w:r>
      <w:r w:rsidR="001E2021">
        <w:rPr>
          <w:rFonts w:cs="Arial"/>
          <w:szCs w:val="24"/>
        </w:rPr>
        <w:t>bikes,</w:t>
      </w:r>
      <w:r w:rsidR="00B40A26">
        <w:rPr>
          <w:rFonts w:cs="Arial"/>
          <w:szCs w:val="24"/>
        </w:rPr>
        <w:t xml:space="preserve"> or electric bikes</w:t>
      </w:r>
      <w:r w:rsidRPr="009C0BA8">
        <w:rPr>
          <w:rFonts w:cs="Arial"/>
          <w:szCs w:val="24"/>
        </w:rPr>
        <w:t xml:space="preserve"> as alternatives to driving a car, many individuals will continue to drive their own car owing to a lack of support from the public sector, particularly in rural regions, therefore the danger of personal vehicle substitution is </w:t>
      </w:r>
      <w:r>
        <w:rPr>
          <w:rFonts w:cs="Arial"/>
          <w:szCs w:val="24"/>
        </w:rPr>
        <w:t>Low to moderate</w:t>
      </w:r>
      <w:r w:rsidR="00EB2A6A">
        <w:rPr>
          <w:rFonts w:cs="Arial"/>
          <w:szCs w:val="24"/>
        </w:rPr>
        <w:t>.</w:t>
      </w:r>
    </w:p>
    <w:p w14:paraId="22E61F95" w14:textId="77777777" w:rsidR="009C0BA8" w:rsidRPr="009C0BA8" w:rsidRDefault="009C0BA8" w:rsidP="00A5346F">
      <w:pPr>
        <w:spacing w:line="360" w:lineRule="auto"/>
        <w:jc w:val="both"/>
        <w:rPr>
          <w:rFonts w:cs="Arial"/>
          <w:szCs w:val="24"/>
        </w:rPr>
      </w:pPr>
    </w:p>
    <w:p w14:paraId="7ED78813" w14:textId="5DD457E5" w:rsidR="00A5346F" w:rsidRDefault="00A5346F" w:rsidP="00A5346F">
      <w:pPr>
        <w:spacing w:line="360" w:lineRule="auto"/>
        <w:jc w:val="both"/>
        <w:rPr>
          <w:rFonts w:cs="Arial"/>
          <w:b/>
          <w:bCs/>
          <w:szCs w:val="24"/>
        </w:rPr>
      </w:pPr>
      <w:r w:rsidRPr="007A3C96">
        <w:rPr>
          <w:rFonts w:cs="Arial"/>
          <w:b/>
          <w:bCs/>
          <w:szCs w:val="24"/>
        </w:rPr>
        <w:lastRenderedPageBreak/>
        <w:t>Power of suppliers</w:t>
      </w:r>
    </w:p>
    <w:p w14:paraId="363CDC96" w14:textId="77777777" w:rsidR="00DA4901" w:rsidRDefault="00DA4901" w:rsidP="00A5346F">
      <w:pPr>
        <w:spacing w:line="360" w:lineRule="auto"/>
        <w:jc w:val="both"/>
        <w:rPr>
          <w:rFonts w:cs="Arial"/>
          <w:b/>
          <w:bCs/>
          <w:szCs w:val="24"/>
        </w:rPr>
      </w:pPr>
    </w:p>
    <w:p w14:paraId="5E999D62" w14:textId="22618D40" w:rsidR="00DA4901" w:rsidRDefault="008069A4" w:rsidP="00DA4901">
      <w:pPr>
        <w:spacing w:line="360" w:lineRule="auto"/>
        <w:jc w:val="both"/>
        <w:rPr>
          <w:rFonts w:cs="Arial"/>
          <w:szCs w:val="24"/>
        </w:rPr>
      </w:pPr>
      <w:r w:rsidRPr="008069A4">
        <w:rPr>
          <w:rFonts w:cs="Arial"/>
          <w:szCs w:val="24"/>
        </w:rPr>
        <w:t>Tesla obtains its car parts from a variety of sources throughout the world. Due to Tesla's ability to simply change the majority of its suppliers, it is vital for suppliers to do business with the electric vehicle manufacturer. Suppliers' bargaining power is weakened as a result of these impacts.</w:t>
      </w:r>
    </w:p>
    <w:p w14:paraId="1374A3CC" w14:textId="77777777" w:rsidR="008069A4" w:rsidRPr="00DA4901" w:rsidRDefault="008069A4" w:rsidP="00DA4901">
      <w:pPr>
        <w:spacing w:line="360" w:lineRule="auto"/>
        <w:jc w:val="both"/>
        <w:rPr>
          <w:rFonts w:cs="Arial"/>
          <w:szCs w:val="24"/>
        </w:rPr>
      </w:pPr>
    </w:p>
    <w:p w14:paraId="38B0E2DC" w14:textId="759A0F82" w:rsidR="00A91064" w:rsidRDefault="00B87A4D" w:rsidP="00DA4901">
      <w:pPr>
        <w:spacing w:line="360" w:lineRule="auto"/>
        <w:jc w:val="both"/>
        <w:rPr>
          <w:rFonts w:cs="Arial"/>
          <w:szCs w:val="24"/>
        </w:rPr>
      </w:pPr>
      <w:r w:rsidRPr="00B87A4D">
        <w:rPr>
          <w:rFonts w:cs="Arial"/>
          <w:szCs w:val="24"/>
        </w:rPr>
        <w:t>A huge number of components are ordered by Tesla from a single source at the same time as well. When it comes to the battery packs that Tesla utilises in its automobile manufacturing, the company relies on just one authorised cell supplier. Panasonic is also the only supplier of lithium-ion cells, photovoltaic cells, and solar panels for the Gigafactory 1 in Nevada and the Gigafactory 2 in Buffalo, New York, which are both under construction. Therefore, in the present environment, suppliers' bargaining power is limited to modest in scope</w:t>
      </w:r>
      <w:r>
        <w:rPr>
          <w:rFonts w:cs="Arial"/>
          <w:szCs w:val="24"/>
        </w:rPr>
        <w:t>.</w:t>
      </w:r>
    </w:p>
    <w:p w14:paraId="57F88F30" w14:textId="77777777" w:rsidR="00B87A4D" w:rsidRPr="00DA4901" w:rsidRDefault="00B87A4D" w:rsidP="00DA4901">
      <w:pPr>
        <w:spacing w:line="360" w:lineRule="auto"/>
        <w:jc w:val="both"/>
        <w:rPr>
          <w:rFonts w:cs="Arial"/>
          <w:szCs w:val="24"/>
        </w:rPr>
      </w:pPr>
    </w:p>
    <w:p w14:paraId="0D3112B1" w14:textId="42016A99" w:rsidR="00A5346F" w:rsidRPr="007A3C96" w:rsidRDefault="00A5346F" w:rsidP="00A5346F">
      <w:pPr>
        <w:spacing w:line="360" w:lineRule="auto"/>
        <w:jc w:val="both"/>
        <w:rPr>
          <w:rFonts w:cs="Arial"/>
          <w:b/>
          <w:bCs/>
          <w:szCs w:val="24"/>
        </w:rPr>
      </w:pPr>
      <w:r w:rsidRPr="007A3C96">
        <w:rPr>
          <w:rFonts w:cs="Arial"/>
          <w:b/>
          <w:bCs/>
          <w:szCs w:val="24"/>
        </w:rPr>
        <w:t>Power of buyers</w:t>
      </w:r>
    </w:p>
    <w:p w14:paraId="4B633E2E" w14:textId="77777777" w:rsidR="00A5346F" w:rsidRDefault="00A5346F" w:rsidP="00A5346F">
      <w:pPr>
        <w:spacing w:line="360" w:lineRule="auto"/>
        <w:jc w:val="both"/>
        <w:rPr>
          <w:rFonts w:cs="Arial"/>
          <w:szCs w:val="24"/>
        </w:rPr>
      </w:pPr>
    </w:p>
    <w:p w14:paraId="4039E102" w14:textId="77777777" w:rsidR="00F569F5" w:rsidRDefault="00DE4B87" w:rsidP="00DE4B87">
      <w:pPr>
        <w:spacing w:line="360" w:lineRule="auto"/>
        <w:jc w:val="both"/>
      </w:pPr>
      <w:r w:rsidRPr="00DE4B87">
        <w:t>Due to the lowering cost of electric automobiles for the ordinary consumer (see appendix), buyers would prioritise battery range and overall product quality as buying criterion, favouring western manufacturers. While the government covers a portion of the expenses of a new electric car (Department of Transportation, 2020), and more conventional corporations are adopting this model, giving a range of vehicles to select from, the bargaining power of purchasers in this scenario is LOW.</w:t>
      </w:r>
      <w:r w:rsidR="00795E87">
        <w:t xml:space="preserve"> </w:t>
      </w:r>
    </w:p>
    <w:p w14:paraId="6883D5B6" w14:textId="77777777" w:rsidR="00F569F5" w:rsidRDefault="00F569F5" w:rsidP="00DE4B87">
      <w:pPr>
        <w:spacing w:line="360" w:lineRule="auto"/>
        <w:jc w:val="both"/>
      </w:pPr>
    </w:p>
    <w:p w14:paraId="3B690787" w14:textId="48292009" w:rsidR="000B4094" w:rsidRDefault="00537990" w:rsidP="00DE4B87">
      <w:pPr>
        <w:spacing w:line="360" w:lineRule="auto"/>
        <w:jc w:val="both"/>
      </w:pPr>
      <w:r w:rsidRPr="00537990">
        <w:t>Furthermore, in the case of Tesla, another aspect that restricts the power of purchasers is the company's ability to differentiate its products from competitors. Elon Musk's electric cars are now differentiated not just by their performance and simplicity, but also by their visually attractive design. To provide an example, the Tesla Model S Plaid is presently the fastest electric vehicle available on the market today. As a consequence, purchasers looking for high-performance and elegantly built electric vehicles have limited negotiation leverage since there are so few alternatives available on the market that give these advantages and characteristics.</w:t>
      </w:r>
    </w:p>
    <w:p w14:paraId="49678048" w14:textId="7B59EFA0" w:rsidR="000B4094" w:rsidRDefault="000B4094" w:rsidP="00DE4B87">
      <w:pPr>
        <w:spacing w:line="360" w:lineRule="auto"/>
        <w:jc w:val="both"/>
        <w:rPr>
          <w:b/>
          <w:bCs/>
        </w:rPr>
      </w:pPr>
      <w:r w:rsidRPr="000B4094">
        <w:rPr>
          <w:b/>
          <w:bCs/>
        </w:rPr>
        <w:t>Competitive rivalry</w:t>
      </w:r>
    </w:p>
    <w:p w14:paraId="444AD160" w14:textId="77777777" w:rsidR="000B4094" w:rsidRPr="000B4094" w:rsidRDefault="000B4094" w:rsidP="00DE4B87">
      <w:pPr>
        <w:spacing w:line="360" w:lineRule="auto"/>
        <w:jc w:val="both"/>
        <w:rPr>
          <w:b/>
          <w:bCs/>
        </w:rPr>
      </w:pPr>
    </w:p>
    <w:p w14:paraId="17BC7A68" w14:textId="27755345" w:rsidR="000B4094" w:rsidRDefault="00537990" w:rsidP="00DE4B87">
      <w:pPr>
        <w:spacing w:line="360" w:lineRule="auto"/>
        <w:jc w:val="both"/>
      </w:pPr>
      <w:r w:rsidRPr="00537990">
        <w:lastRenderedPageBreak/>
        <w:t>Electric vehicles are currently less popular than diesel or petrol-powered vehicles, indicating that Tesla operates in a highly competitive industrial environment. This is due to the fact that established traditional vehicle manufacturers who are still producing combustion engines have not withdrawn from the market, and because diesel and petrol-powered vehicles are currently more popular than electric vehicles. Chevrolet, General Motors, Ford, and Honda are some of Tesla's primary rivals in the automotive industry.</w:t>
      </w:r>
    </w:p>
    <w:p w14:paraId="5B083B22" w14:textId="77777777" w:rsidR="00537990" w:rsidRDefault="00537990" w:rsidP="00DE4B87">
      <w:pPr>
        <w:spacing w:line="360" w:lineRule="auto"/>
        <w:jc w:val="both"/>
      </w:pPr>
    </w:p>
    <w:p w14:paraId="1D4EC9F9" w14:textId="77777777" w:rsidR="00BF6812" w:rsidRPr="00BF6812" w:rsidRDefault="00BF6812" w:rsidP="00BF6812">
      <w:pPr>
        <w:spacing w:line="360" w:lineRule="auto"/>
        <w:jc w:val="both"/>
      </w:pPr>
      <w:bookmarkStart w:id="4" w:name="_Toc92213685"/>
      <w:r w:rsidRPr="00BF6812">
        <w:t>While Tesla is one of the most popular electric vehicle brands, it will face stiff competition in the coming years as top automakers such as BMW, Porsche, Jaguar, and Mercedes-Benz have announced billion-dollar investments in new infrastructure that will enable mass production of electric vehicles. BMW, Porsche, Jaguar, and Mercedes-Benz have all announced billion-dollar investments in new infrastructure that will enable mass production of electric vehicles (Financial Times, 2021).</w:t>
      </w:r>
    </w:p>
    <w:p w14:paraId="0F7B6E91" w14:textId="77777777" w:rsidR="00BF6812" w:rsidRDefault="00BF6812" w:rsidP="00BF6812">
      <w:pPr>
        <w:pStyle w:val="Heading1"/>
        <w:ind w:left="720"/>
      </w:pPr>
    </w:p>
    <w:p w14:paraId="5A139335" w14:textId="72A7191D" w:rsidR="002555A5" w:rsidRDefault="006F7756" w:rsidP="006815AF">
      <w:pPr>
        <w:pStyle w:val="Heading1"/>
        <w:numPr>
          <w:ilvl w:val="0"/>
          <w:numId w:val="2"/>
        </w:numPr>
      </w:pPr>
      <w:r>
        <w:t>Internal analysis</w:t>
      </w:r>
      <w:bookmarkEnd w:id="4"/>
    </w:p>
    <w:p w14:paraId="6F873BE6" w14:textId="3211D7C6" w:rsidR="00E861CF" w:rsidRPr="00E861CF" w:rsidRDefault="00E861CF" w:rsidP="00E861CF">
      <w:pPr>
        <w:spacing w:line="360" w:lineRule="auto"/>
        <w:jc w:val="both"/>
        <w:rPr>
          <w:sz w:val="32"/>
          <w:szCs w:val="24"/>
        </w:rPr>
      </w:pPr>
    </w:p>
    <w:p w14:paraId="718F8C16" w14:textId="7DEC3CA4" w:rsidR="00E861CF" w:rsidRDefault="00E861CF" w:rsidP="00E861CF">
      <w:pPr>
        <w:spacing w:line="360" w:lineRule="auto"/>
        <w:jc w:val="both"/>
        <w:rPr>
          <w:rFonts w:cs="Arial"/>
          <w:szCs w:val="24"/>
          <w:shd w:val="clear" w:color="auto" w:fill="FFFFFF"/>
        </w:rPr>
      </w:pPr>
      <w:r w:rsidRPr="00E861CF">
        <w:rPr>
          <w:rFonts w:cs="Arial"/>
          <w:szCs w:val="24"/>
          <w:shd w:val="clear" w:color="auto" w:fill="FFFFFF"/>
        </w:rPr>
        <w:t>Tesla's cutting edge technology enabled him to achieve things that many currently considered out of the realm of possibility for the industry. With focused and committed engineering teams working on the development and production of the world's first fully electric car, an overview of the company's strengths and weaknesses helps to better understand the process.</w:t>
      </w:r>
    </w:p>
    <w:p w14:paraId="6ADF5942" w14:textId="2249F8BD" w:rsidR="00034C31" w:rsidRDefault="00034C31" w:rsidP="00E861CF">
      <w:pPr>
        <w:spacing w:line="360" w:lineRule="auto"/>
        <w:jc w:val="both"/>
        <w:rPr>
          <w:rFonts w:cs="Arial"/>
          <w:szCs w:val="24"/>
          <w:shd w:val="clear" w:color="auto" w:fill="FFFFFF"/>
        </w:rPr>
      </w:pPr>
    </w:p>
    <w:p w14:paraId="0AD831C5" w14:textId="16842C0C" w:rsidR="00034C31" w:rsidRDefault="00034C31" w:rsidP="006815AF">
      <w:pPr>
        <w:pStyle w:val="Heading2"/>
        <w:numPr>
          <w:ilvl w:val="1"/>
          <w:numId w:val="2"/>
        </w:numPr>
        <w:rPr>
          <w:shd w:val="clear" w:color="auto" w:fill="FFFFFF"/>
        </w:rPr>
      </w:pPr>
      <w:bookmarkStart w:id="5" w:name="_Toc92213686"/>
      <w:r w:rsidRPr="00034C31">
        <w:rPr>
          <w:shd w:val="clear" w:color="auto" w:fill="FFFFFF"/>
        </w:rPr>
        <w:t>Strengths</w:t>
      </w:r>
      <w:bookmarkEnd w:id="5"/>
    </w:p>
    <w:p w14:paraId="5EFAD02B" w14:textId="77777777" w:rsidR="0034784A" w:rsidRDefault="0034784A" w:rsidP="00E861CF">
      <w:pPr>
        <w:spacing w:line="360" w:lineRule="auto"/>
        <w:jc w:val="both"/>
        <w:rPr>
          <w:rFonts w:cs="Arial"/>
          <w:b/>
          <w:bCs/>
          <w:szCs w:val="24"/>
          <w:shd w:val="clear" w:color="auto" w:fill="FFFFFF"/>
        </w:rPr>
      </w:pPr>
    </w:p>
    <w:p w14:paraId="61FE50DA" w14:textId="2EA7303C" w:rsidR="009462D8" w:rsidRDefault="0034784A" w:rsidP="00E861CF">
      <w:pPr>
        <w:spacing w:line="360" w:lineRule="auto"/>
        <w:jc w:val="both"/>
        <w:rPr>
          <w:rFonts w:cs="Arial"/>
          <w:szCs w:val="24"/>
          <w:u w:val="single"/>
          <w:shd w:val="clear" w:color="auto" w:fill="FFFFFF"/>
        </w:rPr>
      </w:pPr>
      <w:r w:rsidRPr="0034784A">
        <w:rPr>
          <w:rFonts w:cs="Arial"/>
          <w:szCs w:val="24"/>
          <w:u w:val="single"/>
          <w:shd w:val="clear" w:color="auto" w:fill="FFFFFF"/>
        </w:rPr>
        <w:t>Charging network</w:t>
      </w:r>
    </w:p>
    <w:p w14:paraId="5EF23A56" w14:textId="77777777" w:rsidR="00F32EE9" w:rsidRDefault="00F32EE9" w:rsidP="00E861CF">
      <w:pPr>
        <w:spacing w:line="360" w:lineRule="auto"/>
        <w:jc w:val="both"/>
        <w:rPr>
          <w:rFonts w:cs="Arial"/>
          <w:szCs w:val="24"/>
          <w:u w:val="single"/>
          <w:shd w:val="clear" w:color="auto" w:fill="FFFFFF"/>
        </w:rPr>
      </w:pPr>
    </w:p>
    <w:p w14:paraId="40A49C38" w14:textId="010EC533" w:rsidR="00F66D7A" w:rsidRDefault="00F66D7A" w:rsidP="00E861CF">
      <w:pPr>
        <w:spacing w:line="360" w:lineRule="auto"/>
        <w:jc w:val="both"/>
        <w:rPr>
          <w:rFonts w:cs="Arial"/>
          <w:szCs w:val="24"/>
          <w:shd w:val="clear" w:color="auto" w:fill="FFFFFF"/>
        </w:rPr>
      </w:pPr>
      <w:r>
        <w:rPr>
          <w:rFonts w:cs="Arial"/>
          <w:szCs w:val="24"/>
          <w:shd w:val="clear" w:color="auto" w:fill="FFFFFF"/>
        </w:rPr>
        <w:t xml:space="preserve">Despite the entrance of new players in the EV market, Tesla has been one step ahead building a charging network which </w:t>
      </w:r>
      <w:r w:rsidR="005C1944">
        <w:rPr>
          <w:rFonts w:cs="Arial"/>
          <w:szCs w:val="24"/>
          <w:shd w:val="clear" w:color="auto" w:fill="FFFFFF"/>
        </w:rPr>
        <w:t>beside their high battery autonomy provided the customers with the assurance of a long drive</w:t>
      </w:r>
      <w:r w:rsidR="00F32EE9">
        <w:rPr>
          <w:rFonts w:cs="Arial"/>
          <w:szCs w:val="24"/>
          <w:shd w:val="clear" w:color="auto" w:fill="FFFFFF"/>
        </w:rPr>
        <w:t xml:space="preserve"> (Bhargava, 2021)</w:t>
      </w:r>
      <w:r w:rsidR="005C1944">
        <w:rPr>
          <w:rFonts w:cs="Arial"/>
          <w:szCs w:val="24"/>
          <w:shd w:val="clear" w:color="auto" w:fill="FFFFFF"/>
        </w:rPr>
        <w:t>.</w:t>
      </w:r>
    </w:p>
    <w:p w14:paraId="2EAFF06C" w14:textId="77777777" w:rsidR="00F32EE9" w:rsidRPr="00F66D7A" w:rsidRDefault="00F32EE9" w:rsidP="00E861CF">
      <w:pPr>
        <w:spacing w:line="360" w:lineRule="auto"/>
        <w:jc w:val="both"/>
        <w:rPr>
          <w:rFonts w:cs="Arial"/>
          <w:szCs w:val="24"/>
          <w:shd w:val="clear" w:color="auto" w:fill="FFFFFF"/>
        </w:rPr>
      </w:pPr>
    </w:p>
    <w:p w14:paraId="6DE90D57" w14:textId="77777777" w:rsidR="009462D8" w:rsidRPr="009462D8" w:rsidRDefault="009462D8" w:rsidP="00E861CF">
      <w:pPr>
        <w:spacing w:line="360" w:lineRule="auto"/>
        <w:jc w:val="both"/>
        <w:rPr>
          <w:rFonts w:cs="Arial"/>
          <w:szCs w:val="24"/>
          <w:u w:val="single"/>
          <w:shd w:val="clear" w:color="auto" w:fill="FFFFFF"/>
        </w:rPr>
      </w:pPr>
      <w:r w:rsidRPr="009462D8">
        <w:rPr>
          <w:rFonts w:cs="Arial"/>
          <w:szCs w:val="24"/>
          <w:u w:val="single"/>
          <w:shd w:val="clear" w:color="auto" w:fill="FFFFFF"/>
        </w:rPr>
        <w:t>Brand reputation</w:t>
      </w:r>
    </w:p>
    <w:p w14:paraId="5C18AD23" w14:textId="77777777" w:rsidR="009462D8" w:rsidRDefault="009462D8" w:rsidP="00E861CF">
      <w:pPr>
        <w:spacing w:line="360" w:lineRule="auto"/>
        <w:jc w:val="both"/>
        <w:rPr>
          <w:rFonts w:cs="Arial"/>
          <w:szCs w:val="24"/>
          <w:shd w:val="clear" w:color="auto" w:fill="FFFFFF"/>
        </w:rPr>
      </w:pPr>
    </w:p>
    <w:p w14:paraId="2153E670" w14:textId="500176C1" w:rsidR="009462D8" w:rsidRDefault="009462D8" w:rsidP="00E861CF">
      <w:pPr>
        <w:spacing w:line="360" w:lineRule="auto"/>
        <w:jc w:val="both"/>
        <w:rPr>
          <w:rFonts w:cs="Arial"/>
          <w:szCs w:val="24"/>
          <w:shd w:val="clear" w:color="auto" w:fill="FFFFFF"/>
        </w:rPr>
      </w:pPr>
      <w:r w:rsidRPr="009462D8">
        <w:rPr>
          <w:rFonts w:cs="Arial"/>
          <w:szCs w:val="24"/>
          <w:shd w:val="clear" w:color="auto" w:fill="FFFFFF"/>
        </w:rPr>
        <w:t>Elon Musk, the company's CEO, is one of the most well-known public characters (Tesla, 2020), known not just by those who use his company's goods, but also by those who are uninterested in the automotive or energy industries. According to Kantar BrandZ</w:t>
      </w:r>
      <w:r>
        <w:rPr>
          <w:rFonts w:cs="Arial"/>
          <w:szCs w:val="24"/>
          <w:shd w:val="clear" w:color="auto" w:fill="FFFFFF"/>
        </w:rPr>
        <w:t xml:space="preserve"> (2021)</w:t>
      </w:r>
      <w:r w:rsidRPr="009462D8">
        <w:rPr>
          <w:rFonts w:cs="Arial"/>
          <w:szCs w:val="24"/>
          <w:shd w:val="clear" w:color="auto" w:fill="FFFFFF"/>
        </w:rPr>
        <w:t>, Tesla is the most valuable and fastest-growing vehicle brand in the globe, with a value that will more than triple by 2020.</w:t>
      </w:r>
    </w:p>
    <w:p w14:paraId="6335ABF8" w14:textId="77777777" w:rsidR="00924C9C" w:rsidRDefault="00924C9C" w:rsidP="00E861CF">
      <w:pPr>
        <w:spacing w:line="360" w:lineRule="auto"/>
        <w:jc w:val="both"/>
        <w:rPr>
          <w:rFonts w:cs="Arial"/>
          <w:szCs w:val="24"/>
          <w:shd w:val="clear" w:color="auto" w:fill="FFFFFF"/>
        </w:rPr>
      </w:pPr>
    </w:p>
    <w:p w14:paraId="0164975C" w14:textId="0B0F513C" w:rsidR="001657E6" w:rsidRDefault="001657E6" w:rsidP="00E861CF">
      <w:pPr>
        <w:spacing w:line="360" w:lineRule="auto"/>
        <w:jc w:val="both"/>
        <w:rPr>
          <w:rFonts w:cs="Arial"/>
          <w:szCs w:val="24"/>
          <w:shd w:val="clear" w:color="auto" w:fill="FFFFFF"/>
        </w:rPr>
      </w:pPr>
    </w:p>
    <w:p w14:paraId="65AC0FBC" w14:textId="0206708C" w:rsidR="001657E6" w:rsidRDefault="001657E6" w:rsidP="00E861CF">
      <w:pPr>
        <w:spacing w:line="360" w:lineRule="auto"/>
        <w:jc w:val="both"/>
        <w:rPr>
          <w:rFonts w:cs="Arial"/>
          <w:szCs w:val="24"/>
          <w:u w:val="single"/>
          <w:shd w:val="clear" w:color="auto" w:fill="FFFFFF"/>
        </w:rPr>
      </w:pPr>
      <w:r w:rsidRPr="001657E6">
        <w:rPr>
          <w:rFonts w:cs="Arial"/>
          <w:szCs w:val="24"/>
          <w:u w:val="single"/>
          <w:shd w:val="clear" w:color="auto" w:fill="FFFFFF"/>
        </w:rPr>
        <w:t>Innovation</w:t>
      </w:r>
    </w:p>
    <w:p w14:paraId="4C184FA6" w14:textId="5BB47443" w:rsidR="003705E2" w:rsidRDefault="003705E2" w:rsidP="00E861CF">
      <w:pPr>
        <w:spacing w:line="360" w:lineRule="auto"/>
        <w:jc w:val="both"/>
        <w:rPr>
          <w:rFonts w:cs="Arial"/>
          <w:szCs w:val="24"/>
          <w:u w:val="single"/>
          <w:shd w:val="clear" w:color="auto" w:fill="FFFFFF"/>
        </w:rPr>
      </w:pPr>
    </w:p>
    <w:p w14:paraId="34DD20D5" w14:textId="6977A5B7" w:rsidR="003705E2" w:rsidRDefault="003705E2" w:rsidP="00E861CF">
      <w:pPr>
        <w:spacing w:line="360" w:lineRule="auto"/>
        <w:jc w:val="both"/>
        <w:rPr>
          <w:rFonts w:cs="Arial"/>
          <w:szCs w:val="24"/>
          <w:shd w:val="clear" w:color="auto" w:fill="FFFFFF"/>
        </w:rPr>
      </w:pPr>
      <w:r w:rsidRPr="003705E2">
        <w:rPr>
          <w:rFonts w:cs="Arial"/>
          <w:szCs w:val="24"/>
          <w:shd w:val="clear" w:color="auto" w:fill="FFFFFF"/>
        </w:rPr>
        <w:t xml:space="preserve">Tesla's significant expenditures in research and development allowed the firm to produce new products that include sophisticated technology while still having a low environmental effect, earning the company multiple government grants and honours. </w:t>
      </w:r>
    </w:p>
    <w:p w14:paraId="2E1D403D" w14:textId="33362712" w:rsidR="00C3645F" w:rsidRDefault="00C3645F" w:rsidP="00E861CF">
      <w:pPr>
        <w:spacing w:line="360" w:lineRule="auto"/>
        <w:jc w:val="both"/>
        <w:rPr>
          <w:rFonts w:cs="Arial"/>
          <w:szCs w:val="24"/>
          <w:shd w:val="clear" w:color="auto" w:fill="FFFFFF"/>
        </w:rPr>
      </w:pPr>
    </w:p>
    <w:p w14:paraId="3F85BF3F" w14:textId="164D7DCA" w:rsidR="00C3645F" w:rsidRPr="003705E2" w:rsidRDefault="00C3645F" w:rsidP="00E861CF">
      <w:pPr>
        <w:spacing w:line="360" w:lineRule="auto"/>
        <w:jc w:val="both"/>
        <w:rPr>
          <w:rFonts w:cs="Arial"/>
          <w:szCs w:val="24"/>
          <w:shd w:val="clear" w:color="auto" w:fill="FFFFFF"/>
        </w:rPr>
      </w:pPr>
      <w:r w:rsidRPr="00C3645F">
        <w:rPr>
          <w:rFonts w:cs="Arial"/>
          <w:szCs w:val="24"/>
          <w:shd w:val="clear" w:color="auto" w:fill="FFFFFF"/>
        </w:rPr>
        <w:t>As one of the most technologically creative firms early on, Tesla has established itself as a leader in its field, spending an average of $2,984 per vehicle sold on research and development (R&amp;D), which is frequently three times the amount spent by other conventional manufacturers. Tesla's $2,984 in research and development expenditure per vehicle sold is significantly higher than the expenditures of other automobile manufacturers (Tesla, 2021).</w:t>
      </w:r>
    </w:p>
    <w:p w14:paraId="5B5C0B3B" w14:textId="77777777" w:rsidR="00A77E7C" w:rsidRPr="009462D8" w:rsidRDefault="00A77E7C" w:rsidP="00E861CF">
      <w:pPr>
        <w:spacing w:line="360" w:lineRule="auto"/>
        <w:jc w:val="both"/>
        <w:rPr>
          <w:rFonts w:cs="Arial"/>
          <w:szCs w:val="24"/>
          <w:shd w:val="clear" w:color="auto" w:fill="FFFFFF"/>
        </w:rPr>
      </w:pPr>
    </w:p>
    <w:p w14:paraId="0E901446" w14:textId="5ACC951E" w:rsidR="00034C31" w:rsidRDefault="00034C31" w:rsidP="006815AF">
      <w:pPr>
        <w:pStyle w:val="Heading2"/>
        <w:numPr>
          <w:ilvl w:val="1"/>
          <w:numId w:val="2"/>
        </w:numPr>
        <w:rPr>
          <w:shd w:val="clear" w:color="auto" w:fill="FFFFFF"/>
        </w:rPr>
      </w:pPr>
      <w:bookmarkStart w:id="6" w:name="_Toc92213687"/>
      <w:r w:rsidRPr="00034C31">
        <w:rPr>
          <w:shd w:val="clear" w:color="auto" w:fill="FFFFFF"/>
        </w:rPr>
        <w:t>Weaknesses</w:t>
      </w:r>
      <w:bookmarkEnd w:id="6"/>
    </w:p>
    <w:p w14:paraId="19D1830D" w14:textId="77777777" w:rsidR="00EB0D59" w:rsidRDefault="00EB0D59" w:rsidP="00E861CF">
      <w:pPr>
        <w:spacing w:line="360" w:lineRule="auto"/>
        <w:jc w:val="both"/>
        <w:rPr>
          <w:rFonts w:cs="Arial"/>
          <w:b/>
          <w:bCs/>
          <w:szCs w:val="24"/>
          <w:shd w:val="clear" w:color="auto" w:fill="FFFFFF"/>
        </w:rPr>
      </w:pPr>
    </w:p>
    <w:p w14:paraId="35B27CBA" w14:textId="1F53AF41" w:rsidR="00EB0D59" w:rsidRPr="00EB0D59" w:rsidRDefault="00EB0D59" w:rsidP="00E861CF">
      <w:pPr>
        <w:spacing w:line="360" w:lineRule="auto"/>
        <w:jc w:val="both"/>
        <w:rPr>
          <w:rFonts w:cs="Arial"/>
          <w:szCs w:val="24"/>
          <w:u w:val="single"/>
          <w:shd w:val="clear" w:color="auto" w:fill="FFFFFF"/>
        </w:rPr>
      </w:pPr>
      <w:r>
        <w:rPr>
          <w:rFonts w:cs="Arial"/>
          <w:szCs w:val="24"/>
          <w:u w:val="single"/>
          <w:shd w:val="clear" w:color="auto" w:fill="FFFFFF"/>
        </w:rPr>
        <w:t>Premium/luxury brand</w:t>
      </w:r>
      <w:r w:rsidR="009D16CB">
        <w:rPr>
          <w:rFonts w:cs="Arial"/>
          <w:szCs w:val="24"/>
          <w:u w:val="single"/>
          <w:shd w:val="clear" w:color="auto" w:fill="FFFFFF"/>
        </w:rPr>
        <w:t xml:space="preserve"> – delayed deliveries</w:t>
      </w:r>
    </w:p>
    <w:p w14:paraId="3EDA3D2C" w14:textId="130C0B5D" w:rsidR="00EB0D59" w:rsidRDefault="00EB0D59" w:rsidP="00E861CF">
      <w:pPr>
        <w:spacing w:line="360" w:lineRule="auto"/>
        <w:jc w:val="both"/>
        <w:rPr>
          <w:rFonts w:cs="Arial"/>
          <w:szCs w:val="24"/>
          <w:shd w:val="clear" w:color="auto" w:fill="FFFFFF"/>
        </w:rPr>
      </w:pPr>
    </w:p>
    <w:p w14:paraId="4FE99C60" w14:textId="4F5C54F5" w:rsidR="00EB0D59" w:rsidRDefault="00C3645F" w:rsidP="00E861CF">
      <w:pPr>
        <w:spacing w:line="360" w:lineRule="auto"/>
        <w:jc w:val="both"/>
        <w:rPr>
          <w:rFonts w:cs="Arial"/>
          <w:szCs w:val="24"/>
          <w:shd w:val="clear" w:color="auto" w:fill="FFFFFF"/>
        </w:rPr>
      </w:pPr>
      <w:r w:rsidRPr="00C3645F">
        <w:rPr>
          <w:rFonts w:cs="Arial"/>
          <w:szCs w:val="24"/>
          <w:shd w:val="clear" w:color="auto" w:fill="FFFFFF"/>
        </w:rPr>
        <w:t>Tesla is well-known as a premium brand in the renewable energy industry. One of the difficulties they may encounter is the high cost of electric cars and the lack of consumer confidence. Mechanical complexity and production risk increase in direct proportion to the level of innovation demanded by a product. When it comes to the introduction of new autos, Tesla continues to have delays in the start-up, manufacturing, and production phases, which has a negative impact on consumer confidence and the brand's image (CNBC, 2021).</w:t>
      </w:r>
    </w:p>
    <w:p w14:paraId="3D5DB30F" w14:textId="6CED4C87" w:rsidR="00681968" w:rsidRDefault="00681968" w:rsidP="00681968">
      <w:pPr>
        <w:spacing w:line="360" w:lineRule="auto"/>
        <w:jc w:val="both"/>
        <w:rPr>
          <w:rFonts w:cs="Arial"/>
          <w:szCs w:val="24"/>
          <w:u w:val="single"/>
          <w:shd w:val="clear" w:color="auto" w:fill="FFFFFF"/>
        </w:rPr>
      </w:pPr>
      <w:r w:rsidRPr="00681968">
        <w:rPr>
          <w:rFonts w:cs="Arial"/>
          <w:szCs w:val="24"/>
          <w:u w:val="single"/>
          <w:shd w:val="clear" w:color="auto" w:fill="FFFFFF"/>
        </w:rPr>
        <w:t>Vehicle costs are quite high</w:t>
      </w:r>
    </w:p>
    <w:p w14:paraId="669DB9F2" w14:textId="77777777" w:rsidR="00681968" w:rsidRPr="00681968" w:rsidRDefault="00681968" w:rsidP="00681968">
      <w:pPr>
        <w:spacing w:line="360" w:lineRule="auto"/>
        <w:jc w:val="both"/>
        <w:rPr>
          <w:rFonts w:cs="Arial"/>
          <w:szCs w:val="24"/>
          <w:u w:val="single"/>
          <w:shd w:val="clear" w:color="auto" w:fill="FFFFFF"/>
        </w:rPr>
      </w:pPr>
    </w:p>
    <w:p w14:paraId="3E7EE0D3" w14:textId="4BF37020" w:rsidR="00681968" w:rsidRDefault="00681968" w:rsidP="00681968">
      <w:pPr>
        <w:spacing w:line="360" w:lineRule="auto"/>
        <w:jc w:val="both"/>
        <w:rPr>
          <w:rFonts w:cs="Arial"/>
          <w:szCs w:val="24"/>
          <w:shd w:val="clear" w:color="auto" w:fill="FFFFFF"/>
        </w:rPr>
      </w:pPr>
      <w:r w:rsidRPr="00681968">
        <w:rPr>
          <w:rFonts w:cs="Arial"/>
          <w:szCs w:val="24"/>
          <w:shd w:val="clear" w:color="auto" w:fill="FFFFFF"/>
        </w:rPr>
        <w:lastRenderedPageBreak/>
        <w:t>When compared to other typical automobile companies on the market, Tesla goods are more costly, especially when compared to combustion engine cars. Tesla's automobiles are hard to come by in international markets where the corporation does not have a strong presence or is unable to produce, despite their attraction to the general public due to their unique features and high quality.</w:t>
      </w:r>
    </w:p>
    <w:p w14:paraId="55215517" w14:textId="77777777" w:rsidR="00681968" w:rsidRPr="00EB0D59" w:rsidRDefault="00681968" w:rsidP="00681968">
      <w:pPr>
        <w:spacing w:line="360" w:lineRule="auto"/>
        <w:jc w:val="both"/>
        <w:rPr>
          <w:rFonts w:cs="Arial"/>
          <w:szCs w:val="24"/>
          <w:shd w:val="clear" w:color="auto" w:fill="FFFFFF"/>
        </w:rPr>
      </w:pPr>
    </w:p>
    <w:p w14:paraId="31AAAE24" w14:textId="2781AF32" w:rsidR="00034C31" w:rsidRDefault="00681968" w:rsidP="006815AF">
      <w:pPr>
        <w:pStyle w:val="Heading1"/>
        <w:numPr>
          <w:ilvl w:val="0"/>
          <w:numId w:val="2"/>
        </w:numPr>
        <w:rPr>
          <w:shd w:val="clear" w:color="auto" w:fill="FFFFFF"/>
        </w:rPr>
      </w:pPr>
      <w:bookmarkStart w:id="7" w:name="_Toc92213688"/>
      <w:r>
        <w:rPr>
          <w:shd w:val="clear" w:color="auto" w:fill="FFFFFF"/>
        </w:rPr>
        <w:t>Value chain analysis</w:t>
      </w:r>
      <w:bookmarkEnd w:id="7"/>
    </w:p>
    <w:p w14:paraId="480A38C7" w14:textId="4B31112B" w:rsidR="00681968" w:rsidRDefault="00681968" w:rsidP="00E861CF">
      <w:pPr>
        <w:spacing w:line="360" w:lineRule="auto"/>
        <w:jc w:val="both"/>
        <w:rPr>
          <w:rFonts w:cs="Arial"/>
          <w:b/>
          <w:bCs/>
          <w:szCs w:val="24"/>
          <w:shd w:val="clear" w:color="auto" w:fill="FFFFFF"/>
        </w:rPr>
      </w:pPr>
    </w:p>
    <w:tbl>
      <w:tblPr>
        <w:tblStyle w:val="GridTable1Light"/>
        <w:tblW w:w="8705" w:type="dxa"/>
        <w:tblLook w:val="04A0" w:firstRow="1" w:lastRow="0" w:firstColumn="1" w:lastColumn="0" w:noHBand="0" w:noVBand="1"/>
      </w:tblPr>
      <w:tblGrid>
        <w:gridCol w:w="1705"/>
        <w:gridCol w:w="1764"/>
        <w:gridCol w:w="1753"/>
        <w:gridCol w:w="1745"/>
        <w:gridCol w:w="1738"/>
      </w:tblGrid>
      <w:tr w:rsidR="00681968" w:rsidRPr="001B5857" w14:paraId="5741638B" w14:textId="77777777" w:rsidTr="009336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05" w:type="dxa"/>
            <w:gridSpan w:val="5"/>
            <w:shd w:val="clear" w:color="auto" w:fill="ED7D31" w:themeFill="accent2"/>
          </w:tcPr>
          <w:p w14:paraId="4297DE8B" w14:textId="77777777" w:rsidR="00681968" w:rsidRPr="001B5857" w:rsidRDefault="00681968" w:rsidP="00CE2364">
            <w:pPr>
              <w:spacing w:line="360" w:lineRule="auto"/>
              <w:jc w:val="both"/>
              <w:rPr>
                <w:rFonts w:cs="Arial"/>
                <w:szCs w:val="24"/>
                <w:lang w:val="en"/>
              </w:rPr>
            </w:pPr>
            <w:r w:rsidRPr="001B5857">
              <w:rPr>
                <w:rFonts w:cs="Arial"/>
                <w:szCs w:val="24"/>
                <w:lang w:val="en"/>
              </w:rPr>
              <w:t>Firm Infrastructure</w:t>
            </w:r>
          </w:p>
        </w:tc>
      </w:tr>
      <w:tr w:rsidR="00681968" w:rsidRPr="001B5857" w14:paraId="1F633A34" w14:textId="77777777" w:rsidTr="009336B7">
        <w:tc>
          <w:tcPr>
            <w:cnfStyle w:val="001000000000" w:firstRow="0" w:lastRow="0" w:firstColumn="1" w:lastColumn="0" w:oddVBand="0" w:evenVBand="0" w:oddHBand="0" w:evenHBand="0" w:firstRowFirstColumn="0" w:firstRowLastColumn="0" w:lastRowFirstColumn="0" w:lastRowLastColumn="0"/>
            <w:tcW w:w="8705" w:type="dxa"/>
            <w:gridSpan w:val="5"/>
            <w:shd w:val="clear" w:color="auto" w:fill="ED7D31" w:themeFill="accent2"/>
          </w:tcPr>
          <w:p w14:paraId="0294BEAA" w14:textId="77777777" w:rsidR="00681968" w:rsidRPr="001B5857" w:rsidRDefault="00681968" w:rsidP="00CE2364">
            <w:pPr>
              <w:spacing w:line="360" w:lineRule="auto"/>
              <w:jc w:val="both"/>
              <w:rPr>
                <w:rFonts w:cs="Arial"/>
                <w:szCs w:val="24"/>
                <w:lang w:val="en"/>
              </w:rPr>
            </w:pPr>
            <w:r w:rsidRPr="001B5857">
              <w:rPr>
                <w:rFonts w:cs="Arial"/>
                <w:szCs w:val="24"/>
                <w:lang w:val="en"/>
              </w:rPr>
              <w:t>Human Resource</w:t>
            </w:r>
          </w:p>
        </w:tc>
      </w:tr>
      <w:tr w:rsidR="00681968" w:rsidRPr="001B5857" w14:paraId="2CE3A1D2" w14:textId="77777777" w:rsidTr="009336B7">
        <w:tc>
          <w:tcPr>
            <w:cnfStyle w:val="001000000000" w:firstRow="0" w:lastRow="0" w:firstColumn="1" w:lastColumn="0" w:oddVBand="0" w:evenVBand="0" w:oddHBand="0" w:evenHBand="0" w:firstRowFirstColumn="0" w:firstRowLastColumn="0" w:lastRowFirstColumn="0" w:lastRowLastColumn="0"/>
            <w:tcW w:w="8705" w:type="dxa"/>
            <w:gridSpan w:val="5"/>
            <w:shd w:val="clear" w:color="auto" w:fill="ED7D31" w:themeFill="accent2"/>
          </w:tcPr>
          <w:p w14:paraId="3CBCAA72" w14:textId="77777777" w:rsidR="00681968" w:rsidRPr="001B5857" w:rsidRDefault="00681968" w:rsidP="00CE2364">
            <w:pPr>
              <w:spacing w:line="360" w:lineRule="auto"/>
              <w:jc w:val="both"/>
              <w:rPr>
                <w:rFonts w:cs="Arial"/>
                <w:szCs w:val="24"/>
                <w:lang w:val="en"/>
              </w:rPr>
            </w:pPr>
            <w:r w:rsidRPr="001B5857">
              <w:rPr>
                <w:rFonts w:cs="Arial"/>
                <w:szCs w:val="24"/>
                <w:lang w:val="en"/>
              </w:rPr>
              <w:t>Technology Development</w:t>
            </w:r>
          </w:p>
        </w:tc>
      </w:tr>
      <w:tr w:rsidR="00681968" w:rsidRPr="001B5857" w14:paraId="764D806E" w14:textId="77777777" w:rsidTr="009336B7">
        <w:tc>
          <w:tcPr>
            <w:cnfStyle w:val="001000000000" w:firstRow="0" w:lastRow="0" w:firstColumn="1" w:lastColumn="0" w:oddVBand="0" w:evenVBand="0" w:oddHBand="0" w:evenHBand="0" w:firstRowFirstColumn="0" w:firstRowLastColumn="0" w:lastRowFirstColumn="0" w:lastRowLastColumn="0"/>
            <w:tcW w:w="8705" w:type="dxa"/>
            <w:gridSpan w:val="5"/>
            <w:shd w:val="clear" w:color="auto" w:fill="ED7D31" w:themeFill="accent2"/>
          </w:tcPr>
          <w:p w14:paraId="33C3B6ED" w14:textId="77777777" w:rsidR="00681968" w:rsidRPr="001B5857" w:rsidRDefault="00681968" w:rsidP="00CE2364">
            <w:pPr>
              <w:spacing w:line="360" w:lineRule="auto"/>
              <w:jc w:val="both"/>
              <w:rPr>
                <w:rFonts w:cs="Arial"/>
                <w:szCs w:val="24"/>
                <w:lang w:val="en"/>
              </w:rPr>
            </w:pPr>
            <w:r w:rsidRPr="001B5857">
              <w:rPr>
                <w:rFonts w:cs="Arial"/>
                <w:szCs w:val="24"/>
                <w:lang w:val="en"/>
              </w:rPr>
              <w:t>Procurement</w:t>
            </w:r>
          </w:p>
        </w:tc>
      </w:tr>
      <w:tr w:rsidR="00F1097F" w:rsidRPr="001B5857" w14:paraId="2037CB59" w14:textId="77777777" w:rsidTr="009336B7">
        <w:trPr>
          <w:trHeight w:val="2110"/>
        </w:trPr>
        <w:tc>
          <w:tcPr>
            <w:cnfStyle w:val="001000000000" w:firstRow="0" w:lastRow="0" w:firstColumn="1" w:lastColumn="0" w:oddVBand="0" w:evenVBand="0" w:oddHBand="0" w:evenHBand="0" w:firstRowFirstColumn="0" w:firstRowLastColumn="0" w:lastRowFirstColumn="0" w:lastRowLastColumn="0"/>
            <w:tcW w:w="1705" w:type="dxa"/>
            <w:shd w:val="clear" w:color="auto" w:fill="FFFF00"/>
          </w:tcPr>
          <w:p w14:paraId="1644F01A" w14:textId="77777777" w:rsidR="00681968" w:rsidRPr="001B5857" w:rsidRDefault="00681968" w:rsidP="00CE2364">
            <w:pPr>
              <w:spacing w:line="360" w:lineRule="auto"/>
              <w:jc w:val="both"/>
              <w:rPr>
                <w:rFonts w:cs="Arial"/>
                <w:szCs w:val="24"/>
                <w:lang w:val="en"/>
              </w:rPr>
            </w:pPr>
          </w:p>
          <w:p w14:paraId="6DBBDDE6" w14:textId="77777777" w:rsidR="00681968" w:rsidRPr="001B5857" w:rsidRDefault="00681968" w:rsidP="00CE2364">
            <w:pPr>
              <w:spacing w:line="360" w:lineRule="auto"/>
              <w:jc w:val="both"/>
              <w:rPr>
                <w:rFonts w:cs="Arial"/>
                <w:szCs w:val="24"/>
                <w:lang w:val="en"/>
              </w:rPr>
            </w:pPr>
            <w:r w:rsidRPr="001B5857">
              <w:rPr>
                <w:rFonts w:cs="Arial"/>
                <w:szCs w:val="24"/>
                <w:lang w:val="en"/>
              </w:rPr>
              <w:t>Inbound Logistics</w:t>
            </w:r>
          </w:p>
        </w:tc>
        <w:tc>
          <w:tcPr>
            <w:tcW w:w="1764" w:type="dxa"/>
            <w:shd w:val="clear" w:color="auto" w:fill="FFFF00"/>
          </w:tcPr>
          <w:p w14:paraId="5B3CB332"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42B35BB5"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75D200B9"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r w:rsidRPr="001B5857">
              <w:rPr>
                <w:rFonts w:cs="Arial"/>
                <w:b/>
                <w:bCs/>
                <w:szCs w:val="24"/>
                <w:lang w:val="en"/>
              </w:rPr>
              <w:t>Operations</w:t>
            </w:r>
          </w:p>
        </w:tc>
        <w:tc>
          <w:tcPr>
            <w:tcW w:w="1753" w:type="dxa"/>
            <w:shd w:val="clear" w:color="auto" w:fill="FFFF00"/>
          </w:tcPr>
          <w:p w14:paraId="1472AE79"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0E9C15C7"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r w:rsidRPr="001B5857">
              <w:rPr>
                <w:rFonts w:cs="Arial"/>
                <w:b/>
                <w:bCs/>
                <w:szCs w:val="24"/>
                <w:lang w:val="en"/>
              </w:rPr>
              <w:t>Outbound Logistics</w:t>
            </w:r>
          </w:p>
        </w:tc>
        <w:tc>
          <w:tcPr>
            <w:tcW w:w="1745" w:type="dxa"/>
            <w:shd w:val="clear" w:color="auto" w:fill="FFFF00"/>
          </w:tcPr>
          <w:p w14:paraId="14FC2127"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27908EF1"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r w:rsidRPr="001B5857">
              <w:rPr>
                <w:rFonts w:cs="Arial"/>
                <w:b/>
                <w:bCs/>
                <w:szCs w:val="24"/>
                <w:lang w:val="en"/>
              </w:rPr>
              <w:t>Marketing and Sales</w:t>
            </w:r>
          </w:p>
        </w:tc>
        <w:tc>
          <w:tcPr>
            <w:tcW w:w="1738" w:type="dxa"/>
            <w:shd w:val="clear" w:color="auto" w:fill="FFFF00"/>
          </w:tcPr>
          <w:p w14:paraId="6FC868BF"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7667663D"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p>
          <w:p w14:paraId="77CA1FED" w14:textId="77777777" w:rsidR="00681968" w:rsidRPr="001B5857" w:rsidRDefault="00681968"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cs="Arial"/>
                <w:b/>
                <w:bCs/>
                <w:szCs w:val="24"/>
                <w:lang w:val="en"/>
              </w:rPr>
            </w:pPr>
            <w:r w:rsidRPr="001B5857">
              <w:rPr>
                <w:rFonts w:cs="Arial"/>
                <w:b/>
                <w:bCs/>
                <w:szCs w:val="24"/>
                <w:lang w:val="en"/>
              </w:rPr>
              <w:t>Service</w:t>
            </w:r>
          </w:p>
        </w:tc>
      </w:tr>
      <w:tr w:rsidR="009336B7" w:rsidRPr="001B5857" w14:paraId="79BE9B03" w14:textId="77777777" w:rsidTr="009336B7">
        <w:trPr>
          <w:trHeight w:val="2110"/>
        </w:trPr>
        <w:tc>
          <w:tcPr>
            <w:cnfStyle w:val="001000000000" w:firstRow="0" w:lastRow="0" w:firstColumn="1" w:lastColumn="0" w:oddVBand="0" w:evenVBand="0" w:oddHBand="0" w:evenHBand="0" w:firstRowFirstColumn="0" w:firstRowLastColumn="0" w:lastRowFirstColumn="0" w:lastRowLastColumn="0"/>
            <w:tcW w:w="1705" w:type="dxa"/>
            <w:shd w:val="clear" w:color="auto" w:fill="FFFF00"/>
          </w:tcPr>
          <w:p w14:paraId="20A23E7B" w14:textId="68C95FBC" w:rsidR="009336B7" w:rsidRPr="00116C8D" w:rsidRDefault="00F1097F" w:rsidP="00116C8D">
            <w:pPr>
              <w:spacing w:line="360" w:lineRule="auto"/>
              <w:rPr>
                <w:rFonts w:cs="Arial"/>
                <w:b w:val="0"/>
                <w:bCs w:val="0"/>
                <w:sz w:val="12"/>
                <w:szCs w:val="12"/>
                <w:lang w:val="en"/>
              </w:rPr>
            </w:pPr>
            <w:r w:rsidRPr="00116C8D">
              <w:rPr>
                <w:rFonts w:cs="Arial"/>
                <w:b w:val="0"/>
                <w:bCs w:val="0"/>
                <w:sz w:val="12"/>
                <w:szCs w:val="12"/>
                <w:lang w:val="en"/>
              </w:rPr>
              <w:t>Tesla does not retain large amounts of materials outside of the manufacturing process; the quantities present in storage facilities are often just for use on the current working order, necessitating the maintenance of a continuous relationship with suppliers.</w:t>
            </w:r>
          </w:p>
        </w:tc>
        <w:tc>
          <w:tcPr>
            <w:tcW w:w="1764" w:type="dxa"/>
            <w:shd w:val="clear" w:color="auto" w:fill="FFFF00"/>
          </w:tcPr>
          <w:p w14:paraId="0B43CADB" w14:textId="0DAD52B8" w:rsidR="009336B7" w:rsidRPr="00116C8D" w:rsidRDefault="001D5940" w:rsidP="00116C8D">
            <w:pPr>
              <w:spacing w:line="360" w:lineRule="auto"/>
              <w:cnfStyle w:val="000000000000" w:firstRow="0" w:lastRow="0" w:firstColumn="0" w:lastColumn="0" w:oddVBand="0" w:evenVBand="0" w:oddHBand="0" w:evenHBand="0" w:firstRowFirstColumn="0" w:firstRowLastColumn="0" w:lastRowFirstColumn="0" w:lastRowLastColumn="0"/>
              <w:rPr>
                <w:rFonts w:cs="Arial"/>
                <w:sz w:val="12"/>
                <w:szCs w:val="12"/>
                <w:lang w:val="en"/>
              </w:rPr>
            </w:pPr>
            <w:r w:rsidRPr="00116C8D">
              <w:rPr>
                <w:rFonts w:cs="Arial"/>
                <w:sz w:val="12"/>
                <w:szCs w:val="12"/>
                <w:lang w:val="en"/>
              </w:rPr>
              <w:t>Tesla's operations are divided into two areas (Tesla, 2020): automotive, which includes the designing, developing, manufacturing, and selling of electric vehicles, with 101.420 Model S and Model X vehicles produced, and energy generation and storage components, which are manufactured at the Giga Factory in Buffalo, New York.</w:t>
            </w:r>
          </w:p>
        </w:tc>
        <w:tc>
          <w:tcPr>
            <w:tcW w:w="1753" w:type="dxa"/>
            <w:shd w:val="clear" w:color="auto" w:fill="FFFF00"/>
          </w:tcPr>
          <w:p w14:paraId="42C9E2B0" w14:textId="29D95E9D" w:rsidR="009336B7" w:rsidRPr="00116C8D" w:rsidRDefault="001D5940" w:rsidP="00116C8D">
            <w:pPr>
              <w:spacing w:line="360" w:lineRule="auto"/>
              <w:cnfStyle w:val="000000000000" w:firstRow="0" w:lastRow="0" w:firstColumn="0" w:lastColumn="0" w:oddVBand="0" w:evenVBand="0" w:oddHBand="0" w:evenHBand="0" w:firstRowFirstColumn="0" w:firstRowLastColumn="0" w:lastRowFirstColumn="0" w:lastRowLastColumn="0"/>
              <w:rPr>
                <w:rFonts w:cs="Arial"/>
                <w:sz w:val="12"/>
                <w:szCs w:val="12"/>
                <w:lang w:val="en"/>
              </w:rPr>
            </w:pPr>
            <w:r w:rsidRPr="00116C8D">
              <w:rPr>
                <w:rFonts w:cs="Arial"/>
                <w:sz w:val="12"/>
                <w:szCs w:val="12"/>
                <w:lang w:val="en"/>
              </w:rPr>
              <w:t xml:space="preserve">Tesla sells its products through a network of stores since it does not cooperate with vehicle dealers or re-sellers. Vehicles and solar equipment are kept in warehouses until they are sent, especially when it comes to electric automobiles, which are </w:t>
            </w:r>
            <w:r w:rsidR="0064041F" w:rsidRPr="00116C8D">
              <w:rPr>
                <w:rFonts w:cs="Arial"/>
                <w:sz w:val="12"/>
                <w:szCs w:val="12"/>
                <w:lang w:val="en"/>
              </w:rPr>
              <w:t>customized</w:t>
            </w:r>
            <w:r w:rsidRPr="00116C8D">
              <w:rPr>
                <w:rFonts w:cs="Arial"/>
                <w:sz w:val="12"/>
                <w:szCs w:val="12"/>
                <w:lang w:val="en"/>
              </w:rPr>
              <w:t xml:space="preserve"> by most customers before they are purchased. Because no third parties are involved in the resale of Tesla items, the company is able to maintain pricing control, however delivery times may be delayed (Tesla, 2020).</w:t>
            </w:r>
          </w:p>
        </w:tc>
        <w:tc>
          <w:tcPr>
            <w:tcW w:w="1745" w:type="dxa"/>
            <w:shd w:val="clear" w:color="auto" w:fill="FFFF00"/>
          </w:tcPr>
          <w:p w14:paraId="560A5D71" w14:textId="51D09DEC" w:rsidR="009336B7" w:rsidRPr="00116C8D" w:rsidRDefault="00821CC4" w:rsidP="00116C8D">
            <w:pPr>
              <w:spacing w:line="360" w:lineRule="auto"/>
              <w:cnfStyle w:val="000000000000" w:firstRow="0" w:lastRow="0" w:firstColumn="0" w:lastColumn="0" w:oddVBand="0" w:evenVBand="0" w:oddHBand="0" w:evenHBand="0" w:firstRowFirstColumn="0" w:firstRowLastColumn="0" w:lastRowFirstColumn="0" w:lastRowLastColumn="0"/>
              <w:rPr>
                <w:rFonts w:cs="Arial"/>
                <w:sz w:val="12"/>
                <w:szCs w:val="12"/>
                <w:lang w:val="en"/>
              </w:rPr>
            </w:pPr>
            <w:r w:rsidRPr="00116C8D">
              <w:rPr>
                <w:rFonts w:cs="Arial"/>
                <w:sz w:val="12"/>
                <w:szCs w:val="12"/>
                <w:lang w:val="en"/>
              </w:rPr>
              <w:t xml:space="preserve">Some of Tesla's notoriety has been gained by unusual ways at times, with the most noteworthy promotional </w:t>
            </w:r>
            <w:r w:rsidR="0064041F" w:rsidRPr="00116C8D">
              <w:rPr>
                <w:rFonts w:cs="Arial"/>
                <w:sz w:val="12"/>
                <w:szCs w:val="12"/>
                <w:lang w:val="en"/>
              </w:rPr>
              <w:t>maneuver</w:t>
            </w:r>
            <w:r w:rsidRPr="00116C8D">
              <w:rPr>
                <w:rFonts w:cs="Arial"/>
                <w:sz w:val="12"/>
                <w:szCs w:val="12"/>
                <w:lang w:val="en"/>
              </w:rPr>
              <w:t xml:space="preserve"> being the flight of a Roadster model into Earth's orbit as part of a SpaceX rocket test (Wall, 2018). Social media and numerous entertainment sites also provide a fantastic free marketing tool, with consumers promoting things with little effort on the part of the brand. Tesla automobiles are available for purchase both online and at company showrooms. Another sales strategy that has gained popularity among clients is the ability to finance SolarCity's Solar Roof product (Tesla, 2020).</w:t>
            </w:r>
          </w:p>
        </w:tc>
        <w:tc>
          <w:tcPr>
            <w:tcW w:w="1738" w:type="dxa"/>
            <w:shd w:val="clear" w:color="auto" w:fill="FFFF00"/>
          </w:tcPr>
          <w:p w14:paraId="66AF9A48" w14:textId="536BA1D8" w:rsidR="009336B7" w:rsidRPr="00116C8D" w:rsidRDefault="00116C8D" w:rsidP="00116C8D">
            <w:pPr>
              <w:spacing w:line="360" w:lineRule="auto"/>
              <w:cnfStyle w:val="000000000000" w:firstRow="0" w:lastRow="0" w:firstColumn="0" w:lastColumn="0" w:oddVBand="0" w:evenVBand="0" w:oddHBand="0" w:evenHBand="0" w:firstRowFirstColumn="0" w:firstRowLastColumn="0" w:lastRowFirstColumn="0" w:lastRowLastColumn="0"/>
              <w:rPr>
                <w:rFonts w:cs="Arial"/>
                <w:sz w:val="12"/>
                <w:szCs w:val="12"/>
                <w:lang w:val="en"/>
              </w:rPr>
            </w:pPr>
            <w:r w:rsidRPr="00116C8D">
              <w:rPr>
                <w:rFonts w:cs="Arial"/>
                <w:sz w:val="12"/>
                <w:szCs w:val="12"/>
                <w:lang w:val="en"/>
              </w:rPr>
              <w:t xml:space="preserve">Tesla's customer service has recently come under fire, primarily from customers who have gone so far as to sue the company for failing to respond to their inquiries and complaints in a timely and respectful manner, with a spike in complaints following the release of the Model X, which caused massive delays in servicing existing vehicles. To address some of the concerns, the business has chosen to add 100 new service </w:t>
            </w:r>
            <w:r w:rsidR="0064041F" w:rsidRPr="00116C8D">
              <w:rPr>
                <w:rFonts w:cs="Arial"/>
                <w:sz w:val="12"/>
                <w:szCs w:val="12"/>
                <w:lang w:val="en"/>
              </w:rPr>
              <w:t>centers</w:t>
            </w:r>
            <w:r w:rsidRPr="00116C8D">
              <w:rPr>
                <w:rFonts w:cs="Arial"/>
                <w:sz w:val="12"/>
                <w:szCs w:val="12"/>
                <w:lang w:val="en"/>
              </w:rPr>
              <w:t xml:space="preserve"> to the 150 already in operation, as well as give 350 mobile service vans for extra help around the United States (</w:t>
            </w:r>
            <w:r w:rsidR="0064041F" w:rsidRPr="00116C8D">
              <w:rPr>
                <w:rFonts w:cs="Arial"/>
                <w:sz w:val="12"/>
                <w:szCs w:val="12"/>
                <w:lang w:val="en"/>
              </w:rPr>
              <w:t>Alvarez</w:t>
            </w:r>
            <w:r w:rsidRPr="00116C8D">
              <w:rPr>
                <w:rFonts w:cs="Arial"/>
                <w:sz w:val="12"/>
                <w:szCs w:val="12"/>
                <w:lang w:val="en"/>
              </w:rPr>
              <w:t>, 2018).</w:t>
            </w:r>
          </w:p>
        </w:tc>
      </w:tr>
    </w:tbl>
    <w:p w14:paraId="346C8786" w14:textId="458CE245" w:rsidR="00681968" w:rsidRDefault="00681968" w:rsidP="00E861CF">
      <w:pPr>
        <w:spacing w:line="360" w:lineRule="auto"/>
        <w:jc w:val="both"/>
        <w:rPr>
          <w:sz w:val="32"/>
          <w:szCs w:val="24"/>
        </w:rPr>
      </w:pPr>
    </w:p>
    <w:p w14:paraId="48D15266" w14:textId="2172DA6F" w:rsidR="006C44A6" w:rsidRPr="006C44A6" w:rsidRDefault="006C44A6" w:rsidP="006815AF">
      <w:pPr>
        <w:pStyle w:val="Heading1"/>
        <w:numPr>
          <w:ilvl w:val="0"/>
          <w:numId w:val="2"/>
        </w:numPr>
      </w:pPr>
      <w:bookmarkStart w:id="8" w:name="_Toc92213689"/>
      <w:r w:rsidRPr="006C44A6">
        <w:lastRenderedPageBreak/>
        <w:t>VRIO Analysis</w:t>
      </w:r>
      <w:bookmarkEnd w:id="8"/>
    </w:p>
    <w:tbl>
      <w:tblPr>
        <w:tblStyle w:val="GridTable1Light"/>
        <w:tblpPr w:leftFromText="180" w:rightFromText="180" w:vertAnchor="text" w:horzAnchor="margin" w:tblpY="260"/>
        <w:tblW w:w="9277" w:type="dxa"/>
        <w:tblLook w:val="04A0" w:firstRow="1" w:lastRow="0" w:firstColumn="1" w:lastColumn="0" w:noHBand="0" w:noVBand="1"/>
      </w:tblPr>
      <w:tblGrid>
        <w:gridCol w:w="2284"/>
        <w:gridCol w:w="857"/>
        <w:gridCol w:w="926"/>
        <w:gridCol w:w="1550"/>
        <w:gridCol w:w="1883"/>
        <w:gridCol w:w="1777"/>
      </w:tblGrid>
      <w:tr w:rsidR="00A50669" w:rsidRPr="00A50669" w14:paraId="47DFA2DF" w14:textId="77777777" w:rsidTr="00CE23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1AC1366E" w14:textId="77777777" w:rsidR="00A50669" w:rsidRPr="00A50669" w:rsidRDefault="00A50669" w:rsidP="00CE2364">
            <w:pPr>
              <w:spacing w:line="360" w:lineRule="auto"/>
              <w:jc w:val="both"/>
              <w:rPr>
                <w:rFonts w:ascii="Times New Roman" w:hAnsi="Times New Roman"/>
                <w:szCs w:val="24"/>
                <w:lang w:val="en"/>
              </w:rPr>
            </w:pPr>
            <w:r w:rsidRPr="00A50669">
              <w:rPr>
                <w:rFonts w:ascii="Times New Roman" w:hAnsi="Times New Roman"/>
                <w:szCs w:val="24"/>
                <w:lang w:val="en"/>
              </w:rPr>
              <w:t>Sustainability Competitive Advantages</w:t>
            </w:r>
          </w:p>
        </w:tc>
        <w:tc>
          <w:tcPr>
            <w:tcW w:w="857" w:type="dxa"/>
            <w:shd w:val="clear" w:color="auto" w:fill="C5E0B3" w:themeFill="accent6" w:themeFillTint="66"/>
          </w:tcPr>
          <w:p w14:paraId="0151DA54" w14:textId="77777777" w:rsidR="00A50669" w:rsidRPr="00A50669" w:rsidRDefault="00A50669" w:rsidP="00CE236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Value</w:t>
            </w:r>
          </w:p>
        </w:tc>
        <w:tc>
          <w:tcPr>
            <w:tcW w:w="926" w:type="dxa"/>
            <w:shd w:val="clear" w:color="auto" w:fill="C5E0B3" w:themeFill="accent6" w:themeFillTint="66"/>
          </w:tcPr>
          <w:p w14:paraId="3C317D1E" w14:textId="77777777" w:rsidR="00A50669" w:rsidRPr="00A50669" w:rsidRDefault="00A50669" w:rsidP="00CE236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Rarity</w:t>
            </w:r>
          </w:p>
        </w:tc>
        <w:tc>
          <w:tcPr>
            <w:tcW w:w="1550" w:type="dxa"/>
            <w:shd w:val="clear" w:color="auto" w:fill="C5E0B3" w:themeFill="accent6" w:themeFillTint="66"/>
          </w:tcPr>
          <w:p w14:paraId="5199AF01" w14:textId="77777777" w:rsidR="00A50669" w:rsidRPr="00A50669" w:rsidRDefault="00A50669" w:rsidP="00CE236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Inimitability</w:t>
            </w:r>
          </w:p>
        </w:tc>
        <w:tc>
          <w:tcPr>
            <w:tcW w:w="1883" w:type="dxa"/>
            <w:shd w:val="clear" w:color="auto" w:fill="C5E0B3" w:themeFill="accent6" w:themeFillTint="66"/>
          </w:tcPr>
          <w:p w14:paraId="0FDBAD21" w14:textId="77777777" w:rsidR="00A50669" w:rsidRPr="00A50669" w:rsidRDefault="00A50669" w:rsidP="00CE236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Organizational support</w:t>
            </w:r>
          </w:p>
        </w:tc>
        <w:tc>
          <w:tcPr>
            <w:tcW w:w="1777" w:type="dxa"/>
            <w:shd w:val="clear" w:color="auto" w:fill="C5E0B3" w:themeFill="accent6" w:themeFillTint="66"/>
          </w:tcPr>
          <w:p w14:paraId="798D96D0" w14:textId="77777777" w:rsidR="00A50669" w:rsidRPr="00A50669" w:rsidRDefault="00A50669" w:rsidP="00CE236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Sustainability</w:t>
            </w:r>
          </w:p>
        </w:tc>
      </w:tr>
      <w:tr w:rsidR="00A50669" w:rsidRPr="00A50669" w14:paraId="0C1F31B7" w14:textId="77777777" w:rsidTr="00CE2364">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697821D8" w14:textId="77777777" w:rsidR="00A50669" w:rsidRPr="00A50669" w:rsidRDefault="00A50669" w:rsidP="00CE2364">
            <w:pPr>
              <w:spacing w:line="360" w:lineRule="auto"/>
              <w:jc w:val="both"/>
              <w:rPr>
                <w:rFonts w:ascii="Times New Roman" w:hAnsi="Times New Roman"/>
                <w:szCs w:val="24"/>
                <w:lang w:val="en"/>
              </w:rPr>
            </w:pPr>
            <w:r w:rsidRPr="00A50669">
              <w:rPr>
                <w:rFonts w:ascii="Times New Roman" w:hAnsi="Times New Roman"/>
                <w:szCs w:val="24"/>
                <w:lang w:val="en"/>
              </w:rPr>
              <w:t>Reputation and Brand Awareness</w:t>
            </w:r>
          </w:p>
        </w:tc>
        <w:tc>
          <w:tcPr>
            <w:tcW w:w="857" w:type="dxa"/>
            <w:shd w:val="clear" w:color="auto" w:fill="0070C0"/>
          </w:tcPr>
          <w:p w14:paraId="40B75DB2"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926" w:type="dxa"/>
            <w:shd w:val="clear" w:color="auto" w:fill="0070C0"/>
          </w:tcPr>
          <w:p w14:paraId="559243AA"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550" w:type="dxa"/>
            <w:shd w:val="clear" w:color="auto" w:fill="0070C0"/>
          </w:tcPr>
          <w:p w14:paraId="673AADF7"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883" w:type="dxa"/>
            <w:shd w:val="clear" w:color="auto" w:fill="0070C0"/>
          </w:tcPr>
          <w:p w14:paraId="5130DB6F"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777" w:type="dxa"/>
            <w:shd w:val="clear" w:color="auto" w:fill="0070C0"/>
          </w:tcPr>
          <w:p w14:paraId="5A5F1115"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r>
      <w:tr w:rsidR="00A50669" w:rsidRPr="00A50669" w14:paraId="718123F0" w14:textId="77777777" w:rsidTr="00CE2364">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23C30037" w14:textId="77777777" w:rsidR="00A50669" w:rsidRPr="00A50669" w:rsidRDefault="00A50669" w:rsidP="00CE2364">
            <w:pPr>
              <w:spacing w:line="360" w:lineRule="auto"/>
              <w:jc w:val="both"/>
              <w:rPr>
                <w:rFonts w:ascii="Times New Roman" w:hAnsi="Times New Roman"/>
                <w:szCs w:val="24"/>
                <w:lang w:val="en"/>
              </w:rPr>
            </w:pPr>
            <w:r w:rsidRPr="00A50669">
              <w:rPr>
                <w:rFonts w:ascii="Times New Roman" w:hAnsi="Times New Roman"/>
                <w:szCs w:val="24"/>
                <w:lang w:val="en"/>
              </w:rPr>
              <w:t>Innovative Capabilities</w:t>
            </w:r>
          </w:p>
        </w:tc>
        <w:tc>
          <w:tcPr>
            <w:tcW w:w="857" w:type="dxa"/>
            <w:shd w:val="clear" w:color="auto" w:fill="0070C0"/>
          </w:tcPr>
          <w:p w14:paraId="0AEC0371"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926" w:type="dxa"/>
            <w:shd w:val="clear" w:color="auto" w:fill="0070C0"/>
          </w:tcPr>
          <w:p w14:paraId="1B4CC824"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550" w:type="dxa"/>
            <w:shd w:val="clear" w:color="auto" w:fill="0070C0"/>
          </w:tcPr>
          <w:p w14:paraId="6BA6C87E"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Difficult</w:t>
            </w:r>
          </w:p>
        </w:tc>
        <w:tc>
          <w:tcPr>
            <w:tcW w:w="1883" w:type="dxa"/>
            <w:shd w:val="clear" w:color="auto" w:fill="0070C0"/>
          </w:tcPr>
          <w:p w14:paraId="78668B8C"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777" w:type="dxa"/>
            <w:shd w:val="clear" w:color="auto" w:fill="0070C0"/>
          </w:tcPr>
          <w:p w14:paraId="11046AC8"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r>
      <w:tr w:rsidR="00A50669" w:rsidRPr="00A50669" w14:paraId="2EC24AB7" w14:textId="77777777" w:rsidTr="00CE2364">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024CB19E" w14:textId="77777777" w:rsidR="00A50669" w:rsidRPr="00A50669" w:rsidRDefault="00A50669" w:rsidP="00CE2364">
            <w:pPr>
              <w:spacing w:line="360" w:lineRule="auto"/>
              <w:jc w:val="both"/>
              <w:rPr>
                <w:rFonts w:ascii="Times New Roman" w:hAnsi="Times New Roman"/>
                <w:szCs w:val="24"/>
                <w:lang w:val="en"/>
              </w:rPr>
            </w:pPr>
            <w:r w:rsidRPr="00A50669">
              <w:rPr>
                <w:rFonts w:ascii="Times New Roman" w:hAnsi="Times New Roman"/>
                <w:szCs w:val="24"/>
              </w:rPr>
              <w:t>Manufacturing</w:t>
            </w:r>
          </w:p>
        </w:tc>
        <w:tc>
          <w:tcPr>
            <w:tcW w:w="857" w:type="dxa"/>
            <w:shd w:val="clear" w:color="auto" w:fill="0070C0"/>
          </w:tcPr>
          <w:p w14:paraId="53469E97"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926" w:type="dxa"/>
            <w:shd w:val="clear" w:color="auto" w:fill="0070C0"/>
          </w:tcPr>
          <w:p w14:paraId="573ED66E"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550" w:type="dxa"/>
            <w:shd w:val="clear" w:color="auto" w:fill="0070C0"/>
          </w:tcPr>
          <w:p w14:paraId="20B5270F"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Difficult</w:t>
            </w:r>
          </w:p>
        </w:tc>
        <w:tc>
          <w:tcPr>
            <w:tcW w:w="1883" w:type="dxa"/>
            <w:shd w:val="clear" w:color="auto" w:fill="0070C0"/>
          </w:tcPr>
          <w:p w14:paraId="60A82FE8"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777" w:type="dxa"/>
            <w:shd w:val="clear" w:color="auto" w:fill="0070C0"/>
          </w:tcPr>
          <w:p w14:paraId="2F42BFBC"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r>
      <w:tr w:rsidR="00A50669" w:rsidRPr="00A50669" w14:paraId="56994140" w14:textId="77777777" w:rsidTr="00CE2364">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6EB929E4" w14:textId="77777777" w:rsidR="00A50669" w:rsidRPr="00A50669" w:rsidRDefault="00A50669" w:rsidP="00CE2364">
            <w:pPr>
              <w:spacing w:line="360" w:lineRule="auto"/>
              <w:jc w:val="both"/>
              <w:rPr>
                <w:rFonts w:ascii="Times New Roman" w:hAnsi="Times New Roman"/>
                <w:szCs w:val="24"/>
              </w:rPr>
            </w:pPr>
            <w:r w:rsidRPr="00A50669">
              <w:rPr>
                <w:rFonts w:ascii="Times New Roman" w:hAnsi="Times New Roman"/>
                <w:szCs w:val="24"/>
              </w:rPr>
              <w:t>Stores</w:t>
            </w:r>
          </w:p>
        </w:tc>
        <w:tc>
          <w:tcPr>
            <w:tcW w:w="857" w:type="dxa"/>
            <w:shd w:val="clear" w:color="auto" w:fill="0070C0"/>
          </w:tcPr>
          <w:p w14:paraId="508900BF"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926" w:type="dxa"/>
            <w:shd w:val="clear" w:color="auto" w:fill="0070C0"/>
          </w:tcPr>
          <w:p w14:paraId="32EE6F09"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550" w:type="dxa"/>
            <w:shd w:val="clear" w:color="auto" w:fill="0070C0"/>
          </w:tcPr>
          <w:p w14:paraId="00268956" w14:textId="74B36C71"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Difficult</w:t>
            </w:r>
          </w:p>
        </w:tc>
        <w:tc>
          <w:tcPr>
            <w:tcW w:w="1883" w:type="dxa"/>
            <w:shd w:val="clear" w:color="auto" w:fill="0070C0"/>
          </w:tcPr>
          <w:p w14:paraId="616F4C48"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777" w:type="dxa"/>
            <w:shd w:val="clear" w:color="auto" w:fill="0070C0"/>
          </w:tcPr>
          <w:p w14:paraId="05CE4E29"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r>
      <w:tr w:rsidR="00A50669" w:rsidRPr="00A50669" w14:paraId="03BE84E6" w14:textId="77777777" w:rsidTr="00CE2364">
        <w:tc>
          <w:tcPr>
            <w:cnfStyle w:val="001000000000" w:firstRow="0" w:lastRow="0" w:firstColumn="1" w:lastColumn="0" w:oddVBand="0" w:evenVBand="0" w:oddHBand="0" w:evenHBand="0" w:firstRowFirstColumn="0" w:firstRowLastColumn="0" w:lastRowFirstColumn="0" w:lastRowLastColumn="0"/>
            <w:tcW w:w="2284" w:type="dxa"/>
            <w:shd w:val="clear" w:color="auto" w:fill="C5E0B3" w:themeFill="accent6" w:themeFillTint="66"/>
          </w:tcPr>
          <w:p w14:paraId="50692398" w14:textId="77777777" w:rsidR="00A50669" w:rsidRPr="00A50669" w:rsidRDefault="00A50669" w:rsidP="00CE2364">
            <w:pPr>
              <w:spacing w:line="360" w:lineRule="auto"/>
              <w:jc w:val="both"/>
              <w:rPr>
                <w:rFonts w:ascii="Times New Roman" w:hAnsi="Times New Roman"/>
                <w:szCs w:val="24"/>
              </w:rPr>
            </w:pPr>
            <w:r w:rsidRPr="00A50669">
              <w:rPr>
                <w:rFonts w:ascii="Times New Roman" w:hAnsi="Times New Roman"/>
                <w:szCs w:val="24"/>
              </w:rPr>
              <w:t>Charging Network</w:t>
            </w:r>
          </w:p>
        </w:tc>
        <w:tc>
          <w:tcPr>
            <w:tcW w:w="857" w:type="dxa"/>
            <w:shd w:val="clear" w:color="auto" w:fill="0070C0"/>
          </w:tcPr>
          <w:p w14:paraId="6C8754E9"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926" w:type="dxa"/>
            <w:shd w:val="clear" w:color="auto" w:fill="0070C0"/>
          </w:tcPr>
          <w:p w14:paraId="1ED14E8E"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550" w:type="dxa"/>
            <w:shd w:val="clear" w:color="auto" w:fill="0070C0"/>
          </w:tcPr>
          <w:p w14:paraId="5EBF643E"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Difficult</w:t>
            </w:r>
          </w:p>
        </w:tc>
        <w:tc>
          <w:tcPr>
            <w:tcW w:w="1883" w:type="dxa"/>
            <w:shd w:val="clear" w:color="auto" w:fill="0070C0"/>
          </w:tcPr>
          <w:p w14:paraId="6F758360"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c>
          <w:tcPr>
            <w:tcW w:w="1777" w:type="dxa"/>
            <w:shd w:val="clear" w:color="auto" w:fill="0070C0"/>
          </w:tcPr>
          <w:p w14:paraId="0A3DE673" w14:textId="77777777" w:rsidR="00A50669" w:rsidRPr="00A50669" w:rsidRDefault="00A50669" w:rsidP="00CE236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Cs w:val="24"/>
                <w:lang w:val="en"/>
              </w:rPr>
            </w:pPr>
            <w:r w:rsidRPr="00A50669">
              <w:rPr>
                <w:rFonts w:ascii="Times New Roman" w:hAnsi="Times New Roman"/>
                <w:szCs w:val="24"/>
                <w:lang w:val="en"/>
              </w:rPr>
              <w:t>Yes</w:t>
            </w:r>
          </w:p>
        </w:tc>
      </w:tr>
    </w:tbl>
    <w:p w14:paraId="30F8543C" w14:textId="77777777" w:rsidR="009336B7" w:rsidRPr="00E861CF" w:rsidRDefault="009336B7" w:rsidP="00E861CF">
      <w:pPr>
        <w:spacing w:line="360" w:lineRule="auto"/>
        <w:jc w:val="both"/>
        <w:rPr>
          <w:sz w:val="32"/>
          <w:szCs w:val="24"/>
        </w:rPr>
      </w:pPr>
    </w:p>
    <w:p w14:paraId="24CBF72A" w14:textId="2C46B76F" w:rsidR="00D852E7" w:rsidRDefault="006F7756" w:rsidP="00CA0B6F">
      <w:pPr>
        <w:pStyle w:val="Heading1"/>
      </w:pPr>
      <w:bookmarkStart w:id="9" w:name="_Toc92213690"/>
      <w:r>
        <w:t>Conclusion</w:t>
      </w:r>
      <w:bookmarkEnd w:id="9"/>
    </w:p>
    <w:p w14:paraId="2FF7ECC0" w14:textId="554249E8" w:rsidR="00E01CF0" w:rsidRDefault="00E01CF0" w:rsidP="00E01CF0"/>
    <w:p w14:paraId="6B1A200C" w14:textId="11349933" w:rsidR="00E01CF0" w:rsidRPr="00E01CF0" w:rsidRDefault="00E01CF0" w:rsidP="00E01CF0">
      <w:pPr>
        <w:spacing w:line="360" w:lineRule="auto"/>
        <w:jc w:val="both"/>
      </w:pPr>
      <w:r w:rsidRPr="00E01CF0">
        <w:t>Due to the high costs and level of technology required, it is difficult for other companies to follow Tesla's model, as some features, such as the fast car charger network implemented in the United States</w:t>
      </w:r>
      <w:r>
        <w:t xml:space="preserve">, </w:t>
      </w:r>
      <w:r w:rsidRPr="00E01CF0">
        <w:t xml:space="preserve">manufacturing, and innovative capabilities, are very difficult to replicate, as shown in </w:t>
      </w:r>
      <w:r>
        <w:t>the analysis above. Nevertheless, despite its strengths which maintain the company on the top of EV market, the threat of new entrants</w:t>
      </w:r>
      <w:r w:rsidR="00473BF1">
        <w:t xml:space="preserve"> that can provide similar products at lower prices can threat the company position. Therefore, adaptability to the market </w:t>
      </w:r>
      <w:r w:rsidR="006529AF">
        <w:t>demands</w:t>
      </w:r>
      <w:r w:rsidR="00473BF1">
        <w:t xml:space="preserve"> is the key to maintain the competitive advantage in this context, given the premium brand strategy adopted by Tesla. Hence, </w:t>
      </w:r>
      <w:r w:rsidR="006529AF">
        <w:t>Tesla must seek new opportunities of expansion on the emerging markets</w:t>
      </w:r>
      <w:r w:rsidR="001D4FC2">
        <w:t xml:space="preserve"> and expand its product offer accordingly to the market needs.</w:t>
      </w:r>
    </w:p>
    <w:p w14:paraId="09E09DD2" w14:textId="784FF57A" w:rsidR="00D852E7" w:rsidRDefault="002C2F86" w:rsidP="00CA0B6F">
      <w:pPr>
        <w:pStyle w:val="Heading1"/>
      </w:pPr>
      <w:bookmarkStart w:id="10" w:name="_Toc92213691"/>
      <w:r>
        <w:t>References</w:t>
      </w:r>
      <w:bookmarkEnd w:id="10"/>
    </w:p>
    <w:p w14:paraId="2E893D77" w14:textId="6207B740" w:rsidR="002C2F86" w:rsidRDefault="002C2F86" w:rsidP="00D852E7"/>
    <w:p w14:paraId="3D99F5B5" w14:textId="2773B74C" w:rsidR="00766CA8" w:rsidRDefault="00766CA8" w:rsidP="004B2AD8">
      <w:pPr>
        <w:spacing w:line="360" w:lineRule="auto"/>
        <w:rPr>
          <w:rStyle w:val="reference-accessdate"/>
          <w:rFonts w:cs="Arial"/>
          <w:szCs w:val="24"/>
        </w:rPr>
      </w:pPr>
      <w:r w:rsidRPr="004B2AD8" w:rsidDel="00154FB7">
        <w:rPr>
          <w:rStyle w:val="HTMLCite"/>
          <w:rFonts w:cs="Arial"/>
          <w:szCs w:val="24"/>
        </w:rPr>
        <w:t>2019 – Battery prices reduce in 2019. Retrieved from:</w:t>
      </w:r>
      <w:r>
        <w:rPr>
          <w:rStyle w:val="HTMLCite"/>
          <w:rFonts w:cs="Arial"/>
          <w:szCs w:val="24"/>
        </w:rPr>
        <w:t xml:space="preserve"> </w:t>
      </w:r>
      <w:r w:rsidRPr="004B2AD8">
        <w:rPr>
          <w:rStyle w:val="HTMLCite"/>
          <w:rFonts w:cs="Arial"/>
          <w:szCs w:val="24"/>
        </w:rPr>
        <w:t xml:space="preserve">Henze, V. (2019): Battery Pack Prices Fall As Market Ramps Up With Market Average At $156/kWh In 2019 Available from:    </w:t>
      </w:r>
      <w:hyperlink r:id="rId11" w:history="1">
        <w:r w:rsidRPr="004B2AD8">
          <w:rPr>
            <w:rStyle w:val="Hyperlink"/>
            <w:rFonts w:eastAsiaTheme="majorEastAsia" w:cs="Arial"/>
            <w:szCs w:val="24"/>
          </w:rPr>
          <w:t>https://about.bnef.com/blog/battery-pack-prices-fall-as-market-ramps-up-with-market-average-at-156-kwh-in-2019/</w:t>
        </w:r>
      </w:hyperlink>
      <w:r w:rsidRPr="004B2AD8">
        <w:rPr>
          <w:rStyle w:val="Hyperlink"/>
          <w:rFonts w:eastAsiaTheme="majorEastAsia" w:cs="Arial"/>
          <w:szCs w:val="24"/>
        </w:rPr>
        <w:t xml:space="preserve"> </w:t>
      </w:r>
      <w:r>
        <w:rPr>
          <w:rStyle w:val="reference-accessdate"/>
          <w:rFonts w:cs="Arial"/>
          <w:szCs w:val="24"/>
        </w:rPr>
        <w:t xml:space="preserve">. </w:t>
      </w:r>
      <w:r w:rsidRPr="004B2AD8">
        <w:rPr>
          <w:rStyle w:val="reference-accessdate"/>
          <w:rFonts w:cs="Arial"/>
          <w:szCs w:val="24"/>
        </w:rPr>
        <w:t>Accessed</w:t>
      </w:r>
      <w:r>
        <w:rPr>
          <w:rStyle w:val="reference-accessdate"/>
          <w:rFonts w:cs="Arial"/>
          <w:szCs w:val="24"/>
        </w:rPr>
        <w:t>:</w:t>
      </w:r>
      <w:r w:rsidRPr="004B2AD8">
        <w:rPr>
          <w:rStyle w:val="reference-accessdate"/>
          <w:rFonts w:cs="Arial"/>
          <w:szCs w:val="24"/>
        </w:rPr>
        <w:t xml:space="preserve"> 12</w:t>
      </w:r>
      <w:r>
        <w:rPr>
          <w:rStyle w:val="reference-accessdate"/>
          <w:rFonts w:cs="Arial"/>
          <w:szCs w:val="24"/>
        </w:rPr>
        <w:t xml:space="preserve"> December </w:t>
      </w:r>
      <w:r w:rsidRPr="004B2AD8">
        <w:rPr>
          <w:rStyle w:val="reference-accessdate"/>
          <w:rFonts w:cs="Arial"/>
          <w:szCs w:val="24"/>
        </w:rPr>
        <w:t>202</w:t>
      </w:r>
      <w:r>
        <w:rPr>
          <w:rStyle w:val="reference-accessdate"/>
          <w:rFonts w:cs="Arial"/>
          <w:szCs w:val="24"/>
        </w:rPr>
        <w:t>1</w:t>
      </w:r>
    </w:p>
    <w:p w14:paraId="1D4B99A8" w14:textId="77777777" w:rsidR="00766CA8" w:rsidRDefault="00766CA8" w:rsidP="004B2AD8">
      <w:pPr>
        <w:spacing w:line="360" w:lineRule="auto"/>
        <w:rPr>
          <w:rStyle w:val="reference-accessdate"/>
          <w:rFonts w:cs="Arial"/>
          <w:szCs w:val="24"/>
        </w:rPr>
      </w:pPr>
    </w:p>
    <w:p w14:paraId="5673F772" w14:textId="7790FA50" w:rsidR="00766CA8" w:rsidRDefault="00766CA8" w:rsidP="00630DDD">
      <w:pPr>
        <w:spacing w:line="360" w:lineRule="auto"/>
      </w:pPr>
      <w:r>
        <w:lastRenderedPageBreak/>
        <w:t xml:space="preserve">GOV.UK (2021), Transitioning to zero emission cars and vans: 2035 delivery plan, Available online at: </w:t>
      </w:r>
      <w:hyperlink r:id="rId12" w:history="1">
        <w:r w:rsidRPr="007E2153">
          <w:rPr>
            <w:rStyle w:val="Hyperlink"/>
          </w:rPr>
          <w:t>https://assets.publishing.service.gov.uk/government/uploads/system/uploads/attachment_data/file/1005301/transitioning-to-zero-emission-cars-vans-2035-delivery-plan.pdf</w:t>
        </w:r>
      </w:hyperlink>
      <w:r>
        <w:t>, Accessed 23 December 2021</w:t>
      </w:r>
    </w:p>
    <w:p w14:paraId="0FDFB5B8" w14:textId="77777777" w:rsidR="001855B3" w:rsidRDefault="001855B3" w:rsidP="00630DDD">
      <w:pPr>
        <w:spacing w:line="360" w:lineRule="auto"/>
      </w:pPr>
    </w:p>
    <w:p w14:paraId="39E8B053" w14:textId="78527A99" w:rsidR="00766CA8" w:rsidRDefault="00766CA8" w:rsidP="00630DDD">
      <w:pPr>
        <w:spacing w:line="360" w:lineRule="auto"/>
      </w:pPr>
      <w:r w:rsidRPr="00630DDD">
        <w:t>Morgan Stanley. (2020). </w:t>
      </w:r>
      <w:r w:rsidRPr="00630DDD">
        <w:rPr>
          <w:i/>
          <w:iCs/>
        </w:rPr>
        <w:t>Projected electric vehicle sales as a percentage of car sales worldwide between 2030 and 2050</w:t>
      </w:r>
      <w:r w:rsidRPr="00630DDD">
        <w:t xml:space="preserve">. Statista. Statista Inc.2022. </w:t>
      </w:r>
      <w:hyperlink r:id="rId13" w:history="1">
        <w:r w:rsidRPr="00630DDD">
          <w:rPr>
            <w:rStyle w:val="Hyperlink"/>
          </w:rPr>
          <w:t>https://www.statista.com/statistics/1202364/ev-global-market-share/</w:t>
        </w:r>
      </w:hyperlink>
      <w:r>
        <w:t>, Accessed 1</w:t>
      </w:r>
      <w:r w:rsidRPr="00630DDD">
        <w:rPr>
          <w:vertAlign w:val="superscript"/>
        </w:rPr>
        <w:t>st</w:t>
      </w:r>
      <w:r>
        <w:t xml:space="preserve"> January 2022</w:t>
      </w:r>
    </w:p>
    <w:p w14:paraId="0F36451C" w14:textId="77777777" w:rsidR="00766CA8" w:rsidRDefault="00766CA8" w:rsidP="00630DDD">
      <w:pPr>
        <w:spacing w:line="360" w:lineRule="auto"/>
      </w:pPr>
    </w:p>
    <w:p w14:paraId="2EC126D0" w14:textId="3005EAA9" w:rsidR="00766CA8" w:rsidRDefault="00766CA8" w:rsidP="0050539C">
      <w:pPr>
        <w:spacing w:line="360" w:lineRule="auto"/>
      </w:pPr>
      <w:r w:rsidRPr="002C2F86">
        <w:t>Statista (2021</w:t>
      </w:r>
      <w:r w:rsidRPr="0050539C">
        <w:rPr>
          <w:i/>
          <w:iCs/>
        </w:rPr>
        <w:t>), Automotive industry worldwide - statistics &amp; facts</w:t>
      </w:r>
      <w:r w:rsidRPr="002C2F86">
        <w:t xml:space="preserve">, Available online at: </w:t>
      </w:r>
      <w:hyperlink r:id="rId14" w:history="1">
        <w:r w:rsidRPr="0050539C">
          <w:rPr>
            <w:rStyle w:val="Hyperlink"/>
          </w:rPr>
          <w:t>https://www.statista.com/topics/1487/automotive-industry/#dossier-chapter1</w:t>
        </w:r>
      </w:hyperlink>
      <w:r>
        <w:t>. Accessed 23 December 2021</w:t>
      </w:r>
    </w:p>
    <w:p w14:paraId="6E0824AB" w14:textId="77777777" w:rsidR="00766CA8" w:rsidRPr="002C2F86" w:rsidRDefault="00766CA8" w:rsidP="0050539C">
      <w:pPr>
        <w:spacing w:line="360" w:lineRule="auto"/>
      </w:pPr>
    </w:p>
    <w:p w14:paraId="721C9C79" w14:textId="77777777" w:rsidR="00766CA8" w:rsidRDefault="00766CA8" w:rsidP="008639F4">
      <w:pPr>
        <w:spacing w:after="160" w:line="360" w:lineRule="auto"/>
        <w:rPr>
          <w:rStyle w:val="HTMLCite"/>
          <w:rFonts w:cs="Arial"/>
          <w:i w:val="0"/>
          <w:iCs w:val="0"/>
          <w:szCs w:val="24"/>
        </w:rPr>
      </w:pPr>
      <w:r w:rsidRPr="008639F4">
        <w:rPr>
          <w:rStyle w:val="HTMLCite"/>
          <w:rFonts w:cs="Arial"/>
          <w:i w:val="0"/>
          <w:iCs w:val="0"/>
          <w:szCs w:val="24"/>
        </w:rPr>
        <w:t>Tesla (2016),</w:t>
      </w:r>
      <w:r w:rsidRPr="008639F4">
        <w:rPr>
          <w:rStyle w:val="HTMLCite"/>
          <w:rFonts w:cs="Arial"/>
          <w:szCs w:val="24"/>
        </w:rPr>
        <w:t xml:space="preserve"> Tesla Makes Offer to Acquire SolarCity</w:t>
      </w:r>
      <w:r>
        <w:rPr>
          <w:rStyle w:val="HTMLCite"/>
          <w:rFonts w:cs="Arial"/>
          <w:szCs w:val="24"/>
        </w:rPr>
        <w:t xml:space="preserve">, </w:t>
      </w:r>
      <w:r w:rsidRPr="00C87777">
        <w:rPr>
          <w:rStyle w:val="HTMLCite"/>
          <w:rFonts w:cs="Arial"/>
          <w:i w:val="0"/>
          <w:iCs w:val="0"/>
          <w:szCs w:val="24"/>
        </w:rPr>
        <w:t xml:space="preserve">Available online from: </w:t>
      </w:r>
      <w:hyperlink r:id="rId15" w:history="1">
        <w:r w:rsidRPr="008639F4">
          <w:rPr>
            <w:rStyle w:val="Hyperlink"/>
            <w:rFonts w:eastAsiaTheme="majorEastAsia" w:cs="Arial"/>
            <w:szCs w:val="24"/>
          </w:rPr>
          <w:t>https://www.tesla.com/blog/tesla-makes-offer-to-acquire-solarcity</w:t>
        </w:r>
      </w:hyperlink>
      <w:r>
        <w:rPr>
          <w:rStyle w:val="HTMLCite"/>
          <w:rFonts w:cs="Arial"/>
          <w:szCs w:val="24"/>
        </w:rPr>
        <w:t xml:space="preserve">, </w:t>
      </w:r>
      <w:r>
        <w:rPr>
          <w:rStyle w:val="HTMLCite"/>
          <w:rFonts w:cs="Arial"/>
          <w:i w:val="0"/>
          <w:iCs w:val="0"/>
          <w:szCs w:val="24"/>
        </w:rPr>
        <w:t>Accessed: 10 December 2021</w:t>
      </w:r>
    </w:p>
    <w:p w14:paraId="42FAB80E" w14:textId="497394B4" w:rsidR="00766CA8" w:rsidRPr="008E1B23" w:rsidDel="005044F6" w:rsidRDefault="00766CA8" w:rsidP="008639F4">
      <w:pPr>
        <w:spacing w:after="160" w:line="360" w:lineRule="auto"/>
        <w:rPr>
          <w:rStyle w:val="HTMLCite"/>
          <w:rFonts w:cs="Arial"/>
          <w:i w:val="0"/>
          <w:iCs w:val="0"/>
          <w:szCs w:val="24"/>
        </w:rPr>
      </w:pPr>
      <w:r>
        <w:rPr>
          <w:rStyle w:val="HTMLCite"/>
          <w:rFonts w:cs="Arial"/>
          <w:i w:val="0"/>
          <w:iCs w:val="0"/>
          <w:szCs w:val="24"/>
        </w:rPr>
        <w:br/>
      </w:r>
      <w:r w:rsidRPr="008E1B23">
        <w:rPr>
          <w:rFonts w:cs="Arial"/>
          <w:color w:val="212529"/>
          <w:szCs w:val="24"/>
          <w:shd w:val="clear" w:color="auto" w:fill="FFFFFF"/>
        </w:rPr>
        <w:t>Porter, M. (1979)</w:t>
      </w:r>
      <w:r>
        <w:rPr>
          <w:rFonts w:cs="Arial"/>
          <w:color w:val="212529"/>
          <w:szCs w:val="24"/>
          <w:shd w:val="clear" w:color="auto" w:fill="FFFFFF"/>
        </w:rPr>
        <w:t xml:space="preserve">, </w:t>
      </w:r>
      <w:r w:rsidRPr="008E1B23">
        <w:rPr>
          <w:rFonts w:cs="Arial"/>
          <w:color w:val="212529"/>
          <w:szCs w:val="24"/>
          <w:shd w:val="clear" w:color="auto" w:fill="FFFFFF"/>
        </w:rPr>
        <w:t>How Competitive Forces Shape Strategy</w:t>
      </w:r>
      <w:r>
        <w:rPr>
          <w:rFonts w:cs="Arial"/>
          <w:color w:val="212529"/>
          <w:szCs w:val="24"/>
          <w:shd w:val="clear" w:color="auto" w:fill="FFFFFF"/>
        </w:rPr>
        <w:t xml:space="preserve">, </w:t>
      </w:r>
      <w:r w:rsidRPr="008E1B23">
        <w:rPr>
          <w:rStyle w:val="Emphasis"/>
          <w:rFonts w:cs="Arial"/>
          <w:color w:val="212529"/>
          <w:szCs w:val="24"/>
          <w:shd w:val="clear" w:color="auto" w:fill="FFFFFF"/>
        </w:rPr>
        <w:t>Harvard Business Review</w:t>
      </w:r>
    </w:p>
    <w:p w14:paraId="548BC10F" w14:textId="5744F56A" w:rsidR="008639F4" w:rsidRPr="00B40A26" w:rsidRDefault="00B40A26" w:rsidP="00B40A26">
      <w:pPr>
        <w:spacing w:line="360" w:lineRule="auto"/>
      </w:pPr>
      <w:r w:rsidRPr="00B40A26">
        <w:t>Allianz. (2015). </w:t>
      </w:r>
      <w:r w:rsidRPr="00B40A26">
        <w:rPr>
          <w:i/>
          <w:iCs/>
        </w:rPr>
        <w:t>Projected worldwide sales of electric bicycles in 2014 and 2023 (in million units). </w:t>
      </w:r>
      <w:r w:rsidRPr="00B40A26">
        <w:t xml:space="preserve">Statista. Statista Inc.. </w:t>
      </w:r>
      <w:r>
        <w:t xml:space="preserve">Available online at: </w:t>
      </w:r>
      <w:r w:rsidRPr="00B40A26">
        <w:t xml:space="preserve"> </w:t>
      </w:r>
      <w:hyperlink r:id="rId16" w:history="1">
        <w:r w:rsidRPr="00B40A26">
          <w:rPr>
            <w:rStyle w:val="Hyperlink"/>
          </w:rPr>
          <w:t>https://www.statista.com/statistics/255653/worldwide-sales-of-electric-bicycles/</w:t>
        </w:r>
      </w:hyperlink>
      <w:r w:rsidR="00541C3D">
        <w:t>, Accessed 04 January 2022</w:t>
      </w:r>
    </w:p>
    <w:p w14:paraId="6ADA70C4" w14:textId="281C5BE5" w:rsidR="004B2AD8" w:rsidRDefault="004B2AD8" w:rsidP="00630DDD">
      <w:pPr>
        <w:spacing w:line="360" w:lineRule="auto"/>
      </w:pPr>
    </w:p>
    <w:p w14:paraId="288D07BF" w14:textId="7C4238D7" w:rsidR="00B075BA" w:rsidRPr="00B075BA" w:rsidRDefault="00B075BA" w:rsidP="00541C3D">
      <w:pPr>
        <w:spacing w:line="360" w:lineRule="auto"/>
      </w:pPr>
      <w:r w:rsidRPr="00B075BA">
        <w:t xml:space="preserve">Financial Times (2021), </w:t>
      </w:r>
      <w:r w:rsidRPr="00541C3D">
        <w:rPr>
          <w:rFonts w:eastAsiaTheme="majorEastAsia"/>
          <w:i/>
          <w:iCs/>
        </w:rPr>
        <w:t>Lucid takes on Tesla as electric vehicle competition hots up</w:t>
      </w:r>
      <w:r>
        <w:rPr>
          <w:rFonts w:eastAsiaTheme="majorEastAsia"/>
        </w:rPr>
        <w:t xml:space="preserve">, Available online at: </w:t>
      </w:r>
    </w:p>
    <w:p w14:paraId="62FE190F" w14:textId="7527CAA5" w:rsidR="00B075BA" w:rsidRDefault="00B075BA" w:rsidP="00541C3D">
      <w:pPr>
        <w:spacing w:line="360" w:lineRule="auto"/>
      </w:pPr>
      <w:r w:rsidRPr="00B075BA">
        <w:t xml:space="preserve"> </w:t>
      </w:r>
      <w:hyperlink r:id="rId17" w:history="1">
        <w:r w:rsidRPr="007E2153">
          <w:rPr>
            <w:rStyle w:val="Hyperlink"/>
          </w:rPr>
          <w:t>https://www.ft.com/content/8e01e59e-5b89-46c2-a798-6945fa2f255d</w:t>
        </w:r>
      </w:hyperlink>
      <w:r>
        <w:t>, Accessed 04 January 2022</w:t>
      </w:r>
    </w:p>
    <w:p w14:paraId="12961195" w14:textId="222D3B80" w:rsidR="00A77E7C" w:rsidRDefault="00A77E7C" w:rsidP="00541C3D">
      <w:pPr>
        <w:spacing w:line="360" w:lineRule="auto"/>
      </w:pPr>
    </w:p>
    <w:p w14:paraId="3C506415" w14:textId="341A6652" w:rsidR="00A77E7C" w:rsidRPr="00A77E7C" w:rsidRDefault="00A77E7C" w:rsidP="00A77E7C">
      <w:pPr>
        <w:spacing w:line="360" w:lineRule="auto"/>
      </w:pPr>
      <w:r w:rsidRPr="00A77E7C">
        <w:lastRenderedPageBreak/>
        <w:t xml:space="preserve">Kantar BrandZ (2021), </w:t>
      </w:r>
      <w:r w:rsidRPr="00A77E7C">
        <w:rPr>
          <w:i/>
          <w:iCs/>
        </w:rPr>
        <w:t>Tesla accelerates into most valuable automotive brand position</w:t>
      </w:r>
      <w:r w:rsidRPr="00A77E7C">
        <w:t>,</w:t>
      </w:r>
      <w:r>
        <w:t xml:space="preserve"> Available online at:</w:t>
      </w:r>
      <w:r w:rsidRPr="00A77E7C">
        <w:t xml:space="preserve">  </w:t>
      </w:r>
      <w:hyperlink r:id="rId18" w:history="1">
        <w:r w:rsidRPr="00A77E7C">
          <w:rPr>
            <w:rStyle w:val="Hyperlink"/>
          </w:rPr>
          <w:t>https://www.kantar.com/inspiration/mobility/2021-tesla-accelerates-into-most-valuable-auto-brand-position</w:t>
        </w:r>
      </w:hyperlink>
      <w:r w:rsidRPr="00A77E7C">
        <w:t>,</w:t>
      </w:r>
      <w:r>
        <w:t xml:space="preserve"> Accessed 02 January 2022</w:t>
      </w:r>
    </w:p>
    <w:p w14:paraId="10C48489" w14:textId="609DE778" w:rsidR="00A77E7C" w:rsidRDefault="00A77E7C" w:rsidP="00541C3D">
      <w:pPr>
        <w:spacing w:line="360" w:lineRule="auto"/>
      </w:pPr>
    </w:p>
    <w:p w14:paraId="24C5D9E9" w14:textId="4931417A" w:rsidR="007B353C" w:rsidRDefault="007B353C" w:rsidP="007B353C">
      <w:pPr>
        <w:spacing w:line="360" w:lineRule="auto"/>
      </w:pPr>
      <w:r w:rsidRPr="007B353C">
        <w:t>Tesla. (2021). </w:t>
      </w:r>
      <w:r w:rsidRPr="007B353C">
        <w:rPr>
          <w:i/>
          <w:iCs/>
        </w:rPr>
        <w:t>Tesla's research and development expenses from FY 2010 to FY 2020 (in million U.S. dollars).</w:t>
      </w:r>
      <w:r w:rsidRPr="007B353C">
        <w:t xml:space="preserve"> Statista. Statista Inc.. </w:t>
      </w:r>
      <w:r>
        <w:t xml:space="preserve">Available online at: </w:t>
      </w:r>
      <w:hyperlink r:id="rId19" w:history="1">
        <w:r w:rsidRPr="007B353C">
          <w:rPr>
            <w:rStyle w:val="Hyperlink"/>
          </w:rPr>
          <w:t>https://www.statista.com/statistics/314863/research-and-development-expenses-of-tesla/</w:t>
        </w:r>
      </w:hyperlink>
      <w:r>
        <w:t>, Accessed 02 January 2022</w:t>
      </w:r>
    </w:p>
    <w:p w14:paraId="01A9B9FE" w14:textId="77777777" w:rsidR="0064041F" w:rsidRDefault="0064041F" w:rsidP="007B353C">
      <w:pPr>
        <w:spacing w:line="360" w:lineRule="auto"/>
      </w:pPr>
    </w:p>
    <w:p w14:paraId="32DF7549" w14:textId="401BACD8" w:rsidR="00E5790C" w:rsidRPr="00E5790C" w:rsidRDefault="00E5790C" w:rsidP="00E5790C">
      <w:pPr>
        <w:spacing w:line="360" w:lineRule="auto"/>
      </w:pPr>
      <w:r w:rsidRPr="00E5790C">
        <w:t xml:space="preserve">CNBC (2021), </w:t>
      </w:r>
      <w:r w:rsidRPr="00E5790C">
        <w:rPr>
          <w:i/>
          <w:iCs/>
        </w:rPr>
        <w:t>Tesla buyers confounded by delivery delays stretching for months</w:t>
      </w:r>
      <w:r>
        <w:t xml:space="preserve">, Available online at: </w:t>
      </w:r>
    </w:p>
    <w:p w14:paraId="30F69D68" w14:textId="0DB4D0D8" w:rsidR="00E5790C" w:rsidRDefault="00E5790C" w:rsidP="00E5790C">
      <w:pPr>
        <w:spacing w:line="360" w:lineRule="auto"/>
      </w:pPr>
      <w:r>
        <w:t xml:space="preserve"> </w:t>
      </w:r>
      <w:hyperlink r:id="rId20" w:history="1">
        <w:r w:rsidRPr="001C1FE9">
          <w:rPr>
            <w:rStyle w:val="Hyperlink"/>
          </w:rPr>
          <w:t>https://www.cnbc.com/2021/08/18/months-long-delivery-delays-confound-would-be-tesla-owners.html</w:t>
        </w:r>
      </w:hyperlink>
      <w:r>
        <w:t>, Accessed 01 January 2022</w:t>
      </w:r>
    </w:p>
    <w:p w14:paraId="6CBCB74C" w14:textId="1ED0CDBB" w:rsidR="00F32EE9" w:rsidRDefault="00F32EE9" w:rsidP="00E5790C">
      <w:pPr>
        <w:spacing w:line="360" w:lineRule="auto"/>
      </w:pPr>
    </w:p>
    <w:p w14:paraId="3AC2E3FE" w14:textId="24346868" w:rsidR="005140EC" w:rsidRPr="005140EC" w:rsidRDefault="00F32EE9" w:rsidP="005140EC">
      <w:pPr>
        <w:spacing w:line="360" w:lineRule="auto"/>
      </w:pPr>
      <w:r w:rsidRPr="005140EC">
        <w:t>Bhargava, H, Boehm, J. &amp; Parker, J. (2021),</w:t>
      </w:r>
      <w:r w:rsidR="005140EC" w:rsidRPr="005140EC">
        <w:t xml:space="preserve"> </w:t>
      </w:r>
      <w:r w:rsidR="005140EC" w:rsidRPr="005140EC">
        <w:rPr>
          <w:i/>
          <w:iCs/>
        </w:rPr>
        <w:t>How Tesla’s Charging Stations Left Other Manufacturers in the Dust</w:t>
      </w:r>
      <w:r w:rsidR="005140EC" w:rsidRPr="005140EC">
        <w:t xml:space="preserve">, Available online at: </w:t>
      </w:r>
    </w:p>
    <w:p w14:paraId="4B7140CC" w14:textId="29E5F7A5" w:rsidR="00F32EE9" w:rsidRDefault="00F32EE9" w:rsidP="005140EC">
      <w:pPr>
        <w:spacing w:line="360" w:lineRule="auto"/>
      </w:pPr>
      <w:r w:rsidRPr="005140EC">
        <w:t xml:space="preserve"> </w:t>
      </w:r>
      <w:hyperlink r:id="rId21" w:history="1">
        <w:r w:rsidR="005140EC" w:rsidRPr="001C1FE9">
          <w:rPr>
            <w:rStyle w:val="Hyperlink"/>
          </w:rPr>
          <w:t>https://hbr.org/2021/01/how-teslas-charging-stations-left-other-manufacturers-in-the-dust</w:t>
        </w:r>
      </w:hyperlink>
      <w:r w:rsidR="005140EC">
        <w:t>, Accessed 29 December 2021</w:t>
      </w:r>
    </w:p>
    <w:p w14:paraId="765A3EAB" w14:textId="7F231C21" w:rsidR="001D4FC2" w:rsidRDefault="001D4FC2" w:rsidP="005140EC">
      <w:pPr>
        <w:spacing w:line="360" w:lineRule="auto"/>
      </w:pPr>
    </w:p>
    <w:p w14:paraId="00FB217E" w14:textId="4A155551" w:rsidR="001D4FC2" w:rsidRDefault="001D4FC2" w:rsidP="005140EC">
      <w:pPr>
        <w:spacing w:line="360" w:lineRule="auto"/>
        <w:rPr>
          <w:rFonts w:cs="Arial"/>
          <w:szCs w:val="24"/>
        </w:rPr>
      </w:pPr>
      <w:proofErr w:type="spellStart"/>
      <w:r w:rsidRPr="00A27EF0">
        <w:rPr>
          <w:rFonts w:cs="Arial"/>
          <w:szCs w:val="24"/>
        </w:rPr>
        <w:t>Alavrez</w:t>
      </w:r>
      <w:proofErr w:type="spellEnd"/>
      <w:r w:rsidRPr="00A27EF0">
        <w:rPr>
          <w:rFonts w:cs="Arial"/>
          <w:szCs w:val="24"/>
        </w:rPr>
        <w:t xml:space="preserve">, S. (2018): </w:t>
      </w:r>
      <w:r w:rsidRPr="00A27EF0">
        <w:rPr>
          <w:rFonts w:cs="Arial"/>
          <w:i/>
          <w:iCs/>
          <w:szCs w:val="24"/>
        </w:rPr>
        <w:t xml:space="preserve">Elon Musk pledges to improve Tesla’s service location coverage within 3-6 months </w:t>
      </w:r>
      <w:r w:rsidRPr="00C8327A">
        <w:rPr>
          <w:rStyle w:val="HTMLCite"/>
          <w:rFonts w:cs="Arial"/>
          <w:szCs w:val="24"/>
          <w14:cntxtAlts/>
        </w:rPr>
        <w:t>Available from:</w:t>
      </w:r>
      <w:r w:rsidRPr="00A27EF0">
        <w:rPr>
          <w:rFonts w:cs="Arial"/>
          <w:szCs w:val="24"/>
        </w:rPr>
        <w:t xml:space="preserve"> </w:t>
      </w:r>
      <w:hyperlink r:id="rId22" w:history="1">
        <w:r w:rsidRPr="00C8327A">
          <w:rPr>
            <w:rStyle w:val="Hyperlink"/>
            <w:rFonts w:eastAsiaTheme="majorEastAsia" w:cs="Arial"/>
            <w:szCs w:val="24"/>
          </w:rPr>
          <w:t>https://www.teslarati.com/tesla-service-location-coverage-3-6-months-elon-musk/</w:t>
        </w:r>
      </w:hyperlink>
      <w:r>
        <w:rPr>
          <w:rFonts w:cs="Arial"/>
          <w:szCs w:val="24"/>
        </w:rPr>
        <w:t>, Accessed 15 December 2021</w:t>
      </w:r>
    </w:p>
    <w:p w14:paraId="2F76E349" w14:textId="7EFA3FB5" w:rsidR="001D4FC2" w:rsidRDefault="001D4FC2" w:rsidP="005140EC">
      <w:pPr>
        <w:spacing w:line="360" w:lineRule="auto"/>
        <w:rPr>
          <w:rFonts w:cs="Arial"/>
          <w:szCs w:val="24"/>
        </w:rPr>
      </w:pPr>
    </w:p>
    <w:p w14:paraId="37315403" w14:textId="6DA3541F" w:rsidR="00C3675B" w:rsidRPr="00C3675B" w:rsidRDefault="00C3675B" w:rsidP="00C3675B">
      <w:pPr>
        <w:spacing w:line="360" w:lineRule="auto"/>
        <w:rPr>
          <w:rStyle w:val="HTMLCite"/>
          <w:rFonts w:cs="Arial"/>
          <w:i w:val="0"/>
          <w:iCs w:val="0"/>
          <w:szCs w:val="24"/>
        </w:rPr>
      </w:pPr>
      <w:r w:rsidRPr="00C3675B">
        <w:rPr>
          <w:rFonts w:cs="Arial"/>
          <w:szCs w:val="24"/>
        </w:rPr>
        <w:t xml:space="preserve">Tesla (2020), </w:t>
      </w:r>
      <w:r w:rsidRPr="00C3675B">
        <w:rPr>
          <w:rFonts w:cs="Arial"/>
          <w:i/>
          <w:iCs/>
          <w:szCs w:val="24"/>
        </w:rPr>
        <w:t>About Tesla</w:t>
      </w:r>
      <w:r w:rsidRPr="00C3675B">
        <w:rPr>
          <w:rFonts w:cs="Arial"/>
          <w:szCs w:val="24"/>
        </w:rPr>
        <w:t xml:space="preserve"> , A</w:t>
      </w:r>
      <w:r w:rsidRPr="00C3675B">
        <w:rPr>
          <w:rStyle w:val="reference-accessdate"/>
          <w:rFonts w:cs="Arial"/>
          <w:szCs w:val="24"/>
        </w:rPr>
        <w:t xml:space="preserve">vailable from: </w:t>
      </w:r>
      <w:hyperlink r:id="rId23" w:history="1">
        <w:r w:rsidRPr="00C3675B">
          <w:rPr>
            <w:rStyle w:val="Hyperlink"/>
            <w:rFonts w:eastAsiaTheme="majorEastAsia" w:cs="Arial"/>
            <w:szCs w:val="24"/>
          </w:rPr>
          <w:t>https://www.tesla.com/about</w:t>
        </w:r>
      </w:hyperlink>
      <w:r w:rsidRPr="00C3675B">
        <w:rPr>
          <w:rStyle w:val="reference-accessdate"/>
          <w:rFonts w:cs="Arial"/>
          <w:szCs w:val="24"/>
        </w:rPr>
        <w:t xml:space="preserve"> </w:t>
      </w:r>
      <w:r>
        <w:rPr>
          <w:rFonts w:cs="Arial"/>
          <w:szCs w:val="24"/>
        </w:rPr>
        <w:t>Accessed 15 December 2021</w:t>
      </w:r>
    </w:p>
    <w:p w14:paraId="38C83773" w14:textId="77777777" w:rsidR="00C3675B" w:rsidRDefault="00C3675B" w:rsidP="00C3675B">
      <w:pPr>
        <w:spacing w:line="360" w:lineRule="auto"/>
        <w:rPr>
          <w:rFonts w:cs="Arial"/>
          <w:szCs w:val="24"/>
        </w:rPr>
      </w:pPr>
    </w:p>
    <w:p w14:paraId="7A70B6A0" w14:textId="3FC85AF1" w:rsidR="00C3675B" w:rsidRPr="00C3675B" w:rsidRDefault="00C3675B" w:rsidP="00C3675B">
      <w:pPr>
        <w:spacing w:line="360" w:lineRule="auto"/>
        <w:rPr>
          <w:rFonts w:cs="Arial"/>
          <w:szCs w:val="24"/>
        </w:rPr>
      </w:pPr>
      <w:r w:rsidRPr="00C3675B">
        <w:rPr>
          <w:rFonts w:cs="Arial"/>
          <w:szCs w:val="24"/>
        </w:rPr>
        <w:t>Tesla (2020),</w:t>
      </w:r>
      <w:r w:rsidRPr="00C3675B">
        <w:rPr>
          <w:rFonts w:cs="Arial"/>
          <w:i/>
          <w:iCs/>
          <w:szCs w:val="24"/>
        </w:rPr>
        <w:t xml:space="preserve"> Charge on the Road (2020) </w:t>
      </w:r>
      <w:r w:rsidRPr="00C3675B">
        <w:rPr>
          <w:rStyle w:val="HTMLCite"/>
          <w:rFonts w:cs="Arial"/>
          <w:szCs w:val="24"/>
          <w14:cntxtAlts/>
        </w:rPr>
        <w:t>Available from:</w:t>
      </w:r>
      <w:r w:rsidRPr="00C3675B">
        <w:rPr>
          <w:rFonts w:cs="Arial"/>
          <w:szCs w:val="24"/>
        </w:rPr>
        <w:t xml:space="preserve">   </w:t>
      </w:r>
      <w:hyperlink r:id="rId24" w:history="1">
        <w:r w:rsidRPr="00C3675B">
          <w:rPr>
            <w:rStyle w:val="Hyperlink"/>
            <w:rFonts w:eastAsiaTheme="majorEastAsia" w:cs="Arial"/>
            <w:szCs w:val="24"/>
          </w:rPr>
          <w:t>https://www.tesla.com/supercharger</w:t>
        </w:r>
      </w:hyperlink>
      <w:r w:rsidRPr="00C3675B">
        <w:rPr>
          <w:rStyle w:val="Hyperlink"/>
          <w:rFonts w:eastAsiaTheme="majorEastAsia" w:cs="Arial"/>
          <w:szCs w:val="24"/>
        </w:rPr>
        <w:t xml:space="preserve"> </w:t>
      </w:r>
      <w:r>
        <w:rPr>
          <w:rFonts w:cs="Arial"/>
          <w:szCs w:val="24"/>
        </w:rPr>
        <w:t>Accessed 15 December 2021</w:t>
      </w:r>
    </w:p>
    <w:p w14:paraId="2C611723" w14:textId="77777777" w:rsidR="00C3675B" w:rsidRDefault="00C3675B" w:rsidP="00C3675B">
      <w:pPr>
        <w:spacing w:line="360" w:lineRule="auto"/>
        <w:rPr>
          <w:rStyle w:val="HTMLCite"/>
          <w:rFonts w:cs="Arial"/>
          <w:szCs w:val="24"/>
        </w:rPr>
      </w:pPr>
    </w:p>
    <w:p w14:paraId="511B1987" w14:textId="01C30346" w:rsidR="00C3675B" w:rsidRPr="00C3675B" w:rsidRDefault="00C3675B" w:rsidP="00C3675B">
      <w:pPr>
        <w:spacing w:line="360" w:lineRule="auto"/>
        <w:rPr>
          <w:rStyle w:val="HTMLCite"/>
          <w:rFonts w:cs="Arial"/>
          <w:i w:val="0"/>
          <w:iCs w:val="0"/>
          <w:szCs w:val="24"/>
        </w:rPr>
      </w:pPr>
      <w:r w:rsidRPr="00C3675B">
        <w:rPr>
          <w:rStyle w:val="HTMLCite"/>
          <w:rFonts w:cs="Arial"/>
          <w:szCs w:val="24"/>
        </w:rPr>
        <w:t xml:space="preserve">Tesla (2020), Electric Vehicle &amp; Solar Incentives, Available from:  </w:t>
      </w:r>
      <w:hyperlink r:id="rId25" w:history="1">
        <w:r w:rsidRPr="00C3675B">
          <w:rPr>
            <w:rStyle w:val="Hyperlink"/>
            <w:rFonts w:eastAsiaTheme="majorEastAsia" w:cs="Arial"/>
            <w:szCs w:val="24"/>
          </w:rPr>
          <w:t>https://www.tesla.com/support/incentives</w:t>
        </w:r>
      </w:hyperlink>
      <w:r w:rsidRPr="00C3675B">
        <w:rPr>
          <w:rStyle w:val="Hyperlink"/>
          <w:rFonts w:eastAsiaTheme="majorEastAsia" w:cs="Arial"/>
          <w:szCs w:val="24"/>
        </w:rPr>
        <w:t xml:space="preserve">  </w:t>
      </w:r>
      <w:r>
        <w:rPr>
          <w:rFonts w:cs="Arial"/>
          <w:szCs w:val="24"/>
        </w:rPr>
        <w:t>Accessed 15 December 2021</w:t>
      </w:r>
    </w:p>
    <w:p w14:paraId="616AFAF0" w14:textId="77777777" w:rsidR="001D4FC2" w:rsidRPr="005140EC" w:rsidRDefault="001D4FC2" w:rsidP="005140EC">
      <w:pPr>
        <w:spacing w:line="360" w:lineRule="auto"/>
      </w:pPr>
    </w:p>
    <w:sectPr w:rsidR="001D4FC2" w:rsidRPr="005140E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72542" w14:textId="77777777" w:rsidR="00D81518" w:rsidRDefault="00D81518" w:rsidP="0098410B">
      <w:r>
        <w:separator/>
      </w:r>
    </w:p>
  </w:endnote>
  <w:endnote w:type="continuationSeparator" w:id="0">
    <w:p w14:paraId="53B26ECE" w14:textId="77777777" w:rsidR="00D81518" w:rsidRDefault="00D81518" w:rsidP="00984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538753"/>
      <w:docPartObj>
        <w:docPartGallery w:val="Page Numbers (Bottom of Page)"/>
        <w:docPartUnique/>
      </w:docPartObj>
    </w:sdtPr>
    <w:sdtEndPr>
      <w:rPr>
        <w:noProof/>
      </w:rPr>
    </w:sdtEndPr>
    <w:sdtContent>
      <w:p w14:paraId="099D28D8" w14:textId="149B5AC1" w:rsidR="0098410B" w:rsidRDefault="009841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AE80E4" w14:textId="77777777" w:rsidR="0098410B" w:rsidRDefault="00984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5F333" w14:textId="77777777" w:rsidR="00D81518" w:rsidRDefault="00D81518" w:rsidP="0098410B">
      <w:r>
        <w:separator/>
      </w:r>
    </w:p>
  </w:footnote>
  <w:footnote w:type="continuationSeparator" w:id="0">
    <w:p w14:paraId="64F86529" w14:textId="77777777" w:rsidR="00D81518" w:rsidRDefault="00D81518" w:rsidP="009841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16B5"/>
    <w:multiLevelType w:val="hybridMultilevel"/>
    <w:tmpl w:val="CFA45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CF0A68"/>
    <w:multiLevelType w:val="multilevel"/>
    <w:tmpl w:val="841CB38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8FA663F"/>
    <w:multiLevelType w:val="hybridMultilevel"/>
    <w:tmpl w:val="91C01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10B"/>
    <w:rsid w:val="00010AF1"/>
    <w:rsid w:val="00034C31"/>
    <w:rsid w:val="000533A6"/>
    <w:rsid w:val="000865F5"/>
    <w:rsid w:val="000911F8"/>
    <w:rsid w:val="00093CF0"/>
    <w:rsid w:val="000B4094"/>
    <w:rsid w:val="000D416B"/>
    <w:rsid w:val="000D6341"/>
    <w:rsid w:val="00116C8D"/>
    <w:rsid w:val="00144CC5"/>
    <w:rsid w:val="001657E6"/>
    <w:rsid w:val="001855B3"/>
    <w:rsid w:val="001904AD"/>
    <w:rsid w:val="001C349F"/>
    <w:rsid w:val="001D4FC2"/>
    <w:rsid w:val="001D5940"/>
    <w:rsid w:val="001E057B"/>
    <w:rsid w:val="001E2021"/>
    <w:rsid w:val="00230596"/>
    <w:rsid w:val="00250BC8"/>
    <w:rsid w:val="002555A5"/>
    <w:rsid w:val="00256DDC"/>
    <w:rsid w:val="002B0348"/>
    <w:rsid w:val="002C2F86"/>
    <w:rsid w:val="0031589C"/>
    <w:rsid w:val="0034784A"/>
    <w:rsid w:val="003705E2"/>
    <w:rsid w:val="003D7F5C"/>
    <w:rsid w:val="003E34E4"/>
    <w:rsid w:val="004371BF"/>
    <w:rsid w:val="00473BF1"/>
    <w:rsid w:val="004B2AD8"/>
    <w:rsid w:val="004D139B"/>
    <w:rsid w:val="0050539C"/>
    <w:rsid w:val="005140EC"/>
    <w:rsid w:val="00537990"/>
    <w:rsid w:val="00541C3D"/>
    <w:rsid w:val="005B43E5"/>
    <w:rsid w:val="005C1944"/>
    <w:rsid w:val="005F5208"/>
    <w:rsid w:val="005F74C9"/>
    <w:rsid w:val="006057B3"/>
    <w:rsid w:val="00630DDD"/>
    <w:rsid w:val="0064041F"/>
    <w:rsid w:val="006529AF"/>
    <w:rsid w:val="00652D68"/>
    <w:rsid w:val="006815AF"/>
    <w:rsid w:val="00681968"/>
    <w:rsid w:val="00693909"/>
    <w:rsid w:val="006C44A6"/>
    <w:rsid w:val="006E0095"/>
    <w:rsid w:val="006F7756"/>
    <w:rsid w:val="00744AA1"/>
    <w:rsid w:val="00766CA8"/>
    <w:rsid w:val="00795E87"/>
    <w:rsid w:val="007A3C96"/>
    <w:rsid w:val="007B353C"/>
    <w:rsid w:val="007B4591"/>
    <w:rsid w:val="007D73DD"/>
    <w:rsid w:val="007E3C62"/>
    <w:rsid w:val="008069A4"/>
    <w:rsid w:val="008137B9"/>
    <w:rsid w:val="00814576"/>
    <w:rsid w:val="00821CC4"/>
    <w:rsid w:val="008265F7"/>
    <w:rsid w:val="008452A8"/>
    <w:rsid w:val="00863711"/>
    <w:rsid w:val="008639F4"/>
    <w:rsid w:val="00886CBE"/>
    <w:rsid w:val="008E1B23"/>
    <w:rsid w:val="00906ECC"/>
    <w:rsid w:val="00920DED"/>
    <w:rsid w:val="00924C9C"/>
    <w:rsid w:val="009336B7"/>
    <w:rsid w:val="009424ED"/>
    <w:rsid w:val="009462D8"/>
    <w:rsid w:val="009513F7"/>
    <w:rsid w:val="0098410B"/>
    <w:rsid w:val="00993B81"/>
    <w:rsid w:val="009C0BA8"/>
    <w:rsid w:val="009D0BAF"/>
    <w:rsid w:val="009D16CB"/>
    <w:rsid w:val="009F2D87"/>
    <w:rsid w:val="00A12F68"/>
    <w:rsid w:val="00A15A42"/>
    <w:rsid w:val="00A176EC"/>
    <w:rsid w:val="00A30178"/>
    <w:rsid w:val="00A50669"/>
    <w:rsid w:val="00A5346F"/>
    <w:rsid w:val="00A7386E"/>
    <w:rsid w:val="00A77E7C"/>
    <w:rsid w:val="00A8511A"/>
    <w:rsid w:val="00A91064"/>
    <w:rsid w:val="00A956FD"/>
    <w:rsid w:val="00AE1756"/>
    <w:rsid w:val="00AE5C7B"/>
    <w:rsid w:val="00B075BA"/>
    <w:rsid w:val="00B1191E"/>
    <w:rsid w:val="00B37134"/>
    <w:rsid w:val="00B40A26"/>
    <w:rsid w:val="00B87A4D"/>
    <w:rsid w:val="00BF6812"/>
    <w:rsid w:val="00C3645F"/>
    <w:rsid w:val="00C3675B"/>
    <w:rsid w:val="00C8114F"/>
    <w:rsid w:val="00C87777"/>
    <w:rsid w:val="00C92BB4"/>
    <w:rsid w:val="00CA0B6F"/>
    <w:rsid w:val="00CC3DB5"/>
    <w:rsid w:val="00CC6CC4"/>
    <w:rsid w:val="00D27F68"/>
    <w:rsid w:val="00D741D6"/>
    <w:rsid w:val="00D81518"/>
    <w:rsid w:val="00D852E7"/>
    <w:rsid w:val="00DA4901"/>
    <w:rsid w:val="00DE4B87"/>
    <w:rsid w:val="00DF6F1A"/>
    <w:rsid w:val="00E01CF0"/>
    <w:rsid w:val="00E438F7"/>
    <w:rsid w:val="00E5790C"/>
    <w:rsid w:val="00E70E03"/>
    <w:rsid w:val="00E8458F"/>
    <w:rsid w:val="00E861CF"/>
    <w:rsid w:val="00EB0D59"/>
    <w:rsid w:val="00EB2A6A"/>
    <w:rsid w:val="00ED5B2D"/>
    <w:rsid w:val="00EE3B4C"/>
    <w:rsid w:val="00F1097F"/>
    <w:rsid w:val="00F31F63"/>
    <w:rsid w:val="00F32EE9"/>
    <w:rsid w:val="00F34315"/>
    <w:rsid w:val="00F569F5"/>
    <w:rsid w:val="00F66D7A"/>
    <w:rsid w:val="00FD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F452C"/>
  <w15:docId w15:val="{399E559B-52C5-46AF-B490-4176D5E86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CC5"/>
    <w:pPr>
      <w:spacing w:after="0" w:line="240" w:lineRule="auto"/>
    </w:pPr>
    <w:rPr>
      <w:rFonts w:ascii="Arial" w:hAnsi="Arial" w:cs="Times New Roman"/>
      <w:sz w:val="24"/>
      <w:szCs w:val="20"/>
    </w:rPr>
  </w:style>
  <w:style w:type="paragraph" w:styleId="Heading1">
    <w:name w:val="heading 1"/>
    <w:basedOn w:val="Normal"/>
    <w:next w:val="Normal"/>
    <w:link w:val="Heading1Char"/>
    <w:uiPriority w:val="9"/>
    <w:qFormat/>
    <w:rsid w:val="006F775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E34E4"/>
    <w:pPr>
      <w:keepNext/>
      <w:keepLines/>
      <w:spacing w:before="40"/>
      <w:outlineLvl w:val="1"/>
    </w:pPr>
    <w:rPr>
      <w:rFonts w:asciiTheme="majorHAnsi" w:eastAsiaTheme="majorEastAsia" w:hAnsiTheme="majorHAnsi"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34E4"/>
    <w:rPr>
      <w:rFonts w:asciiTheme="majorHAnsi" w:eastAsiaTheme="majorEastAsia" w:hAnsiTheme="majorHAnsi" w:cstheme="majorBidi"/>
      <w:b/>
      <w:sz w:val="32"/>
      <w:szCs w:val="26"/>
    </w:rPr>
  </w:style>
  <w:style w:type="paragraph" w:styleId="Title">
    <w:name w:val="Title"/>
    <w:basedOn w:val="Normal"/>
    <w:next w:val="Normal"/>
    <w:link w:val="TitleChar"/>
    <w:uiPriority w:val="10"/>
    <w:qFormat/>
    <w:rsid w:val="0098410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10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8410B"/>
    <w:pPr>
      <w:tabs>
        <w:tab w:val="center" w:pos="4513"/>
        <w:tab w:val="right" w:pos="9026"/>
      </w:tabs>
    </w:pPr>
  </w:style>
  <w:style w:type="character" w:customStyle="1" w:styleId="HeaderChar">
    <w:name w:val="Header Char"/>
    <w:basedOn w:val="DefaultParagraphFont"/>
    <w:link w:val="Header"/>
    <w:uiPriority w:val="99"/>
    <w:rsid w:val="0098410B"/>
    <w:rPr>
      <w:rFonts w:ascii="Arial" w:hAnsi="Arial" w:cs="Times New Roman"/>
      <w:sz w:val="24"/>
      <w:szCs w:val="20"/>
    </w:rPr>
  </w:style>
  <w:style w:type="paragraph" w:styleId="Footer">
    <w:name w:val="footer"/>
    <w:basedOn w:val="Normal"/>
    <w:link w:val="FooterChar"/>
    <w:uiPriority w:val="99"/>
    <w:unhideWhenUsed/>
    <w:rsid w:val="0098410B"/>
    <w:pPr>
      <w:tabs>
        <w:tab w:val="center" w:pos="4513"/>
        <w:tab w:val="right" w:pos="9026"/>
      </w:tabs>
    </w:pPr>
  </w:style>
  <w:style w:type="character" w:customStyle="1" w:styleId="FooterChar">
    <w:name w:val="Footer Char"/>
    <w:basedOn w:val="DefaultParagraphFont"/>
    <w:link w:val="Footer"/>
    <w:uiPriority w:val="99"/>
    <w:rsid w:val="0098410B"/>
    <w:rPr>
      <w:rFonts w:ascii="Arial" w:hAnsi="Arial" w:cs="Times New Roman"/>
      <w:sz w:val="24"/>
      <w:szCs w:val="20"/>
    </w:rPr>
  </w:style>
  <w:style w:type="paragraph" w:styleId="IntenseQuote">
    <w:name w:val="Intense Quote"/>
    <w:basedOn w:val="Normal"/>
    <w:next w:val="Normal"/>
    <w:link w:val="IntenseQuoteChar"/>
    <w:uiPriority w:val="30"/>
    <w:qFormat/>
    <w:rsid w:val="00D852E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852E7"/>
    <w:rPr>
      <w:rFonts w:ascii="Arial" w:hAnsi="Arial" w:cs="Times New Roman"/>
      <w:i/>
      <w:iCs/>
      <w:color w:val="4472C4" w:themeColor="accent1"/>
      <w:sz w:val="24"/>
      <w:szCs w:val="20"/>
    </w:rPr>
  </w:style>
  <w:style w:type="paragraph" w:styleId="ListParagraph">
    <w:name w:val="List Paragraph"/>
    <w:basedOn w:val="Normal"/>
    <w:uiPriority w:val="34"/>
    <w:qFormat/>
    <w:rsid w:val="002555A5"/>
    <w:pPr>
      <w:ind w:left="720"/>
      <w:contextualSpacing/>
    </w:pPr>
  </w:style>
  <w:style w:type="character" w:customStyle="1" w:styleId="Heading1Char">
    <w:name w:val="Heading 1 Char"/>
    <w:basedOn w:val="DefaultParagraphFont"/>
    <w:link w:val="Heading1"/>
    <w:uiPriority w:val="9"/>
    <w:rsid w:val="006F775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0539C"/>
    <w:rPr>
      <w:color w:val="0563C1" w:themeColor="hyperlink"/>
      <w:u w:val="single"/>
    </w:rPr>
  </w:style>
  <w:style w:type="character" w:styleId="UnresolvedMention">
    <w:name w:val="Unresolved Mention"/>
    <w:basedOn w:val="DefaultParagraphFont"/>
    <w:uiPriority w:val="99"/>
    <w:semiHidden/>
    <w:unhideWhenUsed/>
    <w:rsid w:val="0050539C"/>
    <w:rPr>
      <w:color w:val="605E5C"/>
      <w:shd w:val="clear" w:color="auto" w:fill="E1DFDD"/>
    </w:rPr>
  </w:style>
  <w:style w:type="character" w:customStyle="1" w:styleId="italic">
    <w:name w:val="italic"/>
    <w:basedOn w:val="DefaultParagraphFont"/>
    <w:rsid w:val="00630DDD"/>
  </w:style>
  <w:style w:type="character" w:styleId="HTMLCite">
    <w:name w:val="HTML Cite"/>
    <w:basedOn w:val="DefaultParagraphFont"/>
    <w:uiPriority w:val="99"/>
    <w:semiHidden/>
    <w:unhideWhenUsed/>
    <w:rsid w:val="004B2AD8"/>
    <w:rPr>
      <w:i/>
      <w:iCs/>
    </w:rPr>
  </w:style>
  <w:style w:type="character" w:customStyle="1" w:styleId="reference-accessdate">
    <w:name w:val="reference-accessdate"/>
    <w:basedOn w:val="DefaultParagraphFont"/>
    <w:rsid w:val="004B2AD8"/>
  </w:style>
  <w:style w:type="character" w:styleId="Emphasis">
    <w:name w:val="Emphasis"/>
    <w:basedOn w:val="DefaultParagraphFont"/>
    <w:uiPriority w:val="20"/>
    <w:qFormat/>
    <w:rsid w:val="00D741D6"/>
    <w:rPr>
      <w:i/>
      <w:iCs/>
    </w:rPr>
  </w:style>
  <w:style w:type="character" w:customStyle="1" w:styleId="article-classifiergap">
    <w:name w:val="article-classifier__gap"/>
    <w:basedOn w:val="DefaultParagraphFont"/>
    <w:rsid w:val="00B075BA"/>
  </w:style>
  <w:style w:type="table" w:styleId="GridTable1Light">
    <w:name w:val="Grid Table 1 Light"/>
    <w:basedOn w:val="TableNormal"/>
    <w:uiPriority w:val="46"/>
    <w:rsid w:val="00681968"/>
    <w:pPr>
      <w:spacing w:after="0" w:line="240" w:lineRule="auto"/>
    </w:pPr>
    <w:rPr>
      <w:rFonts w:eastAsiaTheme="minorEastAsia"/>
      <w:lang w:val="ro-RO"/>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6815AF"/>
    <w:pPr>
      <w:spacing w:line="259" w:lineRule="auto"/>
      <w:outlineLvl w:val="9"/>
    </w:pPr>
    <w:rPr>
      <w:lang w:val="en-US"/>
    </w:rPr>
  </w:style>
  <w:style w:type="paragraph" w:styleId="TOC1">
    <w:name w:val="toc 1"/>
    <w:basedOn w:val="Normal"/>
    <w:next w:val="Normal"/>
    <w:autoRedefine/>
    <w:uiPriority w:val="39"/>
    <w:unhideWhenUsed/>
    <w:rsid w:val="006815AF"/>
    <w:pPr>
      <w:spacing w:after="100"/>
    </w:pPr>
  </w:style>
  <w:style w:type="paragraph" w:styleId="TOC2">
    <w:name w:val="toc 2"/>
    <w:basedOn w:val="Normal"/>
    <w:next w:val="Normal"/>
    <w:autoRedefine/>
    <w:uiPriority w:val="39"/>
    <w:unhideWhenUsed/>
    <w:rsid w:val="006815A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46539">
      <w:bodyDiv w:val="1"/>
      <w:marLeft w:val="0"/>
      <w:marRight w:val="0"/>
      <w:marTop w:val="0"/>
      <w:marBottom w:val="0"/>
      <w:divBdr>
        <w:top w:val="none" w:sz="0" w:space="0" w:color="auto"/>
        <w:left w:val="none" w:sz="0" w:space="0" w:color="auto"/>
        <w:bottom w:val="none" w:sz="0" w:space="0" w:color="auto"/>
        <w:right w:val="none" w:sz="0" w:space="0" w:color="auto"/>
      </w:divBdr>
    </w:div>
    <w:div w:id="993291626">
      <w:bodyDiv w:val="1"/>
      <w:marLeft w:val="0"/>
      <w:marRight w:val="0"/>
      <w:marTop w:val="0"/>
      <w:marBottom w:val="0"/>
      <w:divBdr>
        <w:top w:val="none" w:sz="0" w:space="0" w:color="auto"/>
        <w:left w:val="none" w:sz="0" w:space="0" w:color="auto"/>
        <w:bottom w:val="none" w:sz="0" w:space="0" w:color="auto"/>
        <w:right w:val="none" w:sz="0" w:space="0" w:color="auto"/>
      </w:divBdr>
    </w:div>
    <w:div w:id="1016927715">
      <w:bodyDiv w:val="1"/>
      <w:marLeft w:val="0"/>
      <w:marRight w:val="0"/>
      <w:marTop w:val="0"/>
      <w:marBottom w:val="0"/>
      <w:divBdr>
        <w:top w:val="none" w:sz="0" w:space="0" w:color="auto"/>
        <w:left w:val="none" w:sz="0" w:space="0" w:color="auto"/>
        <w:bottom w:val="none" w:sz="0" w:space="0" w:color="auto"/>
        <w:right w:val="none" w:sz="0" w:space="0" w:color="auto"/>
      </w:divBdr>
    </w:div>
    <w:div w:id="2099590816">
      <w:bodyDiv w:val="1"/>
      <w:marLeft w:val="0"/>
      <w:marRight w:val="0"/>
      <w:marTop w:val="0"/>
      <w:marBottom w:val="0"/>
      <w:divBdr>
        <w:top w:val="none" w:sz="0" w:space="0" w:color="auto"/>
        <w:left w:val="none" w:sz="0" w:space="0" w:color="auto"/>
        <w:bottom w:val="none" w:sz="0" w:space="0" w:color="auto"/>
        <w:right w:val="none" w:sz="0" w:space="0" w:color="auto"/>
      </w:divBdr>
    </w:div>
    <w:div w:id="21309728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202364/ev-global-market-share/" TargetMode="External"/><Relationship Id="rId18" Type="http://schemas.openxmlformats.org/officeDocument/2006/relationships/hyperlink" Target="https://www.kantar.com/inspiration/mobility/2021-tesla-accelerates-into-most-valuable-auto-brand-posi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hbr.org/2021/01/how-teslas-charging-stations-left-other-manufacturers-in-the-dust"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005301/transitioning-to-zero-emission-cars-vans-2035-delivery-plan.pdf" TargetMode="External"/><Relationship Id="rId17" Type="http://schemas.openxmlformats.org/officeDocument/2006/relationships/hyperlink" Target="https://www.ft.com/content/8e01e59e-5b89-46c2-a798-6945fa2f255d" TargetMode="External"/><Relationship Id="rId25" Type="http://schemas.openxmlformats.org/officeDocument/2006/relationships/hyperlink" Target="https://www.tesla.com/support/incentives" TargetMode="External"/><Relationship Id="rId2" Type="http://schemas.openxmlformats.org/officeDocument/2006/relationships/numbering" Target="numbering.xml"/><Relationship Id="rId16" Type="http://schemas.openxmlformats.org/officeDocument/2006/relationships/hyperlink" Target="https://www.statista.com/statistics/255653/worldwide-sales-of-electric-bicycles/" TargetMode="External"/><Relationship Id="rId20" Type="http://schemas.openxmlformats.org/officeDocument/2006/relationships/hyperlink" Target="https://www.cnbc.com/2021/08/18/months-long-delivery-delays-confound-would-be-tesla-owner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bnef.com/blog/battery-pack-prices-fall-as-market-ramps-up-with-market-average-at-156-kwh-in-2019/" TargetMode="External"/><Relationship Id="rId24" Type="http://schemas.openxmlformats.org/officeDocument/2006/relationships/hyperlink" Target="https://www.tesla.com/supercharger" TargetMode="External"/><Relationship Id="rId5" Type="http://schemas.openxmlformats.org/officeDocument/2006/relationships/webSettings" Target="webSettings.xml"/><Relationship Id="rId15" Type="http://schemas.openxmlformats.org/officeDocument/2006/relationships/hyperlink" Target="https://www.tesla.com/blog/tesla-makes-offer-to-acquire-solarcity" TargetMode="External"/><Relationship Id="rId23" Type="http://schemas.openxmlformats.org/officeDocument/2006/relationships/hyperlink" Target="https://www.tesla.com/abou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314863/research-and-development-expenses-of-tesl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topics/1487/automotive-industry/%23dossier-chapter1" TargetMode="External"/><Relationship Id="rId22" Type="http://schemas.openxmlformats.org/officeDocument/2006/relationships/hyperlink" Target="https://www.teslarati.com/tesla-service-location-coverage-3-6-months-elon-mus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0A2C6-BA4D-4B84-8FFD-4144AC5E7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3389</Words>
  <Characters>19322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Baluta</dc:creator>
  <cp:keywords/>
  <dc:description/>
  <cp:lastModifiedBy>Diana Baluta</cp:lastModifiedBy>
  <cp:revision>2</cp:revision>
  <dcterms:created xsi:type="dcterms:W3CDTF">2022-01-12T19:33:00Z</dcterms:created>
  <dcterms:modified xsi:type="dcterms:W3CDTF">2022-01-12T19:33:00Z</dcterms:modified>
</cp:coreProperties>
</file>