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F949F" w14:textId="77777777" w:rsidR="006E0129" w:rsidRPr="002519B4" w:rsidRDefault="006E0129" w:rsidP="006E0129">
      <w:pPr>
        <w:jc w:val="center"/>
        <w:rPr>
          <w:b/>
          <w:bCs/>
          <w:sz w:val="40"/>
          <w:szCs w:val="40"/>
        </w:rPr>
      </w:pPr>
    </w:p>
    <w:p w14:paraId="2BC560B6" w14:textId="55D59CC5" w:rsidR="006E0129" w:rsidRPr="006E0129" w:rsidRDefault="006E0129" w:rsidP="006E0129">
      <w:pPr>
        <w:jc w:val="center"/>
        <w:rPr>
          <w:b/>
          <w:bCs/>
          <w:sz w:val="36"/>
          <w:szCs w:val="36"/>
        </w:rPr>
      </w:pPr>
      <w:r w:rsidRPr="006E0129">
        <w:rPr>
          <w:b/>
          <w:bCs/>
          <w:sz w:val="36"/>
          <w:szCs w:val="36"/>
        </w:rPr>
        <w:t>Data Security, Governance and Compliance</w:t>
      </w:r>
    </w:p>
    <w:p w14:paraId="4E1BFE02" w14:textId="1D654370" w:rsidR="006E0129" w:rsidRPr="006E0129" w:rsidRDefault="006E0129" w:rsidP="006E0129">
      <w:pPr>
        <w:jc w:val="center"/>
        <w:rPr>
          <w:b/>
          <w:bCs/>
          <w:sz w:val="36"/>
          <w:szCs w:val="36"/>
        </w:rPr>
      </w:pPr>
      <w:r w:rsidRPr="006E0129">
        <w:rPr>
          <w:b/>
          <w:bCs/>
          <w:sz w:val="36"/>
          <w:szCs w:val="36"/>
        </w:rPr>
        <w:t xml:space="preserve">Security Governance and Compliance Strategy for </w:t>
      </w:r>
      <w:proofErr w:type="spellStart"/>
      <w:r w:rsidRPr="006E0129">
        <w:rPr>
          <w:b/>
          <w:bCs/>
          <w:sz w:val="36"/>
          <w:szCs w:val="36"/>
        </w:rPr>
        <w:t>FinSure</w:t>
      </w:r>
      <w:proofErr w:type="spellEnd"/>
      <w:r w:rsidRPr="006E0129">
        <w:rPr>
          <w:b/>
          <w:bCs/>
          <w:sz w:val="36"/>
          <w:szCs w:val="36"/>
        </w:rPr>
        <w:t xml:space="preserve"> Bank</w:t>
      </w:r>
    </w:p>
    <w:p w14:paraId="636CA414" w14:textId="77777777" w:rsidR="006E0129" w:rsidRPr="006E0129" w:rsidRDefault="006E0129" w:rsidP="006E0129">
      <w:pPr>
        <w:rPr>
          <w:b/>
          <w:bCs/>
          <w:sz w:val="36"/>
          <w:szCs w:val="36"/>
        </w:rPr>
      </w:pPr>
    </w:p>
    <w:p w14:paraId="59DF7E1D" w14:textId="50D8E60B" w:rsidR="006E0129" w:rsidRPr="006E0129" w:rsidRDefault="006E0129" w:rsidP="006E0129">
      <w:pPr>
        <w:jc w:val="center"/>
        <w:rPr>
          <w:b/>
          <w:bCs/>
          <w:sz w:val="36"/>
          <w:szCs w:val="36"/>
        </w:rPr>
      </w:pPr>
      <w:r w:rsidRPr="006E0129">
        <w:rPr>
          <w:b/>
          <w:bCs/>
          <w:sz w:val="36"/>
          <w:szCs w:val="36"/>
        </w:rPr>
        <w:t>Module: ACCA7028 – Data Security, Governance and Compliance</w:t>
      </w:r>
    </w:p>
    <w:p w14:paraId="6DF5F91F" w14:textId="2BFE2357" w:rsidR="006E0129" w:rsidRPr="006E0129" w:rsidRDefault="006E0129" w:rsidP="006E0129">
      <w:pPr>
        <w:jc w:val="center"/>
        <w:rPr>
          <w:b/>
          <w:bCs/>
          <w:sz w:val="36"/>
          <w:szCs w:val="36"/>
        </w:rPr>
      </w:pPr>
      <w:r w:rsidRPr="006E0129">
        <w:rPr>
          <w:b/>
          <w:bCs/>
          <w:sz w:val="36"/>
          <w:szCs w:val="36"/>
        </w:rPr>
        <w:t>Assessment: Coursework 2 – Security Governance Report</w:t>
      </w:r>
    </w:p>
    <w:p w14:paraId="42B39328" w14:textId="77777777" w:rsidR="006E0129" w:rsidRPr="006E0129" w:rsidRDefault="006E0129" w:rsidP="006E0129">
      <w:pPr>
        <w:rPr>
          <w:b/>
          <w:bCs/>
          <w:sz w:val="36"/>
          <w:szCs w:val="36"/>
        </w:rPr>
      </w:pPr>
    </w:p>
    <w:p w14:paraId="7E213780" w14:textId="4F9E974C" w:rsidR="006E0129" w:rsidRPr="006E0129" w:rsidRDefault="006E0129" w:rsidP="006E0129">
      <w:pPr>
        <w:jc w:val="center"/>
        <w:rPr>
          <w:b/>
          <w:bCs/>
          <w:sz w:val="36"/>
          <w:szCs w:val="36"/>
        </w:rPr>
      </w:pPr>
      <w:r w:rsidRPr="006E0129">
        <w:rPr>
          <w:b/>
          <w:bCs/>
          <w:sz w:val="36"/>
          <w:szCs w:val="36"/>
        </w:rPr>
        <w:t>Student Name: Mihai-Sergiu Varzare</w:t>
      </w:r>
    </w:p>
    <w:p w14:paraId="1B58AB0A" w14:textId="422833B9" w:rsidR="006E0129" w:rsidRDefault="006E0129" w:rsidP="006E0129">
      <w:pPr>
        <w:jc w:val="center"/>
        <w:rPr>
          <w:b/>
          <w:bCs/>
          <w:sz w:val="36"/>
          <w:szCs w:val="36"/>
        </w:rPr>
      </w:pPr>
      <w:r w:rsidRPr="006E0129">
        <w:rPr>
          <w:b/>
          <w:bCs/>
          <w:sz w:val="36"/>
          <w:szCs w:val="36"/>
        </w:rPr>
        <w:t xml:space="preserve">Student ID: </w:t>
      </w:r>
      <w:r>
        <w:rPr>
          <w:b/>
          <w:bCs/>
          <w:sz w:val="36"/>
          <w:szCs w:val="36"/>
        </w:rPr>
        <w:t>2217294</w:t>
      </w:r>
    </w:p>
    <w:p w14:paraId="5F706C62" w14:textId="77777777" w:rsidR="006E0129" w:rsidRPr="006E0129" w:rsidRDefault="006E0129" w:rsidP="006E0129">
      <w:pPr>
        <w:jc w:val="center"/>
        <w:rPr>
          <w:b/>
          <w:bCs/>
          <w:sz w:val="36"/>
          <w:szCs w:val="36"/>
        </w:rPr>
      </w:pPr>
    </w:p>
    <w:p w14:paraId="33A65867" w14:textId="4EE29AF9" w:rsidR="006E0129" w:rsidRPr="006E0129" w:rsidRDefault="006E0129" w:rsidP="006E0129">
      <w:pPr>
        <w:jc w:val="center"/>
        <w:rPr>
          <w:b/>
          <w:bCs/>
          <w:sz w:val="36"/>
          <w:szCs w:val="36"/>
        </w:rPr>
      </w:pPr>
      <w:r w:rsidRPr="006E0129">
        <w:rPr>
          <w:b/>
          <w:bCs/>
          <w:sz w:val="36"/>
          <w:szCs w:val="36"/>
        </w:rPr>
        <w:t>Programme: MSc Data and Artificial Intelligence</w:t>
      </w:r>
    </w:p>
    <w:p w14:paraId="0F9A42FC" w14:textId="6660274F" w:rsidR="006E0129" w:rsidRPr="006E0129" w:rsidRDefault="006E0129" w:rsidP="006E0129">
      <w:pPr>
        <w:jc w:val="center"/>
        <w:rPr>
          <w:b/>
          <w:bCs/>
          <w:sz w:val="36"/>
          <w:szCs w:val="36"/>
        </w:rPr>
      </w:pPr>
      <w:r w:rsidRPr="006E0129">
        <w:rPr>
          <w:b/>
          <w:bCs/>
          <w:sz w:val="36"/>
          <w:szCs w:val="36"/>
        </w:rPr>
        <w:t>University: University of Wales Trinity Saint David</w:t>
      </w:r>
    </w:p>
    <w:p w14:paraId="2C086FAD" w14:textId="77777777" w:rsidR="006E0129" w:rsidRPr="006E0129" w:rsidRDefault="006E0129" w:rsidP="006E0129">
      <w:pPr>
        <w:jc w:val="center"/>
        <w:rPr>
          <w:b/>
          <w:bCs/>
          <w:sz w:val="36"/>
          <w:szCs w:val="36"/>
        </w:rPr>
      </w:pPr>
    </w:p>
    <w:p w14:paraId="5AB1072E" w14:textId="77777777" w:rsidR="006E0129" w:rsidRPr="006E0129" w:rsidRDefault="006E0129" w:rsidP="006E0129">
      <w:pPr>
        <w:jc w:val="center"/>
        <w:rPr>
          <w:b/>
          <w:bCs/>
          <w:sz w:val="36"/>
          <w:szCs w:val="36"/>
        </w:rPr>
      </w:pPr>
    </w:p>
    <w:p w14:paraId="546D468D" w14:textId="304FA4BD" w:rsidR="006E0129" w:rsidRPr="006E0129" w:rsidRDefault="006E0129" w:rsidP="006E0129">
      <w:pPr>
        <w:jc w:val="center"/>
        <w:rPr>
          <w:b/>
          <w:bCs/>
          <w:sz w:val="36"/>
          <w:szCs w:val="36"/>
        </w:rPr>
      </w:pPr>
    </w:p>
    <w:p w14:paraId="16C83ACB" w14:textId="7CF81F4C" w:rsidR="006E0129" w:rsidRPr="006E0129" w:rsidRDefault="006E0129" w:rsidP="006E0129">
      <w:pPr>
        <w:jc w:val="center"/>
        <w:rPr>
          <w:sz w:val="36"/>
          <w:szCs w:val="36"/>
        </w:rPr>
      </w:pPr>
    </w:p>
    <w:p w14:paraId="5BD72F96" w14:textId="77777777" w:rsidR="006E0129" w:rsidRDefault="006E0129" w:rsidP="006E0129"/>
    <w:p w14:paraId="40E2AFFB" w14:textId="77777777" w:rsidR="006E0129" w:rsidRDefault="006E0129" w:rsidP="006E0129"/>
    <w:p w14:paraId="5874D744" w14:textId="77777777" w:rsidR="006E0129" w:rsidRDefault="006E0129" w:rsidP="006E0129"/>
    <w:p w14:paraId="7C8861C5" w14:textId="77777777" w:rsidR="006E0129" w:rsidRDefault="006E0129" w:rsidP="006E0129"/>
    <w:p w14:paraId="1DE0DEC4" w14:textId="77777777" w:rsidR="006E0129" w:rsidRDefault="006E0129" w:rsidP="006E0129"/>
    <w:p w14:paraId="5586C640" w14:textId="77777777" w:rsidR="006E0129" w:rsidRDefault="006E0129" w:rsidP="006E0129"/>
    <w:sdt>
      <w:sdtPr>
        <w:id w:val="-74017918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2245E33" w14:textId="51BBACDA" w:rsidR="00070148" w:rsidRDefault="00070148">
          <w:pPr>
            <w:pStyle w:val="TOCHeading"/>
          </w:pPr>
          <w:r>
            <w:t>Contents</w:t>
          </w:r>
        </w:p>
        <w:p w14:paraId="239A65D2" w14:textId="1325CD53" w:rsidR="00070148" w:rsidRDefault="00070148">
          <w:pPr>
            <w:pStyle w:val="TOC1"/>
            <w:tabs>
              <w:tab w:val="right" w:leader="dot" w:pos="9016"/>
            </w:tabs>
            <w:rPr>
              <w:noProof/>
            </w:rPr>
          </w:pPr>
          <w:r>
            <w:fldChar w:fldCharType="begin"/>
          </w:r>
          <w:r>
            <w:instrText xml:space="preserve"> TOC \o "1-3" \h \z \u </w:instrText>
          </w:r>
          <w:r>
            <w:fldChar w:fldCharType="separate"/>
          </w:r>
          <w:hyperlink w:anchor="_Toc225801891" w:history="1">
            <w:r w:rsidRPr="004E0F30">
              <w:rPr>
                <w:rStyle w:val="Hyperlink"/>
                <w:noProof/>
              </w:rPr>
              <w:t>1. Abstract</w:t>
            </w:r>
            <w:r>
              <w:rPr>
                <w:noProof/>
                <w:webHidden/>
              </w:rPr>
              <w:tab/>
            </w:r>
            <w:r>
              <w:rPr>
                <w:noProof/>
                <w:webHidden/>
              </w:rPr>
              <w:fldChar w:fldCharType="begin"/>
            </w:r>
            <w:r>
              <w:rPr>
                <w:noProof/>
                <w:webHidden/>
              </w:rPr>
              <w:instrText xml:space="preserve"> PAGEREF _Toc225801891 \h </w:instrText>
            </w:r>
            <w:r>
              <w:rPr>
                <w:noProof/>
                <w:webHidden/>
              </w:rPr>
            </w:r>
            <w:r>
              <w:rPr>
                <w:noProof/>
                <w:webHidden/>
              </w:rPr>
              <w:fldChar w:fldCharType="separate"/>
            </w:r>
            <w:r>
              <w:rPr>
                <w:noProof/>
                <w:webHidden/>
              </w:rPr>
              <w:t>3</w:t>
            </w:r>
            <w:r>
              <w:rPr>
                <w:noProof/>
                <w:webHidden/>
              </w:rPr>
              <w:fldChar w:fldCharType="end"/>
            </w:r>
          </w:hyperlink>
        </w:p>
        <w:p w14:paraId="7540FAF5" w14:textId="116BAA94" w:rsidR="00070148" w:rsidRDefault="00070148">
          <w:pPr>
            <w:pStyle w:val="TOC1"/>
            <w:tabs>
              <w:tab w:val="right" w:leader="dot" w:pos="9016"/>
            </w:tabs>
            <w:rPr>
              <w:noProof/>
            </w:rPr>
          </w:pPr>
          <w:hyperlink w:anchor="_Toc225801892" w:history="1">
            <w:r w:rsidRPr="004E0F30">
              <w:rPr>
                <w:rStyle w:val="Hyperlink"/>
                <w:noProof/>
              </w:rPr>
              <w:t>2. Introduction</w:t>
            </w:r>
            <w:r>
              <w:rPr>
                <w:noProof/>
                <w:webHidden/>
              </w:rPr>
              <w:tab/>
            </w:r>
            <w:r>
              <w:rPr>
                <w:noProof/>
                <w:webHidden/>
              </w:rPr>
              <w:fldChar w:fldCharType="begin"/>
            </w:r>
            <w:r>
              <w:rPr>
                <w:noProof/>
                <w:webHidden/>
              </w:rPr>
              <w:instrText xml:space="preserve"> PAGEREF _Toc225801892 \h </w:instrText>
            </w:r>
            <w:r>
              <w:rPr>
                <w:noProof/>
                <w:webHidden/>
              </w:rPr>
            </w:r>
            <w:r>
              <w:rPr>
                <w:noProof/>
                <w:webHidden/>
              </w:rPr>
              <w:fldChar w:fldCharType="separate"/>
            </w:r>
            <w:r>
              <w:rPr>
                <w:noProof/>
                <w:webHidden/>
              </w:rPr>
              <w:t>4</w:t>
            </w:r>
            <w:r>
              <w:rPr>
                <w:noProof/>
                <w:webHidden/>
              </w:rPr>
              <w:fldChar w:fldCharType="end"/>
            </w:r>
          </w:hyperlink>
        </w:p>
        <w:p w14:paraId="58E888C1" w14:textId="25ECFF48" w:rsidR="00070148" w:rsidRDefault="00070148">
          <w:pPr>
            <w:pStyle w:val="TOC1"/>
            <w:tabs>
              <w:tab w:val="right" w:leader="dot" w:pos="9016"/>
            </w:tabs>
            <w:rPr>
              <w:noProof/>
            </w:rPr>
          </w:pPr>
          <w:hyperlink w:anchor="_Toc225801893" w:history="1">
            <w:r w:rsidRPr="004E0F30">
              <w:rPr>
                <w:rStyle w:val="Hyperlink"/>
                <w:noProof/>
              </w:rPr>
              <w:t>3. Assumptions and Organisational Context</w:t>
            </w:r>
            <w:r>
              <w:rPr>
                <w:noProof/>
                <w:webHidden/>
              </w:rPr>
              <w:tab/>
            </w:r>
            <w:r>
              <w:rPr>
                <w:noProof/>
                <w:webHidden/>
              </w:rPr>
              <w:fldChar w:fldCharType="begin"/>
            </w:r>
            <w:r>
              <w:rPr>
                <w:noProof/>
                <w:webHidden/>
              </w:rPr>
              <w:instrText xml:space="preserve"> PAGEREF _Toc225801893 \h </w:instrText>
            </w:r>
            <w:r>
              <w:rPr>
                <w:noProof/>
                <w:webHidden/>
              </w:rPr>
            </w:r>
            <w:r>
              <w:rPr>
                <w:noProof/>
                <w:webHidden/>
              </w:rPr>
              <w:fldChar w:fldCharType="separate"/>
            </w:r>
            <w:r>
              <w:rPr>
                <w:noProof/>
                <w:webHidden/>
              </w:rPr>
              <w:t>5</w:t>
            </w:r>
            <w:r>
              <w:rPr>
                <w:noProof/>
                <w:webHidden/>
              </w:rPr>
              <w:fldChar w:fldCharType="end"/>
            </w:r>
          </w:hyperlink>
        </w:p>
        <w:p w14:paraId="6BD348C6" w14:textId="72221B09" w:rsidR="00070148" w:rsidRDefault="00070148">
          <w:pPr>
            <w:pStyle w:val="TOC2"/>
            <w:tabs>
              <w:tab w:val="right" w:leader="dot" w:pos="9016"/>
            </w:tabs>
            <w:rPr>
              <w:noProof/>
            </w:rPr>
          </w:pPr>
          <w:hyperlink w:anchor="_Toc225801894" w:history="1">
            <w:r w:rsidRPr="004E0F30">
              <w:rPr>
                <w:rStyle w:val="Hyperlink"/>
                <w:noProof/>
              </w:rPr>
              <w:t>Assumptions and Organisational Context</w:t>
            </w:r>
            <w:r>
              <w:rPr>
                <w:noProof/>
                <w:webHidden/>
              </w:rPr>
              <w:tab/>
            </w:r>
            <w:r>
              <w:rPr>
                <w:noProof/>
                <w:webHidden/>
              </w:rPr>
              <w:fldChar w:fldCharType="begin"/>
            </w:r>
            <w:r>
              <w:rPr>
                <w:noProof/>
                <w:webHidden/>
              </w:rPr>
              <w:instrText xml:space="preserve"> PAGEREF _Toc225801894 \h </w:instrText>
            </w:r>
            <w:r>
              <w:rPr>
                <w:noProof/>
                <w:webHidden/>
              </w:rPr>
            </w:r>
            <w:r>
              <w:rPr>
                <w:noProof/>
                <w:webHidden/>
              </w:rPr>
              <w:fldChar w:fldCharType="separate"/>
            </w:r>
            <w:r>
              <w:rPr>
                <w:noProof/>
                <w:webHidden/>
              </w:rPr>
              <w:t>5</w:t>
            </w:r>
            <w:r>
              <w:rPr>
                <w:noProof/>
                <w:webHidden/>
              </w:rPr>
              <w:fldChar w:fldCharType="end"/>
            </w:r>
          </w:hyperlink>
        </w:p>
        <w:p w14:paraId="239BCD04" w14:textId="7D5BDD11" w:rsidR="00070148" w:rsidRDefault="00070148">
          <w:pPr>
            <w:pStyle w:val="TOC1"/>
            <w:tabs>
              <w:tab w:val="right" w:leader="dot" w:pos="9016"/>
            </w:tabs>
            <w:rPr>
              <w:noProof/>
            </w:rPr>
          </w:pPr>
          <w:hyperlink w:anchor="_Toc225801895" w:history="1">
            <w:r w:rsidRPr="004E0F30">
              <w:rPr>
                <w:rStyle w:val="Hyperlink"/>
                <w:noProof/>
              </w:rPr>
              <w:t>4. Security Frameworks and Models</w:t>
            </w:r>
            <w:r>
              <w:rPr>
                <w:noProof/>
                <w:webHidden/>
              </w:rPr>
              <w:tab/>
            </w:r>
            <w:r>
              <w:rPr>
                <w:noProof/>
                <w:webHidden/>
              </w:rPr>
              <w:fldChar w:fldCharType="begin"/>
            </w:r>
            <w:r>
              <w:rPr>
                <w:noProof/>
                <w:webHidden/>
              </w:rPr>
              <w:instrText xml:space="preserve"> PAGEREF _Toc225801895 \h </w:instrText>
            </w:r>
            <w:r>
              <w:rPr>
                <w:noProof/>
                <w:webHidden/>
              </w:rPr>
            </w:r>
            <w:r>
              <w:rPr>
                <w:noProof/>
                <w:webHidden/>
              </w:rPr>
              <w:fldChar w:fldCharType="separate"/>
            </w:r>
            <w:r>
              <w:rPr>
                <w:noProof/>
                <w:webHidden/>
              </w:rPr>
              <w:t>6</w:t>
            </w:r>
            <w:r>
              <w:rPr>
                <w:noProof/>
                <w:webHidden/>
              </w:rPr>
              <w:fldChar w:fldCharType="end"/>
            </w:r>
          </w:hyperlink>
        </w:p>
        <w:p w14:paraId="2B14DA50" w14:textId="6029238A" w:rsidR="00070148" w:rsidRDefault="00070148">
          <w:pPr>
            <w:pStyle w:val="TOC2"/>
            <w:tabs>
              <w:tab w:val="right" w:leader="dot" w:pos="9016"/>
            </w:tabs>
            <w:rPr>
              <w:noProof/>
            </w:rPr>
          </w:pPr>
          <w:hyperlink w:anchor="_Toc225801896" w:history="1">
            <w:r w:rsidRPr="004E0F30">
              <w:rPr>
                <w:rStyle w:val="Hyperlink"/>
                <w:noProof/>
              </w:rPr>
              <w:t>Security Frameworks and Models</w:t>
            </w:r>
            <w:r>
              <w:rPr>
                <w:noProof/>
                <w:webHidden/>
              </w:rPr>
              <w:tab/>
            </w:r>
            <w:r>
              <w:rPr>
                <w:noProof/>
                <w:webHidden/>
              </w:rPr>
              <w:fldChar w:fldCharType="begin"/>
            </w:r>
            <w:r>
              <w:rPr>
                <w:noProof/>
                <w:webHidden/>
              </w:rPr>
              <w:instrText xml:space="preserve"> PAGEREF _Toc225801896 \h </w:instrText>
            </w:r>
            <w:r>
              <w:rPr>
                <w:noProof/>
                <w:webHidden/>
              </w:rPr>
            </w:r>
            <w:r>
              <w:rPr>
                <w:noProof/>
                <w:webHidden/>
              </w:rPr>
              <w:fldChar w:fldCharType="separate"/>
            </w:r>
            <w:r>
              <w:rPr>
                <w:noProof/>
                <w:webHidden/>
              </w:rPr>
              <w:t>6</w:t>
            </w:r>
            <w:r>
              <w:rPr>
                <w:noProof/>
                <w:webHidden/>
              </w:rPr>
              <w:fldChar w:fldCharType="end"/>
            </w:r>
          </w:hyperlink>
        </w:p>
        <w:p w14:paraId="5A07E9F4" w14:textId="6E6DB287" w:rsidR="00070148" w:rsidRDefault="00070148">
          <w:pPr>
            <w:pStyle w:val="TOC1"/>
            <w:tabs>
              <w:tab w:val="right" w:leader="dot" w:pos="9016"/>
            </w:tabs>
            <w:rPr>
              <w:noProof/>
            </w:rPr>
          </w:pPr>
          <w:hyperlink w:anchor="_Toc225801897" w:history="1">
            <w:r w:rsidRPr="004E0F30">
              <w:rPr>
                <w:rStyle w:val="Hyperlink"/>
                <w:noProof/>
              </w:rPr>
              <w:t>5. FinSure Bank Risk and Gap Analysis</w:t>
            </w:r>
            <w:r>
              <w:rPr>
                <w:noProof/>
                <w:webHidden/>
              </w:rPr>
              <w:tab/>
            </w:r>
            <w:r>
              <w:rPr>
                <w:noProof/>
                <w:webHidden/>
              </w:rPr>
              <w:fldChar w:fldCharType="begin"/>
            </w:r>
            <w:r>
              <w:rPr>
                <w:noProof/>
                <w:webHidden/>
              </w:rPr>
              <w:instrText xml:space="preserve"> PAGEREF _Toc225801897 \h </w:instrText>
            </w:r>
            <w:r>
              <w:rPr>
                <w:noProof/>
                <w:webHidden/>
              </w:rPr>
            </w:r>
            <w:r>
              <w:rPr>
                <w:noProof/>
                <w:webHidden/>
              </w:rPr>
              <w:fldChar w:fldCharType="separate"/>
            </w:r>
            <w:r>
              <w:rPr>
                <w:noProof/>
                <w:webHidden/>
              </w:rPr>
              <w:t>8</w:t>
            </w:r>
            <w:r>
              <w:rPr>
                <w:noProof/>
                <w:webHidden/>
              </w:rPr>
              <w:fldChar w:fldCharType="end"/>
            </w:r>
          </w:hyperlink>
        </w:p>
        <w:p w14:paraId="7CA72CFF" w14:textId="63BD5053" w:rsidR="00070148" w:rsidRDefault="00070148">
          <w:pPr>
            <w:pStyle w:val="TOC2"/>
            <w:tabs>
              <w:tab w:val="right" w:leader="dot" w:pos="9016"/>
            </w:tabs>
            <w:rPr>
              <w:noProof/>
            </w:rPr>
          </w:pPr>
          <w:hyperlink w:anchor="_Toc225801898" w:history="1">
            <w:r w:rsidRPr="004E0F30">
              <w:rPr>
                <w:rStyle w:val="Hyperlink"/>
                <w:noProof/>
              </w:rPr>
              <w:t>FinSure Bank Risk and Gap Analysis</w:t>
            </w:r>
            <w:r>
              <w:rPr>
                <w:noProof/>
                <w:webHidden/>
              </w:rPr>
              <w:tab/>
            </w:r>
            <w:r>
              <w:rPr>
                <w:noProof/>
                <w:webHidden/>
              </w:rPr>
              <w:fldChar w:fldCharType="begin"/>
            </w:r>
            <w:r>
              <w:rPr>
                <w:noProof/>
                <w:webHidden/>
              </w:rPr>
              <w:instrText xml:space="preserve"> PAGEREF _Toc225801898 \h </w:instrText>
            </w:r>
            <w:r>
              <w:rPr>
                <w:noProof/>
                <w:webHidden/>
              </w:rPr>
            </w:r>
            <w:r>
              <w:rPr>
                <w:noProof/>
                <w:webHidden/>
              </w:rPr>
              <w:fldChar w:fldCharType="separate"/>
            </w:r>
            <w:r>
              <w:rPr>
                <w:noProof/>
                <w:webHidden/>
              </w:rPr>
              <w:t>8</w:t>
            </w:r>
            <w:r>
              <w:rPr>
                <w:noProof/>
                <w:webHidden/>
              </w:rPr>
              <w:fldChar w:fldCharType="end"/>
            </w:r>
          </w:hyperlink>
        </w:p>
        <w:p w14:paraId="34764067" w14:textId="79A9CE5C" w:rsidR="00070148" w:rsidRDefault="00070148">
          <w:pPr>
            <w:pStyle w:val="TOC1"/>
            <w:tabs>
              <w:tab w:val="right" w:leader="dot" w:pos="9016"/>
            </w:tabs>
            <w:rPr>
              <w:noProof/>
            </w:rPr>
          </w:pPr>
          <w:hyperlink w:anchor="_Toc225801899" w:history="1">
            <w:r w:rsidRPr="004E0F30">
              <w:rPr>
                <w:rStyle w:val="Hyperlink"/>
                <w:noProof/>
              </w:rPr>
              <w:t>6. Proposed Security, Governance and Compliance Approach</w:t>
            </w:r>
            <w:r>
              <w:rPr>
                <w:noProof/>
                <w:webHidden/>
              </w:rPr>
              <w:tab/>
            </w:r>
            <w:r>
              <w:rPr>
                <w:noProof/>
                <w:webHidden/>
              </w:rPr>
              <w:fldChar w:fldCharType="begin"/>
            </w:r>
            <w:r>
              <w:rPr>
                <w:noProof/>
                <w:webHidden/>
              </w:rPr>
              <w:instrText xml:space="preserve"> PAGEREF _Toc225801899 \h </w:instrText>
            </w:r>
            <w:r>
              <w:rPr>
                <w:noProof/>
                <w:webHidden/>
              </w:rPr>
            </w:r>
            <w:r>
              <w:rPr>
                <w:noProof/>
                <w:webHidden/>
              </w:rPr>
              <w:fldChar w:fldCharType="separate"/>
            </w:r>
            <w:r>
              <w:rPr>
                <w:noProof/>
                <w:webHidden/>
              </w:rPr>
              <w:t>10</w:t>
            </w:r>
            <w:r>
              <w:rPr>
                <w:noProof/>
                <w:webHidden/>
              </w:rPr>
              <w:fldChar w:fldCharType="end"/>
            </w:r>
          </w:hyperlink>
        </w:p>
        <w:p w14:paraId="37917C5F" w14:textId="03E20615" w:rsidR="00070148" w:rsidRDefault="00070148">
          <w:pPr>
            <w:pStyle w:val="TOC1"/>
            <w:tabs>
              <w:tab w:val="right" w:leader="dot" w:pos="9016"/>
            </w:tabs>
            <w:rPr>
              <w:noProof/>
            </w:rPr>
          </w:pPr>
          <w:hyperlink w:anchor="_Toc225801900" w:history="1">
            <w:r w:rsidRPr="004E0F30">
              <w:rPr>
                <w:rStyle w:val="Hyperlink"/>
                <w:noProof/>
              </w:rPr>
              <w:t>7. The Importance of Updating Security Regulations and Standards</w:t>
            </w:r>
            <w:r>
              <w:rPr>
                <w:noProof/>
                <w:webHidden/>
              </w:rPr>
              <w:tab/>
            </w:r>
            <w:r>
              <w:rPr>
                <w:noProof/>
                <w:webHidden/>
              </w:rPr>
              <w:fldChar w:fldCharType="begin"/>
            </w:r>
            <w:r>
              <w:rPr>
                <w:noProof/>
                <w:webHidden/>
              </w:rPr>
              <w:instrText xml:space="preserve"> PAGEREF _Toc225801900 \h </w:instrText>
            </w:r>
            <w:r>
              <w:rPr>
                <w:noProof/>
                <w:webHidden/>
              </w:rPr>
            </w:r>
            <w:r>
              <w:rPr>
                <w:noProof/>
                <w:webHidden/>
              </w:rPr>
              <w:fldChar w:fldCharType="separate"/>
            </w:r>
            <w:r>
              <w:rPr>
                <w:noProof/>
                <w:webHidden/>
              </w:rPr>
              <w:t>13</w:t>
            </w:r>
            <w:r>
              <w:rPr>
                <w:noProof/>
                <w:webHidden/>
              </w:rPr>
              <w:fldChar w:fldCharType="end"/>
            </w:r>
          </w:hyperlink>
        </w:p>
        <w:p w14:paraId="635D10E4" w14:textId="2E272866" w:rsidR="00070148" w:rsidRDefault="00070148">
          <w:pPr>
            <w:pStyle w:val="TOC2"/>
            <w:tabs>
              <w:tab w:val="right" w:leader="dot" w:pos="9016"/>
            </w:tabs>
            <w:rPr>
              <w:noProof/>
            </w:rPr>
          </w:pPr>
          <w:hyperlink w:anchor="_Toc225801901" w:history="1">
            <w:r w:rsidRPr="004E0F30">
              <w:rPr>
                <w:rStyle w:val="Hyperlink"/>
                <w:noProof/>
              </w:rPr>
              <w:t>The Importance of Updating Security Regulations and Standards</w:t>
            </w:r>
            <w:r>
              <w:rPr>
                <w:noProof/>
                <w:webHidden/>
              </w:rPr>
              <w:tab/>
            </w:r>
            <w:r>
              <w:rPr>
                <w:noProof/>
                <w:webHidden/>
              </w:rPr>
              <w:fldChar w:fldCharType="begin"/>
            </w:r>
            <w:r>
              <w:rPr>
                <w:noProof/>
                <w:webHidden/>
              </w:rPr>
              <w:instrText xml:space="preserve"> PAGEREF _Toc225801901 \h </w:instrText>
            </w:r>
            <w:r>
              <w:rPr>
                <w:noProof/>
                <w:webHidden/>
              </w:rPr>
            </w:r>
            <w:r>
              <w:rPr>
                <w:noProof/>
                <w:webHidden/>
              </w:rPr>
              <w:fldChar w:fldCharType="separate"/>
            </w:r>
            <w:r>
              <w:rPr>
                <w:noProof/>
                <w:webHidden/>
              </w:rPr>
              <w:t>13</w:t>
            </w:r>
            <w:r>
              <w:rPr>
                <w:noProof/>
                <w:webHidden/>
              </w:rPr>
              <w:fldChar w:fldCharType="end"/>
            </w:r>
          </w:hyperlink>
        </w:p>
        <w:p w14:paraId="045DE681" w14:textId="1D626452" w:rsidR="00070148" w:rsidRDefault="00070148">
          <w:pPr>
            <w:pStyle w:val="TOC1"/>
            <w:tabs>
              <w:tab w:val="right" w:leader="dot" w:pos="9016"/>
            </w:tabs>
            <w:rPr>
              <w:noProof/>
            </w:rPr>
          </w:pPr>
          <w:hyperlink w:anchor="_Toc225801902" w:history="1">
            <w:r w:rsidRPr="004E0F30">
              <w:rPr>
                <w:rStyle w:val="Hyperlink"/>
                <w:noProof/>
              </w:rPr>
              <w:t>8. Conclusion</w:t>
            </w:r>
            <w:r>
              <w:rPr>
                <w:noProof/>
                <w:webHidden/>
              </w:rPr>
              <w:tab/>
            </w:r>
            <w:r>
              <w:rPr>
                <w:noProof/>
                <w:webHidden/>
              </w:rPr>
              <w:fldChar w:fldCharType="begin"/>
            </w:r>
            <w:r>
              <w:rPr>
                <w:noProof/>
                <w:webHidden/>
              </w:rPr>
              <w:instrText xml:space="preserve"> PAGEREF _Toc225801902 \h </w:instrText>
            </w:r>
            <w:r>
              <w:rPr>
                <w:noProof/>
                <w:webHidden/>
              </w:rPr>
            </w:r>
            <w:r>
              <w:rPr>
                <w:noProof/>
                <w:webHidden/>
              </w:rPr>
              <w:fldChar w:fldCharType="separate"/>
            </w:r>
            <w:r>
              <w:rPr>
                <w:noProof/>
                <w:webHidden/>
              </w:rPr>
              <w:t>14</w:t>
            </w:r>
            <w:r>
              <w:rPr>
                <w:noProof/>
                <w:webHidden/>
              </w:rPr>
              <w:fldChar w:fldCharType="end"/>
            </w:r>
          </w:hyperlink>
        </w:p>
        <w:p w14:paraId="21609704" w14:textId="7CAC09D7" w:rsidR="00070148" w:rsidRDefault="00070148">
          <w:pPr>
            <w:pStyle w:val="TOC2"/>
            <w:tabs>
              <w:tab w:val="right" w:leader="dot" w:pos="9016"/>
            </w:tabs>
            <w:rPr>
              <w:noProof/>
            </w:rPr>
          </w:pPr>
          <w:hyperlink w:anchor="_Toc225801903" w:history="1">
            <w:r w:rsidRPr="004E0F30">
              <w:rPr>
                <w:rStyle w:val="Hyperlink"/>
                <w:noProof/>
              </w:rPr>
              <w:t>Conclusion</w:t>
            </w:r>
            <w:r>
              <w:rPr>
                <w:noProof/>
                <w:webHidden/>
              </w:rPr>
              <w:tab/>
            </w:r>
            <w:r>
              <w:rPr>
                <w:noProof/>
                <w:webHidden/>
              </w:rPr>
              <w:fldChar w:fldCharType="begin"/>
            </w:r>
            <w:r>
              <w:rPr>
                <w:noProof/>
                <w:webHidden/>
              </w:rPr>
              <w:instrText xml:space="preserve"> PAGEREF _Toc225801903 \h </w:instrText>
            </w:r>
            <w:r>
              <w:rPr>
                <w:noProof/>
                <w:webHidden/>
              </w:rPr>
            </w:r>
            <w:r>
              <w:rPr>
                <w:noProof/>
                <w:webHidden/>
              </w:rPr>
              <w:fldChar w:fldCharType="separate"/>
            </w:r>
            <w:r>
              <w:rPr>
                <w:noProof/>
                <w:webHidden/>
              </w:rPr>
              <w:t>14</w:t>
            </w:r>
            <w:r>
              <w:rPr>
                <w:noProof/>
                <w:webHidden/>
              </w:rPr>
              <w:fldChar w:fldCharType="end"/>
            </w:r>
          </w:hyperlink>
        </w:p>
        <w:p w14:paraId="118E381E" w14:textId="4B468BA0" w:rsidR="00070148" w:rsidRDefault="00070148">
          <w:pPr>
            <w:pStyle w:val="TOC1"/>
            <w:tabs>
              <w:tab w:val="right" w:leader="dot" w:pos="9016"/>
            </w:tabs>
            <w:rPr>
              <w:noProof/>
            </w:rPr>
          </w:pPr>
          <w:hyperlink w:anchor="_Toc225801904" w:history="1">
            <w:r w:rsidRPr="004E0F30">
              <w:rPr>
                <w:rStyle w:val="Hyperlink"/>
                <w:noProof/>
              </w:rPr>
              <w:t>References</w:t>
            </w:r>
            <w:r>
              <w:rPr>
                <w:noProof/>
                <w:webHidden/>
              </w:rPr>
              <w:tab/>
            </w:r>
            <w:r>
              <w:rPr>
                <w:noProof/>
                <w:webHidden/>
              </w:rPr>
              <w:fldChar w:fldCharType="begin"/>
            </w:r>
            <w:r>
              <w:rPr>
                <w:noProof/>
                <w:webHidden/>
              </w:rPr>
              <w:instrText xml:space="preserve"> PAGEREF _Toc225801904 \h </w:instrText>
            </w:r>
            <w:r>
              <w:rPr>
                <w:noProof/>
                <w:webHidden/>
              </w:rPr>
            </w:r>
            <w:r>
              <w:rPr>
                <w:noProof/>
                <w:webHidden/>
              </w:rPr>
              <w:fldChar w:fldCharType="separate"/>
            </w:r>
            <w:r>
              <w:rPr>
                <w:noProof/>
                <w:webHidden/>
              </w:rPr>
              <w:t>15</w:t>
            </w:r>
            <w:r>
              <w:rPr>
                <w:noProof/>
                <w:webHidden/>
              </w:rPr>
              <w:fldChar w:fldCharType="end"/>
            </w:r>
          </w:hyperlink>
        </w:p>
        <w:p w14:paraId="583EA56A" w14:textId="6C674B2B" w:rsidR="00070148" w:rsidRDefault="00070148">
          <w:r>
            <w:rPr>
              <w:b/>
              <w:bCs/>
              <w:noProof/>
            </w:rPr>
            <w:fldChar w:fldCharType="end"/>
          </w:r>
        </w:p>
      </w:sdtContent>
    </w:sdt>
    <w:p w14:paraId="29139A7C" w14:textId="77777777" w:rsidR="006E0129" w:rsidRDefault="006E0129" w:rsidP="006E0129"/>
    <w:p w14:paraId="3C8872B8" w14:textId="77777777" w:rsidR="006E0129" w:rsidRDefault="006E0129" w:rsidP="006E0129"/>
    <w:p w14:paraId="489D1B18" w14:textId="77777777" w:rsidR="006E0129" w:rsidRDefault="006E0129" w:rsidP="006E0129"/>
    <w:p w14:paraId="053CE90A" w14:textId="77777777" w:rsidR="006E0129" w:rsidRDefault="006E0129" w:rsidP="006E0129"/>
    <w:p w14:paraId="785E27ED" w14:textId="77777777" w:rsidR="006E0129" w:rsidRDefault="006E0129" w:rsidP="006E0129"/>
    <w:p w14:paraId="49D79373" w14:textId="77777777" w:rsidR="006E0129" w:rsidRDefault="006E0129" w:rsidP="006E0129"/>
    <w:p w14:paraId="391F4069" w14:textId="77777777" w:rsidR="006E0129" w:rsidRDefault="006E0129" w:rsidP="006E0129"/>
    <w:p w14:paraId="5CD84919" w14:textId="77777777" w:rsidR="006E0129" w:rsidRDefault="006E0129" w:rsidP="006E0129"/>
    <w:p w14:paraId="755A8BEA" w14:textId="77777777" w:rsidR="006E0129" w:rsidRDefault="006E0129" w:rsidP="006E0129"/>
    <w:p w14:paraId="5000B6C7" w14:textId="77777777" w:rsidR="006E0129" w:rsidRDefault="006E0129" w:rsidP="006E0129"/>
    <w:p w14:paraId="7026EA99" w14:textId="77777777" w:rsidR="006E0129" w:rsidRDefault="006E0129" w:rsidP="006E0129"/>
    <w:p w14:paraId="2A99307F" w14:textId="77777777" w:rsidR="006E0129" w:rsidRDefault="006E0129" w:rsidP="006E0129"/>
    <w:p w14:paraId="09B8EE75" w14:textId="77777777" w:rsidR="006E0129" w:rsidRDefault="006E0129" w:rsidP="006E0129"/>
    <w:p w14:paraId="154FAEC2" w14:textId="77777777" w:rsidR="006E0129" w:rsidRDefault="006E0129" w:rsidP="006E0129"/>
    <w:p w14:paraId="5A7FE10C" w14:textId="77777777" w:rsidR="006E0129" w:rsidRPr="006E0129" w:rsidRDefault="006E0129" w:rsidP="006E0129"/>
    <w:p w14:paraId="49C57CF0" w14:textId="219D6CFE" w:rsidR="00C60F9E" w:rsidRPr="00152C4F" w:rsidRDefault="006E0129" w:rsidP="006E0129">
      <w:pPr>
        <w:pStyle w:val="Heading1"/>
        <w:ind w:left="360"/>
      </w:pPr>
      <w:bookmarkStart w:id="0" w:name="_Toc225801891"/>
      <w:r w:rsidRPr="006E0129">
        <w:lastRenderedPageBreak/>
        <w:t>1.</w:t>
      </w:r>
      <w:r>
        <w:t xml:space="preserve"> </w:t>
      </w:r>
      <w:r w:rsidR="00C60F9E" w:rsidRPr="00152C4F">
        <w:t>Abstract</w:t>
      </w:r>
      <w:bookmarkEnd w:id="0"/>
    </w:p>
    <w:p w14:paraId="3856EC76" w14:textId="77777777" w:rsidR="00C60F9E" w:rsidRPr="00152C4F" w:rsidRDefault="00C60F9E" w:rsidP="00C60F9E">
      <w:r w:rsidRPr="00152C4F">
        <w:t xml:space="preserve">The rapid growth of digital banking services has significantly increased the exposure of financial institutions to cybersecurity threats and regulatory challenges. </w:t>
      </w:r>
      <w:proofErr w:type="spellStart"/>
      <w:r w:rsidRPr="00152C4F">
        <w:t>FinSure</w:t>
      </w:r>
      <w:proofErr w:type="spellEnd"/>
      <w:r w:rsidRPr="00152C4F">
        <w:t xml:space="preserve"> Bank, a digital-first financial services provider operating primarily through cloud-based infrastructure, faces increasing security risks due to the adoption of Bring Your Own Device (BYOD) policies, third-party access to internal systems, and the absence of a structured security governance framework. This report analyses the security, governance, and compliance challenges presented in the </w:t>
      </w:r>
      <w:proofErr w:type="spellStart"/>
      <w:r w:rsidRPr="00152C4F">
        <w:t>FinSure</w:t>
      </w:r>
      <w:proofErr w:type="spellEnd"/>
      <w:r w:rsidRPr="00152C4F">
        <w:t xml:space="preserve"> Bank scenario and evaluates several widely recognised security frameworks, including ISO 27001, the NIST Cybersecurity Framework, ITIL, and COBIT.</w:t>
      </w:r>
    </w:p>
    <w:p w14:paraId="79BA4C92" w14:textId="77777777" w:rsidR="00C60F9E" w:rsidRPr="00152C4F" w:rsidRDefault="00C60F9E" w:rsidP="00C60F9E">
      <w:r w:rsidRPr="00152C4F">
        <w:t xml:space="preserve">Based on this analysis, the report proposes an integrated security governance model designed to strengthen organisational oversight, improve risk management processes, and enhance regulatory compliance. The proposed approach incorporates structured security policies, technical protection mechanisms, continuous monitoring practices, and incident response capabilities. By adopting these practices, </w:t>
      </w:r>
      <w:proofErr w:type="spellStart"/>
      <w:r w:rsidRPr="00152C4F">
        <w:t>FinSure</w:t>
      </w:r>
      <w:proofErr w:type="spellEnd"/>
      <w:r w:rsidRPr="00152C4F">
        <w:t xml:space="preserve"> Bank can improve its ability to protect sensitive financial data, mitigate cybersecurity risks, and maintain compliance with evolving regulatory requirements. The findings highlight the importance of implementing comprehensive security governance frameworks in modern digital banking environments.</w:t>
      </w:r>
    </w:p>
    <w:p w14:paraId="679CABC7" w14:textId="77777777" w:rsidR="001A2FC4" w:rsidRDefault="001A2FC4"/>
    <w:p w14:paraId="4DA24F81" w14:textId="77777777" w:rsidR="006E0129" w:rsidRDefault="006E0129"/>
    <w:p w14:paraId="77D6D7E5" w14:textId="77777777" w:rsidR="006E0129" w:rsidRDefault="006E0129"/>
    <w:p w14:paraId="1C356D9D" w14:textId="77777777" w:rsidR="006E0129" w:rsidRDefault="006E0129"/>
    <w:p w14:paraId="455097BB" w14:textId="77777777" w:rsidR="006E0129" w:rsidRDefault="006E0129"/>
    <w:p w14:paraId="20A25B4D" w14:textId="77777777" w:rsidR="006E0129" w:rsidRDefault="006E0129"/>
    <w:p w14:paraId="6E57C14D" w14:textId="77777777" w:rsidR="006E0129" w:rsidRDefault="006E0129"/>
    <w:p w14:paraId="7E624E9E" w14:textId="77777777" w:rsidR="006E0129" w:rsidRDefault="006E0129"/>
    <w:p w14:paraId="690CA6B9" w14:textId="77777777" w:rsidR="006E0129" w:rsidRDefault="006E0129"/>
    <w:p w14:paraId="2DAF51C7" w14:textId="77777777" w:rsidR="006E0129" w:rsidRDefault="006E0129"/>
    <w:p w14:paraId="09F2F185" w14:textId="77777777" w:rsidR="006E0129" w:rsidRDefault="006E0129"/>
    <w:p w14:paraId="4A9A7C45" w14:textId="77777777" w:rsidR="006E0129" w:rsidRDefault="006E0129"/>
    <w:p w14:paraId="0731D1DD" w14:textId="77777777" w:rsidR="006E0129" w:rsidRDefault="006E0129"/>
    <w:p w14:paraId="25672331" w14:textId="77777777" w:rsidR="006E0129" w:rsidRDefault="006E0129"/>
    <w:p w14:paraId="1022924C" w14:textId="77777777" w:rsidR="006E0129" w:rsidRDefault="006E0129"/>
    <w:p w14:paraId="262EBA66" w14:textId="77777777" w:rsidR="006E0129" w:rsidRDefault="006E0129"/>
    <w:p w14:paraId="6E9EE749" w14:textId="4915C489" w:rsidR="00C60F9E" w:rsidRPr="000C0EEA" w:rsidRDefault="006E0129" w:rsidP="006E0129">
      <w:pPr>
        <w:pStyle w:val="Heading1"/>
      </w:pPr>
      <w:bookmarkStart w:id="1" w:name="_Toc225801892"/>
      <w:r>
        <w:lastRenderedPageBreak/>
        <w:t xml:space="preserve">2. </w:t>
      </w:r>
      <w:r w:rsidR="00C60F9E" w:rsidRPr="000C0EEA">
        <w:t>Introduction</w:t>
      </w:r>
      <w:bookmarkEnd w:id="1"/>
    </w:p>
    <w:p w14:paraId="611BDD12" w14:textId="31CC6420" w:rsidR="00C60F9E" w:rsidRPr="000C0EEA" w:rsidRDefault="00C60F9E" w:rsidP="00C60F9E">
      <w:r w:rsidRPr="000C0EEA">
        <w:t xml:space="preserve">The rapid growth of digital technologies has significantly transformed the financial services industry. </w:t>
      </w:r>
      <w:r w:rsidR="005E5812" w:rsidRPr="005E5812">
        <w:t>Modern financial institutions increasingly rely on cloud computing, mobile banking platforms, and interconnected digital infrastructures to deliver financial services across global markets.</w:t>
      </w:r>
      <w:r w:rsidRPr="000C0EEA">
        <w:t xml:space="preserve"> While these technologies improve efficiency and accessibility, they also introduce complex cybersecurity risks that must be carefully managed. </w:t>
      </w:r>
      <w:r w:rsidR="005E5812" w:rsidRPr="005E5812">
        <w:t>Financial institutions manage significant volumes of sensitive customer information, including personal data, financial records, and transaction histories, which makes them particularly attractive targets for cybercriminal activities.</w:t>
      </w:r>
    </w:p>
    <w:p w14:paraId="04FCD7A1" w14:textId="2BD57117" w:rsidR="00C60F9E" w:rsidRPr="000C0EEA" w:rsidRDefault="00C60F9E" w:rsidP="00C60F9E">
      <w:r w:rsidRPr="000C0EEA">
        <w:t>As cyber threats continue to evolve, organisations must implement effective security governance, risk management strategies, and regulatory compliance mechanisms to protect their information assets. Security frameworks and governance models provide structured approaches that enable organisations to identify vulnerabilities, implement appropriate security controls, and ensure compliance with regulatory requirements</w:t>
      </w:r>
      <w:r w:rsidR="005E5812">
        <w:t xml:space="preserve"> </w:t>
      </w:r>
      <w:r w:rsidR="005E5812" w:rsidRPr="005E5812">
        <w:rPr>
          <w:b/>
          <w:bCs/>
        </w:rPr>
        <w:t>[3]</w:t>
      </w:r>
      <w:r w:rsidRPr="000C0EEA">
        <w:t>. Frameworks such as ISO/IEC 27001, the NIST Cybersecurity Framework, ITIL, and COBIT provide guidance on how organisations can establish comprehensive information security management systems and governance structures.</w:t>
      </w:r>
    </w:p>
    <w:p w14:paraId="72E8F807" w14:textId="77777777" w:rsidR="00C60F9E" w:rsidRPr="000C0EEA" w:rsidRDefault="00C60F9E" w:rsidP="00C60F9E">
      <w:r w:rsidRPr="000C0EEA">
        <w:t xml:space="preserve">This report examines the security, governance, and compliance challenges faced by </w:t>
      </w:r>
      <w:proofErr w:type="spellStart"/>
      <w:r w:rsidRPr="000C0EEA">
        <w:t>FinSure</w:t>
      </w:r>
      <w:proofErr w:type="spellEnd"/>
      <w:r w:rsidRPr="000C0EEA">
        <w:t xml:space="preserve"> Bank (FSB), a rapidly expanding digital-first financial services provider operating primarily through cloud-based infrastructure. The report analyses the key risks associated with the organisation’s current operational model, including the adoption of Bring Your Own Device (BYOD) policies, increased reliance on cloud services, and the lack of a unified governance framework.</w:t>
      </w:r>
    </w:p>
    <w:p w14:paraId="6E801BC0" w14:textId="77777777" w:rsidR="00C60F9E" w:rsidRPr="000C0EEA" w:rsidRDefault="00C60F9E" w:rsidP="00C60F9E">
      <w:r w:rsidRPr="000C0EEA">
        <w:t xml:space="preserve">Based on research into established security frameworks and industry best practices, this report proposes a structured approach for improving </w:t>
      </w:r>
      <w:proofErr w:type="spellStart"/>
      <w:r w:rsidRPr="000C0EEA">
        <w:t>FinSure</w:t>
      </w:r>
      <w:proofErr w:type="spellEnd"/>
      <w:r w:rsidRPr="000C0EEA">
        <w:t xml:space="preserve"> Bank’s security governance, risk management processes, and regulatory compliance capabilities.</w:t>
      </w:r>
    </w:p>
    <w:p w14:paraId="43B594A7" w14:textId="77777777" w:rsidR="00C60F9E" w:rsidRDefault="00C60F9E" w:rsidP="00C60F9E"/>
    <w:p w14:paraId="56C7299B" w14:textId="77777777" w:rsidR="006E0129" w:rsidRDefault="006E0129" w:rsidP="00C60F9E"/>
    <w:p w14:paraId="151794FD" w14:textId="77777777" w:rsidR="006E0129" w:rsidRDefault="006E0129" w:rsidP="00C60F9E"/>
    <w:p w14:paraId="64153ED1" w14:textId="77777777" w:rsidR="006E0129" w:rsidRDefault="006E0129" w:rsidP="00C60F9E"/>
    <w:p w14:paraId="0EEE93A9" w14:textId="77777777" w:rsidR="006E0129" w:rsidRDefault="006E0129" w:rsidP="00C60F9E"/>
    <w:p w14:paraId="289D9473" w14:textId="77777777" w:rsidR="006E0129" w:rsidRDefault="006E0129" w:rsidP="00C60F9E"/>
    <w:p w14:paraId="0EA0FCF1" w14:textId="77777777" w:rsidR="006E0129" w:rsidRDefault="006E0129" w:rsidP="00C60F9E"/>
    <w:p w14:paraId="14DFEB9D" w14:textId="77777777" w:rsidR="006E0129" w:rsidRDefault="006E0129" w:rsidP="00C60F9E"/>
    <w:p w14:paraId="64E2DDD7" w14:textId="77777777" w:rsidR="006E0129" w:rsidRDefault="006E0129" w:rsidP="00C60F9E"/>
    <w:p w14:paraId="45BA1568" w14:textId="77777777" w:rsidR="006E0129" w:rsidRDefault="006E0129" w:rsidP="00C60F9E"/>
    <w:p w14:paraId="7CF7AF0D" w14:textId="28B4A759" w:rsidR="00C60F9E" w:rsidRPr="009C168A" w:rsidRDefault="00C60F9E" w:rsidP="00C60F9E">
      <w:pPr>
        <w:pStyle w:val="Heading1"/>
      </w:pPr>
      <w:bookmarkStart w:id="2" w:name="_Toc225801893"/>
      <w:r w:rsidRPr="009C168A">
        <w:lastRenderedPageBreak/>
        <w:t>3</w:t>
      </w:r>
      <w:r>
        <w:t>.</w:t>
      </w:r>
      <w:r w:rsidRPr="009C168A">
        <w:t xml:space="preserve"> Assumptions and Organisational Context</w:t>
      </w:r>
      <w:bookmarkEnd w:id="2"/>
    </w:p>
    <w:p w14:paraId="45037FA2" w14:textId="77777777" w:rsidR="00C60F9E" w:rsidRPr="009C168A" w:rsidRDefault="00C60F9E" w:rsidP="00C60F9E">
      <w:pPr>
        <w:pStyle w:val="Heading2"/>
      </w:pPr>
      <w:bookmarkStart w:id="3" w:name="_Toc225801894"/>
      <w:r w:rsidRPr="009C168A">
        <w:t>Assumptions and Organisational Context</w:t>
      </w:r>
      <w:bookmarkEnd w:id="3"/>
    </w:p>
    <w:p w14:paraId="324431B5" w14:textId="7CF3C541" w:rsidR="00C60F9E" w:rsidRPr="009C168A" w:rsidRDefault="00C60F9E" w:rsidP="00C60F9E">
      <w:r w:rsidRPr="009C168A">
        <w:t xml:space="preserve">In order to analyse the </w:t>
      </w:r>
      <w:proofErr w:type="spellStart"/>
      <w:r w:rsidRPr="009C168A">
        <w:t>FinSure</w:t>
      </w:r>
      <w:proofErr w:type="spellEnd"/>
      <w:r w:rsidRPr="009C168A">
        <w:t xml:space="preserve"> Bank (FSB) scenario and design an appropriate data security, governance, and compliance strategy, several assumptions have been made regarding the organisation’s operational context, technological infrastructure, and regulatory environment. </w:t>
      </w:r>
      <w:r w:rsidR="005E5812" w:rsidRPr="005E5812">
        <w:t xml:space="preserve">These assumptions are necessary because the case scenario does not provide detailed organisational information such as employee numbers, infrastructure scale, or security maturity level, which are essential for developing realistic governance and security </w:t>
      </w:r>
      <w:proofErr w:type="gramStart"/>
      <w:r w:rsidR="005E5812" w:rsidRPr="005E5812">
        <w:t>recommendations.</w:t>
      </w:r>
      <w:r w:rsidRPr="009C168A">
        <w:t>.</w:t>
      </w:r>
      <w:proofErr w:type="gramEnd"/>
      <w:r w:rsidRPr="009C168A">
        <w:t xml:space="preserve"> By clearly stating these assumptions, the proposed recommendations can be interpreted within a realistic operational framework.</w:t>
      </w:r>
    </w:p>
    <w:p w14:paraId="7D33CE02" w14:textId="77777777" w:rsidR="00C60F9E" w:rsidRPr="009C168A" w:rsidRDefault="00C60F9E" w:rsidP="00C60F9E">
      <w:r w:rsidRPr="009C168A">
        <w:t xml:space="preserve">For the purpose of this analysis, </w:t>
      </w:r>
      <w:proofErr w:type="spellStart"/>
      <w:r w:rsidRPr="009C168A">
        <w:t>FinSure</w:t>
      </w:r>
      <w:proofErr w:type="spellEnd"/>
      <w:r w:rsidRPr="009C168A">
        <w:t xml:space="preserve"> Bank is assumed to be a medium-sized international digital financial institution operating primarily through cloud-based platforms. The organisation provides online banking, investment, and loan services to customers across multiple countries and therefore processes large volumes of sensitive financial and personal data. Due to the organisation’s digital-first business model, it is assumed that a significant portion of its infrastructure is hosted in public cloud environments, with reliance on third-party service providers for infrastructure and platform services.</w:t>
      </w:r>
    </w:p>
    <w:p w14:paraId="47731A16" w14:textId="77777777" w:rsidR="00C60F9E" w:rsidRPr="009C168A" w:rsidRDefault="00C60F9E" w:rsidP="00C60F9E">
      <w:r w:rsidRPr="009C168A">
        <w:t xml:space="preserve">It is further assumed that </w:t>
      </w:r>
      <w:proofErr w:type="spellStart"/>
      <w:r w:rsidRPr="009C168A">
        <w:t>FinSure</w:t>
      </w:r>
      <w:proofErr w:type="spellEnd"/>
      <w:r w:rsidRPr="009C168A">
        <w:t xml:space="preserve"> Bank employs several hundred staff members including internal employees, contractors, and external partners who require remote access to internal systems. The introduction of Bring Your Own Device (BYOD) policies suggests that the organisation is attempting to increase operational flexibility, although this also introduces additional security risks. The current security posture of the organisation is assumed to be at a relatively low maturity level, characterised by fragmented security policies, limited governance structures, and the absence of a formal risk management framework.</w:t>
      </w:r>
    </w:p>
    <w:p w14:paraId="25BCA578" w14:textId="77777777" w:rsidR="00C60F9E" w:rsidRPr="009C168A" w:rsidRDefault="00C60F9E" w:rsidP="00C60F9E">
      <w:r w:rsidRPr="009C168A">
        <w:t xml:space="preserve">From a regulatory perspective, </w:t>
      </w:r>
      <w:proofErr w:type="spellStart"/>
      <w:r w:rsidRPr="009C168A">
        <w:t>FinSure</w:t>
      </w:r>
      <w:proofErr w:type="spellEnd"/>
      <w:r w:rsidRPr="009C168A">
        <w:t xml:space="preserve"> Bank is assumed to operate within jurisdictions that require strict protection of personal and financial data, including compliance with regulations such as the General Data Protection Regulation (GDPR) and other financial sector data protection requirements. As a financial services provider, the organisation must therefore maintain strong controls for confidentiality, integrity, and availability of customer data while ensuring compliance with international data governance standards.</w:t>
      </w:r>
    </w:p>
    <w:p w14:paraId="5124C083" w14:textId="77777777" w:rsidR="00C60F9E" w:rsidRDefault="00C60F9E" w:rsidP="00C60F9E">
      <w:r w:rsidRPr="009C168A">
        <w:t>The key assumptions used in this analysis are summarised in Table 1.</w:t>
      </w:r>
    </w:p>
    <w:p w14:paraId="1F2393E2" w14:textId="77777777" w:rsidR="00C60F9E" w:rsidRDefault="00C60F9E" w:rsidP="00C60F9E"/>
    <w:p w14:paraId="7A5A60BD" w14:textId="77777777" w:rsidR="006E0129" w:rsidRDefault="006E0129" w:rsidP="00C60F9E"/>
    <w:p w14:paraId="040CE73A" w14:textId="77777777" w:rsidR="006E0129" w:rsidRDefault="006E0129" w:rsidP="00C60F9E"/>
    <w:p w14:paraId="2D2936FF" w14:textId="77777777" w:rsidR="006E0129" w:rsidRDefault="006E0129" w:rsidP="00C60F9E"/>
    <w:p w14:paraId="3CAFD6B8" w14:textId="77777777" w:rsidR="006E0129" w:rsidRDefault="006E0129" w:rsidP="00C60F9E"/>
    <w:p w14:paraId="1778A971" w14:textId="77777777" w:rsidR="006E0129" w:rsidRDefault="006E0129" w:rsidP="00C60F9E"/>
    <w:p w14:paraId="76C87CD0" w14:textId="77777777" w:rsidR="006E0129" w:rsidRDefault="006E0129" w:rsidP="00C60F9E"/>
    <w:p w14:paraId="5182037D" w14:textId="77777777" w:rsidR="006E0129" w:rsidRDefault="006E0129" w:rsidP="00C60F9E"/>
    <w:p w14:paraId="32ECF655" w14:textId="6EE33988" w:rsidR="00C60F9E" w:rsidRDefault="00C60F9E" w:rsidP="00C60F9E">
      <w:r w:rsidRPr="003F1908">
        <w:lastRenderedPageBreak/>
        <w:t xml:space="preserve">Table 1: Key Assumptions Used in the </w:t>
      </w:r>
      <w:proofErr w:type="spellStart"/>
      <w:r w:rsidRPr="003F1908">
        <w:t>FinSure</w:t>
      </w:r>
      <w:proofErr w:type="spellEnd"/>
      <w:r w:rsidRPr="003F1908">
        <w:t xml:space="preserve"> Bank Security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5"/>
        <w:gridCol w:w="3605"/>
        <w:gridCol w:w="3736"/>
      </w:tblGrid>
      <w:tr w:rsidR="00C60F9E" w:rsidRPr="009C168A" w14:paraId="01758E76" w14:textId="77777777" w:rsidTr="00795EEB">
        <w:trPr>
          <w:tblHeader/>
          <w:tblCellSpacing w:w="15" w:type="dxa"/>
        </w:trPr>
        <w:tc>
          <w:tcPr>
            <w:tcW w:w="0" w:type="auto"/>
            <w:vAlign w:val="center"/>
            <w:hideMark/>
          </w:tcPr>
          <w:p w14:paraId="47B2DB51" w14:textId="77777777" w:rsidR="00C60F9E" w:rsidRPr="009C168A" w:rsidRDefault="00C60F9E" w:rsidP="00795EEB">
            <w:pPr>
              <w:rPr>
                <w:b/>
                <w:bCs/>
              </w:rPr>
            </w:pPr>
            <w:r w:rsidRPr="009C168A">
              <w:rPr>
                <w:b/>
                <w:bCs/>
              </w:rPr>
              <w:t>Assumption Area</w:t>
            </w:r>
          </w:p>
        </w:tc>
        <w:tc>
          <w:tcPr>
            <w:tcW w:w="0" w:type="auto"/>
            <w:vAlign w:val="center"/>
            <w:hideMark/>
          </w:tcPr>
          <w:p w14:paraId="3394945C" w14:textId="77777777" w:rsidR="00C60F9E" w:rsidRPr="009C168A" w:rsidRDefault="00C60F9E" w:rsidP="00795EEB">
            <w:pPr>
              <w:rPr>
                <w:b/>
                <w:bCs/>
              </w:rPr>
            </w:pPr>
            <w:r w:rsidRPr="009C168A">
              <w:rPr>
                <w:b/>
                <w:bCs/>
              </w:rPr>
              <w:t>Assumption Made</w:t>
            </w:r>
          </w:p>
        </w:tc>
        <w:tc>
          <w:tcPr>
            <w:tcW w:w="0" w:type="auto"/>
            <w:vAlign w:val="center"/>
            <w:hideMark/>
          </w:tcPr>
          <w:p w14:paraId="660C5068" w14:textId="77777777" w:rsidR="00C60F9E" w:rsidRPr="009C168A" w:rsidRDefault="00C60F9E" w:rsidP="00795EEB">
            <w:pPr>
              <w:rPr>
                <w:b/>
                <w:bCs/>
              </w:rPr>
            </w:pPr>
            <w:r w:rsidRPr="009C168A">
              <w:rPr>
                <w:b/>
                <w:bCs/>
              </w:rPr>
              <w:t>Relevance to Security Design</w:t>
            </w:r>
          </w:p>
        </w:tc>
      </w:tr>
      <w:tr w:rsidR="00C60F9E" w:rsidRPr="009C168A" w14:paraId="651A47AD" w14:textId="77777777" w:rsidTr="00795EEB">
        <w:trPr>
          <w:tblCellSpacing w:w="15" w:type="dxa"/>
        </w:trPr>
        <w:tc>
          <w:tcPr>
            <w:tcW w:w="0" w:type="auto"/>
            <w:vAlign w:val="center"/>
            <w:hideMark/>
          </w:tcPr>
          <w:p w14:paraId="15E6EED4" w14:textId="77777777" w:rsidR="00C60F9E" w:rsidRPr="009C168A" w:rsidRDefault="00C60F9E" w:rsidP="00795EEB">
            <w:r w:rsidRPr="009C168A">
              <w:t>Organisation size</w:t>
            </w:r>
          </w:p>
        </w:tc>
        <w:tc>
          <w:tcPr>
            <w:tcW w:w="0" w:type="auto"/>
            <w:vAlign w:val="center"/>
            <w:hideMark/>
          </w:tcPr>
          <w:p w14:paraId="57650A11" w14:textId="77777777" w:rsidR="00C60F9E" w:rsidRPr="009C168A" w:rsidRDefault="00C60F9E" w:rsidP="00795EEB">
            <w:proofErr w:type="spellStart"/>
            <w:r w:rsidRPr="009C168A">
              <w:t>FinSure</w:t>
            </w:r>
            <w:proofErr w:type="spellEnd"/>
            <w:r w:rsidRPr="009C168A">
              <w:t xml:space="preserve"> Bank operates as a medium-sized international digital bank</w:t>
            </w:r>
          </w:p>
        </w:tc>
        <w:tc>
          <w:tcPr>
            <w:tcW w:w="0" w:type="auto"/>
            <w:vAlign w:val="center"/>
            <w:hideMark/>
          </w:tcPr>
          <w:p w14:paraId="5A40055B" w14:textId="77777777" w:rsidR="00C60F9E" w:rsidRPr="009C168A" w:rsidRDefault="00C60F9E" w:rsidP="00795EEB">
            <w:r w:rsidRPr="009C168A">
              <w:t>Influences governance structure, security staffing, and scale of security controls</w:t>
            </w:r>
          </w:p>
        </w:tc>
      </w:tr>
      <w:tr w:rsidR="00C60F9E" w:rsidRPr="009C168A" w14:paraId="59BF9DEB" w14:textId="77777777" w:rsidTr="00795EEB">
        <w:trPr>
          <w:tblCellSpacing w:w="15" w:type="dxa"/>
        </w:trPr>
        <w:tc>
          <w:tcPr>
            <w:tcW w:w="0" w:type="auto"/>
            <w:vAlign w:val="center"/>
            <w:hideMark/>
          </w:tcPr>
          <w:p w14:paraId="3C3CACF6" w14:textId="77777777" w:rsidR="00C60F9E" w:rsidRPr="009C168A" w:rsidRDefault="00C60F9E" w:rsidP="00795EEB">
            <w:r w:rsidRPr="009C168A">
              <w:t>Infrastructure</w:t>
            </w:r>
          </w:p>
        </w:tc>
        <w:tc>
          <w:tcPr>
            <w:tcW w:w="0" w:type="auto"/>
            <w:vAlign w:val="center"/>
            <w:hideMark/>
          </w:tcPr>
          <w:p w14:paraId="7EC42F88" w14:textId="77777777" w:rsidR="00C60F9E" w:rsidRPr="009C168A" w:rsidRDefault="00C60F9E" w:rsidP="00795EEB">
            <w:r w:rsidRPr="009C168A">
              <w:t>Over 90% of systems are hosted in cloud environments</w:t>
            </w:r>
          </w:p>
        </w:tc>
        <w:tc>
          <w:tcPr>
            <w:tcW w:w="0" w:type="auto"/>
            <w:vAlign w:val="center"/>
            <w:hideMark/>
          </w:tcPr>
          <w:p w14:paraId="47607043" w14:textId="77777777" w:rsidR="00C60F9E" w:rsidRPr="009C168A" w:rsidRDefault="00C60F9E" w:rsidP="00795EEB">
            <w:r w:rsidRPr="009C168A">
              <w:t>Requires strong cloud security management and third-party risk controls</w:t>
            </w:r>
          </w:p>
        </w:tc>
      </w:tr>
      <w:tr w:rsidR="00C60F9E" w:rsidRPr="009C168A" w14:paraId="44C82839" w14:textId="77777777" w:rsidTr="00795EEB">
        <w:trPr>
          <w:tblCellSpacing w:w="15" w:type="dxa"/>
        </w:trPr>
        <w:tc>
          <w:tcPr>
            <w:tcW w:w="0" w:type="auto"/>
            <w:vAlign w:val="center"/>
            <w:hideMark/>
          </w:tcPr>
          <w:p w14:paraId="271A2992" w14:textId="77777777" w:rsidR="00C60F9E" w:rsidRPr="009C168A" w:rsidRDefault="00C60F9E" w:rsidP="00795EEB">
            <w:r w:rsidRPr="009C168A">
              <w:t>Workforce</w:t>
            </w:r>
          </w:p>
        </w:tc>
        <w:tc>
          <w:tcPr>
            <w:tcW w:w="0" w:type="auto"/>
            <w:vAlign w:val="center"/>
            <w:hideMark/>
          </w:tcPr>
          <w:p w14:paraId="31B9A0C7" w14:textId="77777777" w:rsidR="00C60F9E" w:rsidRPr="009C168A" w:rsidRDefault="00C60F9E" w:rsidP="00795EEB">
            <w:r w:rsidRPr="009C168A">
              <w:t>Employees, contractors, and partners access systems remotely using BYOD devices</w:t>
            </w:r>
          </w:p>
        </w:tc>
        <w:tc>
          <w:tcPr>
            <w:tcW w:w="0" w:type="auto"/>
            <w:vAlign w:val="center"/>
            <w:hideMark/>
          </w:tcPr>
          <w:p w14:paraId="3959CADC" w14:textId="77777777" w:rsidR="00C60F9E" w:rsidRPr="009C168A" w:rsidRDefault="00C60F9E" w:rsidP="00795EEB">
            <w:r w:rsidRPr="009C168A">
              <w:t>Introduces endpoint security and identity management challenges</w:t>
            </w:r>
          </w:p>
        </w:tc>
      </w:tr>
      <w:tr w:rsidR="00C60F9E" w:rsidRPr="009C168A" w14:paraId="79B87712" w14:textId="77777777" w:rsidTr="00795EEB">
        <w:trPr>
          <w:tblCellSpacing w:w="15" w:type="dxa"/>
        </w:trPr>
        <w:tc>
          <w:tcPr>
            <w:tcW w:w="0" w:type="auto"/>
            <w:vAlign w:val="center"/>
            <w:hideMark/>
          </w:tcPr>
          <w:p w14:paraId="4DBBE56D" w14:textId="77777777" w:rsidR="00C60F9E" w:rsidRPr="009C168A" w:rsidRDefault="00C60F9E" w:rsidP="00795EEB">
            <w:r w:rsidRPr="009C168A">
              <w:t>Customer base</w:t>
            </w:r>
          </w:p>
        </w:tc>
        <w:tc>
          <w:tcPr>
            <w:tcW w:w="0" w:type="auto"/>
            <w:vAlign w:val="center"/>
            <w:hideMark/>
          </w:tcPr>
          <w:p w14:paraId="3C5D74D1" w14:textId="77777777" w:rsidR="00C60F9E" w:rsidRPr="009C168A" w:rsidRDefault="00C60F9E" w:rsidP="00795EEB">
            <w:r w:rsidRPr="009C168A">
              <w:t>Customers access services through online and mobile banking platforms</w:t>
            </w:r>
          </w:p>
        </w:tc>
        <w:tc>
          <w:tcPr>
            <w:tcW w:w="0" w:type="auto"/>
            <w:vAlign w:val="center"/>
            <w:hideMark/>
          </w:tcPr>
          <w:p w14:paraId="6857572E" w14:textId="77777777" w:rsidR="00C60F9E" w:rsidRPr="009C168A" w:rsidRDefault="00C60F9E" w:rsidP="00795EEB">
            <w:r w:rsidRPr="009C168A">
              <w:t>Increases exposure to cyber fraud, identity theft, and online attacks</w:t>
            </w:r>
          </w:p>
        </w:tc>
      </w:tr>
      <w:tr w:rsidR="00C60F9E" w:rsidRPr="009C168A" w14:paraId="0F889D33" w14:textId="77777777" w:rsidTr="00795EEB">
        <w:trPr>
          <w:tblCellSpacing w:w="15" w:type="dxa"/>
        </w:trPr>
        <w:tc>
          <w:tcPr>
            <w:tcW w:w="0" w:type="auto"/>
            <w:vAlign w:val="center"/>
            <w:hideMark/>
          </w:tcPr>
          <w:p w14:paraId="34BCD4F1" w14:textId="77777777" w:rsidR="00C60F9E" w:rsidRPr="009C168A" w:rsidRDefault="00C60F9E" w:rsidP="00795EEB">
            <w:r w:rsidRPr="009C168A">
              <w:t>Security maturity</w:t>
            </w:r>
          </w:p>
        </w:tc>
        <w:tc>
          <w:tcPr>
            <w:tcW w:w="0" w:type="auto"/>
            <w:vAlign w:val="center"/>
            <w:hideMark/>
          </w:tcPr>
          <w:p w14:paraId="4B41EE80" w14:textId="77777777" w:rsidR="00C60F9E" w:rsidRPr="009C168A" w:rsidRDefault="00C60F9E" w:rsidP="00795EEB">
            <w:r w:rsidRPr="009C168A">
              <w:t>Current security approach is fragmented with limited governance</w:t>
            </w:r>
          </w:p>
        </w:tc>
        <w:tc>
          <w:tcPr>
            <w:tcW w:w="0" w:type="auto"/>
            <w:vAlign w:val="center"/>
            <w:hideMark/>
          </w:tcPr>
          <w:p w14:paraId="3B67933F" w14:textId="77777777" w:rsidR="00C60F9E" w:rsidRPr="009C168A" w:rsidRDefault="00C60F9E" w:rsidP="00795EEB">
            <w:r w:rsidRPr="009C168A">
              <w:t>Requires implementation of a structured security framework</w:t>
            </w:r>
          </w:p>
        </w:tc>
      </w:tr>
      <w:tr w:rsidR="00C60F9E" w:rsidRPr="009C168A" w14:paraId="3A88BA72" w14:textId="77777777" w:rsidTr="00795EEB">
        <w:trPr>
          <w:tblCellSpacing w:w="15" w:type="dxa"/>
        </w:trPr>
        <w:tc>
          <w:tcPr>
            <w:tcW w:w="0" w:type="auto"/>
            <w:vAlign w:val="center"/>
            <w:hideMark/>
          </w:tcPr>
          <w:p w14:paraId="070361AE" w14:textId="77777777" w:rsidR="00C60F9E" w:rsidRPr="009C168A" w:rsidRDefault="00C60F9E" w:rsidP="00795EEB">
            <w:r w:rsidRPr="009C168A">
              <w:t>Regulatory environment</w:t>
            </w:r>
          </w:p>
        </w:tc>
        <w:tc>
          <w:tcPr>
            <w:tcW w:w="0" w:type="auto"/>
            <w:vAlign w:val="center"/>
            <w:hideMark/>
          </w:tcPr>
          <w:p w14:paraId="27C713DF" w14:textId="77777777" w:rsidR="00C60F9E" w:rsidRPr="009C168A" w:rsidRDefault="00C60F9E" w:rsidP="00795EEB">
            <w:r w:rsidRPr="009C168A">
              <w:t>Organisation must comply with GDPR and financial data protection regulations</w:t>
            </w:r>
          </w:p>
        </w:tc>
        <w:tc>
          <w:tcPr>
            <w:tcW w:w="0" w:type="auto"/>
            <w:vAlign w:val="center"/>
            <w:hideMark/>
          </w:tcPr>
          <w:p w14:paraId="1B522CAD" w14:textId="77777777" w:rsidR="00C60F9E" w:rsidRPr="009C168A" w:rsidRDefault="00C60F9E" w:rsidP="00795EEB">
            <w:r w:rsidRPr="009C168A">
              <w:t>Necessitates strong compliance monitoring, auditing, and data protection controls</w:t>
            </w:r>
          </w:p>
        </w:tc>
      </w:tr>
    </w:tbl>
    <w:p w14:paraId="2A6579D6" w14:textId="77777777" w:rsidR="00C60F9E" w:rsidRDefault="00C60F9E" w:rsidP="00C60F9E"/>
    <w:p w14:paraId="4059A492" w14:textId="77777777" w:rsidR="00C60F9E" w:rsidRPr="003A6A95" w:rsidRDefault="00C60F9E" w:rsidP="00C60F9E">
      <w:pPr>
        <w:pStyle w:val="Heading1"/>
      </w:pPr>
      <w:bookmarkStart w:id="4" w:name="_Toc225801895"/>
      <w:r w:rsidRPr="003A6A95">
        <w:t>4</w:t>
      </w:r>
      <w:r>
        <w:t>.</w:t>
      </w:r>
      <w:r w:rsidRPr="003A6A95">
        <w:t xml:space="preserve"> Security Frameworks and Models</w:t>
      </w:r>
      <w:bookmarkEnd w:id="4"/>
    </w:p>
    <w:p w14:paraId="4A0B5998" w14:textId="77777777" w:rsidR="00C60F9E" w:rsidRPr="003A6A95" w:rsidRDefault="00C60F9E" w:rsidP="00C60F9E">
      <w:pPr>
        <w:pStyle w:val="Heading2"/>
      </w:pPr>
      <w:bookmarkStart w:id="5" w:name="_Toc225801896"/>
      <w:r w:rsidRPr="003A6A95">
        <w:t>Security Frameworks and Models</w:t>
      </w:r>
      <w:bookmarkEnd w:id="5"/>
    </w:p>
    <w:p w14:paraId="3078ECEB" w14:textId="77777777" w:rsidR="00C60F9E" w:rsidRPr="003A6A95" w:rsidRDefault="00C60F9E" w:rsidP="00C60F9E">
      <w:r w:rsidRPr="003A6A95">
        <w:t>Organisations operating in the financial services sector face increasing cybersecurity threats due to the rapid expansion of digital technologies, cloud computing, and mobile banking platforms. To manage these risks effectively, organisations rely on established security frameworks and governance models that provide structured approaches for protecting information assets, ensuring regulatory compliance, and aligning cybersecurity strategies with organisational objectives. Security frameworks provide guidelines, best practices, and control mechanisms that assist organisations in developing comprehensive information security management systems.</w:t>
      </w:r>
    </w:p>
    <w:p w14:paraId="2A25BEE7" w14:textId="7E558B15" w:rsidR="00C60F9E" w:rsidRPr="003A6A95" w:rsidRDefault="00C60F9E" w:rsidP="00C60F9E">
      <w:r w:rsidRPr="003A6A95">
        <w:t xml:space="preserve">Several widely recognised frameworks are used within industry to support the development of effective security governance and compliance strategies. Among the most widely adopted frameworks are the ISO/IEC 27000 family of standards, the National Institute of Standards and Technology (NIST) Cybersecurity Framework, the Information Technology Infrastructure Library (ITIL), and the Control Objectives for Information and Related Technologies (COBIT) governance model. </w:t>
      </w:r>
      <w:r w:rsidR="005E5812" w:rsidRPr="005E5812">
        <w:t>Each of these frameworks provides distinct perspectives on how organisations can manage cybersecurity risks and strengthen their overall security posture.</w:t>
      </w:r>
    </w:p>
    <w:p w14:paraId="05195AFF" w14:textId="39F3C12F" w:rsidR="00C60F9E" w:rsidRPr="003A6A95" w:rsidRDefault="00C60F9E" w:rsidP="00C60F9E">
      <w:r w:rsidRPr="003A6A95">
        <w:t xml:space="preserve">The </w:t>
      </w:r>
      <w:r w:rsidRPr="003A6A95">
        <w:rPr>
          <w:b/>
          <w:bCs/>
        </w:rPr>
        <w:t>ISO/IEC 27001 standard</w:t>
      </w:r>
      <w:r w:rsidRPr="003A6A95">
        <w:t>, part of the ISO 27000 family, is one of the most widely adopted information security management standards globally</w:t>
      </w:r>
      <w:r w:rsidR="005E5812">
        <w:t xml:space="preserve"> </w:t>
      </w:r>
      <w:r w:rsidR="005E5812" w:rsidRPr="005E5812">
        <w:rPr>
          <w:b/>
          <w:bCs/>
        </w:rPr>
        <w:t>[2]</w:t>
      </w:r>
      <w:r w:rsidRPr="003A6A95">
        <w:t xml:space="preserve">. ISO 27001 focuses on establishing, </w:t>
      </w:r>
      <w:r w:rsidRPr="003A6A95">
        <w:lastRenderedPageBreak/>
        <w:t>implementing, maintaining, and continuously improving an Information Security Management System (ISMS). The framework provides a structured approach to identifying organisational information assets, assessing risks, and implementing appropriate security controls. ISO 27001 also emphasises the importance of organisational policies, risk assessments, continuous monitoring, and regular security audits. Due to its internationally recognised certification process, many financial institutions adopt ISO 27001 as a benchmark for demonstrating strong security governance and compliance.</w:t>
      </w:r>
    </w:p>
    <w:p w14:paraId="38C48928" w14:textId="2C1E15B9" w:rsidR="00C60F9E" w:rsidRPr="003A6A95" w:rsidRDefault="00C60F9E" w:rsidP="00C60F9E">
      <w:r w:rsidRPr="003A6A95">
        <w:t xml:space="preserve">The </w:t>
      </w:r>
      <w:r w:rsidRPr="003A6A95">
        <w:rPr>
          <w:b/>
          <w:bCs/>
        </w:rPr>
        <w:t>NIST Cybersecurity Framework (CSF)</w:t>
      </w:r>
      <w:r w:rsidRPr="003A6A95">
        <w:t xml:space="preserve"> provides a flexible and risk-based approach to managing cybersecurity risks</w:t>
      </w:r>
      <w:r w:rsidR="0040447D">
        <w:t xml:space="preserve"> </w:t>
      </w:r>
      <w:r w:rsidR="0040447D" w:rsidRPr="0040447D">
        <w:rPr>
          <w:b/>
          <w:bCs/>
        </w:rPr>
        <w:t>[1]</w:t>
      </w:r>
      <w:r w:rsidRPr="003A6A95">
        <w:t>. Developed by the National Institute of Standards and Technology, the framework is widely used by organisations to organise and prioritise cybersecurity activities. The NIST framework is structured around five core functions: Identify, Protect, Detect, Respond, and Recover. These functions represent the lifecycle of effective cybersecurity management and allow organisations to systematically manage risks, detect security incidents, and respond to threats in a structured and coordinated manner. The flexibility of the NIST framework allows organisations to adapt the model to different technological environments and regulatory requirements.</w:t>
      </w:r>
    </w:p>
    <w:p w14:paraId="66CE96ED" w14:textId="77777777" w:rsidR="00C60F9E" w:rsidRPr="003A6A95" w:rsidRDefault="00C60F9E" w:rsidP="00C60F9E">
      <w:r w:rsidRPr="003A6A95">
        <w:t xml:space="preserve">The </w:t>
      </w:r>
      <w:r w:rsidRPr="003A6A95">
        <w:rPr>
          <w:b/>
          <w:bCs/>
        </w:rPr>
        <w:t>Information Technology Infrastructure Library (ITIL)</w:t>
      </w:r>
      <w:r w:rsidRPr="003A6A95">
        <w:t xml:space="preserve"> focuses primarily on IT service management but also incorporates important elements of information security management. ITIL emphasises aligning IT services with business needs while maintaining reliability, availability, and security of information systems. Within the ITIL framework, security management ensures that information systems are protected while still supporting organisational service delivery. ITIL promotes structured change management, incident management, and service continuity processes, which are particularly important for financial institutions that require highly reliable and secure IT systems.</w:t>
      </w:r>
    </w:p>
    <w:p w14:paraId="1E80E24F" w14:textId="124BB741" w:rsidR="00C60F9E" w:rsidRPr="003A6A95" w:rsidRDefault="00C60F9E" w:rsidP="00C60F9E">
      <w:r w:rsidRPr="003A6A95">
        <w:t xml:space="preserve">Another important governance framework is </w:t>
      </w:r>
      <w:r w:rsidRPr="003A6A95">
        <w:rPr>
          <w:b/>
          <w:bCs/>
        </w:rPr>
        <w:t>COBIT (Control Objectives for Information and Related Technologies)</w:t>
      </w:r>
      <w:r w:rsidRPr="003A6A95">
        <w:t xml:space="preserve">. </w:t>
      </w:r>
      <w:r w:rsidR="0040447D" w:rsidRPr="0040447D">
        <w:t xml:space="preserve">COBIT provides a comprehensive governance framework for enterprise IT governance and management </w:t>
      </w:r>
      <w:r w:rsidR="0040447D" w:rsidRPr="0040447D">
        <w:rPr>
          <w:b/>
          <w:bCs/>
        </w:rPr>
        <w:t>[4</w:t>
      </w:r>
      <w:proofErr w:type="gramStart"/>
      <w:r w:rsidR="0040447D" w:rsidRPr="0040447D">
        <w:rPr>
          <w:b/>
          <w:bCs/>
        </w:rPr>
        <w:t>]</w:t>
      </w:r>
      <w:r w:rsidR="0040447D" w:rsidRPr="0040447D">
        <w:t>.</w:t>
      </w:r>
      <w:r w:rsidRPr="003A6A95">
        <w:t>It</w:t>
      </w:r>
      <w:proofErr w:type="gramEnd"/>
      <w:r w:rsidRPr="003A6A95">
        <w:t xml:space="preserve"> focuses on aligning IT governance with organisational objectives, ensuring accountability, and managing IT-related risks. COBIT supports organisations in establishing clear governance structures, defining roles and responsibilities, and implementing effective monitoring and auditing mechanisms. In financial institutions where regulatory compliance and risk management are critical, COBIT provides a strong governance structure that complements security-focused frameworks such as ISO 27001.</w:t>
      </w:r>
    </w:p>
    <w:p w14:paraId="5176ACDE" w14:textId="281DE165" w:rsidR="00C60F9E" w:rsidRPr="003A6A95" w:rsidRDefault="00C60F9E" w:rsidP="00C60F9E">
      <w:r w:rsidRPr="003A6A95">
        <w:t xml:space="preserve">While each of these frameworks provides valuable guidance, organisations rarely rely on a single framework in isolation. </w:t>
      </w:r>
      <w:r w:rsidR="005E5812" w:rsidRPr="005E5812">
        <w:t>In practice, many organisations adopt a hybrid approach that integrates elements from multiple frameworks in order to address both governance and technical security requirements.</w:t>
      </w:r>
      <w:r w:rsidR="005E5812">
        <w:t xml:space="preserve"> </w:t>
      </w:r>
      <w:r w:rsidRPr="003A6A95">
        <w:t>For example, ISO 27001 may be used to establish the organisation’s information security management system, while the NIST Cybersecurity Framework can guide operational cybersecurity practices. COBIT can support governance oversight and accountability, while ITIL ensures that security practices are integrated into broader IT service management processes.</w:t>
      </w:r>
    </w:p>
    <w:p w14:paraId="50D29504" w14:textId="77777777" w:rsidR="00C60F9E" w:rsidRPr="003A6A95" w:rsidRDefault="00C60F9E" w:rsidP="00C60F9E">
      <w:r w:rsidRPr="003A6A95">
        <w:t xml:space="preserve">For </w:t>
      </w:r>
      <w:proofErr w:type="spellStart"/>
      <w:r w:rsidRPr="003A6A95">
        <w:t>FinSure</w:t>
      </w:r>
      <w:proofErr w:type="spellEnd"/>
      <w:r w:rsidRPr="003A6A95">
        <w:t xml:space="preserve"> Bank, adopting a combined framework approach would allow the organisation to implement structured governance, effective risk management processes, and strong operational security practices. This integrated approach would also help ensure compliance with regulatory requirements while improving the organisation’s ability to detect and respond to cyber threats.</w:t>
      </w:r>
    </w:p>
    <w:p w14:paraId="5C5DD76A" w14:textId="77777777" w:rsidR="006E0129" w:rsidRDefault="006E0129" w:rsidP="00C60F9E"/>
    <w:p w14:paraId="70DDCBDA" w14:textId="77777777" w:rsidR="006E0129" w:rsidRDefault="006E0129" w:rsidP="00C60F9E"/>
    <w:p w14:paraId="39ABA886" w14:textId="171DE4C3" w:rsidR="00C60F9E" w:rsidRDefault="00C60F9E" w:rsidP="00C60F9E">
      <w:r w:rsidRPr="003A6A95">
        <w:lastRenderedPageBreak/>
        <w:t>Table 2: Comparison of Major Security Frameworks</w:t>
      </w:r>
    </w:p>
    <w:tbl>
      <w:tblPr>
        <w:tblW w:w="0" w:type="auto"/>
        <w:tblCellSpacing w:w="15" w:type="dxa"/>
        <w:tblBorders>
          <w:top w:val="double" w:sz="4" w:space="0" w:color="A5A5A5" w:themeColor="accent3"/>
          <w:left w:val="double" w:sz="4" w:space="0" w:color="A5A5A5" w:themeColor="accent3"/>
          <w:bottom w:val="double" w:sz="4" w:space="0" w:color="A5A5A5" w:themeColor="accent3"/>
          <w:right w:val="double" w:sz="4" w:space="0" w:color="A5A5A5" w:themeColor="accent3"/>
          <w:insideH w:val="double" w:sz="4" w:space="0" w:color="A5A5A5" w:themeColor="accent3"/>
          <w:insideV w:val="double" w:sz="4" w:space="0" w:color="A5A5A5" w:themeColor="accent3"/>
        </w:tblBorders>
        <w:tblCellMar>
          <w:top w:w="15" w:type="dxa"/>
          <w:left w:w="15" w:type="dxa"/>
          <w:bottom w:w="15" w:type="dxa"/>
          <w:right w:w="15" w:type="dxa"/>
        </w:tblCellMar>
        <w:tblLook w:val="04A0" w:firstRow="1" w:lastRow="0" w:firstColumn="1" w:lastColumn="0" w:noHBand="0" w:noVBand="1"/>
      </w:tblPr>
      <w:tblGrid>
        <w:gridCol w:w="1652"/>
        <w:gridCol w:w="1969"/>
        <w:gridCol w:w="2712"/>
        <w:gridCol w:w="2663"/>
      </w:tblGrid>
      <w:tr w:rsidR="00C60F9E" w:rsidRPr="003A6A95" w14:paraId="73EFE32D" w14:textId="77777777" w:rsidTr="00795EEB">
        <w:trPr>
          <w:tblHeader/>
          <w:tblCellSpacing w:w="15" w:type="dxa"/>
        </w:trPr>
        <w:tc>
          <w:tcPr>
            <w:tcW w:w="0" w:type="auto"/>
            <w:vAlign w:val="center"/>
            <w:hideMark/>
          </w:tcPr>
          <w:p w14:paraId="096CF001" w14:textId="77777777" w:rsidR="00C60F9E" w:rsidRPr="003A6A95" w:rsidRDefault="00C60F9E" w:rsidP="00795EEB">
            <w:pPr>
              <w:rPr>
                <w:b/>
                <w:bCs/>
              </w:rPr>
            </w:pPr>
            <w:r w:rsidRPr="003A6A95">
              <w:rPr>
                <w:b/>
                <w:bCs/>
              </w:rPr>
              <w:t>Framework</w:t>
            </w:r>
          </w:p>
        </w:tc>
        <w:tc>
          <w:tcPr>
            <w:tcW w:w="0" w:type="auto"/>
            <w:vAlign w:val="center"/>
            <w:hideMark/>
          </w:tcPr>
          <w:p w14:paraId="3340093E" w14:textId="77777777" w:rsidR="00C60F9E" w:rsidRPr="003A6A95" w:rsidRDefault="00C60F9E" w:rsidP="00795EEB">
            <w:pPr>
              <w:rPr>
                <w:b/>
                <w:bCs/>
              </w:rPr>
            </w:pPr>
            <w:r w:rsidRPr="003A6A95">
              <w:rPr>
                <w:b/>
                <w:bCs/>
              </w:rPr>
              <w:t>Primary Focus</w:t>
            </w:r>
          </w:p>
        </w:tc>
        <w:tc>
          <w:tcPr>
            <w:tcW w:w="0" w:type="auto"/>
            <w:vAlign w:val="center"/>
            <w:hideMark/>
          </w:tcPr>
          <w:p w14:paraId="3AAF4FD0" w14:textId="77777777" w:rsidR="00C60F9E" w:rsidRPr="003A6A95" w:rsidRDefault="00C60F9E" w:rsidP="00795EEB">
            <w:pPr>
              <w:rPr>
                <w:b/>
                <w:bCs/>
              </w:rPr>
            </w:pPr>
            <w:r w:rsidRPr="003A6A95">
              <w:rPr>
                <w:b/>
                <w:bCs/>
              </w:rPr>
              <w:t>Key Strengths</w:t>
            </w:r>
          </w:p>
        </w:tc>
        <w:tc>
          <w:tcPr>
            <w:tcW w:w="0" w:type="auto"/>
            <w:vAlign w:val="center"/>
            <w:hideMark/>
          </w:tcPr>
          <w:p w14:paraId="7295B28E" w14:textId="77777777" w:rsidR="00C60F9E" w:rsidRPr="003A6A95" w:rsidRDefault="00C60F9E" w:rsidP="00795EEB">
            <w:pPr>
              <w:rPr>
                <w:b/>
                <w:bCs/>
              </w:rPr>
            </w:pPr>
            <w:r w:rsidRPr="003A6A95">
              <w:rPr>
                <w:b/>
                <w:bCs/>
              </w:rPr>
              <w:t xml:space="preserve">Relevance to </w:t>
            </w:r>
            <w:proofErr w:type="spellStart"/>
            <w:r w:rsidRPr="003A6A95">
              <w:rPr>
                <w:b/>
                <w:bCs/>
              </w:rPr>
              <w:t>FinSure</w:t>
            </w:r>
            <w:proofErr w:type="spellEnd"/>
            <w:r w:rsidRPr="003A6A95">
              <w:rPr>
                <w:b/>
                <w:bCs/>
              </w:rPr>
              <w:t xml:space="preserve"> Bank</w:t>
            </w:r>
          </w:p>
        </w:tc>
      </w:tr>
      <w:tr w:rsidR="00C60F9E" w:rsidRPr="003A6A95" w14:paraId="66C27E75" w14:textId="77777777" w:rsidTr="00795EEB">
        <w:trPr>
          <w:tblCellSpacing w:w="15" w:type="dxa"/>
        </w:trPr>
        <w:tc>
          <w:tcPr>
            <w:tcW w:w="0" w:type="auto"/>
            <w:vAlign w:val="center"/>
            <w:hideMark/>
          </w:tcPr>
          <w:p w14:paraId="54EB1D46" w14:textId="77777777" w:rsidR="00C60F9E" w:rsidRPr="003A6A95" w:rsidRDefault="00C60F9E" w:rsidP="00795EEB">
            <w:r w:rsidRPr="003A6A95">
              <w:t>ISO 27001</w:t>
            </w:r>
          </w:p>
        </w:tc>
        <w:tc>
          <w:tcPr>
            <w:tcW w:w="0" w:type="auto"/>
            <w:vAlign w:val="center"/>
            <w:hideMark/>
          </w:tcPr>
          <w:p w14:paraId="5ACEDDDF" w14:textId="77777777" w:rsidR="00C60F9E" w:rsidRPr="003A6A95" w:rsidRDefault="00C60F9E" w:rsidP="00795EEB">
            <w:r w:rsidRPr="003A6A95">
              <w:t>Information Security Management System</w:t>
            </w:r>
          </w:p>
        </w:tc>
        <w:tc>
          <w:tcPr>
            <w:tcW w:w="0" w:type="auto"/>
            <w:vAlign w:val="center"/>
            <w:hideMark/>
          </w:tcPr>
          <w:p w14:paraId="4D228CE0" w14:textId="77777777" w:rsidR="00C60F9E" w:rsidRPr="003A6A95" w:rsidRDefault="00C60F9E" w:rsidP="00795EEB">
            <w:r w:rsidRPr="003A6A95">
              <w:t>Structured risk management, internationally recognised certification</w:t>
            </w:r>
          </w:p>
        </w:tc>
        <w:tc>
          <w:tcPr>
            <w:tcW w:w="0" w:type="auto"/>
            <w:vAlign w:val="center"/>
            <w:hideMark/>
          </w:tcPr>
          <w:p w14:paraId="4183578C" w14:textId="77777777" w:rsidR="00C60F9E" w:rsidRPr="003A6A95" w:rsidRDefault="00C60F9E" w:rsidP="00795EEB">
            <w:r w:rsidRPr="003A6A95">
              <w:t>Provides strong foundation for security governance and compliance</w:t>
            </w:r>
          </w:p>
        </w:tc>
      </w:tr>
      <w:tr w:rsidR="00C60F9E" w:rsidRPr="003A6A95" w14:paraId="5EC04E49" w14:textId="77777777" w:rsidTr="00795EEB">
        <w:trPr>
          <w:tblCellSpacing w:w="15" w:type="dxa"/>
        </w:trPr>
        <w:tc>
          <w:tcPr>
            <w:tcW w:w="0" w:type="auto"/>
            <w:vAlign w:val="center"/>
            <w:hideMark/>
          </w:tcPr>
          <w:p w14:paraId="4E7A3E39" w14:textId="77777777" w:rsidR="00C60F9E" w:rsidRPr="003A6A95" w:rsidRDefault="00C60F9E" w:rsidP="00795EEB">
            <w:r w:rsidRPr="003A6A95">
              <w:t>NIST Cybersecurity Framework</w:t>
            </w:r>
          </w:p>
        </w:tc>
        <w:tc>
          <w:tcPr>
            <w:tcW w:w="0" w:type="auto"/>
            <w:vAlign w:val="center"/>
            <w:hideMark/>
          </w:tcPr>
          <w:p w14:paraId="42B1E3E1" w14:textId="77777777" w:rsidR="00C60F9E" w:rsidRPr="003A6A95" w:rsidRDefault="00C60F9E" w:rsidP="00795EEB">
            <w:r w:rsidRPr="003A6A95">
              <w:t>Cybersecurity risk management lifecycle</w:t>
            </w:r>
          </w:p>
        </w:tc>
        <w:tc>
          <w:tcPr>
            <w:tcW w:w="0" w:type="auto"/>
            <w:vAlign w:val="center"/>
            <w:hideMark/>
          </w:tcPr>
          <w:p w14:paraId="3D7FFA0B" w14:textId="77777777" w:rsidR="00C60F9E" w:rsidRPr="003A6A95" w:rsidRDefault="00C60F9E" w:rsidP="00795EEB">
            <w:r w:rsidRPr="003A6A95">
              <w:t>Flexible risk-based model covering Identify, Protect, Detect, Respond, Recover</w:t>
            </w:r>
          </w:p>
        </w:tc>
        <w:tc>
          <w:tcPr>
            <w:tcW w:w="0" w:type="auto"/>
            <w:vAlign w:val="center"/>
            <w:hideMark/>
          </w:tcPr>
          <w:p w14:paraId="71A84086" w14:textId="77777777" w:rsidR="00C60F9E" w:rsidRPr="003A6A95" w:rsidRDefault="00C60F9E" w:rsidP="00795EEB">
            <w:r w:rsidRPr="003A6A95">
              <w:t>Helps manage operational cybersecurity risks in cloud and digital banking environments</w:t>
            </w:r>
          </w:p>
        </w:tc>
      </w:tr>
      <w:tr w:rsidR="00C60F9E" w:rsidRPr="003A6A95" w14:paraId="0AD659D6" w14:textId="77777777" w:rsidTr="00795EEB">
        <w:trPr>
          <w:tblCellSpacing w:w="15" w:type="dxa"/>
        </w:trPr>
        <w:tc>
          <w:tcPr>
            <w:tcW w:w="0" w:type="auto"/>
            <w:vAlign w:val="center"/>
            <w:hideMark/>
          </w:tcPr>
          <w:p w14:paraId="12883F3B" w14:textId="77777777" w:rsidR="00C60F9E" w:rsidRPr="003A6A95" w:rsidRDefault="00C60F9E" w:rsidP="00795EEB">
            <w:r w:rsidRPr="003A6A95">
              <w:t>ITIL</w:t>
            </w:r>
          </w:p>
        </w:tc>
        <w:tc>
          <w:tcPr>
            <w:tcW w:w="0" w:type="auto"/>
            <w:vAlign w:val="center"/>
            <w:hideMark/>
          </w:tcPr>
          <w:p w14:paraId="0FEE85D1" w14:textId="77777777" w:rsidR="00C60F9E" w:rsidRPr="003A6A95" w:rsidRDefault="00C60F9E" w:rsidP="00795EEB">
            <w:r w:rsidRPr="003A6A95">
              <w:t>IT service management and service reliability</w:t>
            </w:r>
          </w:p>
        </w:tc>
        <w:tc>
          <w:tcPr>
            <w:tcW w:w="0" w:type="auto"/>
            <w:vAlign w:val="center"/>
            <w:hideMark/>
          </w:tcPr>
          <w:p w14:paraId="4C904C10" w14:textId="77777777" w:rsidR="00C60F9E" w:rsidRPr="003A6A95" w:rsidRDefault="00C60F9E" w:rsidP="00795EEB">
            <w:r w:rsidRPr="003A6A95">
              <w:t>Strong processes for incident management, change management, and service continuity</w:t>
            </w:r>
          </w:p>
        </w:tc>
        <w:tc>
          <w:tcPr>
            <w:tcW w:w="0" w:type="auto"/>
            <w:vAlign w:val="center"/>
            <w:hideMark/>
          </w:tcPr>
          <w:p w14:paraId="56C2D0F0" w14:textId="77777777" w:rsidR="00C60F9E" w:rsidRPr="003A6A95" w:rsidRDefault="00C60F9E" w:rsidP="00795EEB">
            <w:r w:rsidRPr="003A6A95">
              <w:t>Ensures security is integrated with operational IT services</w:t>
            </w:r>
          </w:p>
        </w:tc>
      </w:tr>
      <w:tr w:rsidR="00C60F9E" w:rsidRPr="003A6A95" w14:paraId="687DD577" w14:textId="77777777" w:rsidTr="00795EEB">
        <w:trPr>
          <w:tblCellSpacing w:w="15" w:type="dxa"/>
        </w:trPr>
        <w:tc>
          <w:tcPr>
            <w:tcW w:w="0" w:type="auto"/>
            <w:vAlign w:val="center"/>
            <w:hideMark/>
          </w:tcPr>
          <w:p w14:paraId="5C4127A1" w14:textId="77777777" w:rsidR="00C60F9E" w:rsidRPr="003A6A95" w:rsidRDefault="00C60F9E" w:rsidP="00795EEB">
            <w:r w:rsidRPr="003A6A95">
              <w:t>COBIT</w:t>
            </w:r>
          </w:p>
        </w:tc>
        <w:tc>
          <w:tcPr>
            <w:tcW w:w="0" w:type="auto"/>
            <w:vAlign w:val="center"/>
            <w:hideMark/>
          </w:tcPr>
          <w:p w14:paraId="4A9A30DE" w14:textId="77777777" w:rsidR="00C60F9E" w:rsidRPr="003A6A95" w:rsidRDefault="00C60F9E" w:rsidP="00795EEB">
            <w:r w:rsidRPr="003A6A95">
              <w:t>IT governance and organisational accountability</w:t>
            </w:r>
          </w:p>
        </w:tc>
        <w:tc>
          <w:tcPr>
            <w:tcW w:w="0" w:type="auto"/>
            <w:vAlign w:val="center"/>
            <w:hideMark/>
          </w:tcPr>
          <w:p w14:paraId="18518546" w14:textId="77777777" w:rsidR="00C60F9E" w:rsidRPr="003A6A95" w:rsidRDefault="00C60F9E" w:rsidP="00795EEB">
            <w:r w:rsidRPr="003A6A95">
              <w:t>Aligns IT strategy with business objectives and governance requirements</w:t>
            </w:r>
          </w:p>
        </w:tc>
        <w:tc>
          <w:tcPr>
            <w:tcW w:w="0" w:type="auto"/>
            <w:vAlign w:val="center"/>
            <w:hideMark/>
          </w:tcPr>
          <w:p w14:paraId="0A7292FE" w14:textId="77777777" w:rsidR="00C60F9E" w:rsidRPr="003A6A95" w:rsidRDefault="00C60F9E" w:rsidP="00795EEB">
            <w:r w:rsidRPr="003A6A95">
              <w:t>Supports strong governance and compliance oversight</w:t>
            </w:r>
          </w:p>
        </w:tc>
      </w:tr>
    </w:tbl>
    <w:p w14:paraId="3E73231A" w14:textId="77777777" w:rsidR="00C60F9E" w:rsidRDefault="00C60F9E" w:rsidP="00C60F9E"/>
    <w:p w14:paraId="73890D25" w14:textId="77777777" w:rsidR="006E0129" w:rsidRDefault="006E0129" w:rsidP="00C60F9E"/>
    <w:p w14:paraId="2D30F82C" w14:textId="77777777" w:rsidR="00C60F9E" w:rsidRPr="00A8587A" w:rsidRDefault="00C60F9E" w:rsidP="00C60F9E">
      <w:pPr>
        <w:pStyle w:val="Heading1"/>
      </w:pPr>
      <w:bookmarkStart w:id="6" w:name="_Toc225801897"/>
      <w:r w:rsidRPr="007926DB">
        <w:t>5</w:t>
      </w:r>
      <w:r>
        <w:t>.</w:t>
      </w:r>
      <w:r w:rsidRPr="007926DB">
        <w:t xml:space="preserve"> </w:t>
      </w:r>
      <w:proofErr w:type="spellStart"/>
      <w:r w:rsidRPr="007926DB">
        <w:t>FinSure</w:t>
      </w:r>
      <w:proofErr w:type="spellEnd"/>
      <w:r w:rsidRPr="007926DB">
        <w:t xml:space="preserve"> Bank Risk and Gap Analysis</w:t>
      </w:r>
      <w:bookmarkEnd w:id="6"/>
    </w:p>
    <w:p w14:paraId="4AAD7DE9" w14:textId="77777777" w:rsidR="00C60F9E" w:rsidRPr="007926DB" w:rsidRDefault="00C60F9E" w:rsidP="00C60F9E">
      <w:pPr>
        <w:pStyle w:val="Heading2"/>
      </w:pPr>
      <w:bookmarkStart w:id="7" w:name="_Toc225801898"/>
      <w:proofErr w:type="spellStart"/>
      <w:r w:rsidRPr="007926DB">
        <w:t>FinSure</w:t>
      </w:r>
      <w:proofErr w:type="spellEnd"/>
      <w:r w:rsidRPr="007926DB">
        <w:t xml:space="preserve"> Bank Risk and Gap Analysis</w:t>
      </w:r>
      <w:bookmarkEnd w:id="7"/>
    </w:p>
    <w:p w14:paraId="7CC429E2" w14:textId="77777777" w:rsidR="00C60F9E" w:rsidRPr="007926DB" w:rsidRDefault="00C60F9E" w:rsidP="00C60F9E">
      <w:r w:rsidRPr="007926DB">
        <w:t xml:space="preserve">The rapid expansion of </w:t>
      </w:r>
      <w:proofErr w:type="spellStart"/>
      <w:r w:rsidRPr="007926DB">
        <w:t>FinSure</w:t>
      </w:r>
      <w:proofErr w:type="spellEnd"/>
      <w:r w:rsidRPr="007926DB">
        <w:t xml:space="preserve"> Bank’s digital services has introduced a number of significant security risks and governance challenges. As a digital-first financial institution operating primarily through cloud-based platforms, the organisation must manage large volumes of highly sensitive financial and personal data while maintaining strong levels of confidentiality, integrity, and availability. However, the scenario highlights several critical gaps in </w:t>
      </w:r>
      <w:proofErr w:type="spellStart"/>
      <w:r w:rsidRPr="007926DB">
        <w:t>FinSure</w:t>
      </w:r>
      <w:proofErr w:type="spellEnd"/>
      <w:r w:rsidRPr="007926DB">
        <w:t xml:space="preserve"> Bank’s current security posture that could expose the organisation to cyberattacks, regulatory penalties, and reputational damage.</w:t>
      </w:r>
    </w:p>
    <w:p w14:paraId="0C87C5EE" w14:textId="558E400D" w:rsidR="00C60F9E" w:rsidRPr="007926DB" w:rsidRDefault="00C60F9E" w:rsidP="00C60F9E">
      <w:r w:rsidRPr="007926DB">
        <w:t xml:space="preserve">One of the primary risks identified in the scenario is the introduction of </w:t>
      </w:r>
      <w:r w:rsidRPr="007926DB">
        <w:rPr>
          <w:b/>
          <w:bCs/>
        </w:rPr>
        <w:t>Bring Your Own Device (BYOD)</w:t>
      </w:r>
      <w:r w:rsidRPr="007926DB">
        <w:t xml:space="preserve"> policies for employees, contractors, and third-party partners</w:t>
      </w:r>
      <w:r w:rsidR="005E5812">
        <w:t xml:space="preserve"> </w:t>
      </w:r>
      <w:r w:rsidR="005E5812" w:rsidRPr="005E5812">
        <w:rPr>
          <w:b/>
          <w:bCs/>
        </w:rPr>
        <w:t>[11]</w:t>
      </w:r>
      <w:r w:rsidRPr="007926DB">
        <w:t xml:space="preserve">. While BYOD can improve productivity and operational flexibility, it also significantly increases the organisation’s attack surface. </w:t>
      </w:r>
      <w:r w:rsidR="005E5812" w:rsidRPr="005E5812">
        <w:t>Personal devices may not adhere to the same security standards as corporate-managed devices and may therefore introduce malware, unauthorised applications, or insecure network connections into organisational systems</w:t>
      </w:r>
      <w:r w:rsidRPr="007926DB">
        <w:t>. Without appropriate device management, endpoint security controls, and identity verification mechanisms, attackers may exploit these devices to gain unauthorised access to internal banking systems.</w:t>
      </w:r>
    </w:p>
    <w:p w14:paraId="4FC0F4A1" w14:textId="3E28036D" w:rsidR="00C60F9E" w:rsidRPr="007926DB" w:rsidRDefault="004C0D06" w:rsidP="00C60F9E">
      <w:r w:rsidRPr="004C0D06">
        <w:t xml:space="preserve">Another significant risk arises from </w:t>
      </w:r>
      <w:proofErr w:type="spellStart"/>
      <w:r w:rsidRPr="004C0D06">
        <w:t>FinSure</w:t>
      </w:r>
      <w:proofErr w:type="spellEnd"/>
      <w:r w:rsidRPr="004C0D06">
        <w:t xml:space="preserve"> Bank’s extensive reliance on cloud-based infrastructure</w:t>
      </w:r>
      <w:r>
        <w:t xml:space="preserve"> </w:t>
      </w:r>
      <w:r w:rsidR="005E5812" w:rsidRPr="005E5812">
        <w:rPr>
          <w:b/>
          <w:bCs/>
        </w:rPr>
        <w:t>[7]</w:t>
      </w:r>
      <w:r w:rsidR="0040447D" w:rsidRPr="0040447D">
        <w:t>.</w:t>
      </w:r>
      <w:r w:rsidR="0040447D">
        <w:t xml:space="preserve"> </w:t>
      </w:r>
      <w:r w:rsidR="00C60F9E" w:rsidRPr="007926DB">
        <w:t xml:space="preserve">Although cloud services provide scalability and operational efficiency, misconfigured cloud environments remain one of the most common causes of data breaches in modern organisations. If </w:t>
      </w:r>
      <w:r w:rsidR="00C60F9E" w:rsidRPr="007926DB">
        <w:lastRenderedPageBreak/>
        <w:t>proper access control policies, encryption mechanisms, and monitoring tools are not implemented, sensitive customer data stored within cloud systems could be exposed to unauthorised parties. Additionally, reliance on third-party cloud providers introduces supply chain and vendor security risks that must be carefully managed through contractual agreements and security assessments.</w:t>
      </w:r>
    </w:p>
    <w:p w14:paraId="3875B508" w14:textId="155E2BED" w:rsidR="00C60F9E" w:rsidRPr="007926DB" w:rsidRDefault="00C60F9E" w:rsidP="00C60F9E">
      <w:r w:rsidRPr="007926DB">
        <w:t xml:space="preserve">The organisation also faces potential </w:t>
      </w:r>
      <w:r w:rsidRPr="007926DB">
        <w:rPr>
          <w:b/>
          <w:bCs/>
        </w:rPr>
        <w:t>insider threats</w:t>
      </w:r>
      <w:r w:rsidRPr="007926DB">
        <w:t>, particularly given the involvement of contractors and third-party partners who require access to internal systems</w:t>
      </w:r>
      <w:r w:rsidR="005E5812">
        <w:t xml:space="preserve"> </w:t>
      </w:r>
      <w:r w:rsidR="005E5812" w:rsidRPr="005E5812">
        <w:rPr>
          <w:b/>
          <w:bCs/>
        </w:rPr>
        <w:t>[13]</w:t>
      </w:r>
      <w:r w:rsidRPr="007926DB">
        <w:t>. Insider threats may arise from malicious actions, negligent behaviour, or compromised credentials. Without clearly defined access control policies, monitoring mechanisms, and role-based access management, employees or external partners may gain access to information beyond what is required for their roles.</w:t>
      </w:r>
    </w:p>
    <w:p w14:paraId="16AEC701" w14:textId="77777777" w:rsidR="00C60F9E" w:rsidRPr="007926DB" w:rsidRDefault="00C60F9E" w:rsidP="00C60F9E">
      <w:r w:rsidRPr="007926DB">
        <w:t xml:space="preserve">Another significant issue highlighted in the scenario is the </w:t>
      </w:r>
      <w:r w:rsidRPr="007926DB">
        <w:rPr>
          <w:b/>
          <w:bCs/>
        </w:rPr>
        <w:t>lack of a unified governance model and structured risk management strategy</w:t>
      </w:r>
      <w:r w:rsidRPr="007926DB">
        <w:t>. Effective cybersecurity requires clearly defined responsibilities, policies, and oversight mechanisms. Without a formal governance framework, security initiatives may become fragmented, leading to inconsistent policy enforcement and weak accountability structures. This lack of coordination can also make it difficult for organisations to demonstrate regulatory compliance.</w:t>
      </w:r>
    </w:p>
    <w:p w14:paraId="4A1535B3" w14:textId="2B55EEB9" w:rsidR="00C60F9E" w:rsidRPr="007926DB" w:rsidRDefault="00C60F9E" w:rsidP="00C60F9E">
      <w:r w:rsidRPr="007926DB">
        <w:t xml:space="preserve">Finally, the organisation must address growing concerns regarding </w:t>
      </w:r>
      <w:r w:rsidRPr="007926DB">
        <w:rPr>
          <w:b/>
          <w:bCs/>
        </w:rPr>
        <w:t>data protection and regulatory compliance</w:t>
      </w:r>
      <w:r w:rsidRPr="007926DB">
        <w:t>, particularly in relation to the General Data Protection Regulation (GDPR). Financial institutions are required to maintain strong controls for protecting customer information, detecting fraud, and responding to security incidents</w:t>
      </w:r>
      <w:r w:rsidR="005E5812">
        <w:t xml:space="preserve"> </w:t>
      </w:r>
      <w:r w:rsidR="005E5812" w:rsidRPr="005E5812">
        <w:rPr>
          <w:b/>
          <w:bCs/>
        </w:rPr>
        <w:t>[5]</w:t>
      </w:r>
      <w:r w:rsidRPr="007926DB">
        <w:t>. Failure to implement appropriate security measures may lead to significant financial penalties, legal consequences, and loss of customer trust.</w:t>
      </w:r>
    </w:p>
    <w:p w14:paraId="783F3BC1" w14:textId="6BCA3B46" w:rsidR="00C60F9E" w:rsidRDefault="00C60F9E" w:rsidP="00C60F9E">
      <w:r w:rsidRPr="007926DB">
        <w:t xml:space="preserve">In order to better understand and prioritise these risks, a structured risk assessment approach is required. Table 3 presents a simplified risk management matrix identifying key threats, their potential impact, and recommended mitigation strategies for </w:t>
      </w:r>
      <w:proofErr w:type="spellStart"/>
      <w:r w:rsidRPr="007926DB">
        <w:t>FinSure</w:t>
      </w:r>
      <w:proofErr w:type="spellEnd"/>
      <w:r w:rsidRPr="007926DB">
        <w:t xml:space="preserve"> Bank.</w:t>
      </w:r>
    </w:p>
    <w:p w14:paraId="64114EE8" w14:textId="77777777" w:rsidR="006E0129" w:rsidRDefault="006E0129" w:rsidP="00C60F9E"/>
    <w:p w14:paraId="12B70CA3" w14:textId="77777777" w:rsidR="006E0129" w:rsidRDefault="006E0129" w:rsidP="00C60F9E"/>
    <w:p w14:paraId="452076A7" w14:textId="77777777" w:rsidR="006E0129" w:rsidRDefault="006E0129" w:rsidP="00C60F9E"/>
    <w:p w14:paraId="5E4D37F1" w14:textId="77777777" w:rsidR="006E0129" w:rsidRDefault="006E0129" w:rsidP="00C60F9E"/>
    <w:p w14:paraId="56D04C3B" w14:textId="77777777" w:rsidR="006E0129" w:rsidRDefault="006E0129" w:rsidP="00C60F9E"/>
    <w:p w14:paraId="511F9A01" w14:textId="77777777" w:rsidR="006E0129" w:rsidRDefault="006E0129" w:rsidP="00C60F9E"/>
    <w:p w14:paraId="4AEA9412" w14:textId="77777777" w:rsidR="006E0129" w:rsidRDefault="006E0129" w:rsidP="00C60F9E"/>
    <w:p w14:paraId="29D6639D" w14:textId="77777777" w:rsidR="006E0129" w:rsidRDefault="006E0129" w:rsidP="00C60F9E"/>
    <w:p w14:paraId="5838BEC4" w14:textId="77777777" w:rsidR="006E0129" w:rsidRDefault="006E0129" w:rsidP="00C60F9E"/>
    <w:p w14:paraId="29A2AFAD" w14:textId="77777777" w:rsidR="006E0129" w:rsidRDefault="006E0129" w:rsidP="00C60F9E"/>
    <w:p w14:paraId="15BDB00E" w14:textId="77777777" w:rsidR="006E0129" w:rsidRDefault="006E0129" w:rsidP="00C60F9E"/>
    <w:p w14:paraId="0DAF9D3D" w14:textId="77777777" w:rsidR="006E0129" w:rsidRDefault="006E0129" w:rsidP="00C60F9E"/>
    <w:p w14:paraId="3AB528C6" w14:textId="77777777" w:rsidR="006E0129" w:rsidRDefault="006E0129" w:rsidP="00C60F9E"/>
    <w:p w14:paraId="75EE8974" w14:textId="77777777" w:rsidR="006E0129" w:rsidRPr="007926DB" w:rsidRDefault="006E0129" w:rsidP="00C60F9E"/>
    <w:p w14:paraId="37ED4615" w14:textId="77777777" w:rsidR="00C60F9E" w:rsidRDefault="00C60F9E" w:rsidP="00C60F9E">
      <w:r w:rsidRPr="007926DB">
        <w:lastRenderedPageBreak/>
        <w:t xml:space="preserve">Table 3: </w:t>
      </w:r>
      <w:proofErr w:type="spellStart"/>
      <w:r w:rsidRPr="007926DB">
        <w:t>FinSure</w:t>
      </w:r>
      <w:proofErr w:type="spellEnd"/>
      <w:r w:rsidRPr="007926DB">
        <w:t xml:space="preserve"> Bank Risk Management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2"/>
        <w:gridCol w:w="1019"/>
        <w:gridCol w:w="835"/>
        <w:gridCol w:w="886"/>
        <w:gridCol w:w="4274"/>
      </w:tblGrid>
      <w:tr w:rsidR="00C60F9E" w:rsidRPr="007926DB" w14:paraId="1DD15027" w14:textId="77777777" w:rsidTr="00795EEB">
        <w:trPr>
          <w:tblHeader/>
          <w:tblCellSpacing w:w="15" w:type="dxa"/>
        </w:trPr>
        <w:tc>
          <w:tcPr>
            <w:tcW w:w="0" w:type="auto"/>
            <w:vAlign w:val="center"/>
            <w:hideMark/>
          </w:tcPr>
          <w:p w14:paraId="24A6696C" w14:textId="77777777" w:rsidR="00C60F9E" w:rsidRPr="007926DB" w:rsidRDefault="00C60F9E" w:rsidP="00795EEB">
            <w:pPr>
              <w:rPr>
                <w:b/>
                <w:bCs/>
              </w:rPr>
            </w:pPr>
            <w:r w:rsidRPr="007926DB">
              <w:rPr>
                <w:b/>
                <w:bCs/>
              </w:rPr>
              <w:t>Risk</w:t>
            </w:r>
          </w:p>
        </w:tc>
        <w:tc>
          <w:tcPr>
            <w:tcW w:w="0" w:type="auto"/>
            <w:vAlign w:val="center"/>
            <w:hideMark/>
          </w:tcPr>
          <w:p w14:paraId="1F272D40" w14:textId="77777777" w:rsidR="00C60F9E" w:rsidRPr="007926DB" w:rsidRDefault="00C60F9E" w:rsidP="00795EEB">
            <w:pPr>
              <w:rPr>
                <w:b/>
                <w:bCs/>
              </w:rPr>
            </w:pPr>
            <w:r w:rsidRPr="007926DB">
              <w:rPr>
                <w:b/>
                <w:bCs/>
              </w:rPr>
              <w:t>Likelihood</w:t>
            </w:r>
          </w:p>
        </w:tc>
        <w:tc>
          <w:tcPr>
            <w:tcW w:w="0" w:type="auto"/>
            <w:vAlign w:val="center"/>
            <w:hideMark/>
          </w:tcPr>
          <w:p w14:paraId="3CFFC1FF" w14:textId="77777777" w:rsidR="00C60F9E" w:rsidRPr="007926DB" w:rsidRDefault="00C60F9E" w:rsidP="00795EEB">
            <w:pPr>
              <w:rPr>
                <w:b/>
                <w:bCs/>
              </w:rPr>
            </w:pPr>
            <w:r w:rsidRPr="007926DB">
              <w:rPr>
                <w:b/>
                <w:bCs/>
              </w:rPr>
              <w:t>Impact</w:t>
            </w:r>
          </w:p>
        </w:tc>
        <w:tc>
          <w:tcPr>
            <w:tcW w:w="0" w:type="auto"/>
            <w:vAlign w:val="center"/>
            <w:hideMark/>
          </w:tcPr>
          <w:p w14:paraId="3AC233FF" w14:textId="77777777" w:rsidR="00C60F9E" w:rsidRPr="007926DB" w:rsidRDefault="00C60F9E" w:rsidP="00795EEB">
            <w:pPr>
              <w:rPr>
                <w:b/>
                <w:bCs/>
              </w:rPr>
            </w:pPr>
            <w:r w:rsidRPr="007926DB">
              <w:rPr>
                <w:b/>
                <w:bCs/>
              </w:rPr>
              <w:t>Risk Level</w:t>
            </w:r>
          </w:p>
        </w:tc>
        <w:tc>
          <w:tcPr>
            <w:tcW w:w="0" w:type="auto"/>
            <w:vAlign w:val="center"/>
            <w:hideMark/>
          </w:tcPr>
          <w:p w14:paraId="475187BE" w14:textId="77777777" w:rsidR="00C60F9E" w:rsidRPr="007926DB" w:rsidRDefault="00C60F9E" w:rsidP="00795EEB">
            <w:pPr>
              <w:rPr>
                <w:b/>
                <w:bCs/>
              </w:rPr>
            </w:pPr>
            <w:r w:rsidRPr="007926DB">
              <w:rPr>
                <w:b/>
                <w:bCs/>
              </w:rPr>
              <w:t>Recommended Control</w:t>
            </w:r>
          </w:p>
        </w:tc>
      </w:tr>
      <w:tr w:rsidR="00C60F9E" w:rsidRPr="007926DB" w14:paraId="53F562FF" w14:textId="77777777" w:rsidTr="00795EEB">
        <w:trPr>
          <w:tblCellSpacing w:w="15" w:type="dxa"/>
        </w:trPr>
        <w:tc>
          <w:tcPr>
            <w:tcW w:w="0" w:type="auto"/>
            <w:vAlign w:val="center"/>
            <w:hideMark/>
          </w:tcPr>
          <w:p w14:paraId="01FCB0A1" w14:textId="77777777" w:rsidR="00C60F9E" w:rsidRPr="007926DB" w:rsidRDefault="00C60F9E" w:rsidP="00795EEB">
            <w:r w:rsidRPr="007926DB">
              <w:t>BYOD device compromise</w:t>
            </w:r>
          </w:p>
        </w:tc>
        <w:tc>
          <w:tcPr>
            <w:tcW w:w="0" w:type="auto"/>
            <w:vAlign w:val="center"/>
            <w:hideMark/>
          </w:tcPr>
          <w:p w14:paraId="5610B667" w14:textId="77777777" w:rsidR="00C60F9E" w:rsidRPr="007926DB" w:rsidRDefault="00C60F9E" w:rsidP="00795EEB">
            <w:r w:rsidRPr="007926DB">
              <w:t>High</w:t>
            </w:r>
          </w:p>
        </w:tc>
        <w:tc>
          <w:tcPr>
            <w:tcW w:w="0" w:type="auto"/>
            <w:vAlign w:val="center"/>
            <w:hideMark/>
          </w:tcPr>
          <w:p w14:paraId="5A3263D0" w14:textId="77777777" w:rsidR="00C60F9E" w:rsidRPr="007926DB" w:rsidRDefault="00C60F9E" w:rsidP="00795EEB">
            <w:r w:rsidRPr="007926DB">
              <w:t>High</w:t>
            </w:r>
          </w:p>
        </w:tc>
        <w:tc>
          <w:tcPr>
            <w:tcW w:w="0" w:type="auto"/>
            <w:vAlign w:val="center"/>
            <w:hideMark/>
          </w:tcPr>
          <w:p w14:paraId="5A2BFD99" w14:textId="77777777" w:rsidR="00C60F9E" w:rsidRPr="007926DB" w:rsidRDefault="00C60F9E" w:rsidP="00795EEB">
            <w:r w:rsidRPr="007926DB">
              <w:t>Critical</w:t>
            </w:r>
          </w:p>
        </w:tc>
        <w:tc>
          <w:tcPr>
            <w:tcW w:w="0" w:type="auto"/>
            <w:vAlign w:val="center"/>
            <w:hideMark/>
          </w:tcPr>
          <w:p w14:paraId="64ACCB05" w14:textId="77777777" w:rsidR="00C60F9E" w:rsidRPr="007926DB" w:rsidRDefault="00C60F9E" w:rsidP="00795EEB">
            <w:r w:rsidRPr="007926DB">
              <w:t>Implement Mobile Device Management (MDM), endpoint security, and multi-factor authentication</w:t>
            </w:r>
          </w:p>
        </w:tc>
      </w:tr>
      <w:tr w:rsidR="00C60F9E" w:rsidRPr="007926DB" w14:paraId="7F48C5F7" w14:textId="77777777" w:rsidTr="00795EEB">
        <w:trPr>
          <w:tblCellSpacing w:w="15" w:type="dxa"/>
        </w:trPr>
        <w:tc>
          <w:tcPr>
            <w:tcW w:w="0" w:type="auto"/>
            <w:vAlign w:val="center"/>
            <w:hideMark/>
          </w:tcPr>
          <w:p w14:paraId="07E3A4DC" w14:textId="77777777" w:rsidR="00C60F9E" w:rsidRPr="007926DB" w:rsidRDefault="00C60F9E" w:rsidP="00795EEB">
            <w:r w:rsidRPr="007926DB">
              <w:t>Cloud misconfiguration</w:t>
            </w:r>
          </w:p>
        </w:tc>
        <w:tc>
          <w:tcPr>
            <w:tcW w:w="0" w:type="auto"/>
            <w:vAlign w:val="center"/>
            <w:hideMark/>
          </w:tcPr>
          <w:p w14:paraId="433845B1" w14:textId="77777777" w:rsidR="00C60F9E" w:rsidRPr="007926DB" w:rsidRDefault="00C60F9E" w:rsidP="00795EEB">
            <w:r w:rsidRPr="007926DB">
              <w:t>Medium</w:t>
            </w:r>
          </w:p>
        </w:tc>
        <w:tc>
          <w:tcPr>
            <w:tcW w:w="0" w:type="auto"/>
            <w:vAlign w:val="center"/>
            <w:hideMark/>
          </w:tcPr>
          <w:p w14:paraId="60D672DD" w14:textId="77777777" w:rsidR="00C60F9E" w:rsidRPr="007926DB" w:rsidRDefault="00C60F9E" w:rsidP="00795EEB">
            <w:r w:rsidRPr="007926DB">
              <w:t>High</w:t>
            </w:r>
          </w:p>
        </w:tc>
        <w:tc>
          <w:tcPr>
            <w:tcW w:w="0" w:type="auto"/>
            <w:vAlign w:val="center"/>
            <w:hideMark/>
          </w:tcPr>
          <w:p w14:paraId="1E0160C7" w14:textId="77777777" w:rsidR="00C60F9E" w:rsidRPr="007926DB" w:rsidRDefault="00C60F9E" w:rsidP="00795EEB">
            <w:r w:rsidRPr="007926DB">
              <w:t>High</w:t>
            </w:r>
          </w:p>
        </w:tc>
        <w:tc>
          <w:tcPr>
            <w:tcW w:w="0" w:type="auto"/>
            <w:vAlign w:val="center"/>
            <w:hideMark/>
          </w:tcPr>
          <w:p w14:paraId="35EA79A0" w14:textId="77777777" w:rsidR="00C60F9E" w:rsidRPr="007926DB" w:rsidRDefault="00C60F9E" w:rsidP="00795EEB">
            <w:r w:rsidRPr="007926DB">
              <w:t>Enforce cloud security policies, continuous monitoring, and secure configuration management</w:t>
            </w:r>
          </w:p>
        </w:tc>
      </w:tr>
      <w:tr w:rsidR="00C60F9E" w:rsidRPr="007926DB" w14:paraId="4B8E00ED" w14:textId="77777777" w:rsidTr="00795EEB">
        <w:trPr>
          <w:tblCellSpacing w:w="15" w:type="dxa"/>
        </w:trPr>
        <w:tc>
          <w:tcPr>
            <w:tcW w:w="0" w:type="auto"/>
            <w:vAlign w:val="center"/>
            <w:hideMark/>
          </w:tcPr>
          <w:p w14:paraId="25DF8294" w14:textId="77777777" w:rsidR="00C60F9E" w:rsidRPr="007926DB" w:rsidRDefault="00C60F9E" w:rsidP="00795EEB">
            <w:r w:rsidRPr="007926DB">
              <w:t>Insider threat</w:t>
            </w:r>
          </w:p>
        </w:tc>
        <w:tc>
          <w:tcPr>
            <w:tcW w:w="0" w:type="auto"/>
            <w:vAlign w:val="center"/>
            <w:hideMark/>
          </w:tcPr>
          <w:p w14:paraId="0AA12656" w14:textId="77777777" w:rsidR="00C60F9E" w:rsidRPr="007926DB" w:rsidRDefault="00C60F9E" w:rsidP="00795EEB">
            <w:r w:rsidRPr="007926DB">
              <w:t>Medium</w:t>
            </w:r>
          </w:p>
        </w:tc>
        <w:tc>
          <w:tcPr>
            <w:tcW w:w="0" w:type="auto"/>
            <w:vAlign w:val="center"/>
            <w:hideMark/>
          </w:tcPr>
          <w:p w14:paraId="6348580E" w14:textId="77777777" w:rsidR="00C60F9E" w:rsidRPr="007926DB" w:rsidRDefault="00C60F9E" w:rsidP="00795EEB">
            <w:r w:rsidRPr="007926DB">
              <w:t>High</w:t>
            </w:r>
          </w:p>
        </w:tc>
        <w:tc>
          <w:tcPr>
            <w:tcW w:w="0" w:type="auto"/>
            <w:vAlign w:val="center"/>
            <w:hideMark/>
          </w:tcPr>
          <w:p w14:paraId="6966EE5F" w14:textId="77777777" w:rsidR="00C60F9E" w:rsidRPr="007926DB" w:rsidRDefault="00C60F9E" w:rsidP="00795EEB">
            <w:r w:rsidRPr="007926DB">
              <w:t>High</w:t>
            </w:r>
          </w:p>
        </w:tc>
        <w:tc>
          <w:tcPr>
            <w:tcW w:w="0" w:type="auto"/>
            <w:vAlign w:val="center"/>
            <w:hideMark/>
          </w:tcPr>
          <w:p w14:paraId="2CD391D2" w14:textId="77777777" w:rsidR="00C60F9E" w:rsidRPr="007926DB" w:rsidRDefault="00C60F9E" w:rsidP="00795EEB">
            <w:r w:rsidRPr="007926DB">
              <w:t>Implement role-based access control, activity monitoring, and security awareness training</w:t>
            </w:r>
          </w:p>
        </w:tc>
      </w:tr>
      <w:tr w:rsidR="00C60F9E" w:rsidRPr="007926DB" w14:paraId="4E12C62D" w14:textId="77777777" w:rsidTr="00795EEB">
        <w:trPr>
          <w:tblCellSpacing w:w="15" w:type="dxa"/>
        </w:trPr>
        <w:tc>
          <w:tcPr>
            <w:tcW w:w="0" w:type="auto"/>
            <w:vAlign w:val="center"/>
            <w:hideMark/>
          </w:tcPr>
          <w:p w14:paraId="21C6638F" w14:textId="77777777" w:rsidR="00C60F9E" w:rsidRPr="007926DB" w:rsidRDefault="00C60F9E" w:rsidP="00795EEB">
            <w:r w:rsidRPr="007926DB">
              <w:t>Third-party access risk</w:t>
            </w:r>
          </w:p>
        </w:tc>
        <w:tc>
          <w:tcPr>
            <w:tcW w:w="0" w:type="auto"/>
            <w:vAlign w:val="center"/>
            <w:hideMark/>
          </w:tcPr>
          <w:p w14:paraId="52E62829" w14:textId="77777777" w:rsidR="00C60F9E" w:rsidRPr="007926DB" w:rsidRDefault="00C60F9E" w:rsidP="00795EEB">
            <w:r w:rsidRPr="007926DB">
              <w:t>Medium</w:t>
            </w:r>
          </w:p>
        </w:tc>
        <w:tc>
          <w:tcPr>
            <w:tcW w:w="0" w:type="auto"/>
            <w:vAlign w:val="center"/>
            <w:hideMark/>
          </w:tcPr>
          <w:p w14:paraId="629F841C" w14:textId="77777777" w:rsidR="00C60F9E" w:rsidRPr="007926DB" w:rsidRDefault="00C60F9E" w:rsidP="00795EEB">
            <w:r w:rsidRPr="007926DB">
              <w:t>High</w:t>
            </w:r>
          </w:p>
        </w:tc>
        <w:tc>
          <w:tcPr>
            <w:tcW w:w="0" w:type="auto"/>
            <w:vAlign w:val="center"/>
            <w:hideMark/>
          </w:tcPr>
          <w:p w14:paraId="1C9C107F" w14:textId="77777777" w:rsidR="00C60F9E" w:rsidRPr="007926DB" w:rsidRDefault="00C60F9E" w:rsidP="00795EEB">
            <w:r w:rsidRPr="007926DB">
              <w:t>High</w:t>
            </w:r>
          </w:p>
        </w:tc>
        <w:tc>
          <w:tcPr>
            <w:tcW w:w="0" w:type="auto"/>
            <w:vAlign w:val="center"/>
            <w:hideMark/>
          </w:tcPr>
          <w:p w14:paraId="2A31A850" w14:textId="77777777" w:rsidR="00C60F9E" w:rsidRPr="007926DB" w:rsidRDefault="00C60F9E" w:rsidP="00795EEB">
            <w:r w:rsidRPr="007926DB">
              <w:t>Conduct vendor risk assessments and enforce contractual security requirements</w:t>
            </w:r>
          </w:p>
        </w:tc>
      </w:tr>
      <w:tr w:rsidR="00C60F9E" w:rsidRPr="007926DB" w14:paraId="5A09C9D5" w14:textId="77777777" w:rsidTr="00795EEB">
        <w:trPr>
          <w:tblCellSpacing w:w="15" w:type="dxa"/>
        </w:trPr>
        <w:tc>
          <w:tcPr>
            <w:tcW w:w="0" w:type="auto"/>
            <w:vAlign w:val="center"/>
            <w:hideMark/>
          </w:tcPr>
          <w:p w14:paraId="41498045" w14:textId="77777777" w:rsidR="00C60F9E" w:rsidRPr="007926DB" w:rsidRDefault="00C60F9E" w:rsidP="00795EEB">
            <w:r w:rsidRPr="007926DB">
              <w:t>Customer data breach</w:t>
            </w:r>
          </w:p>
        </w:tc>
        <w:tc>
          <w:tcPr>
            <w:tcW w:w="0" w:type="auto"/>
            <w:vAlign w:val="center"/>
            <w:hideMark/>
          </w:tcPr>
          <w:p w14:paraId="3BCA9B54" w14:textId="77777777" w:rsidR="00C60F9E" w:rsidRPr="007926DB" w:rsidRDefault="00C60F9E" w:rsidP="00795EEB">
            <w:r w:rsidRPr="007926DB">
              <w:t>Low</w:t>
            </w:r>
          </w:p>
        </w:tc>
        <w:tc>
          <w:tcPr>
            <w:tcW w:w="0" w:type="auto"/>
            <w:vAlign w:val="center"/>
            <w:hideMark/>
          </w:tcPr>
          <w:p w14:paraId="66B5AB32" w14:textId="77777777" w:rsidR="00C60F9E" w:rsidRPr="007926DB" w:rsidRDefault="00C60F9E" w:rsidP="00795EEB">
            <w:r w:rsidRPr="007926DB">
              <w:t>High</w:t>
            </w:r>
          </w:p>
        </w:tc>
        <w:tc>
          <w:tcPr>
            <w:tcW w:w="0" w:type="auto"/>
            <w:vAlign w:val="center"/>
            <w:hideMark/>
          </w:tcPr>
          <w:p w14:paraId="62759A84" w14:textId="77777777" w:rsidR="00C60F9E" w:rsidRPr="007926DB" w:rsidRDefault="00C60F9E" w:rsidP="00795EEB">
            <w:r w:rsidRPr="007926DB">
              <w:t>High</w:t>
            </w:r>
          </w:p>
        </w:tc>
        <w:tc>
          <w:tcPr>
            <w:tcW w:w="0" w:type="auto"/>
            <w:vAlign w:val="center"/>
            <w:hideMark/>
          </w:tcPr>
          <w:p w14:paraId="54B5B5BC" w14:textId="77777777" w:rsidR="00C60F9E" w:rsidRPr="007926DB" w:rsidRDefault="00C60F9E" w:rsidP="00795EEB">
            <w:r w:rsidRPr="007926DB">
              <w:t>Encrypt sensitive data and implement strong identity and access management</w:t>
            </w:r>
          </w:p>
        </w:tc>
      </w:tr>
      <w:tr w:rsidR="00C60F9E" w:rsidRPr="007926DB" w14:paraId="10B0D019" w14:textId="77777777" w:rsidTr="00795EEB">
        <w:trPr>
          <w:tblCellSpacing w:w="15" w:type="dxa"/>
        </w:trPr>
        <w:tc>
          <w:tcPr>
            <w:tcW w:w="0" w:type="auto"/>
            <w:vAlign w:val="center"/>
            <w:hideMark/>
          </w:tcPr>
          <w:p w14:paraId="4490D6BB" w14:textId="77777777" w:rsidR="00C60F9E" w:rsidRPr="007926DB" w:rsidRDefault="00C60F9E" w:rsidP="00795EEB">
            <w:r w:rsidRPr="007926DB">
              <w:t>Mobile banking fraud</w:t>
            </w:r>
          </w:p>
        </w:tc>
        <w:tc>
          <w:tcPr>
            <w:tcW w:w="0" w:type="auto"/>
            <w:vAlign w:val="center"/>
            <w:hideMark/>
          </w:tcPr>
          <w:p w14:paraId="038AA26C" w14:textId="77777777" w:rsidR="00C60F9E" w:rsidRPr="007926DB" w:rsidRDefault="00C60F9E" w:rsidP="00795EEB">
            <w:r w:rsidRPr="007926DB">
              <w:t>Medium</w:t>
            </w:r>
          </w:p>
        </w:tc>
        <w:tc>
          <w:tcPr>
            <w:tcW w:w="0" w:type="auto"/>
            <w:vAlign w:val="center"/>
            <w:hideMark/>
          </w:tcPr>
          <w:p w14:paraId="7885BE95" w14:textId="77777777" w:rsidR="00C60F9E" w:rsidRPr="007926DB" w:rsidRDefault="00C60F9E" w:rsidP="00795EEB">
            <w:r w:rsidRPr="007926DB">
              <w:t>Medium</w:t>
            </w:r>
          </w:p>
        </w:tc>
        <w:tc>
          <w:tcPr>
            <w:tcW w:w="0" w:type="auto"/>
            <w:vAlign w:val="center"/>
            <w:hideMark/>
          </w:tcPr>
          <w:p w14:paraId="3DED408E" w14:textId="77777777" w:rsidR="00C60F9E" w:rsidRPr="007926DB" w:rsidRDefault="00C60F9E" w:rsidP="00795EEB">
            <w:r w:rsidRPr="007926DB">
              <w:t>Medium</w:t>
            </w:r>
          </w:p>
        </w:tc>
        <w:tc>
          <w:tcPr>
            <w:tcW w:w="0" w:type="auto"/>
            <w:vAlign w:val="center"/>
            <w:hideMark/>
          </w:tcPr>
          <w:p w14:paraId="51D26D1D" w14:textId="77777777" w:rsidR="00C60F9E" w:rsidRPr="007926DB" w:rsidRDefault="00C60F9E" w:rsidP="00795EEB">
            <w:r w:rsidRPr="007926DB">
              <w:t>Implement fraud detection systems and transaction monitoring</w:t>
            </w:r>
          </w:p>
        </w:tc>
      </w:tr>
      <w:tr w:rsidR="00C60F9E" w:rsidRPr="007926DB" w14:paraId="65502E59" w14:textId="77777777" w:rsidTr="00795EEB">
        <w:trPr>
          <w:tblCellSpacing w:w="15" w:type="dxa"/>
        </w:trPr>
        <w:tc>
          <w:tcPr>
            <w:tcW w:w="0" w:type="auto"/>
            <w:vAlign w:val="center"/>
            <w:hideMark/>
          </w:tcPr>
          <w:p w14:paraId="6A2C0B66" w14:textId="77777777" w:rsidR="00C60F9E" w:rsidRPr="007926DB" w:rsidRDefault="00C60F9E" w:rsidP="00795EEB">
            <w:r w:rsidRPr="007926DB">
              <w:t>Lack of governance structure</w:t>
            </w:r>
          </w:p>
        </w:tc>
        <w:tc>
          <w:tcPr>
            <w:tcW w:w="0" w:type="auto"/>
            <w:vAlign w:val="center"/>
            <w:hideMark/>
          </w:tcPr>
          <w:p w14:paraId="36BE2A5D" w14:textId="77777777" w:rsidR="00C60F9E" w:rsidRPr="007926DB" w:rsidRDefault="00C60F9E" w:rsidP="00795EEB">
            <w:r w:rsidRPr="007926DB">
              <w:t>High</w:t>
            </w:r>
          </w:p>
        </w:tc>
        <w:tc>
          <w:tcPr>
            <w:tcW w:w="0" w:type="auto"/>
            <w:vAlign w:val="center"/>
            <w:hideMark/>
          </w:tcPr>
          <w:p w14:paraId="386BF140" w14:textId="77777777" w:rsidR="00C60F9E" w:rsidRPr="007926DB" w:rsidRDefault="00C60F9E" w:rsidP="00795EEB">
            <w:r w:rsidRPr="007926DB">
              <w:t>Medium</w:t>
            </w:r>
          </w:p>
        </w:tc>
        <w:tc>
          <w:tcPr>
            <w:tcW w:w="0" w:type="auto"/>
            <w:vAlign w:val="center"/>
            <w:hideMark/>
          </w:tcPr>
          <w:p w14:paraId="2012F852" w14:textId="77777777" w:rsidR="00C60F9E" w:rsidRPr="007926DB" w:rsidRDefault="00C60F9E" w:rsidP="00795EEB">
            <w:r w:rsidRPr="007926DB">
              <w:t>High</w:t>
            </w:r>
          </w:p>
        </w:tc>
        <w:tc>
          <w:tcPr>
            <w:tcW w:w="0" w:type="auto"/>
            <w:vAlign w:val="center"/>
            <w:hideMark/>
          </w:tcPr>
          <w:p w14:paraId="12CD33FD" w14:textId="77777777" w:rsidR="00C60F9E" w:rsidRPr="007926DB" w:rsidRDefault="00C60F9E" w:rsidP="00795EEB">
            <w:r w:rsidRPr="007926DB">
              <w:t>Implement formal cybersecurity governance framework and security leadership roles</w:t>
            </w:r>
          </w:p>
        </w:tc>
      </w:tr>
    </w:tbl>
    <w:p w14:paraId="500F0A70" w14:textId="77777777" w:rsidR="00C60F9E" w:rsidRDefault="00C60F9E" w:rsidP="00C60F9E"/>
    <w:p w14:paraId="1F1BFD5E" w14:textId="77777777" w:rsidR="00C60F9E" w:rsidRPr="006F4CAC" w:rsidRDefault="00C60F9E" w:rsidP="00C60F9E">
      <w:pPr>
        <w:pStyle w:val="Heading1"/>
      </w:pPr>
      <w:bookmarkStart w:id="8" w:name="_Toc225801899"/>
      <w:r w:rsidRPr="006F4CAC">
        <w:t>6</w:t>
      </w:r>
      <w:r>
        <w:t>.</w:t>
      </w:r>
      <w:r w:rsidRPr="006F4CAC">
        <w:t xml:space="preserve"> Proposed Security, Governance and Compliance Approach</w:t>
      </w:r>
      <w:bookmarkEnd w:id="8"/>
    </w:p>
    <w:p w14:paraId="0FD3C882" w14:textId="77777777" w:rsidR="00C60F9E" w:rsidRPr="006F4CAC" w:rsidRDefault="00C60F9E" w:rsidP="00C60F9E">
      <w:pPr>
        <w:rPr>
          <w:b/>
          <w:bCs/>
        </w:rPr>
      </w:pPr>
      <w:r w:rsidRPr="006F4CAC">
        <w:rPr>
          <w:b/>
          <w:bCs/>
        </w:rPr>
        <w:t>Proposed Security, Governance and Compliance Approach</w:t>
      </w:r>
    </w:p>
    <w:p w14:paraId="4ABFD009" w14:textId="77777777" w:rsidR="00C60F9E" w:rsidRDefault="00C60F9E" w:rsidP="00C60F9E">
      <w:r w:rsidRPr="006F4CAC">
        <w:t xml:space="preserve">Based on the risks identified in the </w:t>
      </w:r>
      <w:proofErr w:type="spellStart"/>
      <w:r w:rsidRPr="006F4CAC">
        <w:t>FinSure</w:t>
      </w:r>
      <w:proofErr w:type="spellEnd"/>
      <w:r w:rsidRPr="006F4CAC">
        <w:t xml:space="preserve"> Bank scenario and the analysis of existing security frameworks, a structured approach to security governance, risk management, and regulatory compliance must be implemented. Financial institutions operate in highly regulated environments where strong information security controls are essential to protect customer data, maintain service reliability, and ensure compliance with regulatory requirements. Therefore, </w:t>
      </w:r>
      <w:proofErr w:type="spellStart"/>
      <w:r w:rsidRPr="006F4CAC">
        <w:t>FinSure</w:t>
      </w:r>
      <w:proofErr w:type="spellEnd"/>
      <w:r w:rsidRPr="006F4CAC">
        <w:t xml:space="preserve"> Bank must adopt an integrated security framework that combines governance structures, security policies, technical protection mechanisms, and continuous monitoring processes.</w:t>
      </w:r>
    </w:p>
    <w:p w14:paraId="3B28A95C" w14:textId="77777777" w:rsidR="006C339A" w:rsidRDefault="006C339A" w:rsidP="00C60F9E"/>
    <w:p w14:paraId="1B75C778" w14:textId="77777777" w:rsidR="006C339A" w:rsidRDefault="006C339A" w:rsidP="00C60F9E"/>
    <w:p w14:paraId="0375E978" w14:textId="77777777" w:rsidR="006C339A" w:rsidRDefault="006C339A" w:rsidP="00C60F9E"/>
    <w:p w14:paraId="1DBF941C" w14:textId="77777777" w:rsidR="006C339A" w:rsidRDefault="006C339A" w:rsidP="00C60F9E"/>
    <w:p w14:paraId="73EA6390" w14:textId="20AB3BC6" w:rsidR="006C339A" w:rsidRDefault="006C339A" w:rsidP="00C60F9E">
      <w:r w:rsidRPr="006C339A">
        <w:lastRenderedPageBreak/>
        <w:t xml:space="preserve">Table 4: </w:t>
      </w:r>
      <w:proofErr w:type="spellStart"/>
      <w:r w:rsidRPr="006C339A">
        <w:t>FinSure</w:t>
      </w:r>
      <w:proofErr w:type="spellEnd"/>
      <w:r w:rsidRPr="006C339A">
        <w:t xml:space="preserve"> Bank Security Policy Hierarchy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8"/>
        <w:gridCol w:w="3154"/>
        <w:gridCol w:w="4464"/>
      </w:tblGrid>
      <w:tr w:rsidR="006C339A" w:rsidRPr="006C339A" w14:paraId="7D6E64CA" w14:textId="77777777" w:rsidTr="006C339A">
        <w:trPr>
          <w:tblHeader/>
          <w:tblCellSpacing w:w="15" w:type="dxa"/>
        </w:trPr>
        <w:tc>
          <w:tcPr>
            <w:tcW w:w="0" w:type="auto"/>
            <w:vAlign w:val="center"/>
            <w:hideMark/>
          </w:tcPr>
          <w:p w14:paraId="5B38F170" w14:textId="77777777" w:rsidR="006C339A" w:rsidRPr="006C339A" w:rsidRDefault="006C339A" w:rsidP="006C339A">
            <w:pPr>
              <w:rPr>
                <w:b/>
                <w:bCs/>
              </w:rPr>
            </w:pPr>
            <w:r w:rsidRPr="006C339A">
              <w:rPr>
                <w:b/>
                <w:bCs/>
              </w:rPr>
              <w:t>Policy Level</w:t>
            </w:r>
          </w:p>
        </w:tc>
        <w:tc>
          <w:tcPr>
            <w:tcW w:w="0" w:type="auto"/>
            <w:vAlign w:val="center"/>
            <w:hideMark/>
          </w:tcPr>
          <w:p w14:paraId="329330F4" w14:textId="77777777" w:rsidR="006C339A" w:rsidRPr="006C339A" w:rsidRDefault="006C339A" w:rsidP="006C339A">
            <w:pPr>
              <w:rPr>
                <w:b/>
                <w:bCs/>
              </w:rPr>
            </w:pPr>
            <w:r w:rsidRPr="006C339A">
              <w:rPr>
                <w:b/>
                <w:bCs/>
              </w:rPr>
              <w:t>Example Policy</w:t>
            </w:r>
          </w:p>
        </w:tc>
        <w:tc>
          <w:tcPr>
            <w:tcW w:w="0" w:type="auto"/>
            <w:vAlign w:val="center"/>
            <w:hideMark/>
          </w:tcPr>
          <w:p w14:paraId="53C9BD42" w14:textId="77777777" w:rsidR="006C339A" w:rsidRPr="006C339A" w:rsidRDefault="006C339A" w:rsidP="006C339A">
            <w:pPr>
              <w:rPr>
                <w:b/>
                <w:bCs/>
              </w:rPr>
            </w:pPr>
            <w:r w:rsidRPr="006C339A">
              <w:rPr>
                <w:b/>
                <w:bCs/>
              </w:rPr>
              <w:t>Purpose</w:t>
            </w:r>
          </w:p>
        </w:tc>
      </w:tr>
      <w:tr w:rsidR="006C339A" w:rsidRPr="006C339A" w14:paraId="08C40968" w14:textId="77777777" w:rsidTr="006C339A">
        <w:trPr>
          <w:tblCellSpacing w:w="15" w:type="dxa"/>
        </w:trPr>
        <w:tc>
          <w:tcPr>
            <w:tcW w:w="0" w:type="auto"/>
            <w:vAlign w:val="center"/>
            <w:hideMark/>
          </w:tcPr>
          <w:p w14:paraId="0F1D9518" w14:textId="77777777" w:rsidR="006C339A" w:rsidRPr="006C339A" w:rsidRDefault="006C339A" w:rsidP="006C339A">
            <w:r w:rsidRPr="006C339A">
              <w:t>Governance Policy</w:t>
            </w:r>
          </w:p>
        </w:tc>
        <w:tc>
          <w:tcPr>
            <w:tcW w:w="0" w:type="auto"/>
            <w:vAlign w:val="center"/>
            <w:hideMark/>
          </w:tcPr>
          <w:p w14:paraId="7CED68FF" w14:textId="77777777" w:rsidR="006C339A" w:rsidRPr="006C339A" w:rsidRDefault="006C339A" w:rsidP="006C339A">
            <w:r w:rsidRPr="006C339A">
              <w:t>Information Security Policy</w:t>
            </w:r>
          </w:p>
        </w:tc>
        <w:tc>
          <w:tcPr>
            <w:tcW w:w="0" w:type="auto"/>
            <w:vAlign w:val="center"/>
            <w:hideMark/>
          </w:tcPr>
          <w:p w14:paraId="3AE1F014" w14:textId="77777777" w:rsidR="006C339A" w:rsidRPr="006C339A" w:rsidRDefault="006C339A" w:rsidP="006C339A">
            <w:r w:rsidRPr="006C339A">
              <w:t>Defines the overall objectives, responsibilities, and direction of the organisation’s security programme</w:t>
            </w:r>
          </w:p>
        </w:tc>
      </w:tr>
      <w:tr w:rsidR="006C339A" w:rsidRPr="006C339A" w14:paraId="7B6CF837" w14:textId="77777777" w:rsidTr="006C339A">
        <w:trPr>
          <w:tblCellSpacing w:w="15" w:type="dxa"/>
        </w:trPr>
        <w:tc>
          <w:tcPr>
            <w:tcW w:w="0" w:type="auto"/>
            <w:vAlign w:val="center"/>
            <w:hideMark/>
          </w:tcPr>
          <w:p w14:paraId="63A9A1F6" w14:textId="77777777" w:rsidR="006C339A" w:rsidRPr="006C339A" w:rsidRDefault="006C339A" w:rsidP="006C339A">
            <w:r w:rsidRPr="006C339A">
              <w:t>Domain Policies</w:t>
            </w:r>
          </w:p>
        </w:tc>
        <w:tc>
          <w:tcPr>
            <w:tcW w:w="0" w:type="auto"/>
            <w:vAlign w:val="center"/>
            <w:hideMark/>
          </w:tcPr>
          <w:p w14:paraId="7DB749A2" w14:textId="77777777" w:rsidR="006C339A" w:rsidRPr="006C339A" w:rsidRDefault="006C339A" w:rsidP="006C339A">
            <w:r w:rsidRPr="006C339A">
              <w:t>BYOD Policy, Access Control Policy, Data Protection Policy</w:t>
            </w:r>
          </w:p>
        </w:tc>
        <w:tc>
          <w:tcPr>
            <w:tcW w:w="0" w:type="auto"/>
            <w:vAlign w:val="center"/>
            <w:hideMark/>
          </w:tcPr>
          <w:p w14:paraId="7B90C1EF" w14:textId="77777777" w:rsidR="006C339A" w:rsidRPr="006C339A" w:rsidRDefault="006C339A" w:rsidP="006C339A">
            <w:r w:rsidRPr="006C339A">
              <w:t>Provides specific rules for protecting information assets and regulating system usage</w:t>
            </w:r>
          </w:p>
        </w:tc>
      </w:tr>
      <w:tr w:rsidR="006C339A" w:rsidRPr="006C339A" w14:paraId="1B6C97D8" w14:textId="77777777" w:rsidTr="006C339A">
        <w:trPr>
          <w:tblCellSpacing w:w="15" w:type="dxa"/>
        </w:trPr>
        <w:tc>
          <w:tcPr>
            <w:tcW w:w="0" w:type="auto"/>
            <w:vAlign w:val="center"/>
            <w:hideMark/>
          </w:tcPr>
          <w:p w14:paraId="1E7B42B4" w14:textId="77777777" w:rsidR="006C339A" w:rsidRPr="006C339A" w:rsidRDefault="006C339A" w:rsidP="006C339A">
            <w:r w:rsidRPr="006C339A">
              <w:t>Security Standards</w:t>
            </w:r>
          </w:p>
        </w:tc>
        <w:tc>
          <w:tcPr>
            <w:tcW w:w="0" w:type="auto"/>
            <w:vAlign w:val="center"/>
            <w:hideMark/>
          </w:tcPr>
          <w:p w14:paraId="79BABC71" w14:textId="77777777" w:rsidR="006C339A" w:rsidRPr="006C339A" w:rsidRDefault="006C339A" w:rsidP="006C339A">
            <w:r w:rsidRPr="006C339A">
              <w:t>Password standards, encryption standards, cloud security standards</w:t>
            </w:r>
          </w:p>
        </w:tc>
        <w:tc>
          <w:tcPr>
            <w:tcW w:w="0" w:type="auto"/>
            <w:vAlign w:val="center"/>
            <w:hideMark/>
          </w:tcPr>
          <w:p w14:paraId="0BDC3F14" w14:textId="77777777" w:rsidR="006C339A" w:rsidRPr="006C339A" w:rsidRDefault="006C339A" w:rsidP="006C339A">
            <w:r w:rsidRPr="006C339A">
              <w:t>Defines technical requirements and best practices for implementing security controls</w:t>
            </w:r>
          </w:p>
        </w:tc>
      </w:tr>
      <w:tr w:rsidR="006C339A" w:rsidRPr="006C339A" w14:paraId="54918F25" w14:textId="77777777" w:rsidTr="006C339A">
        <w:trPr>
          <w:tblCellSpacing w:w="15" w:type="dxa"/>
        </w:trPr>
        <w:tc>
          <w:tcPr>
            <w:tcW w:w="0" w:type="auto"/>
            <w:vAlign w:val="center"/>
            <w:hideMark/>
          </w:tcPr>
          <w:p w14:paraId="3009E813" w14:textId="77777777" w:rsidR="006C339A" w:rsidRPr="006C339A" w:rsidRDefault="006C339A" w:rsidP="006C339A">
            <w:r w:rsidRPr="006C339A">
              <w:t>Procedures</w:t>
            </w:r>
          </w:p>
        </w:tc>
        <w:tc>
          <w:tcPr>
            <w:tcW w:w="0" w:type="auto"/>
            <w:vAlign w:val="center"/>
            <w:hideMark/>
          </w:tcPr>
          <w:p w14:paraId="0718F9FF" w14:textId="77777777" w:rsidR="006C339A" w:rsidRPr="006C339A" w:rsidRDefault="006C339A" w:rsidP="006C339A">
            <w:r w:rsidRPr="006C339A">
              <w:t>Incident response procedures, user access management procedures</w:t>
            </w:r>
          </w:p>
        </w:tc>
        <w:tc>
          <w:tcPr>
            <w:tcW w:w="0" w:type="auto"/>
            <w:vAlign w:val="center"/>
            <w:hideMark/>
          </w:tcPr>
          <w:p w14:paraId="643B5DFD" w14:textId="77777777" w:rsidR="006C339A" w:rsidRPr="006C339A" w:rsidRDefault="006C339A" w:rsidP="006C339A">
            <w:r w:rsidRPr="006C339A">
              <w:t>Provides detailed step-by-step instructions for implementing security operations</w:t>
            </w:r>
          </w:p>
        </w:tc>
      </w:tr>
    </w:tbl>
    <w:p w14:paraId="2EF81D4C" w14:textId="77777777" w:rsidR="006C339A" w:rsidRDefault="006C339A" w:rsidP="00C60F9E"/>
    <w:p w14:paraId="2DA029BE" w14:textId="0BB740E2" w:rsidR="006C339A" w:rsidRDefault="006C339A" w:rsidP="00C60F9E">
      <w:r w:rsidRPr="006C339A">
        <w:t>The implementation of a structured policy hierarchy ensures that security policies are applied consistently across the organisation. Governance policies provide strategic direction, while domain policies, standards, and operational procedures ensure that security controls are implemented effectively at the operational level.</w:t>
      </w:r>
    </w:p>
    <w:p w14:paraId="1A61BDC4" w14:textId="77777777" w:rsidR="006C339A" w:rsidRPr="006F4CAC" w:rsidRDefault="006C339A" w:rsidP="00C60F9E"/>
    <w:p w14:paraId="3B9CB493" w14:textId="77777777" w:rsidR="00C60F9E" w:rsidRPr="006F4CAC" w:rsidRDefault="00C60F9E" w:rsidP="00C60F9E">
      <w:pPr>
        <w:rPr>
          <w:b/>
          <w:bCs/>
        </w:rPr>
      </w:pPr>
      <w:r w:rsidRPr="006F4CAC">
        <w:rPr>
          <w:b/>
          <w:bCs/>
        </w:rPr>
        <w:t>Security Governance Structure</w:t>
      </w:r>
    </w:p>
    <w:p w14:paraId="05C833F0" w14:textId="652394B4" w:rsidR="00C60F9E" w:rsidRPr="006F4CAC" w:rsidRDefault="00C60F9E" w:rsidP="00C60F9E">
      <w:r w:rsidRPr="006F4CAC">
        <w:t>An effective cybersecurity programme requires clear governance structures that define roles, responsibilities, and accountability across the organisation</w:t>
      </w:r>
      <w:r w:rsidR="005E5812">
        <w:t xml:space="preserve"> </w:t>
      </w:r>
      <w:r w:rsidR="005E5812" w:rsidRPr="005E5812">
        <w:rPr>
          <w:b/>
          <w:bCs/>
        </w:rPr>
        <w:t>[10]</w:t>
      </w:r>
      <w:r w:rsidRPr="006F4CAC">
        <w:t xml:space="preserve">. </w:t>
      </w:r>
      <w:proofErr w:type="spellStart"/>
      <w:r w:rsidRPr="006F4CAC">
        <w:t>FinSure</w:t>
      </w:r>
      <w:proofErr w:type="spellEnd"/>
      <w:r w:rsidRPr="006F4CAC">
        <w:t xml:space="preserve"> Bank should establish a formal security governance model led by executive management and supported by specialised security and compliance teams. The board of directors should maintain oversight of cybersecurity risks and ensure that security strategies align with organisational objectives and regulatory obligations.</w:t>
      </w:r>
    </w:p>
    <w:p w14:paraId="6C7D2B11" w14:textId="77777777" w:rsidR="00C60F9E" w:rsidRPr="006F4CAC" w:rsidRDefault="00C60F9E" w:rsidP="00C60F9E">
      <w:r w:rsidRPr="006F4CAC">
        <w:t xml:space="preserve">At the operational level, the organisation should appoint a </w:t>
      </w:r>
      <w:r w:rsidRPr="006F4CAC">
        <w:rPr>
          <w:b/>
          <w:bCs/>
        </w:rPr>
        <w:t>Chief Information Security Officer (CISO)</w:t>
      </w:r>
      <w:r w:rsidRPr="006F4CAC">
        <w:t xml:space="preserve"> responsible for managing the overall security programme and coordinating security initiatives across departments. The CISO should work closely with a </w:t>
      </w:r>
      <w:r w:rsidRPr="006F4CAC">
        <w:rPr>
          <w:b/>
          <w:bCs/>
        </w:rPr>
        <w:t>Data Protection Officer (DPO)</w:t>
      </w:r>
      <w:r w:rsidRPr="006F4CAC">
        <w:t xml:space="preserve"> responsible for ensuring compliance with privacy regulations such as GDPR. Supporting these roles should be a security operations team responsible for monitoring threats, managing incidents, and maintaining security controls across the organisation’s infrastructure.</w:t>
      </w:r>
    </w:p>
    <w:p w14:paraId="18EA23D0" w14:textId="1E1A5633" w:rsidR="00C60F9E" w:rsidRDefault="00C60F9E" w:rsidP="00C60F9E">
      <w:r w:rsidRPr="006F4CAC">
        <w:t xml:space="preserve">A dedicated </w:t>
      </w:r>
      <w:r w:rsidRPr="006F4CAC">
        <w:rPr>
          <w:b/>
          <w:bCs/>
        </w:rPr>
        <w:t>risk management and compliance team</w:t>
      </w:r>
      <w:r w:rsidRPr="006F4CAC">
        <w:t xml:space="preserve"> should also be established to oversee regulatory compliance, conduct internal audits, and manage relationships with external regulatory bodies. </w:t>
      </w:r>
      <w:r w:rsidR="004C0D06" w:rsidRPr="004C0D06">
        <w:t>Clearly defined reporting structures between governance bodies, operational teams, and executive leadership ensure that cybersecurity risks are effectively communicated, monitored, and addressed across the organisation.</w:t>
      </w:r>
    </w:p>
    <w:p w14:paraId="4B82446F" w14:textId="77777777" w:rsidR="00C60F9E" w:rsidRPr="006F4CAC" w:rsidRDefault="00C60F9E" w:rsidP="00C60F9E"/>
    <w:p w14:paraId="5F8826F2" w14:textId="77777777" w:rsidR="00C60F9E" w:rsidRPr="006C339A" w:rsidRDefault="00C60F9E" w:rsidP="00C60F9E">
      <w:pPr>
        <w:rPr>
          <w:b/>
          <w:bCs/>
        </w:rPr>
      </w:pPr>
      <w:r w:rsidRPr="006C339A">
        <w:rPr>
          <w:b/>
          <w:bCs/>
          <w:noProof/>
        </w:rPr>
        <w:lastRenderedPageBreak/>
        <w:drawing>
          <wp:anchor distT="0" distB="0" distL="114300" distR="114300" simplePos="0" relativeHeight="251659264" behindDoc="0" locked="0" layoutInCell="1" allowOverlap="1" wp14:anchorId="337A1C9F" wp14:editId="6EA8E12A">
            <wp:simplePos x="0" y="0"/>
            <wp:positionH relativeFrom="margin">
              <wp:align>left</wp:align>
            </wp:positionH>
            <wp:positionV relativeFrom="paragraph">
              <wp:posOffset>285750</wp:posOffset>
            </wp:positionV>
            <wp:extent cx="5772150" cy="4229100"/>
            <wp:effectExtent l="0" t="38100" r="0" b="0"/>
            <wp:wrapThrough wrapText="bothSides">
              <wp:wrapPolygon edited="0">
                <wp:start x="8840" y="-195"/>
                <wp:lineTo x="8768" y="6032"/>
                <wp:lineTo x="8911" y="10703"/>
                <wp:lineTo x="4135" y="11578"/>
                <wp:lineTo x="3564" y="11773"/>
                <wp:lineTo x="3564" y="12259"/>
                <wp:lineTo x="1782" y="12357"/>
                <wp:lineTo x="1782" y="15859"/>
                <wp:lineTo x="6844" y="16930"/>
                <wp:lineTo x="8840" y="16930"/>
                <wp:lineTo x="8840" y="18876"/>
                <wp:lineTo x="9196" y="19849"/>
                <wp:lineTo x="9339" y="20043"/>
                <wp:lineTo x="13046" y="20043"/>
                <wp:lineTo x="13117" y="16930"/>
                <wp:lineTo x="14756" y="16930"/>
                <wp:lineTo x="20246" y="15762"/>
                <wp:lineTo x="20174" y="12649"/>
                <wp:lineTo x="19818" y="12259"/>
                <wp:lineTo x="19889" y="11870"/>
                <wp:lineTo x="17679" y="11384"/>
                <wp:lineTo x="13117" y="10703"/>
                <wp:lineTo x="13188" y="8659"/>
                <wp:lineTo x="12832" y="7589"/>
                <wp:lineTo x="13117" y="6519"/>
                <wp:lineTo x="12974" y="292"/>
                <wp:lineTo x="12618" y="-195"/>
                <wp:lineTo x="8840" y="-195"/>
              </wp:wrapPolygon>
            </wp:wrapThrough>
            <wp:docPr id="89368387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6C339A">
        <w:rPr>
          <w:b/>
          <w:bCs/>
        </w:rPr>
        <w:t xml:space="preserve">Figure 1: Proposed Security Governance Model for </w:t>
      </w:r>
      <w:proofErr w:type="spellStart"/>
      <w:r w:rsidRPr="006C339A">
        <w:rPr>
          <w:b/>
          <w:bCs/>
        </w:rPr>
        <w:t>FinSure</w:t>
      </w:r>
      <w:proofErr w:type="spellEnd"/>
      <w:r w:rsidRPr="006C339A">
        <w:rPr>
          <w:b/>
          <w:bCs/>
        </w:rPr>
        <w:t xml:space="preserve"> Bank</w:t>
      </w:r>
    </w:p>
    <w:p w14:paraId="054AFCD7" w14:textId="77777777" w:rsidR="00C60F9E" w:rsidRDefault="00C60F9E" w:rsidP="00C60F9E">
      <w:pPr>
        <w:rPr>
          <w:noProof/>
        </w:rPr>
      </w:pPr>
    </w:p>
    <w:p w14:paraId="28D27F4D" w14:textId="77777777" w:rsidR="00C60F9E" w:rsidRDefault="00C60F9E" w:rsidP="00C60F9E">
      <w:pPr>
        <w:rPr>
          <w:noProof/>
        </w:rPr>
      </w:pPr>
    </w:p>
    <w:p w14:paraId="2E6A737B" w14:textId="77777777" w:rsidR="00C60F9E" w:rsidRDefault="00C60F9E" w:rsidP="00C60F9E">
      <w:pPr>
        <w:rPr>
          <w:noProof/>
        </w:rPr>
      </w:pPr>
    </w:p>
    <w:p w14:paraId="44DD0C9A" w14:textId="77777777" w:rsidR="00C60F9E" w:rsidRDefault="00C60F9E" w:rsidP="00C60F9E">
      <w:pPr>
        <w:rPr>
          <w:noProof/>
        </w:rPr>
      </w:pPr>
    </w:p>
    <w:p w14:paraId="6F393E65" w14:textId="77777777" w:rsidR="00C60F9E" w:rsidRDefault="00C60F9E" w:rsidP="00C60F9E">
      <w:pPr>
        <w:rPr>
          <w:noProof/>
        </w:rPr>
      </w:pPr>
    </w:p>
    <w:p w14:paraId="021B895A" w14:textId="77777777" w:rsidR="00C60F9E" w:rsidRDefault="00C60F9E" w:rsidP="00C60F9E">
      <w:pPr>
        <w:rPr>
          <w:noProof/>
        </w:rPr>
      </w:pPr>
    </w:p>
    <w:p w14:paraId="75710175" w14:textId="77777777" w:rsidR="00C60F9E" w:rsidRDefault="00C60F9E" w:rsidP="00C60F9E">
      <w:pPr>
        <w:rPr>
          <w:noProof/>
        </w:rPr>
      </w:pPr>
    </w:p>
    <w:p w14:paraId="0B51D574" w14:textId="77777777" w:rsidR="00C60F9E" w:rsidRDefault="00C60F9E" w:rsidP="00C60F9E">
      <w:pPr>
        <w:rPr>
          <w:noProof/>
        </w:rPr>
      </w:pPr>
    </w:p>
    <w:p w14:paraId="5D767591" w14:textId="77777777" w:rsidR="00C60F9E" w:rsidRDefault="00C60F9E" w:rsidP="00C60F9E">
      <w:pPr>
        <w:rPr>
          <w:noProof/>
        </w:rPr>
      </w:pPr>
    </w:p>
    <w:p w14:paraId="24891EE2" w14:textId="77777777" w:rsidR="00C60F9E" w:rsidRDefault="00C60F9E" w:rsidP="00C60F9E">
      <w:pPr>
        <w:rPr>
          <w:noProof/>
        </w:rPr>
      </w:pPr>
    </w:p>
    <w:p w14:paraId="3B728A76" w14:textId="77777777" w:rsidR="00C60F9E" w:rsidRDefault="00C60F9E" w:rsidP="00C60F9E">
      <w:pPr>
        <w:rPr>
          <w:noProof/>
        </w:rPr>
      </w:pPr>
    </w:p>
    <w:p w14:paraId="343699D9" w14:textId="77777777" w:rsidR="00C60F9E" w:rsidRDefault="00C60F9E" w:rsidP="00C60F9E">
      <w:pPr>
        <w:rPr>
          <w:noProof/>
        </w:rPr>
      </w:pPr>
    </w:p>
    <w:p w14:paraId="2DB8F087" w14:textId="77777777" w:rsidR="00C60F9E" w:rsidRDefault="00C60F9E" w:rsidP="00C60F9E">
      <w:pPr>
        <w:rPr>
          <w:noProof/>
        </w:rPr>
      </w:pPr>
    </w:p>
    <w:p w14:paraId="2AF02497" w14:textId="77777777" w:rsidR="00C60F9E" w:rsidRDefault="00C60F9E" w:rsidP="00C60F9E">
      <w:pPr>
        <w:rPr>
          <w:noProof/>
        </w:rPr>
      </w:pPr>
    </w:p>
    <w:p w14:paraId="59B87B83" w14:textId="77777777" w:rsidR="00C60F9E" w:rsidRDefault="00C60F9E" w:rsidP="00C60F9E">
      <w:pPr>
        <w:rPr>
          <w:noProof/>
        </w:rPr>
      </w:pPr>
    </w:p>
    <w:p w14:paraId="7B5D373A" w14:textId="43AF7D49" w:rsidR="006C339A" w:rsidRDefault="00C60F9E">
      <w:r w:rsidRPr="0008576D">
        <w:rPr>
          <w:noProof/>
        </w:rPr>
        <w:t>Figure 1 illustrates the proposed security governance structure for FinSure Bank, demonstrating clear accountability, separation of duties, and structured oversight of cybersecurity risks across operational and organisational levels.</w:t>
      </w:r>
    </w:p>
    <w:p w14:paraId="4F3268D8" w14:textId="3747C8AF" w:rsidR="00C60F9E" w:rsidRPr="006C339A" w:rsidRDefault="006C339A">
      <w:pPr>
        <w:rPr>
          <w:b/>
          <w:bCs/>
        </w:rPr>
      </w:pPr>
      <w:r w:rsidRPr="006C339A">
        <w:rPr>
          <w:b/>
          <w:bCs/>
        </w:rPr>
        <w:t xml:space="preserve">Figure 2: BYOD Security Architecture for </w:t>
      </w:r>
      <w:proofErr w:type="spellStart"/>
      <w:r w:rsidRPr="006C339A">
        <w:rPr>
          <w:b/>
          <w:bCs/>
        </w:rPr>
        <w:t>FinSure</w:t>
      </w:r>
      <w:proofErr w:type="spellEnd"/>
      <w:r w:rsidRPr="006C339A">
        <w:rPr>
          <w:b/>
          <w:bCs/>
        </w:rPr>
        <w:t xml:space="preserve"> Bank</w:t>
      </w:r>
    </w:p>
    <w:p w14:paraId="2D853022" w14:textId="67901DE0" w:rsidR="00C60F9E" w:rsidRDefault="006C339A">
      <w:r>
        <w:rPr>
          <w:noProof/>
        </w:rPr>
        <w:drawing>
          <wp:inline distT="0" distB="0" distL="0" distR="0" wp14:anchorId="1ED70FF1" wp14:editId="5DA0AE34">
            <wp:extent cx="5486400" cy="3200400"/>
            <wp:effectExtent l="0" t="38100" r="0" b="19050"/>
            <wp:docPr id="19842482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94628F9" w14:textId="77777777" w:rsidR="00C60F9E" w:rsidRDefault="00C60F9E"/>
    <w:p w14:paraId="60D60D81" w14:textId="37964699" w:rsidR="006C339A" w:rsidRDefault="006C339A">
      <w:r w:rsidRPr="006C339A">
        <w:t xml:space="preserve">Figure 2 illustrates the proposed security architecture for managing employee-owned devices within </w:t>
      </w:r>
      <w:proofErr w:type="spellStart"/>
      <w:r w:rsidRPr="006C339A">
        <w:t>FinSure</w:t>
      </w:r>
      <w:proofErr w:type="spellEnd"/>
      <w:r w:rsidRPr="006C339A">
        <w:t xml:space="preserve"> Bank. The architecture integrates mobile device management, multi-factor authentication, and secure access gateways to ensure that personal devices accessing banking systems comply with organisational security policies while allowing operational flexibility.</w:t>
      </w:r>
    </w:p>
    <w:p w14:paraId="1852178F" w14:textId="77777777" w:rsidR="00C60F9E" w:rsidRPr="00384756" w:rsidRDefault="00C60F9E" w:rsidP="00C60F9E">
      <w:pPr>
        <w:pStyle w:val="Heading1"/>
      </w:pPr>
      <w:bookmarkStart w:id="9" w:name="_Toc225801900"/>
      <w:r w:rsidRPr="00384756">
        <w:t>7</w:t>
      </w:r>
      <w:r>
        <w:t>.</w:t>
      </w:r>
      <w:r w:rsidRPr="00384756">
        <w:t xml:space="preserve"> The Importance of Updating Security Regulations and Standards</w:t>
      </w:r>
      <w:bookmarkEnd w:id="9"/>
    </w:p>
    <w:p w14:paraId="205E9202" w14:textId="77777777" w:rsidR="00C60F9E" w:rsidRPr="00384756" w:rsidRDefault="00C60F9E" w:rsidP="00C60F9E">
      <w:pPr>
        <w:pStyle w:val="Heading2"/>
      </w:pPr>
      <w:bookmarkStart w:id="10" w:name="_Toc225801901"/>
      <w:r w:rsidRPr="00384756">
        <w:t>The Importance of Updating Security Regulations and Standards</w:t>
      </w:r>
      <w:bookmarkEnd w:id="10"/>
    </w:p>
    <w:p w14:paraId="67140E06" w14:textId="01D99901" w:rsidR="00C60F9E" w:rsidRPr="00384756" w:rsidRDefault="00C60F9E" w:rsidP="00C60F9E">
      <w:r w:rsidRPr="00384756">
        <w:t>Cybersecurity regulations and standards must be continuously updated in order to address the rapidly evolving nature of digital technologies and cyber threats</w:t>
      </w:r>
      <w:r w:rsidR="005E5812">
        <w:t xml:space="preserve"> </w:t>
      </w:r>
      <w:r w:rsidR="005E5812" w:rsidRPr="005E5812">
        <w:rPr>
          <w:b/>
          <w:bCs/>
        </w:rPr>
        <w:t>[1]</w:t>
      </w:r>
      <w:r w:rsidRPr="00384756">
        <w:t>. Organisations today operate in highly interconnected environments that include cloud computing, mobile platforms, and global data exchange. As technology evolves, new vulnerabilities and attack methods emerge, requiring regulatory frameworks and security standards to adapt accordingly. Without regular updates to these frameworks, organisations may rely on outdated security practices that are no longer effective against modern cyber threats.</w:t>
      </w:r>
    </w:p>
    <w:p w14:paraId="076AD7F8" w14:textId="06550AC4" w:rsidR="00C60F9E" w:rsidRPr="00384756" w:rsidRDefault="00C60F9E" w:rsidP="00C60F9E">
      <w:r w:rsidRPr="00384756">
        <w:t xml:space="preserve">Financial institutions such as </w:t>
      </w:r>
      <w:proofErr w:type="spellStart"/>
      <w:r w:rsidRPr="00384756">
        <w:t>FinSure</w:t>
      </w:r>
      <w:proofErr w:type="spellEnd"/>
      <w:r w:rsidRPr="00384756">
        <w:t xml:space="preserve"> Bank are particularly attractive targets for cybercriminals because they store large volumes of sensitive financial and personal data. Attack techniques including phishing, ransomware, identity theft, and advanced persistent threats have become increasingly sophisticated in recent years. As a result, security standards must evolve to address new attack vectors and provide organisations with updated guidance for protecting their information assets</w:t>
      </w:r>
      <w:r w:rsidR="005E5812">
        <w:t xml:space="preserve"> </w:t>
      </w:r>
      <w:r w:rsidR="005E5812" w:rsidRPr="005E5812">
        <w:rPr>
          <w:b/>
          <w:bCs/>
        </w:rPr>
        <w:t>[6]</w:t>
      </w:r>
      <w:r w:rsidRPr="00384756">
        <w:t>.</w:t>
      </w:r>
    </w:p>
    <w:p w14:paraId="28EC0C21" w14:textId="77777777" w:rsidR="00C60F9E" w:rsidRPr="00384756" w:rsidRDefault="00C60F9E" w:rsidP="00C60F9E">
      <w:r w:rsidRPr="00384756">
        <w:t>Another important factor driving the need for updated regulations is the continuous growth of data privacy concerns. Regulations such as the General Data Protection Regulation (GDPR) were introduced to strengthen the protection of personal data and ensure that organisations handle customer information responsibly. However, as digital services expand and new technologies such as artificial intelligence, cloud platforms, and Internet of Things devices become more widespread, regulatory frameworks must be revised to ensure that they remain relevant and effective.</w:t>
      </w:r>
    </w:p>
    <w:p w14:paraId="029A08F6" w14:textId="77777777" w:rsidR="00C60F9E" w:rsidRPr="00384756" w:rsidRDefault="00C60F9E" w:rsidP="00C60F9E">
      <w:r w:rsidRPr="00384756">
        <w:t xml:space="preserve">Regular updates to security standards also encourage organisations to adopt modern security practices and continuously improve their cybersecurity capabilities. Updated standards often introduce new control mechanisms, risk management approaches, and governance models that reflect the latest industry best practices. For financial institutions like </w:t>
      </w:r>
      <w:proofErr w:type="spellStart"/>
      <w:r w:rsidRPr="00384756">
        <w:t>FinSure</w:t>
      </w:r>
      <w:proofErr w:type="spellEnd"/>
      <w:r w:rsidRPr="00384756">
        <w:t xml:space="preserve"> Bank, maintaining alignment with current standards not only strengthens security but also helps demonstrate regulatory compliance and maintain customer trust.</w:t>
      </w:r>
    </w:p>
    <w:p w14:paraId="6A5676F8" w14:textId="77777777" w:rsidR="00C60F9E" w:rsidRDefault="00C60F9E" w:rsidP="00C60F9E"/>
    <w:p w14:paraId="6D68CFC1" w14:textId="77777777" w:rsidR="00C60F9E" w:rsidRDefault="00C60F9E" w:rsidP="00C60F9E"/>
    <w:p w14:paraId="69B8CC58" w14:textId="77777777" w:rsidR="00C60F9E" w:rsidRDefault="00C60F9E" w:rsidP="00C60F9E"/>
    <w:p w14:paraId="7B00AA70" w14:textId="77777777" w:rsidR="00C60F9E" w:rsidRDefault="00C60F9E" w:rsidP="00C60F9E"/>
    <w:p w14:paraId="73992893" w14:textId="77777777" w:rsidR="006E0129" w:rsidRDefault="006E0129" w:rsidP="00C60F9E"/>
    <w:p w14:paraId="0CC0D3D7" w14:textId="77777777" w:rsidR="00C60F9E" w:rsidRPr="00B90D67" w:rsidRDefault="00C60F9E" w:rsidP="00C60F9E">
      <w:pPr>
        <w:pStyle w:val="Heading1"/>
      </w:pPr>
      <w:bookmarkStart w:id="11" w:name="_Toc225801902"/>
      <w:r w:rsidRPr="00B90D67">
        <w:lastRenderedPageBreak/>
        <w:t>8</w:t>
      </w:r>
      <w:r>
        <w:t>.</w:t>
      </w:r>
      <w:r w:rsidRPr="00B90D67">
        <w:t xml:space="preserve"> Conclusion</w:t>
      </w:r>
      <w:bookmarkEnd w:id="11"/>
    </w:p>
    <w:p w14:paraId="5C8B9700" w14:textId="77777777" w:rsidR="00C60F9E" w:rsidRPr="00B90D67" w:rsidRDefault="00C60F9E" w:rsidP="00C60F9E">
      <w:pPr>
        <w:rPr>
          <w:b/>
          <w:bCs/>
        </w:rPr>
      </w:pPr>
    </w:p>
    <w:p w14:paraId="722CC82B" w14:textId="77777777" w:rsidR="00C60F9E" w:rsidRPr="00B90D67" w:rsidRDefault="00C60F9E" w:rsidP="00C60F9E">
      <w:pPr>
        <w:pStyle w:val="Heading2"/>
      </w:pPr>
      <w:bookmarkStart w:id="12" w:name="_Toc225801903"/>
      <w:r w:rsidRPr="00B90D67">
        <w:t>Conclusion</w:t>
      </w:r>
      <w:bookmarkEnd w:id="12"/>
    </w:p>
    <w:p w14:paraId="3B080C69" w14:textId="77777777" w:rsidR="00C60F9E" w:rsidRPr="00B90D67" w:rsidRDefault="00C60F9E" w:rsidP="00C60F9E">
      <w:r w:rsidRPr="00B90D67">
        <w:t xml:space="preserve">This report examined the security, governance, and compliance challenges faced by </w:t>
      </w:r>
      <w:proofErr w:type="spellStart"/>
      <w:r w:rsidRPr="00B90D67">
        <w:t>FinSure</w:t>
      </w:r>
      <w:proofErr w:type="spellEnd"/>
      <w:r w:rsidRPr="00B90D67">
        <w:t xml:space="preserve"> Bank as a rapidly growing digital financial services provider operating primarily through cloud-based platforms. The analysis identified several significant security risks, including the introduction of Bring Your Own Device (BYOD) policies, reliance on cloud infrastructure, exposure to insider threats, and the absence of a structured governance and risk management framework. These issues highlight the importance of implementing comprehensive security strategies that protect sensitive financial and personal data while ensuring regulatory compliance.</w:t>
      </w:r>
    </w:p>
    <w:p w14:paraId="3ED0FC79" w14:textId="77777777" w:rsidR="00C60F9E" w:rsidRPr="00B90D67" w:rsidRDefault="00C60F9E" w:rsidP="00C60F9E">
      <w:r w:rsidRPr="00B90D67">
        <w:t xml:space="preserve">The report reviewed several widely recognised security frameworks, including ISO 27001, the NIST Cybersecurity Framework, ITIL, and COBIT, each of which provides valuable guidance for improving organisational cybersecurity practices. Based on this analysis, a structured security governance model was proposed for </w:t>
      </w:r>
      <w:proofErr w:type="spellStart"/>
      <w:r w:rsidRPr="00B90D67">
        <w:t>FinSure</w:t>
      </w:r>
      <w:proofErr w:type="spellEnd"/>
      <w:r w:rsidRPr="00B90D67">
        <w:t xml:space="preserve"> Bank that integrates governance oversight, formal security policies, risk management processes, and technical protection mechanisms.</w:t>
      </w:r>
    </w:p>
    <w:p w14:paraId="7272901C" w14:textId="780BA0D4" w:rsidR="00C60F9E" w:rsidRPr="00B90D67" w:rsidRDefault="00C60F9E" w:rsidP="00C60F9E">
      <w:r w:rsidRPr="00B90D67">
        <w:t xml:space="preserve">By implementing a coordinated approach that combines governance, operational security controls, and regulatory compliance management, </w:t>
      </w:r>
      <w:proofErr w:type="spellStart"/>
      <w:r w:rsidRPr="00B90D67">
        <w:t>FinSure</w:t>
      </w:r>
      <w:proofErr w:type="spellEnd"/>
      <w:r w:rsidRPr="00B90D67">
        <w:t xml:space="preserve"> Bank can significantly strengthen its cybersecurity posture. The proposed framework supports the protection of customer data, enhances organisational accountability, and improves the organisation’s ability to detect and respond to emerging cyber threats. </w:t>
      </w:r>
      <w:r w:rsidR="004C0D06" w:rsidRPr="004C0D06">
        <w:t xml:space="preserve">Ultimately, adopting such a structured governance and security approach will enable </w:t>
      </w:r>
      <w:proofErr w:type="spellStart"/>
      <w:r w:rsidR="004C0D06" w:rsidRPr="004C0D06">
        <w:t>FinSure</w:t>
      </w:r>
      <w:proofErr w:type="spellEnd"/>
      <w:r w:rsidR="004C0D06" w:rsidRPr="004C0D06">
        <w:t xml:space="preserve"> Bank to operate securely within an increasingly complex digital financial environment while maintaining regulatory compliance and customer trust.</w:t>
      </w:r>
      <w:r w:rsidR="004C0D06">
        <w:t xml:space="preserve"> </w:t>
      </w:r>
    </w:p>
    <w:p w14:paraId="300F806D" w14:textId="77777777" w:rsidR="00C60F9E" w:rsidRDefault="00C60F9E" w:rsidP="00C60F9E"/>
    <w:p w14:paraId="39861FCA" w14:textId="77777777" w:rsidR="00C60F9E" w:rsidRDefault="00C60F9E" w:rsidP="00C60F9E"/>
    <w:p w14:paraId="2D1E3DD3" w14:textId="77777777" w:rsidR="00C60F9E" w:rsidRDefault="00C60F9E" w:rsidP="00C60F9E"/>
    <w:p w14:paraId="557120DE" w14:textId="77777777" w:rsidR="00C60F9E" w:rsidRDefault="00C60F9E" w:rsidP="00C60F9E"/>
    <w:p w14:paraId="5169E92E" w14:textId="77777777" w:rsidR="00C60F9E" w:rsidRDefault="00C60F9E" w:rsidP="00C60F9E"/>
    <w:p w14:paraId="54C2DD7A" w14:textId="77777777" w:rsidR="00C60F9E" w:rsidRDefault="00C60F9E" w:rsidP="00C60F9E"/>
    <w:p w14:paraId="657968D1" w14:textId="77777777" w:rsidR="00C60F9E" w:rsidRDefault="00C60F9E" w:rsidP="00C60F9E"/>
    <w:p w14:paraId="7369C18E" w14:textId="77777777" w:rsidR="00C60F9E" w:rsidRDefault="00C60F9E" w:rsidP="00C60F9E"/>
    <w:p w14:paraId="3CF67368" w14:textId="77777777" w:rsidR="00C60F9E" w:rsidRDefault="00C60F9E" w:rsidP="00C60F9E"/>
    <w:p w14:paraId="4A9C6075" w14:textId="77777777" w:rsidR="00C60F9E" w:rsidRDefault="00C60F9E" w:rsidP="00C60F9E"/>
    <w:p w14:paraId="2250B95F" w14:textId="77777777" w:rsidR="00C60F9E" w:rsidRDefault="00C60F9E" w:rsidP="00C60F9E"/>
    <w:p w14:paraId="076E2CED" w14:textId="77777777" w:rsidR="00C60F9E" w:rsidRDefault="00C60F9E" w:rsidP="00C60F9E"/>
    <w:p w14:paraId="6C327756" w14:textId="77777777" w:rsidR="00C60F9E" w:rsidRPr="00854A7C" w:rsidRDefault="00C60F9E" w:rsidP="00C60F9E">
      <w:pPr>
        <w:pStyle w:val="Heading1"/>
      </w:pPr>
      <w:bookmarkStart w:id="13" w:name="_Toc225801904"/>
      <w:r w:rsidRPr="00854A7C">
        <w:lastRenderedPageBreak/>
        <w:t>References</w:t>
      </w:r>
      <w:bookmarkEnd w:id="13"/>
    </w:p>
    <w:p w14:paraId="67190F75" w14:textId="77777777" w:rsidR="00C60F9E" w:rsidRPr="00854A7C" w:rsidRDefault="00C60F9E" w:rsidP="00C60F9E">
      <w:r w:rsidRPr="00854A7C">
        <w:t xml:space="preserve">[1] National Institute of Standards and Technology, </w:t>
      </w:r>
      <w:r w:rsidRPr="00854A7C">
        <w:rPr>
          <w:i/>
          <w:iCs/>
        </w:rPr>
        <w:t>The NIST Cybersecurity Framework (CSF) 2.0</w:t>
      </w:r>
      <w:r w:rsidRPr="00854A7C">
        <w:t xml:space="preserve">. Gaithersburg, MD: NIST, Feb. 2024. </w:t>
      </w:r>
    </w:p>
    <w:p w14:paraId="4772E707" w14:textId="77777777" w:rsidR="00C60F9E" w:rsidRPr="00854A7C" w:rsidRDefault="00C60F9E" w:rsidP="00C60F9E">
      <w:r w:rsidRPr="00854A7C">
        <w:t xml:space="preserve">[2] International Organization for Standardization, </w:t>
      </w:r>
      <w:r w:rsidRPr="00854A7C">
        <w:rPr>
          <w:i/>
          <w:iCs/>
        </w:rPr>
        <w:t>ISO/IEC 27001:2022 Information security, cybersecurity and privacy protection — Information security management systems — Requirements</w:t>
      </w:r>
      <w:r w:rsidRPr="00854A7C">
        <w:t xml:space="preserve">. Geneva: ISO, 2022. </w:t>
      </w:r>
    </w:p>
    <w:p w14:paraId="1E15C41F" w14:textId="77777777" w:rsidR="00C60F9E" w:rsidRPr="00854A7C" w:rsidRDefault="00C60F9E" w:rsidP="00C60F9E">
      <w:r w:rsidRPr="00854A7C">
        <w:t xml:space="preserve">[3] International Organization for Standardization, </w:t>
      </w:r>
      <w:r w:rsidRPr="00854A7C">
        <w:rPr>
          <w:i/>
          <w:iCs/>
        </w:rPr>
        <w:t>ISO/IEC 27000 family — Information security management</w:t>
      </w:r>
      <w:r w:rsidRPr="00854A7C">
        <w:t xml:space="preserve">. Geneva: ISO. </w:t>
      </w:r>
    </w:p>
    <w:p w14:paraId="4411A52A" w14:textId="77777777" w:rsidR="00C60F9E" w:rsidRPr="00854A7C" w:rsidRDefault="00C60F9E" w:rsidP="00C60F9E">
      <w:r w:rsidRPr="00854A7C">
        <w:t xml:space="preserve">[4] ISACA, </w:t>
      </w:r>
      <w:r w:rsidRPr="00854A7C">
        <w:rPr>
          <w:i/>
          <w:iCs/>
        </w:rPr>
        <w:t>COBIT 2019 Framework: Governance and Management Objectives</w:t>
      </w:r>
      <w:r w:rsidRPr="00854A7C">
        <w:t xml:space="preserve">. Schaumburg, IL: ISACA, 2019. </w:t>
      </w:r>
    </w:p>
    <w:p w14:paraId="73FA162B" w14:textId="77777777" w:rsidR="00C60F9E" w:rsidRPr="00854A7C" w:rsidRDefault="00C60F9E" w:rsidP="00C60F9E">
      <w:r w:rsidRPr="00854A7C">
        <w:t xml:space="preserve">[5] European Union, </w:t>
      </w:r>
      <w:r w:rsidRPr="00854A7C">
        <w:rPr>
          <w:i/>
          <w:iCs/>
        </w:rPr>
        <w:t>Regulation (EU) 2016/679 of the European Parliament and of the Council of 27 April 2016 (General Data Protection Regulation)</w:t>
      </w:r>
      <w:r w:rsidRPr="00854A7C">
        <w:t xml:space="preserve">. Official Journal of the European Union, 2016. </w:t>
      </w:r>
    </w:p>
    <w:p w14:paraId="5C316EA0" w14:textId="77777777" w:rsidR="00C60F9E" w:rsidRPr="00854A7C" w:rsidRDefault="00C60F9E" w:rsidP="00C60F9E">
      <w:r w:rsidRPr="00854A7C">
        <w:t xml:space="preserve">[6] European Union, </w:t>
      </w:r>
      <w:r w:rsidRPr="00854A7C">
        <w:rPr>
          <w:i/>
          <w:iCs/>
        </w:rPr>
        <w:t>Regulation (EU) 2022/2554 of the European Parliament and of the Council of 14 December 2022 on digital operational resilience for the financial sector (DORA)</w:t>
      </w:r>
      <w:r w:rsidRPr="00854A7C">
        <w:t xml:space="preserve">. Official Journal of the European Union, 2022. </w:t>
      </w:r>
    </w:p>
    <w:p w14:paraId="6F6DC577" w14:textId="77777777" w:rsidR="00C60F9E" w:rsidRPr="00854A7C" w:rsidRDefault="00C60F9E" w:rsidP="00C60F9E">
      <w:r w:rsidRPr="00854A7C">
        <w:t xml:space="preserve">[7] European Union Agency for Cybersecurity (ENISA), </w:t>
      </w:r>
      <w:r w:rsidRPr="00854A7C">
        <w:rPr>
          <w:i/>
          <w:iCs/>
        </w:rPr>
        <w:t>Secure Use of Cloud Computing in the Finance Sector</w:t>
      </w:r>
      <w:r w:rsidRPr="00854A7C">
        <w:t xml:space="preserve">. Heraklion: ENISA, 2015. </w:t>
      </w:r>
    </w:p>
    <w:p w14:paraId="613D6229" w14:textId="77777777" w:rsidR="00C60F9E" w:rsidRPr="00854A7C" w:rsidRDefault="00C60F9E" w:rsidP="00C60F9E">
      <w:r w:rsidRPr="00854A7C">
        <w:t xml:space="preserve">[8] European Union Agency for Cybersecurity (ENISA), </w:t>
      </w:r>
      <w:r w:rsidRPr="00854A7C">
        <w:rPr>
          <w:i/>
          <w:iCs/>
        </w:rPr>
        <w:t>Consumerization of IT: Risk Mitigation Strategies and Good Practices</w:t>
      </w:r>
      <w:r w:rsidRPr="00854A7C">
        <w:t xml:space="preserve"> [BYOD guidance]. Heraklion: ENISA, 2012. </w:t>
      </w:r>
    </w:p>
    <w:p w14:paraId="0AEBA985" w14:textId="77777777" w:rsidR="00C60F9E" w:rsidRPr="00854A7C" w:rsidRDefault="00C60F9E" w:rsidP="00C60F9E">
      <w:r w:rsidRPr="00854A7C">
        <w:t xml:space="preserve">[9] G. </w:t>
      </w:r>
      <w:proofErr w:type="spellStart"/>
      <w:r w:rsidRPr="00854A7C">
        <w:t>Dorfleitner</w:t>
      </w:r>
      <w:proofErr w:type="spellEnd"/>
      <w:r w:rsidRPr="00854A7C">
        <w:t xml:space="preserve">, L. Hornuf, M. Weber, and M. Wimmer, “Promise not fulfilled: FinTech, data privacy, and the GDPR,” </w:t>
      </w:r>
      <w:r w:rsidRPr="00854A7C">
        <w:rPr>
          <w:i/>
          <w:iCs/>
        </w:rPr>
        <w:t>Electronic Markets</w:t>
      </w:r>
      <w:r w:rsidRPr="00854A7C">
        <w:t xml:space="preserve">, vol. 33, 2023. </w:t>
      </w:r>
    </w:p>
    <w:p w14:paraId="0DD31901" w14:textId="77777777" w:rsidR="00C60F9E" w:rsidRPr="00854A7C" w:rsidRDefault="00C60F9E" w:rsidP="00C60F9E">
      <w:r w:rsidRPr="00854A7C">
        <w:t xml:space="preserve">[10] S. Cheng, “Cybersecurity governance and digital finance,” </w:t>
      </w:r>
      <w:r w:rsidRPr="00854A7C">
        <w:rPr>
          <w:i/>
          <w:iCs/>
        </w:rPr>
        <w:t>Finance Research Letters</w:t>
      </w:r>
      <w:r w:rsidRPr="00854A7C">
        <w:t xml:space="preserve">, 2024. </w:t>
      </w:r>
    </w:p>
    <w:p w14:paraId="7672EBFD" w14:textId="77777777" w:rsidR="00C60F9E" w:rsidRPr="00854A7C" w:rsidRDefault="00C60F9E" w:rsidP="00C60F9E">
      <w:r w:rsidRPr="00854A7C">
        <w:t xml:space="preserve">[11] A. T. </w:t>
      </w:r>
      <w:proofErr w:type="spellStart"/>
      <w:r w:rsidRPr="00854A7C">
        <w:t>Ayedh</w:t>
      </w:r>
      <w:proofErr w:type="spellEnd"/>
      <w:r w:rsidRPr="00854A7C">
        <w:t xml:space="preserve"> M. et al., “Systematic Literature Review on Security Access Control and Policy for Bring Your Own Device (BYOD),” </w:t>
      </w:r>
      <w:r w:rsidRPr="00854A7C">
        <w:rPr>
          <w:i/>
          <w:iCs/>
        </w:rPr>
        <w:t>Applied Sciences</w:t>
      </w:r>
      <w:r w:rsidRPr="00854A7C">
        <w:t xml:space="preserve">, vol. 13, no. 14, 2023. </w:t>
      </w:r>
    </w:p>
    <w:p w14:paraId="31D444B1" w14:textId="77777777" w:rsidR="00C60F9E" w:rsidRPr="00854A7C" w:rsidRDefault="00C60F9E" w:rsidP="00C60F9E">
      <w:r w:rsidRPr="00854A7C">
        <w:t xml:space="preserve">[12] A. A. </w:t>
      </w:r>
      <w:proofErr w:type="spellStart"/>
      <w:r w:rsidRPr="00854A7C">
        <w:t>Bahaddad</w:t>
      </w:r>
      <w:proofErr w:type="spellEnd"/>
      <w:r w:rsidRPr="00854A7C">
        <w:t xml:space="preserve">, K. A. </w:t>
      </w:r>
      <w:proofErr w:type="spellStart"/>
      <w:r w:rsidRPr="00854A7C">
        <w:t>Almarhabi</w:t>
      </w:r>
      <w:proofErr w:type="spellEnd"/>
      <w:r w:rsidRPr="00854A7C">
        <w:t xml:space="preserve">, and A. M. Alghamdi, “Factors Affecting Information Security and the Implementation of Bring Your Own Device (BYOD) Programmes,” </w:t>
      </w:r>
      <w:r w:rsidRPr="00854A7C">
        <w:rPr>
          <w:i/>
          <w:iCs/>
        </w:rPr>
        <w:t>Applied Sciences</w:t>
      </w:r>
      <w:r w:rsidRPr="00854A7C">
        <w:t xml:space="preserve">, vol. 12, no. 24, 2022. </w:t>
      </w:r>
    </w:p>
    <w:p w14:paraId="375C16D7" w14:textId="77777777" w:rsidR="00C60F9E" w:rsidRPr="00854A7C" w:rsidRDefault="00C60F9E" w:rsidP="00C60F9E">
      <w:r w:rsidRPr="00854A7C">
        <w:t xml:space="preserve">[13] I. </w:t>
      </w:r>
      <w:proofErr w:type="spellStart"/>
      <w:r w:rsidRPr="00854A7C">
        <w:t>Homoliak</w:t>
      </w:r>
      <w:proofErr w:type="spellEnd"/>
      <w:r w:rsidRPr="00854A7C">
        <w:t xml:space="preserve">, F. Toffalini, J. Guarnizo, Y. </w:t>
      </w:r>
      <w:proofErr w:type="spellStart"/>
      <w:r w:rsidRPr="00854A7C">
        <w:t>Elovici</w:t>
      </w:r>
      <w:proofErr w:type="spellEnd"/>
      <w:r w:rsidRPr="00854A7C">
        <w:t xml:space="preserve">, and M. Ochoa, “A Survey of Insider Threat Taxonomies, Analysis, </w:t>
      </w:r>
      <w:proofErr w:type="spellStart"/>
      <w:r w:rsidRPr="00854A7C">
        <w:t>Modeling</w:t>
      </w:r>
      <w:proofErr w:type="spellEnd"/>
      <w:r w:rsidRPr="00854A7C">
        <w:t xml:space="preserve">, and Countermeasures,” </w:t>
      </w:r>
      <w:r w:rsidRPr="00854A7C">
        <w:rPr>
          <w:i/>
          <w:iCs/>
        </w:rPr>
        <w:t>ACM Computing Surveys</w:t>
      </w:r>
      <w:r w:rsidRPr="00854A7C">
        <w:t xml:space="preserve">, vol. 52, no. 2, 2019. </w:t>
      </w:r>
    </w:p>
    <w:p w14:paraId="62E4F618" w14:textId="77777777" w:rsidR="00C60F9E" w:rsidRPr="00854A7C" w:rsidRDefault="00C60F9E" w:rsidP="00C60F9E">
      <w:r w:rsidRPr="00854A7C">
        <w:t xml:space="preserve">[14] D. </w:t>
      </w:r>
      <w:proofErr w:type="spellStart"/>
      <w:r w:rsidRPr="00854A7C">
        <w:t>Tsiostas</w:t>
      </w:r>
      <w:proofErr w:type="spellEnd"/>
      <w:r w:rsidRPr="00854A7C">
        <w:t xml:space="preserve"> and B. Katos, “The Insider Threat: Reasons, Effects and Mitigation Strategies,” in </w:t>
      </w:r>
      <w:r w:rsidRPr="00854A7C">
        <w:rPr>
          <w:i/>
          <w:iCs/>
        </w:rPr>
        <w:t>Proceedings of the 15th International Conference on Availability, Reliability and Security</w:t>
      </w:r>
      <w:r w:rsidRPr="00854A7C">
        <w:t xml:space="preserve">, 2020. </w:t>
      </w:r>
    </w:p>
    <w:p w14:paraId="04C1D535" w14:textId="77777777" w:rsidR="00C60F9E" w:rsidRPr="00854A7C" w:rsidRDefault="00C60F9E" w:rsidP="00C60F9E">
      <w:r w:rsidRPr="00854A7C">
        <w:t xml:space="preserve">[15] C. Daah, J. M. Corchado, and others, “Enhancing Zero Trust Models in the Financial Industry,” </w:t>
      </w:r>
      <w:r w:rsidRPr="00854A7C">
        <w:rPr>
          <w:i/>
          <w:iCs/>
        </w:rPr>
        <w:t>Electronics</w:t>
      </w:r>
      <w:r w:rsidRPr="00854A7C">
        <w:t xml:space="preserve">, vol. 13, no. 5, 2024. </w:t>
      </w:r>
    </w:p>
    <w:p w14:paraId="1B1D079B" w14:textId="77777777" w:rsidR="00C60F9E" w:rsidRPr="00854A7C" w:rsidRDefault="00C60F9E" w:rsidP="00C60F9E">
      <w:r w:rsidRPr="00854A7C">
        <w:t xml:space="preserve">[16] M. Gounari, G. Stergiopoulos, K. </w:t>
      </w:r>
      <w:proofErr w:type="spellStart"/>
      <w:r w:rsidRPr="00854A7C">
        <w:t>Pipyros</w:t>
      </w:r>
      <w:proofErr w:type="spellEnd"/>
      <w:r w:rsidRPr="00854A7C">
        <w:t xml:space="preserve">, and D. </w:t>
      </w:r>
      <w:proofErr w:type="spellStart"/>
      <w:r w:rsidRPr="00854A7C">
        <w:t>Gritzalis</w:t>
      </w:r>
      <w:proofErr w:type="spellEnd"/>
      <w:r w:rsidRPr="00854A7C">
        <w:t xml:space="preserve">, “Harmonizing open banking in the European Union: an analysis of PSD2 compliance and interrelation with cybersecurity frameworks and standards,” </w:t>
      </w:r>
      <w:r w:rsidRPr="00854A7C">
        <w:rPr>
          <w:i/>
          <w:iCs/>
        </w:rPr>
        <w:t>International Cybersecurity Law Review</w:t>
      </w:r>
      <w:r w:rsidRPr="00854A7C">
        <w:t xml:space="preserve">, 2024. </w:t>
      </w:r>
    </w:p>
    <w:p w14:paraId="50B993D4" w14:textId="77777777" w:rsidR="00C60F9E" w:rsidRDefault="00C60F9E"/>
    <w:sectPr w:rsidR="00C60F9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CEA1C" w14:textId="77777777" w:rsidR="00F90F14" w:rsidRDefault="00F90F14" w:rsidP="00070148">
      <w:pPr>
        <w:spacing w:after="0" w:line="240" w:lineRule="auto"/>
      </w:pPr>
      <w:r>
        <w:separator/>
      </w:r>
    </w:p>
  </w:endnote>
  <w:endnote w:type="continuationSeparator" w:id="0">
    <w:p w14:paraId="23D706D9" w14:textId="77777777" w:rsidR="00F90F14" w:rsidRDefault="00F90F14" w:rsidP="00070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198036"/>
      <w:docPartObj>
        <w:docPartGallery w:val="Page Numbers (Bottom of Page)"/>
        <w:docPartUnique/>
      </w:docPartObj>
    </w:sdtPr>
    <w:sdtEndPr>
      <w:rPr>
        <w:noProof/>
      </w:rPr>
    </w:sdtEndPr>
    <w:sdtContent>
      <w:p w14:paraId="6EB276FB" w14:textId="6D798AC8" w:rsidR="00070148" w:rsidRDefault="000701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FACA8A" w14:textId="77777777" w:rsidR="00070148" w:rsidRDefault="00070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8AA5B" w14:textId="77777777" w:rsidR="00F90F14" w:rsidRDefault="00F90F14" w:rsidP="00070148">
      <w:pPr>
        <w:spacing w:after="0" w:line="240" w:lineRule="auto"/>
      </w:pPr>
      <w:r>
        <w:separator/>
      </w:r>
    </w:p>
  </w:footnote>
  <w:footnote w:type="continuationSeparator" w:id="0">
    <w:p w14:paraId="61092112" w14:textId="77777777" w:rsidR="00F90F14" w:rsidRDefault="00F90F14" w:rsidP="00070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228D0"/>
    <w:multiLevelType w:val="hybridMultilevel"/>
    <w:tmpl w:val="10A4D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B1466"/>
    <w:multiLevelType w:val="hybridMultilevel"/>
    <w:tmpl w:val="72E2D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192476">
    <w:abstractNumId w:val="1"/>
  </w:num>
  <w:num w:numId="2" w16cid:durableId="1915780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B4E"/>
    <w:rsid w:val="00070148"/>
    <w:rsid w:val="001A2FC4"/>
    <w:rsid w:val="002C1BA8"/>
    <w:rsid w:val="0040447D"/>
    <w:rsid w:val="004C0D06"/>
    <w:rsid w:val="005E5812"/>
    <w:rsid w:val="006C339A"/>
    <w:rsid w:val="006E0129"/>
    <w:rsid w:val="0071364A"/>
    <w:rsid w:val="00766B4E"/>
    <w:rsid w:val="008D7793"/>
    <w:rsid w:val="008F64A1"/>
    <w:rsid w:val="00C60F9E"/>
    <w:rsid w:val="00DA0D97"/>
    <w:rsid w:val="00F7173B"/>
    <w:rsid w:val="00F90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F87B7"/>
  <w15:chartTrackingRefBased/>
  <w15:docId w15:val="{F253C2B0-15B1-4A40-802C-F714591AB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9E"/>
  </w:style>
  <w:style w:type="paragraph" w:styleId="Heading1">
    <w:name w:val="heading 1"/>
    <w:basedOn w:val="Normal"/>
    <w:next w:val="Normal"/>
    <w:link w:val="Heading1Char"/>
    <w:uiPriority w:val="9"/>
    <w:qFormat/>
    <w:rsid w:val="00766B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6B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6B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6B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6B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6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B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6B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6B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6B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6B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6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B4E"/>
    <w:rPr>
      <w:rFonts w:eastAsiaTheme="majorEastAsia" w:cstheme="majorBidi"/>
      <w:color w:val="272727" w:themeColor="text1" w:themeTint="D8"/>
    </w:rPr>
  </w:style>
  <w:style w:type="paragraph" w:styleId="Title">
    <w:name w:val="Title"/>
    <w:basedOn w:val="Normal"/>
    <w:next w:val="Normal"/>
    <w:link w:val="TitleChar"/>
    <w:uiPriority w:val="10"/>
    <w:qFormat/>
    <w:rsid w:val="00766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6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6B4E"/>
    <w:pPr>
      <w:spacing w:before="160"/>
      <w:jc w:val="center"/>
    </w:pPr>
    <w:rPr>
      <w:i/>
      <w:iCs/>
      <w:color w:val="404040" w:themeColor="text1" w:themeTint="BF"/>
    </w:rPr>
  </w:style>
  <w:style w:type="character" w:customStyle="1" w:styleId="QuoteChar">
    <w:name w:val="Quote Char"/>
    <w:basedOn w:val="DefaultParagraphFont"/>
    <w:link w:val="Quote"/>
    <w:uiPriority w:val="29"/>
    <w:rsid w:val="00766B4E"/>
    <w:rPr>
      <w:i/>
      <w:iCs/>
      <w:color w:val="404040" w:themeColor="text1" w:themeTint="BF"/>
    </w:rPr>
  </w:style>
  <w:style w:type="paragraph" w:styleId="ListParagraph">
    <w:name w:val="List Paragraph"/>
    <w:basedOn w:val="Normal"/>
    <w:uiPriority w:val="34"/>
    <w:qFormat/>
    <w:rsid w:val="00766B4E"/>
    <w:pPr>
      <w:ind w:left="720"/>
      <w:contextualSpacing/>
    </w:pPr>
  </w:style>
  <w:style w:type="character" w:styleId="IntenseEmphasis">
    <w:name w:val="Intense Emphasis"/>
    <w:basedOn w:val="DefaultParagraphFont"/>
    <w:uiPriority w:val="21"/>
    <w:qFormat/>
    <w:rsid w:val="00766B4E"/>
    <w:rPr>
      <w:i/>
      <w:iCs/>
      <w:color w:val="2F5496" w:themeColor="accent1" w:themeShade="BF"/>
    </w:rPr>
  </w:style>
  <w:style w:type="paragraph" w:styleId="IntenseQuote">
    <w:name w:val="Intense Quote"/>
    <w:basedOn w:val="Normal"/>
    <w:next w:val="Normal"/>
    <w:link w:val="IntenseQuoteChar"/>
    <w:uiPriority w:val="30"/>
    <w:qFormat/>
    <w:rsid w:val="00766B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6B4E"/>
    <w:rPr>
      <w:i/>
      <w:iCs/>
      <w:color w:val="2F5496" w:themeColor="accent1" w:themeShade="BF"/>
    </w:rPr>
  </w:style>
  <w:style w:type="character" w:styleId="IntenseReference">
    <w:name w:val="Intense Reference"/>
    <w:basedOn w:val="DefaultParagraphFont"/>
    <w:uiPriority w:val="32"/>
    <w:qFormat/>
    <w:rsid w:val="00766B4E"/>
    <w:rPr>
      <w:b/>
      <w:bCs/>
      <w:smallCaps/>
      <w:color w:val="2F5496" w:themeColor="accent1" w:themeShade="BF"/>
      <w:spacing w:val="5"/>
    </w:rPr>
  </w:style>
  <w:style w:type="paragraph" w:styleId="TOCHeading">
    <w:name w:val="TOC Heading"/>
    <w:basedOn w:val="Heading1"/>
    <w:next w:val="Normal"/>
    <w:uiPriority w:val="39"/>
    <w:unhideWhenUsed/>
    <w:qFormat/>
    <w:rsid w:val="0007014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70148"/>
    <w:pPr>
      <w:spacing w:after="100"/>
    </w:pPr>
  </w:style>
  <w:style w:type="paragraph" w:styleId="TOC2">
    <w:name w:val="toc 2"/>
    <w:basedOn w:val="Normal"/>
    <w:next w:val="Normal"/>
    <w:autoRedefine/>
    <w:uiPriority w:val="39"/>
    <w:unhideWhenUsed/>
    <w:rsid w:val="00070148"/>
    <w:pPr>
      <w:spacing w:after="100"/>
      <w:ind w:left="220"/>
    </w:pPr>
  </w:style>
  <w:style w:type="character" w:styleId="Hyperlink">
    <w:name w:val="Hyperlink"/>
    <w:basedOn w:val="DefaultParagraphFont"/>
    <w:uiPriority w:val="99"/>
    <w:unhideWhenUsed/>
    <w:rsid w:val="00070148"/>
    <w:rPr>
      <w:color w:val="0563C1" w:themeColor="hyperlink"/>
      <w:u w:val="single"/>
    </w:rPr>
  </w:style>
  <w:style w:type="paragraph" w:styleId="Header">
    <w:name w:val="header"/>
    <w:basedOn w:val="Normal"/>
    <w:link w:val="HeaderChar"/>
    <w:uiPriority w:val="99"/>
    <w:unhideWhenUsed/>
    <w:rsid w:val="00070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148"/>
  </w:style>
  <w:style w:type="paragraph" w:styleId="Footer">
    <w:name w:val="footer"/>
    <w:basedOn w:val="Normal"/>
    <w:link w:val="FooterChar"/>
    <w:uiPriority w:val="99"/>
    <w:unhideWhenUsed/>
    <w:rsid w:val="00070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E84FA4-982F-4E45-96C7-7B3CD23B35C9}"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931616D-3AEB-4632-8E5C-3F0D6BED63EB}">
      <dgm:prSet phldrT="[Text]"/>
      <dgm:spPr/>
      <dgm:t>
        <a:bodyPr/>
        <a:lstStyle/>
        <a:p>
          <a:pPr>
            <a:buNone/>
          </a:pPr>
          <a:r>
            <a:rPr lang="en-GB"/>
            <a:t>Board of Directors</a:t>
          </a:r>
        </a:p>
      </dgm:t>
    </dgm:pt>
    <dgm:pt modelId="{F574BB30-5F92-4126-8569-7BE190669811}" type="parTrans" cxnId="{D3EDC699-F8C7-47F9-9661-6837A2349DE6}">
      <dgm:prSet/>
      <dgm:spPr/>
      <dgm:t>
        <a:bodyPr/>
        <a:lstStyle/>
        <a:p>
          <a:endParaRPr lang="en-GB"/>
        </a:p>
      </dgm:t>
    </dgm:pt>
    <dgm:pt modelId="{1889D99C-18C5-4540-B6A2-40E746EAB00E}" type="sibTrans" cxnId="{D3EDC699-F8C7-47F9-9661-6837A2349DE6}">
      <dgm:prSet/>
      <dgm:spPr/>
      <dgm:t>
        <a:bodyPr/>
        <a:lstStyle/>
        <a:p>
          <a:endParaRPr lang="en-GB"/>
        </a:p>
      </dgm:t>
    </dgm:pt>
    <dgm:pt modelId="{16BFA52F-C253-4462-A8F9-6C4A5083AB92}">
      <dgm:prSet phldrT="[Text]"/>
      <dgm:spPr/>
      <dgm:t>
        <a:bodyPr/>
        <a:lstStyle/>
        <a:p>
          <a:pPr>
            <a:buNone/>
          </a:pPr>
          <a:r>
            <a:rPr lang="en-GB"/>
            <a:t>Executive Management</a:t>
          </a:r>
        </a:p>
      </dgm:t>
    </dgm:pt>
    <dgm:pt modelId="{FEDBB772-3599-46F0-B7A2-5AD74BECF7E7}" type="parTrans" cxnId="{590DF4DD-C746-4DA9-9EE4-D3A37B7EE711}">
      <dgm:prSet/>
      <dgm:spPr/>
      <dgm:t>
        <a:bodyPr/>
        <a:lstStyle/>
        <a:p>
          <a:endParaRPr lang="en-GB"/>
        </a:p>
      </dgm:t>
    </dgm:pt>
    <dgm:pt modelId="{0634CFEB-24EE-472C-B3A0-713D972099A3}" type="sibTrans" cxnId="{590DF4DD-C746-4DA9-9EE4-D3A37B7EE711}">
      <dgm:prSet/>
      <dgm:spPr/>
      <dgm:t>
        <a:bodyPr/>
        <a:lstStyle/>
        <a:p>
          <a:endParaRPr lang="en-GB"/>
        </a:p>
      </dgm:t>
    </dgm:pt>
    <dgm:pt modelId="{847A203E-B67E-48AA-A02C-151B430AF776}">
      <dgm:prSet phldrT="[Text]"/>
      <dgm:spPr/>
      <dgm:t>
        <a:bodyPr/>
        <a:lstStyle/>
        <a:p>
          <a:pPr>
            <a:buNone/>
          </a:pPr>
          <a:r>
            <a:rPr lang="en-GB"/>
            <a:t>Chief Information Security Officer (CISO)</a:t>
          </a:r>
        </a:p>
      </dgm:t>
    </dgm:pt>
    <dgm:pt modelId="{3C5DCDB9-DDF4-4F40-BDC0-1C6E3B76652B}" type="parTrans" cxnId="{83D7CC24-5683-47B2-809A-3C9781EF9C9F}">
      <dgm:prSet/>
      <dgm:spPr/>
      <dgm:t>
        <a:bodyPr/>
        <a:lstStyle/>
        <a:p>
          <a:endParaRPr lang="en-GB"/>
        </a:p>
      </dgm:t>
    </dgm:pt>
    <dgm:pt modelId="{CC63CA68-9FE5-44ED-A91B-49ED78FF6569}" type="sibTrans" cxnId="{83D7CC24-5683-47B2-809A-3C9781EF9C9F}">
      <dgm:prSet/>
      <dgm:spPr/>
      <dgm:t>
        <a:bodyPr/>
        <a:lstStyle/>
        <a:p>
          <a:endParaRPr lang="en-GB"/>
        </a:p>
      </dgm:t>
    </dgm:pt>
    <dgm:pt modelId="{B9E8143A-3257-45D1-8A1E-C3566DF691F9}">
      <dgm:prSet phldrT="[Text]"/>
      <dgm:spPr/>
      <dgm:t>
        <a:bodyPr/>
        <a:lstStyle/>
        <a:p>
          <a:pPr>
            <a:buNone/>
          </a:pPr>
          <a:r>
            <a:rPr lang="en-GB"/>
            <a:t>Security Operations</a:t>
          </a:r>
        </a:p>
      </dgm:t>
    </dgm:pt>
    <dgm:pt modelId="{B8237CD9-C330-4F93-9919-9FA0CBC43A8C}" type="parTrans" cxnId="{60BDCE7C-4364-4C50-9815-94DF20E48C07}">
      <dgm:prSet/>
      <dgm:spPr/>
      <dgm:t>
        <a:bodyPr/>
        <a:lstStyle/>
        <a:p>
          <a:endParaRPr lang="en-GB"/>
        </a:p>
      </dgm:t>
    </dgm:pt>
    <dgm:pt modelId="{D652B994-AED4-4DD1-832A-3B91EEEE93AE}" type="sibTrans" cxnId="{60BDCE7C-4364-4C50-9815-94DF20E48C07}">
      <dgm:prSet/>
      <dgm:spPr/>
      <dgm:t>
        <a:bodyPr/>
        <a:lstStyle/>
        <a:p>
          <a:endParaRPr lang="en-GB"/>
        </a:p>
      </dgm:t>
    </dgm:pt>
    <dgm:pt modelId="{059E780F-EEE0-468F-AEB1-18A38166C1DB}">
      <dgm:prSet phldrT="[Text]"/>
      <dgm:spPr/>
      <dgm:t>
        <a:bodyPr/>
        <a:lstStyle/>
        <a:p>
          <a:pPr>
            <a:buNone/>
          </a:pPr>
          <a:r>
            <a:rPr lang="en-GB"/>
            <a:t>Risk &amp; Compliance</a:t>
          </a:r>
        </a:p>
      </dgm:t>
    </dgm:pt>
    <dgm:pt modelId="{D54076A1-EEDA-46B6-84B5-5EC8692330D7}" type="parTrans" cxnId="{05C8ADE5-2957-425C-A359-1EEEBAE0EC2D}">
      <dgm:prSet/>
      <dgm:spPr/>
      <dgm:t>
        <a:bodyPr/>
        <a:lstStyle/>
        <a:p>
          <a:endParaRPr lang="en-GB"/>
        </a:p>
      </dgm:t>
    </dgm:pt>
    <dgm:pt modelId="{FF584FD1-350B-4223-BAAF-60ACFE585614}" type="sibTrans" cxnId="{05C8ADE5-2957-425C-A359-1EEEBAE0EC2D}">
      <dgm:prSet/>
      <dgm:spPr/>
      <dgm:t>
        <a:bodyPr/>
        <a:lstStyle/>
        <a:p>
          <a:endParaRPr lang="en-GB"/>
        </a:p>
      </dgm:t>
    </dgm:pt>
    <dgm:pt modelId="{D8601AE0-6E03-4C0F-B01B-DF772F35F6F2}">
      <dgm:prSet phldrT="[Text]"/>
      <dgm:spPr/>
      <dgm:t>
        <a:bodyPr/>
        <a:lstStyle/>
        <a:p>
          <a:pPr>
            <a:buNone/>
          </a:pPr>
          <a:r>
            <a:rPr lang="en-GB"/>
            <a:t>IT Operations </a:t>
          </a:r>
        </a:p>
      </dgm:t>
    </dgm:pt>
    <dgm:pt modelId="{91E7424F-9F1C-4374-93EE-13E7E22C9813}" type="parTrans" cxnId="{884A379B-8EC4-422B-8F7A-A7CD0D606675}">
      <dgm:prSet/>
      <dgm:spPr/>
      <dgm:t>
        <a:bodyPr/>
        <a:lstStyle/>
        <a:p>
          <a:endParaRPr lang="en-GB"/>
        </a:p>
      </dgm:t>
    </dgm:pt>
    <dgm:pt modelId="{64E807AE-B239-4927-B098-0DF882C03EBB}" type="sibTrans" cxnId="{884A379B-8EC4-422B-8F7A-A7CD0D606675}">
      <dgm:prSet/>
      <dgm:spPr/>
      <dgm:t>
        <a:bodyPr/>
        <a:lstStyle/>
        <a:p>
          <a:endParaRPr lang="en-GB"/>
        </a:p>
      </dgm:t>
    </dgm:pt>
    <dgm:pt modelId="{988748BA-B21D-48F3-9328-C8E01D2E9BEA}">
      <dgm:prSet phldrT="[Text]"/>
      <dgm:spPr/>
      <dgm:t>
        <a:bodyPr/>
        <a:lstStyle/>
        <a:p>
          <a:pPr>
            <a:buNone/>
          </a:pPr>
          <a:r>
            <a:rPr lang="en-GB"/>
            <a:t>Internal Audit</a:t>
          </a:r>
        </a:p>
      </dgm:t>
    </dgm:pt>
    <dgm:pt modelId="{FFC70318-FE90-4E1D-886A-3B1A7A86BC7E}" type="parTrans" cxnId="{F45DCD88-3D09-46E9-A56C-DBE525AEA58A}">
      <dgm:prSet/>
      <dgm:spPr/>
      <dgm:t>
        <a:bodyPr/>
        <a:lstStyle/>
        <a:p>
          <a:endParaRPr lang="en-GB"/>
        </a:p>
      </dgm:t>
    </dgm:pt>
    <dgm:pt modelId="{FFF27BB6-CDE0-4956-99DD-88441364CA29}" type="sibTrans" cxnId="{F45DCD88-3D09-46E9-A56C-DBE525AEA58A}">
      <dgm:prSet/>
      <dgm:spPr/>
      <dgm:t>
        <a:bodyPr/>
        <a:lstStyle/>
        <a:p>
          <a:endParaRPr lang="en-GB"/>
        </a:p>
      </dgm:t>
    </dgm:pt>
    <dgm:pt modelId="{D058EB26-2B40-488E-AD46-C671A1755033}">
      <dgm:prSet phldrT="[Text]"/>
      <dgm:spPr/>
      <dgm:t>
        <a:bodyPr/>
        <a:lstStyle/>
        <a:p>
          <a:pPr>
            <a:buNone/>
          </a:pPr>
          <a:r>
            <a:rPr lang="en-GB"/>
            <a:t>System Users (Employees, Contractors, Third-Party Partners)</a:t>
          </a:r>
        </a:p>
      </dgm:t>
    </dgm:pt>
    <dgm:pt modelId="{4CDCE933-1284-4978-AAD2-F074305EF943}" type="parTrans" cxnId="{0203E3FD-A9F6-44E3-93D0-C6DB49E0085E}">
      <dgm:prSet/>
      <dgm:spPr/>
      <dgm:t>
        <a:bodyPr/>
        <a:lstStyle/>
        <a:p>
          <a:endParaRPr lang="en-GB"/>
        </a:p>
      </dgm:t>
    </dgm:pt>
    <dgm:pt modelId="{8CB9371C-9119-4DAA-852F-3B627D0B5C10}" type="sibTrans" cxnId="{0203E3FD-A9F6-44E3-93D0-C6DB49E0085E}">
      <dgm:prSet/>
      <dgm:spPr/>
      <dgm:t>
        <a:bodyPr/>
        <a:lstStyle/>
        <a:p>
          <a:endParaRPr lang="en-GB"/>
        </a:p>
      </dgm:t>
    </dgm:pt>
    <dgm:pt modelId="{FF8AA84E-84D0-48EE-B4FA-EA3F1B256012}" type="pres">
      <dgm:prSet presAssocID="{DBE84FA4-982F-4E45-96C7-7B3CD23B35C9}" presName="hierChild1" presStyleCnt="0">
        <dgm:presLayoutVars>
          <dgm:chPref val="1"/>
          <dgm:dir/>
          <dgm:animOne val="branch"/>
          <dgm:animLvl val="lvl"/>
          <dgm:resizeHandles/>
        </dgm:presLayoutVars>
      </dgm:prSet>
      <dgm:spPr/>
    </dgm:pt>
    <dgm:pt modelId="{83ABCF67-2A40-4C1E-A6DC-ADC046971EA7}" type="pres">
      <dgm:prSet presAssocID="{F931616D-3AEB-4632-8E5C-3F0D6BED63EB}" presName="hierRoot1" presStyleCnt="0"/>
      <dgm:spPr/>
    </dgm:pt>
    <dgm:pt modelId="{D5997907-8F66-4FF3-AB67-8E2CE985F74B}" type="pres">
      <dgm:prSet presAssocID="{F931616D-3AEB-4632-8E5C-3F0D6BED63EB}" presName="composite" presStyleCnt="0"/>
      <dgm:spPr/>
    </dgm:pt>
    <dgm:pt modelId="{76120961-9E67-4F66-BDC3-0B903573E834}" type="pres">
      <dgm:prSet presAssocID="{F931616D-3AEB-4632-8E5C-3F0D6BED63EB}" presName="background" presStyleLbl="node0" presStyleIdx="0" presStyleCnt="1"/>
      <dgm:spPr/>
    </dgm:pt>
    <dgm:pt modelId="{DF0DCBE8-CFAA-4782-912D-A1FA574D9920}" type="pres">
      <dgm:prSet presAssocID="{F931616D-3AEB-4632-8E5C-3F0D6BED63EB}" presName="text" presStyleLbl="fgAcc0" presStyleIdx="0" presStyleCnt="1" custLinFactNeighborX="3127" custLinFactNeighborY="-75070">
        <dgm:presLayoutVars>
          <dgm:chPref val="3"/>
        </dgm:presLayoutVars>
      </dgm:prSet>
      <dgm:spPr/>
    </dgm:pt>
    <dgm:pt modelId="{53A0106F-D49F-4987-AE18-FEEA682A6D83}" type="pres">
      <dgm:prSet presAssocID="{F931616D-3AEB-4632-8E5C-3F0D6BED63EB}" presName="hierChild2" presStyleCnt="0"/>
      <dgm:spPr/>
    </dgm:pt>
    <dgm:pt modelId="{CF86E33B-22B9-4E42-95F0-5FBB8DEBCAE2}" type="pres">
      <dgm:prSet presAssocID="{FEDBB772-3599-46F0-B7A2-5AD74BECF7E7}" presName="Name10" presStyleLbl="parChTrans1D2" presStyleIdx="0" presStyleCnt="1"/>
      <dgm:spPr/>
    </dgm:pt>
    <dgm:pt modelId="{147A5C6D-C2C2-4D31-B836-0E64527A7DF3}" type="pres">
      <dgm:prSet presAssocID="{16BFA52F-C253-4462-A8F9-6C4A5083AB92}" presName="hierRoot2" presStyleCnt="0"/>
      <dgm:spPr/>
    </dgm:pt>
    <dgm:pt modelId="{88E0F679-51ED-4908-A887-5DA0CDE45D1E}" type="pres">
      <dgm:prSet presAssocID="{16BFA52F-C253-4462-A8F9-6C4A5083AB92}" presName="composite2" presStyleCnt="0"/>
      <dgm:spPr/>
    </dgm:pt>
    <dgm:pt modelId="{A7BFDE70-6592-40EE-B4A6-14540410624B}" type="pres">
      <dgm:prSet presAssocID="{16BFA52F-C253-4462-A8F9-6C4A5083AB92}" presName="background2" presStyleLbl="node2" presStyleIdx="0" presStyleCnt="1"/>
      <dgm:spPr/>
    </dgm:pt>
    <dgm:pt modelId="{BD7120FD-E1A4-4D14-8101-78E88E07121D}" type="pres">
      <dgm:prSet presAssocID="{16BFA52F-C253-4462-A8F9-6C4A5083AB92}" presName="text2" presStyleLbl="fgAcc2" presStyleIdx="0" presStyleCnt="1" custLinFactNeighborX="3230" custLinFactNeighborY="-95665">
        <dgm:presLayoutVars>
          <dgm:chPref val="3"/>
        </dgm:presLayoutVars>
      </dgm:prSet>
      <dgm:spPr/>
    </dgm:pt>
    <dgm:pt modelId="{52FD7DDA-86A0-4F4E-A980-CD91B51A3835}" type="pres">
      <dgm:prSet presAssocID="{16BFA52F-C253-4462-A8F9-6C4A5083AB92}" presName="hierChild3" presStyleCnt="0"/>
      <dgm:spPr/>
    </dgm:pt>
    <dgm:pt modelId="{47CD00AD-AA97-4704-9DFA-E56E81024B92}" type="pres">
      <dgm:prSet presAssocID="{3C5DCDB9-DDF4-4F40-BDC0-1C6E3B76652B}" presName="Name17" presStyleLbl="parChTrans1D3" presStyleIdx="0" presStyleCnt="1"/>
      <dgm:spPr/>
    </dgm:pt>
    <dgm:pt modelId="{2D313A35-5374-449F-8153-F4B7A94589CC}" type="pres">
      <dgm:prSet presAssocID="{847A203E-B67E-48AA-A02C-151B430AF776}" presName="hierRoot3" presStyleCnt="0"/>
      <dgm:spPr/>
    </dgm:pt>
    <dgm:pt modelId="{69B2E7D4-1CDD-480A-BFD6-FA2F1C124656}" type="pres">
      <dgm:prSet presAssocID="{847A203E-B67E-48AA-A02C-151B430AF776}" presName="composite3" presStyleCnt="0"/>
      <dgm:spPr/>
    </dgm:pt>
    <dgm:pt modelId="{B65B69CC-C241-45A3-B621-529EFF4E4B88}" type="pres">
      <dgm:prSet presAssocID="{847A203E-B67E-48AA-A02C-151B430AF776}" presName="background3" presStyleLbl="node3" presStyleIdx="0" presStyleCnt="1"/>
      <dgm:spPr/>
    </dgm:pt>
    <dgm:pt modelId="{55C3B18F-2830-4834-845C-064694ECAD5D}" type="pres">
      <dgm:prSet presAssocID="{847A203E-B67E-48AA-A02C-151B430AF776}" presName="text3" presStyleLbl="fgAcc3" presStyleIdx="0" presStyleCnt="1" custLinFactY="-16273" custLinFactNeighborX="5161" custLinFactNeighborY="-100000">
        <dgm:presLayoutVars>
          <dgm:chPref val="3"/>
        </dgm:presLayoutVars>
      </dgm:prSet>
      <dgm:spPr/>
    </dgm:pt>
    <dgm:pt modelId="{6FDD97DD-DFAA-4A92-96BA-46FB07C7CAF0}" type="pres">
      <dgm:prSet presAssocID="{847A203E-B67E-48AA-A02C-151B430AF776}" presName="hierChild4" presStyleCnt="0"/>
      <dgm:spPr/>
    </dgm:pt>
    <dgm:pt modelId="{106D697C-4AF7-459D-A4D6-9E5D99474679}" type="pres">
      <dgm:prSet presAssocID="{B8237CD9-C330-4F93-9919-9FA0CBC43A8C}" presName="Name23" presStyleLbl="parChTrans1D4" presStyleIdx="0" presStyleCnt="5"/>
      <dgm:spPr/>
    </dgm:pt>
    <dgm:pt modelId="{9C4BA12A-4734-4C99-8343-39FC97A999A1}" type="pres">
      <dgm:prSet presAssocID="{B9E8143A-3257-45D1-8A1E-C3566DF691F9}" presName="hierRoot4" presStyleCnt="0"/>
      <dgm:spPr/>
    </dgm:pt>
    <dgm:pt modelId="{5B7855C9-5325-4C8A-99C5-FB51FB91B17F}" type="pres">
      <dgm:prSet presAssocID="{B9E8143A-3257-45D1-8A1E-C3566DF691F9}" presName="composite4" presStyleCnt="0"/>
      <dgm:spPr/>
    </dgm:pt>
    <dgm:pt modelId="{480832FF-DF11-4371-92BD-2024915185F1}" type="pres">
      <dgm:prSet presAssocID="{B9E8143A-3257-45D1-8A1E-C3566DF691F9}" presName="background4" presStyleLbl="node4" presStyleIdx="0" presStyleCnt="5"/>
      <dgm:spPr/>
    </dgm:pt>
    <dgm:pt modelId="{50AF0324-C01D-4107-A493-C033E8D4F687}" type="pres">
      <dgm:prSet presAssocID="{B9E8143A-3257-45D1-8A1E-C3566DF691F9}" presName="text4" presStyleLbl="fgAcc4" presStyleIdx="0" presStyleCnt="5" custLinFactY="-7399" custLinFactNeighborX="53161" custLinFactNeighborY="-100000">
        <dgm:presLayoutVars>
          <dgm:chPref val="3"/>
        </dgm:presLayoutVars>
      </dgm:prSet>
      <dgm:spPr/>
    </dgm:pt>
    <dgm:pt modelId="{4B321C29-11F6-4C2C-B94A-EA61CFDA66B3}" type="pres">
      <dgm:prSet presAssocID="{B9E8143A-3257-45D1-8A1E-C3566DF691F9}" presName="hierChild5" presStyleCnt="0"/>
      <dgm:spPr/>
    </dgm:pt>
    <dgm:pt modelId="{76AA3588-F3C0-4466-A849-EFA2BDB964D8}" type="pres">
      <dgm:prSet presAssocID="{D54076A1-EEDA-46B6-84B5-5EC8692330D7}" presName="Name23" presStyleLbl="parChTrans1D4" presStyleIdx="1" presStyleCnt="5"/>
      <dgm:spPr/>
    </dgm:pt>
    <dgm:pt modelId="{9897F7A2-0157-401C-A298-CA75AB144138}" type="pres">
      <dgm:prSet presAssocID="{059E780F-EEE0-468F-AEB1-18A38166C1DB}" presName="hierRoot4" presStyleCnt="0"/>
      <dgm:spPr/>
    </dgm:pt>
    <dgm:pt modelId="{E043D6E0-36A3-41F3-AF8D-7DA99EA138AB}" type="pres">
      <dgm:prSet presAssocID="{059E780F-EEE0-468F-AEB1-18A38166C1DB}" presName="composite4" presStyleCnt="0"/>
      <dgm:spPr/>
    </dgm:pt>
    <dgm:pt modelId="{23BD3BF8-1196-4167-B3AD-FF54D50718E0}" type="pres">
      <dgm:prSet presAssocID="{059E780F-EEE0-468F-AEB1-18A38166C1DB}" presName="background4" presStyleLbl="node4" presStyleIdx="1" presStyleCnt="5"/>
      <dgm:spPr/>
    </dgm:pt>
    <dgm:pt modelId="{DCEBD992-B5CD-4BA7-9ECA-5BBCFE7FCA0C}" type="pres">
      <dgm:prSet presAssocID="{059E780F-EEE0-468F-AEB1-18A38166C1DB}" presName="text4" presStyleLbl="fgAcc4" presStyleIdx="1" presStyleCnt="5" custLinFactY="-6001" custLinFactNeighborX="48941" custLinFactNeighborY="-100000">
        <dgm:presLayoutVars>
          <dgm:chPref val="3"/>
        </dgm:presLayoutVars>
      </dgm:prSet>
      <dgm:spPr/>
    </dgm:pt>
    <dgm:pt modelId="{61504951-1C64-426F-9614-83168A11A21D}" type="pres">
      <dgm:prSet presAssocID="{059E780F-EEE0-468F-AEB1-18A38166C1DB}" presName="hierChild5" presStyleCnt="0"/>
      <dgm:spPr/>
    </dgm:pt>
    <dgm:pt modelId="{44F05FE1-BE1A-4A1F-AA11-940C4DB4EEEE}" type="pres">
      <dgm:prSet presAssocID="{91E7424F-9F1C-4374-93EE-13E7E22C9813}" presName="Name23" presStyleLbl="parChTrans1D4" presStyleIdx="2" presStyleCnt="5"/>
      <dgm:spPr/>
    </dgm:pt>
    <dgm:pt modelId="{D3C68188-7BBC-4B55-B79F-0E12CCEF757C}" type="pres">
      <dgm:prSet presAssocID="{D8601AE0-6E03-4C0F-B01B-DF772F35F6F2}" presName="hierRoot4" presStyleCnt="0"/>
      <dgm:spPr/>
    </dgm:pt>
    <dgm:pt modelId="{62A5C4F2-AB8F-47DC-A115-CF604B37C35A}" type="pres">
      <dgm:prSet presAssocID="{D8601AE0-6E03-4C0F-B01B-DF772F35F6F2}" presName="composite4" presStyleCnt="0"/>
      <dgm:spPr/>
    </dgm:pt>
    <dgm:pt modelId="{99DC6D85-EC52-41B8-BA41-F86BDB177F65}" type="pres">
      <dgm:prSet presAssocID="{D8601AE0-6E03-4C0F-B01B-DF772F35F6F2}" presName="background4" presStyleLbl="node4" presStyleIdx="2" presStyleCnt="5"/>
      <dgm:spPr/>
    </dgm:pt>
    <dgm:pt modelId="{31459271-0319-4E69-BB7F-DE9591B38A25}" type="pres">
      <dgm:prSet presAssocID="{D8601AE0-6E03-4C0F-B01B-DF772F35F6F2}" presName="text4" presStyleLbl="fgAcc4" presStyleIdx="2" presStyleCnt="5" custLinFactY="-7561" custLinFactNeighborX="71924" custLinFactNeighborY="-100000">
        <dgm:presLayoutVars>
          <dgm:chPref val="3"/>
        </dgm:presLayoutVars>
      </dgm:prSet>
      <dgm:spPr/>
    </dgm:pt>
    <dgm:pt modelId="{0B51E406-35FD-4C80-95E9-45C140FB1443}" type="pres">
      <dgm:prSet presAssocID="{D8601AE0-6E03-4C0F-B01B-DF772F35F6F2}" presName="hierChild5" presStyleCnt="0"/>
      <dgm:spPr/>
    </dgm:pt>
    <dgm:pt modelId="{77BC9A23-3A8D-4ADE-857A-4F1F0CA8C5D6}" type="pres">
      <dgm:prSet presAssocID="{FFC70318-FE90-4E1D-886A-3B1A7A86BC7E}" presName="Name23" presStyleLbl="parChTrans1D4" presStyleIdx="3" presStyleCnt="5"/>
      <dgm:spPr/>
    </dgm:pt>
    <dgm:pt modelId="{A3F455A1-9C69-414B-B0FD-B7F4404BA6F6}" type="pres">
      <dgm:prSet presAssocID="{988748BA-B21D-48F3-9328-C8E01D2E9BEA}" presName="hierRoot4" presStyleCnt="0"/>
      <dgm:spPr/>
    </dgm:pt>
    <dgm:pt modelId="{40AA0D1B-4F9A-4E77-84E4-179958CC8629}" type="pres">
      <dgm:prSet presAssocID="{988748BA-B21D-48F3-9328-C8E01D2E9BEA}" presName="composite4" presStyleCnt="0"/>
      <dgm:spPr/>
    </dgm:pt>
    <dgm:pt modelId="{9CD673CB-E06B-44D3-BFDB-51EE03A19E9E}" type="pres">
      <dgm:prSet presAssocID="{988748BA-B21D-48F3-9328-C8E01D2E9BEA}" presName="background4" presStyleLbl="node4" presStyleIdx="3" presStyleCnt="5"/>
      <dgm:spPr/>
    </dgm:pt>
    <dgm:pt modelId="{B6F6FA5B-3AB4-4DC0-A9BB-FAD1A19DFED9}" type="pres">
      <dgm:prSet presAssocID="{988748BA-B21D-48F3-9328-C8E01D2E9BEA}" presName="text4" presStyleLbl="fgAcc4" presStyleIdx="3" presStyleCnt="5" custLinFactY="-15282" custLinFactNeighborX="80263" custLinFactNeighborY="-100000">
        <dgm:presLayoutVars>
          <dgm:chPref val="3"/>
        </dgm:presLayoutVars>
      </dgm:prSet>
      <dgm:spPr/>
    </dgm:pt>
    <dgm:pt modelId="{2A0EFB8E-1DD8-4890-9032-1BF6A6BD45F8}" type="pres">
      <dgm:prSet presAssocID="{988748BA-B21D-48F3-9328-C8E01D2E9BEA}" presName="hierChild5" presStyleCnt="0"/>
      <dgm:spPr/>
    </dgm:pt>
    <dgm:pt modelId="{DBA74EF2-39D8-43DD-BF8E-4739DCE3A13F}" type="pres">
      <dgm:prSet presAssocID="{4CDCE933-1284-4978-AAD2-F074305EF943}" presName="Name23" presStyleLbl="parChTrans1D4" presStyleIdx="4" presStyleCnt="5"/>
      <dgm:spPr/>
    </dgm:pt>
    <dgm:pt modelId="{A82E47BC-5A71-4E45-B819-8764719C1394}" type="pres">
      <dgm:prSet presAssocID="{D058EB26-2B40-488E-AD46-C671A1755033}" presName="hierRoot4" presStyleCnt="0"/>
      <dgm:spPr/>
    </dgm:pt>
    <dgm:pt modelId="{CA556DAB-E631-42D3-AA77-7D9DFF62C847}" type="pres">
      <dgm:prSet presAssocID="{D058EB26-2B40-488E-AD46-C671A1755033}" presName="composite4" presStyleCnt="0"/>
      <dgm:spPr/>
    </dgm:pt>
    <dgm:pt modelId="{36609848-F745-44CA-A0BD-01443898F691}" type="pres">
      <dgm:prSet presAssocID="{D058EB26-2B40-488E-AD46-C671A1755033}" presName="background4" presStyleLbl="node4" presStyleIdx="4" presStyleCnt="5"/>
      <dgm:spPr/>
    </dgm:pt>
    <dgm:pt modelId="{1C0B1B14-6154-43EA-8261-34609B479073}" type="pres">
      <dgm:prSet presAssocID="{D058EB26-2B40-488E-AD46-C671A1755033}" presName="text4" presStyleLbl="fgAcc4" presStyleIdx="4" presStyleCnt="5" custLinFactX="-100000" custLinFactNeighborX="-139240" custLinFactNeighborY="14057">
        <dgm:presLayoutVars>
          <dgm:chPref val="3"/>
        </dgm:presLayoutVars>
      </dgm:prSet>
      <dgm:spPr/>
    </dgm:pt>
    <dgm:pt modelId="{665A0EE0-2D71-4D96-9074-A37E9E8B9846}" type="pres">
      <dgm:prSet presAssocID="{D058EB26-2B40-488E-AD46-C671A1755033}" presName="hierChild5" presStyleCnt="0"/>
      <dgm:spPr/>
    </dgm:pt>
  </dgm:ptLst>
  <dgm:cxnLst>
    <dgm:cxn modelId="{9E19E11B-725F-4F34-99D2-3445A2C4D30B}" type="presOf" srcId="{B8237CD9-C330-4F93-9919-9FA0CBC43A8C}" destId="{106D697C-4AF7-459D-A4D6-9E5D99474679}" srcOrd="0" destOrd="0" presId="urn:microsoft.com/office/officeart/2005/8/layout/hierarchy1"/>
    <dgm:cxn modelId="{83D7CC24-5683-47B2-809A-3C9781EF9C9F}" srcId="{16BFA52F-C253-4462-A8F9-6C4A5083AB92}" destId="{847A203E-B67E-48AA-A02C-151B430AF776}" srcOrd="0" destOrd="0" parTransId="{3C5DCDB9-DDF4-4F40-BDC0-1C6E3B76652B}" sibTransId="{CC63CA68-9FE5-44ED-A91B-49ED78FF6569}"/>
    <dgm:cxn modelId="{4CDCB139-4826-43D0-A758-73EB013B640A}" type="presOf" srcId="{DBE84FA4-982F-4E45-96C7-7B3CD23B35C9}" destId="{FF8AA84E-84D0-48EE-B4FA-EA3F1B256012}" srcOrd="0" destOrd="0" presId="urn:microsoft.com/office/officeart/2005/8/layout/hierarchy1"/>
    <dgm:cxn modelId="{268CF63F-FB7B-453A-87C1-2EB690809605}" type="presOf" srcId="{4CDCE933-1284-4978-AAD2-F074305EF943}" destId="{DBA74EF2-39D8-43DD-BF8E-4739DCE3A13F}" srcOrd="0" destOrd="0" presId="urn:microsoft.com/office/officeart/2005/8/layout/hierarchy1"/>
    <dgm:cxn modelId="{8F47C363-5E0C-4DDB-AB43-390105547F63}" type="presOf" srcId="{988748BA-B21D-48F3-9328-C8E01D2E9BEA}" destId="{B6F6FA5B-3AB4-4DC0-A9BB-FAD1A19DFED9}" srcOrd="0" destOrd="0" presId="urn:microsoft.com/office/officeart/2005/8/layout/hierarchy1"/>
    <dgm:cxn modelId="{939A6C47-6158-4D96-BA7C-D557F6DC8DD7}" type="presOf" srcId="{059E780F-EEE0-468F-AEB1-18A38166C1DB}" destId="{DCEBD992-B5CD-4BA7-9ECA-5BBCFE7FCA0C}" srcOrd="0" destOrd="0" presId="urn:microsoft.com/office/officeart/2005/8/layout/hierarchy1"/>
    <dgm:cxn modelId="{E0D3116D-4A50-416A-AEE6-EE77BB1C8E2E}" type="presOf" srcId="{F931616D-3AEB-4632-8E5C-3F0D6BED63EB}" destId="{DF0DCBE8-CFAA-4782-912D-A1FA574D9920}" srcOrd="0" destOrd="0" presId="urn:microsoft.com/office/officeart/2005/8/layout/hierarchy1"/>
    <dgm:cxn modelId="{94174F4E-AB77-4D69-9411-C255B6F8B4CB}" type="presOf" srcId="{D54076A1-EEDA-46B6-84B5-5EC8692330D7}" destId="{76AA3588-F3C0-4466-A849-EFA2BDB964D8}" srcOrd="0" destOrd="0" presId="urn:microsoft.com/office/officeart/2005/8/layout/hierarchy1"/>
    <dgm:cxn modelId="{CEF53D56-AB38-4F57-A38F-750CBA1D904C}" type="presOf" srcId="{D058EB26-2B40-488E-AD46-C671A1755033}" destId="{1C0B1B14-6154-43EA-8261-34609B479073}" srcOrd="0" destOrd="0" presId="urn:microsoft.com/office/officeart/2005/8/layout/hierarchy1"/>
    <dgm:cxn modelId="{6F939B76-3ACD-45C2-A40F-C0DCABE695FC}" type="presOf" srcId="{847A203E-B67E-48AA-A02C-151B430AF776}" destId="{55C3B18F-2830-4834-845C-064694ECAD5D}" srcOrd="0" destOrd="0" presId="urn:microsoft.com/office/officeart/2005/8/layout/hierarchy1"/>
    <dgm:cxn modelId="{60BDCE7C-4364-4C50-9815-94DF20E48C07}" srcId="{847A203E-B67E-48AA-A02C-151B430AF776}" destId="{B9E8143A-3257-45D1-8A1E-C3566DF691F9}" srcOrd="0" destOrd="0" parTransId="{B8237CD9-C330-4F93-9919-9FA0CBC43A8C}" sibTransId="{D652B994-AED4-4DD1-832A-3B91EEEE93AE}"/>
    <dgm:cxn modelId="{12480482-E096-439B-B02A-E30A98E1AAA1}" type="presOf" srcId="{FEDBB772-3599-46F0-B7A2-5AD74BECF7E7}" destId="{CF86E33B-22B9-4E42-95F0-5FBB8DEBCAE2}" srcOrd="0" destOrd="0" presId="urn:microsoft.com/office/officeart/2005/8/layout/hierarchy1"/>
    <dgm:cxn modelId="{CF15B686-572B-4026-BB81-F155948E219B}" type="presOf" srcId="{16BFA52F-C253-4462-A8F9-6C4A5083AB92}" destId="{BD7120FD-E1A4-4D14-8101-78E88E07121D}" srcOrd="0" destOrd="0" presId="urn:microsoft.com/office/officeart/2005/8/layout/hierarchy1"/>
    <dgm:cxn modelId="{F45DCD88-3D09-46E9-A56C-DBE525AEA58A}" srcId="{847A203E-B67E-48AA-A02C-151B430AF776}" destId="{988748BA-B21D-48F3-9328-C8E01D2E9BEA}" srcOrd="3" destOrd="0" parTransId="{FFC70318-FE90-4E1D-886A-3B1A7A86BC7E}" sibTransId="{FFF27BB6-CDE0-4956-99DD-88441364CA29}"/>
    <dgm:cxn modelId="{6DDA2489-535C-46BD-89B9-354AFB94496F}" type="presOf" srcId="{FFC70318-FE90-4E1D-886A-3B1A7A86BC7E}" destId="{77BC9A23-3A8D-4ADE-857A-4F1F0CA8C5D6}" srcOrd="0" destOrd="0" presId="urn:microsoft.com/office/officeart/2005/8/layout/hierarchy1"/>
    <dgm:cxn modelId="{D3EDC699-F8C7-47F9-9661-6837A2349DE6}" srcId="{DBE84FA4-982F-4E45-96C7-7B3CD23B35C9}" destId="{F931616D-3AEB-4632-8E5C-3F0D6BED63EB}" srcOrd="0" destOrd="0" parTransId="{F574BB30-5F92-4126-8569-7BE190669811}" sibTransId="{1889D99C-18C5-4540-B6A2-40E746EAB00E}"/>
    <dgm:cxn modelId="{884A379B-8EC4-422B-8F7A-A7CD0D606675}" srcId="{847A203E-B67E-48AA-A02C-151B430AF776}" destId="{D8601AE0-6E03-4C0F-B01B-DF772F35F6F2}" srcOrd="2" destOrd="0" parTransId="{91E7424F-9F1C-4374-93EE-13E7E22C9813}" sibTransId="{64E807AE-B239-4927-B098-0DF882C03EBB}"/>
    <dgm:cxn modelId="{2002759E-07DD-4E8B-80F2-CF86D1ED3CD8}" type="presOf" srcId="{91E7424F-9F1C-4374-93EE-13E7E22C9813}" destId="{44F05FE1-BE1A-4A1F-AA11-940C4DB4EEEE}" srcOrd="0" destOrd="0" presId="urn:microsoft.com/office/officeart/2005/8/layout/hierarchy1"/>
    <dgm:cxn modelId="{E7E65AB7-C225-4242-92CA-810BAC74CC11}" type="presOf" srcId="{D8601AE0-6E03-4C0F-B01B-DF772F35F6F2}" destId="{31459271-0319-4E69-BB7F-DE9591B38A25}" srcOrd="0" destOrd="0" presId="urn:microsoft.com/office/officeart/2005/8/layout/hierarchy1"/>
    <dgm:cxn modelId="{61D8A3DA-12D7-4988-B700-B17249651830}" type="presOf" srcId="{3C5DCDB9-DDF4-4F40-BDC0-1C6E3B76652B}" destId="{47CD00AD-AA97-4704-9DFA-E56E81024B92}" srcOrd="0" destOrd="0" presId="urn:microsoft.com/office/officeart/2005/8/layout/hierarchy1"/>
    <dgm:cxn modelId="{590DF4DD-C746-4DA9-9EE4-D3A37B7EE711}" srcId="{F931616D-3AEB-4632-8E5C-3F0D6BED63EB}" destId="{16BFA52F-C253-4462-A8F9-6C4A5083AB92}" srcOrd="0" destOrd="0" parTransId="{FEDBB772-3599-46F0-B7A2-5AD74BECF7E7}" sibTransId="{0634CFEB-24EE-472C-B3A0-713D972099A3}"/>
    <dgm:cxn modelId="{05C8ADE5-2957-425C-A359-1EEEBAE0EC2D}" srcId="{847A203E-B67E-48AA-A02C-151B430AF776}" destId="{059E780F-EEE0-468F-AEB1-18A38166C1DB}" srcOrd="1" destOrd="0" parTransId="{D54076A1-EEDA-46B6-84B5-5EC8692330D7}" sibTransId="{FF584FD1-350B-4223-BAAF-60ACFE585614}"/>
    <dgm:cxn modelId="{CB5B4BF1-E1DF-4FFF-9E19-2EE2B7EF67F4}" type="presOf" srcId="{B9E8143A-3257-45D1-8A1E-C3566DF691F9}" destId="{50AF0324-C01D-4107-A493-C033E8D4F687}" srcOrd="0" destOrd="0" presId="urn:microsoft.com/office/officeart/2005/8/layout/hierarchy1"/>
    <dgm:cxn modelId="{0203E3FD-A9F6-44E3-93D0-C6DB49E0085E}" srcId="{847A203E-B67E-48AA-A02C-151B430AF776}" destId="{D058EB26-2B40-488E-AD46-C671A1755033}" srcOrd="4" destOrd="0" parTransId="{4CDCE933-1284-4978-AAD2-F074305EF943}" sibTransId="{8CB9371C-9119-4DAA-852F-3B627D0B5C10}"/>
    <dgm:cxn modelId="{926D2E7B-337A-4804-AAA2-EE60719B697E}" type="presParOf" srcId="{FF8AA84E-84D0-48EE-B4FA-EA3F1B256012}" destId="{83ABCF67-2A40-4C1E-A6DC-ADC046971EA7}" srcOrd="0" destOrd="0" presId="urn:microsoft.com/office/officeart/2005/8/layout/hierarchy1"/>
    <dgm:cxn modelId="{0F44CB06-B37D-462A-B6EA-9288BCAFD804}" type="presParOf" srcId="{83ABCF67-2A40-4C1E-A6DC-ADC046971EA7}" destId="{D5997907-8F66-4FF3-AB67-8E2CE985F74B}" srcOrd="0" destOrd="0" presId="urn:microsoft.com/office/officeart/2005/8/layout/hierarchy1"/>
    <dgm:cxn modelId="{8512CB30-9C57-48FB-AB4B-C890A04E344C}" type="presParOf" srcId="{D5997907-8F66-4FF3-AB67-8E2CE985F74B}" destId="{76120961-9E67-4F66-BDC3-0B903573E834}" srcOrd="0" destOrd="0" presId="urn:microsoft.com/office/officeart/2005/8/layout/hierarchy1"/>
    <dgm:cxn modelId="{DF665000-1E4D-4A5C-B64B-E575C2CEE162}" type="presParOf" srcId="{D5997907-8F66-4FF3-AB67-8E2CE985F74B}" destId="{DF0DCBE8-CFAA-4782-912D-A1FA574D9920}" srcOrd="1" destOrd="0" presId="urn:microsoft.com/office/officeart/2005/8/layout/hierarchy1"/>
    <dgm:cxn modelId="{014C0C2D-9ACD-4DE0-9AB0-8C58F79F0DE0}" type="presParOf" srcId="{83ABCF67-2A40-4C1E-A6DC-ADC046971EA7}" destId="{53A0106F-D49F-4987-AE18-FEEA682A6D83}" srcOrd="1" destOrd="0" presId="urn:microsoft.com/office/officeart/2005/8/layout/hierarchy1"/>
    <dgm:cxn modelId="{F4489623-E6DB-4696-9381-94D329360F1F}" type="presParOf" srcId="{53A0106F-D49F-4987-AE18-FEEA682A6D83}" destId="{CF86E33B-22B9-4E42-95F0-5FBB8DEBCAE2}" srcOrd="0" destOrd="0" presId="urn:microsoft.com/office/officeart/2005/8/layout/hierarchy1"/>
    <dgm:cxn modelId="{2194968A-6212-4089-918B-E5B6193CBFEC}" type="presParOf" srcId="{53A0106F-D49F-4987-AE18-FEEA682A6D83}" destId="{147A5C6D-C2C2-4D31-B836-0E64527A7DF3}" srcOrd="1" destOrd="0" presId="urn:microsoft.com/office/officeart/2005/8/layout/hierarchy1"/>
    <dgm:cxn modelId="{18BAB07F-8164-4DA1-88EB-03427934EF2E}" type="presParOf" srcId="{147A5C6D-C2C2-4D31-B836-0E64527A7DF3}" destId="{88E0F679-51ED-4908-A887-5DA0CDE45D1E}" srcOrd="0" destOrd="0" presId="urn:microsoft.com/office/officeart/2005/8/layout/hierarchy1"/>
    <dgm:cxn modelId="{2C4BBC51-27D5-4D80-8913-B33E9F23234E}" type="presParOf" srcId="{88E0F679-51ED-4908-A887-5DA0CDE45D1E}" destId="{A7BFDE70-6592-40EE-B4A6-14540410624B}" srcOrd="0" destOrd="0" presId="urn:microsoft.com/office/officeart/2005/8/layout/hierarchy1"/>
    <dgm:cxn modelId="{A7635C7D-940A-4401-A328-20A3CE208546}" type="presParOf" srcId="{88E0F679-51ED-4908-A887-5DA0CDE45D1E}" destId="{BD7120FD-E1A4-4D14-8101-78E88E07121D}" srcOrd="1" destOrd="0" presId="urn:microsoft.com/office/officeart/2005/8/layout/hierarchy1"/>
    <dgm:cxn modelId="{21EEA858-FF1E-4239-95FF-E6DF18B2BD17}" type="presParOf" srcId="{147A5C6D-C2C2-4D31-B836-0E64527A7DF3}" destId="{52FD7DDA-86A0-4F4E-A980-CD91B51A3835}" srcOrd="1" destOrd="0" presId="urn:microsoft.com/office/officeart/2005/8/layout/hierarchy1"/>
    <dgm:cxn modelId="{B14A6B45-4827-41B1-B785-550B13A030EE}" type="presParOf" srcId="{52FD7DDA-86A0-4F4E-A980-CD91B51A3835}" destId="{47CD00AD-AA97-4704-9DFA-E56E81024B92}" srcOrd="0" destOrd="0" presId="urn:microsoft.com/office/officeart/2005/8/layout/hierarchy1"/>
    <dgm:cxn modelId="{7E794CE6-9225-4E31-A1AF-2C4466916985}" type="presParOf" srcId="{52FD7DDA-86A0-4F4E-A980-CD91B51A3835}" destId="{2D313A35-5374-449F-8153-F4B7A94589CC}" srcOrd="1" destOrd="0" presId="urn:microsoft.com/office/officeart/2005/8/layout/hierarchy1"/>
    <dgm:cxn modelId="{D7EE32CD-59C9-4AFD-AB16-C5F0B5D89DBE}" type="presParOf" srcId="{2D313A35-5374-449F-8153-F4B7A94589CC}" destId="{69B2E7D4-1CDD-480A-BFD6-FA2F1C124656}" srcOrd="0" destOrd="0" presId="urn:microsoft.com/office/officeart/2005/8/layout/hierarchy1"/>
    <dgm:cxn modelId="{FDC6B473-F114-4DA2-A126-0F4D69553D84}" type="presParOf" srcId="{69B2E7D4-1CDD-480A-BFD6-FA2F1C124656}" destId="{B65B69CC-C241-45A3-B621-529EFF4E4B88}" srcOrd="0" destOrd="0" presId="urn:microsoft.com/office/officeart/2005/8/layout/hierarchy1"/>
    <dgm:cxn modelId="{60307E46-9F1E-4B0A-AFE1-254061F50C4C}" type="presParOf" srcId="{69B2E7D4-1CDD-480A-BFD6-FA2F1C124656}" destId="{55C3B18F-2830-4834-845C-064694ECAD5D}" srcOrd="1" destOrd="0" presId="urn:microsoft.com/office/officeart/2005/8/layout/hierarchy1"/>
    <dgm:cxn modelId="{9801F9A6-307C-446B-B230-8A842CFA86B6}" type="presParOf" srcId="{2D313A35-5374-449F-8153-F4B7A94589CC}" destId="{6FDD97DD-DFAA-4A92-96BA-46FB07C7CAF0}" srcOrd="1" destOrd="0" presId="urn:microsoft.com/office/officeart/2005/8/layout/hierarchy1"/>
    <dgm:cxn modelId="{5D155C22-1E52-44BE-9346-34C169BF58E2}" type="presParOf" srcId="{6FDD97DD-DFAA-4A92-96BA-46FB07C7CAF0}" destId="{106D697C-4AF7-459D-A4D6-9E5D99474679}" srcOrd="0" destOrd="0" presId="urn:microsoft.com/office/officeart/2005/8/layout/hierarchy1"/>
    <dgm:cxn modelId="{EF7360B4-38C5-422A-B4B0-B58F45378B5C}" type="presParOf" srcId="{6FDD97DD-DFAA-4A92-96BA-46FB07C7CAF0}" destId="{9C4BA12A-4734-4C99-8343-39FC97A999A1}" srcOrd="1" destOrd="0" presId="urn:microsoft.com/office/officeart/2005/8/layout/hierarchy1"/>
    <dgm:cxn modelId="{42699AD6-EB90-45A7-8704-79C476554419}" type="presParOf" srcId="{9C4BA12A-4734-4C99-8343-39FC97A999A1}" destId="{5B7855C9-5325-4C8A-99C5-FB51FB91B17F}" srcOrd="0" destOrd="0" presId="urn:microsoft.com/office/officeart/2005/8/layout/hierarchy1"/>
    <dgm:cxn modelId="{885D558F-2527-4F9A-83C2-2E2BD973C956}" type="presParOf" srcId="{5B7855C9-5325-4C8A-99C5-FB51FB91B17F}" destId="{480832FF-DF11-4371-92BD-2024915185F1}" srcOrd="0" destOrd="0" presId="urn:microsoft.com/office/officeart/2005/8/layout/hierarchy1"/>
    <dgm:cxn modelId="{2F1DC3CD-A4B2-4596-84FB-78FF0C02B6BC}" type="presParOf" srcId="{5B7855C9-5325-4C8A-99C5-FB51FB91B17F}" destId="{50AF0324-C01D-4107-A493-C033E8D4F687}" srcOrd="1" destOrd="0" presId="urn:microsoft.com/office/officeart/2005/8/layout/hierarchy1"/>
    <dgm:cxn modelId="{1FC38FF9-7729-411C-8026-736C9AAE92A8}" type="presParOf" srcId="{9C4BA12A-4734-4C99-8343-39FC97A999A1}" destId="{4B321C29-11F6-4C2C-B94A-EA61CFDA66B3}" srcOrd="1" destOrd="0" presId="urn:microsoft.com/office/officeart/2005/8/layout/hierarchy1"/>
    <dgm:cxn modelId="{3B0E7843-61D3-4EF6-ABE6-F6E0C0234526}" type="presParOf" srcId="{6FDD97DD-DFAA-4A92-96BA-46FB07C7CAF0}" destId="{76AA3588-F3C0-4466-A849-EFA2BDB964D8}" srcOrd="2" destOrd="0" presId="urn:microsoft.com/office/officeart/2005/8/layout/hierarchy1"/>
    <dgm:cxn modelId="{047E5986-EFDA-4BBF-9E10-F06AC09B3DD7}" type="presParOf" srcId="{6FDD97DD-DFAA-4A92-96BA-46FB07C7CAF0}" destId="{9897F7A2-0157-401C-A298-CA75AB144138}" srcOrd="3" destOrd="0" presId="urn:microsoft.com/office/officeart/2005/8/layout/hierarchy1"/>
    <dgm:cxn modelId="{DF2370BF-0BA7-4C01-8D5E-6BD60CF681CC}" type="presParOf" srcId="{9897F7A2-0157-401C-A298-CA75AB144138}" destId="{E043D6E0-36A3-41F3-AF8D-7DA99EA138AB}" srcOrd="0" destOrd="0" presId="urn:microsoft.com/office/officeart/2005/8/layout/hierarchy1"/>
    <dgm:cxn modelId="{6F66B128-1F3D-48D2-9CAA-7D566D7005B9}" type="presParOf" srcId="{E043D6E0-36A3-41F3-AF8D-7DA99EA138AB}" destId="{23BD3BF8-1196-4167-B3AD-FF54D50718E0}" srcOrd="0" destOrd="0" presId="urn:microsoft.com/office/officeart/2005/8/layout/hierarchy1"/>
    <dgm:cxn modelId="{3299D1E8-60EB-4D46-BFEA-70BB8E80BE5A}" type="presParOf" srcId="{E043D6E0-36A3-41F3-AF8D-7DA99EA138AB}" destId="{DCEBD992-B5CD-4BA7-9ECA-5BBCFE7FCA0C}" srcOrd="1" destOrd="0" presId="urn:microsoft.com/office/officeart/2005/8/layout/hierarchy1"/>
    <dgm:cxn modelId="{2961422D-4F67-4405-AFE1-E2FAB8177365}" type="presParOf" srcId="{9897F7A2-0157-401C-A298-CA75AB144138}" destId="{61504951-1C64-426F-9614-83168A11A21D}" srcOrd="1" destOrd="0" presId="urn:microsoft.com/office/officeart/2005/8/layout/hierarchy1"/>
    <dgm:cxn modelId="{96B4074C-E471-4F91-A6F0-5969436A0DE1}" type="presParOf" srcId="{6FDD97DD-DFAA-4A92-96BA-46FB07C7CAF0}" destId="{44F05FE1-BE1A-4A1F-AA11-940C4DB4EEEE}" srcOrd="4" destOrd="0" presId="urn:microsoft.com/office/officeart/2005/8/layout/hierarchy1"/>
    <dgm:cxn modelId="{9DCCD14B-8935-4CDD-9157-9738474D2225}" type="presParOf" srcId="{6FDD97DD-DFAA-4A92-96BA-46FB07C7CAF0}" destId="{D3C68188-7BBC-4B55-B79F-0E12CCEF757C}" srcOrd="5" destOrd="0" presId="urn:microsoft.com/office/officeart/2005/8/layout/hierarchy1"/>
    <dgm:cxn modelId="{184F7681-B2CD-4D48-A597-A0E0C9CD58EC}" type="presParOf" srcId="{D3C68188-7BBC-4B55-B79F-0E12CCEF757C}" destId="{62A5C4F2-AB8F-47DC-A115-CF604B37C35A}" srcOrd="0" destOrd="0" presId="urn:microsoft.com/office/officeart/2005/8/layout/hierarchy1"/>
    <dgm:cxn modelId="{7D04CA18-49E8-4F26-9A08-AB05DC9A10FF}" type="presParOf" srcId="{62A5C4F2-AB8F-47DC-A115-CF604B37C35A}" destId="{99DC6D85-EC52-41B8-BA41-F86BDB177F65}" srcOrd="0" destOrd="0" presId="urn:microsoft.com/office/officeart/2005/8/layout/hierarchy1"/>
    <dgm:cxn modelId="{BE88A1AF-19C0-4926-BB43-DD0D28CFFA6C}" type="presParOf" srcId="{62A5C4F2-AB8F-47DC-A115-CF604B37C35A}" destId="{31459271-0319-4E69-BB7F-DE9591B38A25}" srcOrd="1" destOrd="0" presId="urn:microsoft.com/office/officeart/2005/8/layout/hierarchy1"/>
    <dgm:cxn modelId="{2DB10B07-0332-420F-8B49-167CA4DBDF8E}" type="presParOf" srcId="{D3C68188-7BBC-4B55-B79F-0E12CCEF757C}" destId="{0B51E406-35FD-4C80-95E9-45C140FB1443}" srcOrd="1" destOrd="0" presId="urn:microsoft.com/office/officeart/2005/8/layout/hierarchy1"/>
    <dgm:cxn modelId="{8B5DFC99-338B-4F3D-99A1-4EE0E87CD321}" type="presParOf" srcId="{6FDD97DD-DFAA-4A92-96BA-46FB07C7CAF0}" destId="{77BC9A23-3A8D-4ADE-857A-4F1F0CA8C5D6}" srcOrd="6" destOrd="0" presId="urn:microsoft.com/office/officeart/2005/8/layout/hierarchy1"/>
    <dgm:cxn modelId="{57442018-8B37-4E23-946F-680C15683AFA}" type="presParOf" srcId="{6FDD97DD-DFAA-4A92-96BA-46FB07C7CAF0}" destId="{A3F455A1-9C69-414B-B0FD-B7F4404BA6F6}" srcOrd="7" destOrd="0" presId="urn:microsoft.com/office/officeart/2005/8/layout/hierarchy1"/>
    <dgm:cxn modelId="{C5DCA87A-2E43-40C7-A226-2FE90AF1CA5A}" type="presParOf" srcId="{A3F455A1-9C69-414B-B0FD-B7F4404BA6F6}" destId="{40AA0D1B-4F9A-4E77-84E4-179958CC8629}" srcOrd="0" destOrd="0" presId="urn:microsoft.com/office/officeart/2005/8/layout/hierarchy1"/>
    <dgm:cxn modelId="{8965BD00-3855-4767-8B5C-5EEACBF1FFA3}" type="presParOf" srcId="{40AA0D1B-4F9A-4E77-84E4-179958CC8629}" destId="{9CD673CB-E06B-44D3-BFDB-51EE03A19E9E}" srcOrd="0" destOrd="0" presId="urn:microsoft.com/office/officeart/2005/8/layout/hierarchy1"/>
    <dgm:cxn modelId="{AC81E2D8-49A7-42D0-84E1-B10EE4F95E02}" type="presParOf" srcId="{40AA0D1B-4F9A-4E77-84E4-179958CC8629}" destId="{B6F6FA5B-3AB4-4DC0-A9BB-FAD1A19DFED9}" srcOrd="1" destOrd="0" presId="urn:microsoft.com/office/officeart/2005/8/layout/hierarchy1"/>
    <dgm:cxn modelId="{CB98B16B-1383-47EF-BACE-13E08560A43C}" type="presParOf" srcId="{A3F455A1-9C69-414B-B0FD-B7F4404BA6F6}" destId="{2A0EFB8E-1DD8-4890-9032-1BF6A6BD45F8}" srcOrd="1" destOrd="0" presId="urn:microsoft.com/office/officeart/2005/8/layout/hierarchy1"/>
    <dgm:cxn modelId="{C14E7DD8-5DBA-4F0A-B9B4-B26F8E54EE70}" type="presParOf" srcId="{6FDD97DD-DFAA-4A92-96BA-46FB07C7CAF0}" destId="{DBA74EF2-39D8-43DD-BF8E-4739DCE3A13F}" srcOrd="8" destOrd="0" presId="urn:microsoft.com/office/officeart/2005/8/layout/hierarchy1"/>
    <dgm:cxn modelId="{19178C09-7DF3-493D-8E32-2CAD6DBB0149}" type="presParOf" srcId="{6FDD97DD-DFAA-4A92-96BA-46FB07C7CAF0}" destId="{A82E47BC-5A71-4E45-B819-8764719C1394}" srcOrd="9" destOrd="0" presId="urn:microsoft.com/office/officeart/2005/8/layout/hierarchy1"/>
    <dgm:cxn modelId="{40CFC3C1-FC57-4585-937F-9EA08F4FFB2E}" type="presParOf" srcId="{A82E47BC-5A71-4E45-B819-8764719C1394}" destId="{CA556DAB-E631-42D3-AA77-7D9DFF62C847}" srcOrd="0" destOrd="0" presId="urn:microsoft.com/office/officeart/2005/8/layout/hierarchy1"/>
    <dgm:cxn modelId="{BC2879A9-D541-441D-A431-F8BC14088DAA}" type="presParOf" srcId="{CA556DAB-E631-42D3-AA77-7D9DFF62C847}" destId="{36609848-F745-44CA-A0BD-01443898F691}" srcOrd="0" destOrd="0" presId="urn:microsoft.com/office/officeart/2005/8/layout/hierarchy1"/>
    <dgm:cxn modelId="{657454BA-5D96-4012-8B52-3E41B84B6774}" type="presParOf" srcId="{CA556DAB-E631-42D3-AA77-7D9DFF62C847}" destId="{1C0B1B14-6154-43EA-8261-34609B479073}" srcOrd="1" destOrd="0" presId="urn:microsoft.com/office/officeart/2005/8/layout/hierarchy1"/>
    <dgm:cxn modelId="{B23A6C24-63EC-44FD-A1A1-F2D5D963F44F}" type="presParOf" srcId="{A82E47BC-5A71-4E45-B819-8764719C1394}" destId="{665A0EE0-2D71-4D96-9074-A37E9E8B9846}"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E61447-CDA9-4722-91BE-47A1951EFD60}" type="doc">
      <dgm:prSet loTypeId="urn:microsoft.com/office/officeart/2005/8/layout/hierarchy1" loCatId="hierarchy" qsTypeId="urn:microsoft.com/office/officeart/2005/8/quickstyle/simple3" qsCatId="simple" csTypeId="urn:microsoft.com/office/officeart/2005/8/colors/accent1_2" csCatId="accent1" phldr="1"/>
      <dgm:spPr/>
      <dgm:t>
        <a:bodyPr/>
        <a:lstStyle/>
        <a:p>
          <a:endParaRPr lang="en-GB"/>
        </a:p>
      </dgm:t>
    </dgm:pt>
    <dgm:pt modelId="{2F86B4D1-F9A8-4A37-B6A3-FCFCE399E8D8}">
      <dgm:prSet phldrT="[Text]"/>
      <dgm:spPr/>
      <dgm:t>
        <a:bodyPr/>
        <a:lstStyle/>
        <a:p>
          <a:pPr>
            <a:buNone/>
          </a:pPr>
          <a:r>
            <a:rPr lang="en-GB"/>
            <a:t>Employee Device (BYOD)</a:t>
          </a:r>
        </a:p>
      </dgm:t>
    </dgm:pt>
    <dgm:pt modelId="{7BC0168E-3234-4EA7-8AF9-3A11114D3201}" type="parTrans" cxnId="{DCD1A092-96B3-441E-A70B-6E49A39FC822}">
      <dgm:prSet/>
      <dgm:spPr/>
      <dgm:t>
        <a:bodyPr/>
        <a:lstStyle/>
        <a:p>
          <a:endParaRPr lang="en-GB"/>
        </a:p>
      </dgm:t>
    </dgm:pt>
    <dgm:pt modelId="{0F233C9E-59A2-45CD-BC2D-311F26AF9B5C}" type="sibTrans" cxnId="{DCD1A092-96B3-441E-A70B-6E49A39FC822}">
      <dgm:prSet/>
      <dgm:spPr/>
      <dgm:t>
        <a:bodyPr/>
        <a:lstStyle/>
        <a:p>
          <a:endParaRPr lang="en-GB"/>
        </a:p>
      </dgm:t>
    </dgm:pt>
    <dgm:pt modelId="{D2DDA526-0054-44D5-94B7-4AE7FF0332CF}">
      <dgm:prSet phldrT="[Text]"/>
      <dgm:spPr/>
      <dgm:t>
        <a:bodyPr/>
        <a:lstStyle/>
        <a:p>
          <a:pPr>
            <a:buNone/>
          </a:pPr>
          <a:r>
            <a:rPr lang="en-GB"/>
            <a:t>Mobile Device Management (MDM)</a:t>
          </a:r>
        </a:p>
      </dgm:t>
    </dgm:pt>
    <dgm:pt modelId="{5F0317A5-EF4F-4153-8218-A8AC77AF330C}" type="parTrans" cxnId="{40A7C464-E613-43AC-A63D-4C9486D5F06F}">
      <dgm:prSet/>
      <dgm:spPr/>
    </dgm:pt>
    <dgm:pt modelId="{83A45143-C210-4C82-A600-0F5B9171CA9D}" type="sibTrans" cxnId="{40A7C464-E613-43AC-A63D-4C9486D5F06F}">
      <dgm:prSet/>
      <dgm:spPr/>
    </dgm:pt>
    <dgm:pt modelId="{DFF90B31-5234-4AC8-BA4F-B57870C5E65C}">
      <dgm:prSet phldrT="[Text]"/>
      <dgm:spPr/>
      <dgm:t>
        <a:bodyPr/>
        <a:lstStyle/>
        <a:p>
          <a:pPr>
            <a:buNone/>
          </a:pPr>
          <a:r>
            <a:rPr lang="en-GB"/>
            <a:t>Identity Verification (Multi-Factor Authentication)</a:t>
          </a:r>
        </a:p>
      </dgm:t>
    </dgm:pt>
    <dgm:pt modelId="{94C1DB8A-CA4B-4B2E-8DB5-EDEED8FA9FCF}" type="parTrans" cxnId="{9B758181-80B6-47C1-B21A-80AE16352A0A}">
      <dgm:prSet/>
      <dgm:spPr/>
    </dgm:pt>
    <dgm:pt modelId="{D76CF9DD-3279-4FA4-8F22-665F57B8A039}" type="sibTrans" cxnId="{9B758181-80B6-47C1-B21A-80AE16352A0A}">
      <dgm:prSet/>
      <dgm:spPr/>
    </dgm:pt>
    <dgm:pt modelId="{9F49A00F-F80D-4FA6-BABC-F04480DDE443}">
      <dgm:prSet phldrT="[Text]"/>
      <dgm:spPr/>
      <dgm:t>
        <a:bodyPr/>
        <a:lstStyle/>
        <a:p>
          <a:pPr>
            <a:buNone/>
          </a:pPr>
          <a:r>
            <a:rPr lang="en-GB"/>
            <a:t>Secure Access Gateway / VPN</a:t>
          </a:r>
        </a:p>
      </dgm:t>
    </dgm:pt>
    <dgm:pt modelId="{FF9E8CC0-9D5A-4F23-8C02-178D1279055F}" type="parTrans" cxnId="{529D0DCA-5CF4-4901-A61B-E6FFDC4B4CFE}">
      <dgm:prSet/>
      <dgm:spPr/>
    </dgm:pt>
    <dgm:pt modelId="{24A4F972-6D86-4E02-9E75-31DFC2CAD1D8}" type="sibTrans" cxnId="{529D0DCA-5CF4-4901-A61B-E6FFDC4B4CFE}">
      <dgm:prSet/>
      <dgm:spPr/>
    </dgm:pt>
    <dgm:pt modelId="{CBF8F5EA-89F5-48A8-BF02-5DF7DE0EE54D}">
      <dgm:prSet phldrT="[Text]"/>
      <dgm:spPr/>
      <dgm:t>
        <a:bodyPr/>
        <a:lstStyle/>
        <a:p>
          <a:pPr>
            <a:buNone/>
          </a:pPr>
          <a:r>
            <a:rPr lang="en-GB"/>
            <a:t>Cloud Banking Systems</a:t>
          </a:r>
        </a:p>
      </dgm:t>
    </dgm:pt>
    <dgm:pt modelId="{CFCCBC62-1082-4572-8951-AF0617ACC02F}" type="parTrans" cxnId="{5E237E0C-8FD3-4940-85A8-D80F018347BB}">
      <dgm:prSet/>
      <dgm:spPr/>
    </dgm:pt>
    <dgm:pt modelId="{7FB0B9E0-C09C-41EB-9EB7-845A95964FBB}" type="sibTrans" cxnId="{5E237E0C-8FD3-4940-85A8-D80F018347BB}">
      <dgm:prSet/>
      <dgm:spPr/>
    </dgm:pt>
    <dgm:pt modelId="{334D3E69-D92B-40D5-9FF2-1A1AE30C03A1}">
      <dgm:prSet phldrT="[Text]"/>
      <dgm:spPr/>
      <dgm:t>
        <a:bodyPr/>
        <a:lstStyle/>
        <a:p>
          <a:pPr>
            <a:buNone/>
          </a:pPr>
          <a:r>
            <a:rPr lang="en-GB"/>
            <a:t>Security Monitoring (SIEM)</a:t>
          </a:r>
        </a:p>
      </dgm:t>
    </dgm:pt>
    <dgm:pt modelId="{94D55E2A-126E-45F6-8A6A-C99C7850D3F7}" type="parTrans" cxnId="{160BF1AF-9AD3-4199-833E-AEF2DA410658}">
      <dgm:prSet/>
      <dgm:spPr/>
    </dgm:pt>
    <dgm:pt modelId="{9EA82202-3150-4AC6-BE5F-B1408B49DFB6}" type="sibTrans" cxnId="{160BF1AF-9AD3-4199-833E-AEF2DA410658}">
      <dgm:prSet/>
      <dgm:spPr/>
    </dgm:pt>
    <dgm:pt modelId="{A5A15BD4-2FEB-405A-9AD6-4E8ECF1EB8F5}" type="pres">
      <dgm:prSet presAssocID="{F9E61447-CDA9-4722-91BE-47A1951EFD60}" presName="hierChild1" presStyleCnt="0">
        <dgm:presLayoutVars>
          <dgm:chPref val="1"/>
          <dgm:dir/>
          <dgm:animOne val="branch"/>
          <dgm:animLvl val="lvl"/>
          <dgm:resizeHandles/>
        </dgm:presLayoutVars>
      </dgm:prSet>
      <dgm:spPr/>
    </dgm:pt>
    <dgm:pt modelId="{BA6CDB7D-8F7F-4CDA-8A5E-1706830E5DCB}" type="pres">
      <dgm:prSet presAssocID="{2F86B4D1-F9A8-4A37-B6A3-FCFCE399E8D8}" presName="hierRoot1" presStyleCnt="0"/>
      <dgm:spPr/>
    </dgm:pt>
    <dgm:pt modelId="{66419F85-E041-4A90-B84F-E756E355E901}" type="pres">
      <dgm:prSet presAssocID="{2F86B4D1-F9A8-4A37-B6A3-FCFCE399E8D8}" presName="composite" presStyleCnt="0"/>
      <dgm:spPr/>
    </dgm:pt>
    <dgm:pt modelId="{150D897F-45AE-4837-B37C-9A764C14264E}" type="pres">
      <dgm:prSet presAssocID="{2F86B4D1-F9A8-4A37-B6A3-FCFCE399E8D8}" presName="background" presStyleLbl="node0" presStyleIdx="0" presStyleCnt="1"/>
      <dgm:spPr/>
    </dgm:pt>
    <dgm:pt modelId="{8C96F782-B6F3-4CFB-A3DD-3C4516FF9AAF}" type="pres">
      <dgm:prSet presAssocID="{2F86B4D1-F9A8-4A37-B6A3-FCFCE399E8D8}" presName="text" presStyleLbl="fgAcc0" presStyleIdx="0" presStyleCnt="1">
        <dgm:presLayoutVars>
          <dgm:chPref val="3"/>
        </dgm:presLayoutVars>
      </dgm:prSet>
      <dgm:spPr/>
    </dgm:pt>
    <dgm:pt modelId="{7129E8CA-8BA8-47C7-9CC4-272535160113}" type="pres">
      <dgm:prSet presAssocID="{2F86B4D1-F9A8-4A37-B6A3-FCFCE399E8D8}" presName="hierChild2" presStyleCnt="0"/>
      <dgm:spPr/>
    </dgm:pt>
    <dgm:pt modelId="{865CA8F6-4608-4F95-B044-CA166D3263A3}" type="pres">
      <dgm:prSet presAssocID="{5F0317A5-EF4F-4153-8218-A8AC77AF330C}" presName="Name10" presStyleLbl="parChTrans1D2" presStyleIdx="0" presStyleCnt="1"/>
      <dgm:spPr/>
    </dgm:pt>
    <dgm:pt modelId="{690C6CBD-291A-4F6C-8123-C04C166D3DDC}" type="pres">
      <dgm:prSet presAssocID="{D2DDA526-0054-44D5-94B7-4AE7FF0332CF}" presName="hierRoot2" presStyleCnt="0"/>
      <dgm:spPr/>
    </dgm:pt>
    <dgm:pt modelId="{09FDC2F6-5CF4-464F-BEA4-BF49A314563E}" type="pres">
      <dgm:prSet presAssocID="{D2DDA526-0054-44D5-94B7-4AE7FF0332CF}" presName="composite2" presStyleCnt="0"/>
      <dgm:spPr/>
    </dgm:pt>
    <dgm:pt modelId="{F39EAEDE-DEBB-4E1B-B452-FA212C64EA67}" type="pres">
      <dgm:prSet presAssocID="{D2DDA526-0054-44D5-94B7-4AE7FF0332CF}" presName="background2" presStyleLbl="node2" presStyleIdx="0" presStyleCnt="1"/>
      <dgm:spPr/>
    </dgm:pt>
    <dgm:pt modelId="{80F65D4D-D518-4E23-872B-0AE96AD8B940}" type="pres">
      <dgm:prSet presAssocID="{D2DDA526-0054-44D5-94B7-4AE7FF0332CF}" presName="text2" presStyleLbl="fgAcc2" presStyleIdx="0" presStyleCnt="1">
        <dgm:presLayoutVars>
          <dgm:chPref val="3"/>
        </dgm:presLayoutVars>
      </dgm:prSet>
      <dgm:spPr/>
    </dgm:pt>
    <dgm:pt modelId="{90874CE2-839E-4ABF-911F-F5708276A3C5}" type="pres">
      <dgm:prSet presAssocID="{D2DDA526-0054-44D5-94B7-4AE7FF0332CF}" presName="hierChild3" presStyleCnt="0"/>
      <dgm:spPr/>
    </dgm:pt>
    <dgm:pt modelId="{61394ED2-EF6B-4BF4-A33C-1EDADBFDC376}" type="pres">
      <dgm:prSet presAssocID="{94C1DB8A-CA4B-4B2E-8DB5-EDEED8FA9FCF}" presName="Name17" presStyleLbl="parChTrans1D3" presStyleIdx="0" presStyleCnt="1"/>
      <dgm:spPr/>
    </dgm:pt>
    <dgm:pt modelId="{826D2369-EAE4-43A6-8CB6-1E863B50F3A0}" type="pres">
      <dgm:prSet presAssocID="{DFF90B31-5234-4AC8-BA4F-B57870C5E65C}" presName="hierRoot3" presStyleCnt="0"/>
      <dgm:spPr/>
    </dgm:pt>
    <dgm:pt modelId="{83677182-E94F-4A46-B7D2-B8306A1351A8}" type="pres">
      <dgm:prSet presAssocID="{DFF90B31-5234-4AC8-BA4F-B57870C5E65C}" presName="composite3" presStyleCnt="0"/>
      <dgm:spPr/>
    </dgm:pt>
    <dgm:pt modelId="{6A6DFA5F-56CD-4D5B-B818-43CBF6F632E3}" type="pres">
      <dgm:prSet presAssocID="{DFF90B31-5234-4AC8-BA4F-B57870C5E65C}" presName="background3" presStyleLbl="node3" presStyleIdx="0" presStyleCnt="1"/>
      <dgm:spPr/>
    </dgm:pt>
    <dgm:pt modelId="{E4B04EF3-DEC0-4401-94F7-25044400E2AA}" type="pres">
      <dgm:prSet presAssocID="{DFF90B31-5234-4AC8-BA4F-B57870C5E65C}" presName="text3" presStyleLbl="fgAcc3" presStyleIdx="0" presStyleCnt="1">
        <dgm:presLayoutVars>
          <dgm:chPref val="3"/>
        </dgm:presLayoutVars>
      </dgm:prSet>
      <dgm:spPr/>
    </dgm:pt>
    <dgm:pt modelId="{647C499D-8EDD-4950-9954-8B4317FE0922}" type="pres">
      <dgm:prSet presAssocID="{DFF90B31-5234-4AC8-BA4F-B57870C5E65C}" presName="hierChild4" presStyleCnt="0"/>
      <dgm:spPr/>
    </dgm:pt>
    <dgm:pt modelId="{D4913BB3-6492-4D43-ADDB-9C0D1CE81928}" type="pres">
      <dgm:prSet presAssocID="{FF9E8CC0-9D5A-4F23-8C02-178D1279055F}" presName="Name23" presStyleLbl="parChTrans1D4" presStyleIdx="0" presStyleCnt="3"/>
      <dgm:spPr/>
    </dgm:pt>
    <dgm:pt modelId="{FF1B9427-858F-4B89-84B4-E2D91F5D87E2}" type="pres">
      <dgm:prSet presAssocID="{9F49A00F-F80D-4FA6-BABC-F04480DDE443}" presName="hierRoot4" presStyleCnt="0"/>
      <dgm:spPr/>
    </dgm:pt>
    <dgm:pt modelId="{92A53E65-4A69-4D5A-ADEC-AA8105B49306}" type="pres">
      <dgm:prSet presAssocID="{9F49A00F-F80D-4FA6-BABC-F04480DDE443}" presName="composite4" presStyleCnt="0"/>
      <dgm:spPr/>
    </dgm:pt>
    <dgm:pt modelId="{6E0CCCBB-8A23-447C-979D-1B7D35E66553}" type="pres">
      <dgm:prSet presAssocID="{9F49A00F-F80D-4FA6-BABC-F04480DDE443}" presName="background4" presStyleLbl="node4" presStyleIdx="0" presStyleCnt="3"/>
      <dgm:spPr/>
    </dgm:pt>
    <dgm:pt modelId="{A2D20C61-6D21-4C13-9B53-2DF5D5A3E525}" type="pres">
      <dgm:prSet presAssocID="{9F49A00F-F80D-4FA6-BABC-F04480DDE443}" presName="text4" presStyleLbl="fgAcc4" presStyleIdx="0" presStyleCnt="3">
        <dgm:presLayoutVars>
          <dgm:chPref val="3"/>
        </dgm:presLayoutVars>
      </dgm:prSet>
      <dgm:spPr/>
    </dgm:pt>
    <dgm:pt modelId="{CAF22639-AEFA-4B36-BC37-BDBD3F68878E}" type="pres">
      <dgm:prSet presAssocID="{9F49A00F-F80D-4FA6-BABC-F04480DDE443}" presName="hierChild5" presStyleCnt="0"/>
      <dgm:spPr/>
    </dgm:pt>
    <dgm:pt modelId="{621D909C-B2AC-4D6E-BAB4-A62415B61633}" type="pres">
      <dgm:prSet presAssocID="{CFCCBC62-1082-4572-8951-AF0617ACC02F}" presName="Name23" presStyleLbl="parChTrans1D4" presStyleIdx="1" presStyleCnt="3"/>
      <dgm:spPr/>
    </dgm:pt>
    <dgm:pt modelId="{6B5EE12A-66DD-461B-8657-B6561B63E07F}" type="pres">
      <dgm:prSet presAssocID="{CBF8F5EA-89F5-48A8-BF02-5DF7DE0EE54D}" presName="hierRoot4" presStyleCnt="0"/>
      <dgm:spPr/>
    </dgm:pt>
    <dgm:pt modelId="{6689C2CD-D10D-4645-94F3-8FDEF93E67ED}" type="pres">
      <dgm:prSet presAssocID="{CBF8F5EA-89F5-48A8-BF02-5DF7DE0EE54D}" presName="composite4" presStyleCnt="0"/>
      <dgm:spPr/>
    </dgm:pt>
    <dgm:pt modelId="{226E7CAC-67BD-4F76-86CA-147D47B1F5F0}" type="pres">
      <dgm:prSet presAssocID="{CBF8F5EA-89F5-48A8-BF02-5DF7DE0EE54D}" presName="background4" presStyleLbl="node4" presStyleIdx="1" presStyleCnt="3"/>
      <dgm:spPr/>
    </dgm:pt>
    <dgm:pt modelId="{7E093224-DC81-40AF-BCC7-70ADB7F71B3B}" type="pres">
      <dgm:prSet presAssocID="{CBF8F5EA-89F5-48A8-BF02-5DF7DE0EE54D}" presName="text4" presStyleLbl="fgAcc4" presStyleIdx="1" presStyleCnt="3">
        <dgm:presLayoutVars>
          <dgm:chPref val="3"/>
        </dgm:presLayoutVars>
      </dgm:prSet>
      <dgm:spPr/>
    </dgm:pt>
    <dgm:pt modelId="{3B244583-1E95-41CA-BF60-25AA3A9BC3F6}" type="pres">
      <dgm:prSet presAssocID="{CBF8F5EA-89F5-48A8-BF02-5DF7DE0EE54D}" presName="hierChild5" presStyleCnt="0"/>
      <dgm:spPr/>
    </dgm:pt>
    <dgm:pt modelId="{1B1737A2-771E-4E80-8C41-1B79B97750E2}" type="pres">
      <dgm:prSet presAssocID="{94D55E2A-126E-45F6-8A6A-C99C7850D3F7}" presName="Name23" presStyleLbl="parChTrans1D4" presStyleIdx="2" presStyleCnt="3"/>
      <dgm:spPr/>
    </dgm:pt>
    <dgm:pt modelId="{8787978C-DA7D-4665-A6E7-624D0B097976}" type="pres">
      <dgm:prSet presAssocID="{334D3E69-D92B-40D5-9FF2-1A1AE30C03A1}" presName="hierRoot4" presStyleCnt="0"/>
      <dgm:spPr/>
    </dgm:pt>
    <dgm:pt modelId="{A1EA7481-7964-44BE-9FD3-7ADC34DB974C}" type="pres">
      <dgm:prSet presAssocID="{334D3E69-D92B-40D5-9FF2-1A1AE30C03A1}" presName="composite4" presStyleCnt="0"/>
      <dgm:spPr/>
    </dgm:pt>
    <dgm:pt modelId="{ADD78705-38C2-4D53-BD23-BEEEDB4563C3}" type="pres">
      <dgm:prSet presAssocID="{334D3E69-D92B-40D5-9FF2-1A1AE30C03A1}" presName="background4" presStyleLbl="node4" presStyleIdx="2" presStyleCnt="3"/>
      <dgm:spPr/>
    </dgm:pt>
    <dgm:pt modelId="{91DAF482-FA7E-4F8C-936A-5E21357DEB22}" type="pres">
      <dgm:prSet presAssocID="{334D3E69-D92B-40D5-9FF2-1A1AE30C03A1}" presName="text4" presStyleLbl="fgAcc4" presStyleIdx="2" presStyleCnt="3">
        <dgm:presLayoutVars>
          <dgm:chPref val="3"/>
        </dgm:presLayoutVars>
      </dgm:prSet>
      <dgm:spPr/>
    </dgm:pt>
    <dgm:pt modelId="{B4D0AD6F-D15C-4D93-9677-81CEBDC90616}" type="pres">
      <dgm:prSet presAssocID="{334D3E69-D92B-40D5-9FF2-1A1AE30C03A1}" presName="hierChild5" presStyleCnt="0"/>
      <dgm:spPr/>
    </dgm:pt>
  </dgm:ptLst>
  <dgm:cxnLst>
    <dgm:cxn modelId="{5E237E0C-8FD3-4940-85A8-D80F018347BB}" srcId="{9F49A00F-F80D-4FA6-BABC-F04480DDE443}" destId="{CBF8F5EA-89F5-48A8-BF02-5DF7DE0EE54D}" srcOrd="0" destOrd="0" parTransId="{CFCCBC62-1082-4572-8951-AF0617ACC02F}" sibTransId="{7FB0B9E0-C09C-41EB-9EB7-845A95964FBB}"/>
    <dgm:cxn modelId="{E542D310-AFA1-4736-A402-A015053BEBCD}" type="presOf" srcId="{F9E61447-CDA9-4722-91BE-47A1951EFD60}" destId="{A5A15BD4-2FEB-405A-9AD6-4E8ECF1EB8F5}" srcOrd="0" destOrd="0" presId="urn:microsoft.com/office/officeart/2005/8/layout/hierarchy1"/>
    <dgm:cxn modelId="{0E634C19-106E-4E35-AE4D-FB18B339DF41}" type="presOf" srcId="{94D55E2A-126E-45F6-8A6A-C99C7850D3F7}" destId="{1B1737A2-771E-4E80-8C41-1B79B97750E2}" srcOrd="0" destOrd="0" presId="urn:microsoft.com/office/officeart/2005/8/layout/hierarchy1"/>
    <dgm:cxn modelId="{40A7C464-E613-43AC-A63D-4C9486D5F06F}" srcId="{2F86B4D1-F9A8-4A37-B6A3-FCFCE399E8D8}" destId="{D2DDA526-0054-44D5-94B7-4AE7FF0332CF}" srcOrd="0" destOrd="0" parTransId="{5F0317A5-EF4F-4153-8218-A8AC77AF330C}" sibTransId="{83A45143-C210-4C82-A600-0F5B9171CA9D}"/>
    <dgm:cxn modelId="{98D5F972-79C4-4F20-9449-E1890F7BE74B}" type="presOf" srcId="{5F0317A5-EF4F-4153-8218-A8AC77AF330C}" destId="{865CA8F6-4608-4F95-B044-CA166D3263A3}" srcOrd="0" destOrd="0" presId="urn:microsoft.com/office/officeart/2005/8/layout/hierarchy1"/>
    <dgm:cxn modelId="{9B758181-80B6-47C1-B21A-80AE16352A0A}" srcId="{D2DDA526-0054-44D5-94B7-4AE7FF0332CF}" destId="{DFF90B31-5234-4AC8-BA4F-B57870C5E65C}" srcOrd="0" destOrd="0" parTransId="{94C1DB8A-CA4B-4B2E-8DB5-EDEED8FA9FCF}" sibTransId="{D76CF9DD-3279-4FA4-8F22-665F57B8A039}"/>
    <dgm:cxn modelId="{9B60F887-8C59-4CDC-8E5D-03C7214B1986}" type="presOf" srcId="{CBF8F5EA-89F5-48A8-BF02-5DF7DE0EE54D}" destId="{7E093224-DC81-40AF-BCC7-70ADB7F71B3B}" srcOrd="0" destOrd="0" presId="urn:microsoft.com/office/officeart/2005/8/layout/hierarchy1"/>
    <dgm:cxn modelId="{5151AF8F-757C-4EFB-B958-80E4BD7D2991}" type="presOf" srcId="{334D3E69-D92B-40D5-9FF2-1A1AE30C03A1}" destId="{91DAF482-FA7E-4F8C-936A-5E21357DEB22}" srcOrd="0" destOrd="0" presId="urn:microsoft.com/office/officeart/2005/8/layout/hierarchy1"/>
    <dgm:cxn modelId="{DCD1A092-96B3-441E-A70B-6E49A39FC822}" srcId="{F9E61447-CDA9-4722-91BE-47A1951EFD60}" destId="{2F86B4D1-F9A8-4A37-B6A3-FCFCE399E8D8}" srcOrd="0" destOrd="0" parTransId="{7BC0168E-3234-4EA7-8AF9-3A11114D3201}" sibTransId="{0F233C9E-59A2-45CD-BC2D-311F26AF9B5C}"/>
    <dgm:cxn modelId="{160BF1AF-9AD3-4199-833E-AEF2DA410658}" srcId="{CBF8F5EA-89F5-48A8-BF02-5DF7DE0EE54D}" destId="{334D3E69-D92B-40D5-9FF2-1A1AE30C03A1}" srcOrd="0" destOrd="0" parTransId="{94D55E2A-126E-45F6-8A6A-C99C7850D3F7}" sibTransId="{9EA82202-3150-4AC6-BE5F-B1408B49DFB6}"/>
    <dgm:cxn modelId="{191AACB2-F40A-440B-A5ED-7E7F9A76543F}" type="presOf" srcId="{9F49A00F-F80D-4FA6-BABC-F04480DDE443}" destId="{A2D20C61-6D21-4C13-9B53-2DF5D5A3E525}" srcOrd="0" destOrd="0" presId="urn:microsoft.com/office/officeart/2005/8/layout/hierarchy1"/>
    <dgm:cxn modelId="{8AA6F6C3-0C80-43F6-B240-88527EFA73C6}" type="presOf" srcId="{2F86B4D1-F9A8-4A37-B6A3-FCFCE399E8D8}" destId="{8C96F782-B6F3-4CFB-A3DD-3C4516FF9AAF}" srcOrd="0" destOrd="0" presId="urn:microsoft.com/office/officeart/2005/8/layout/hierarchy1"/>
    <dgm:cxn modelId="{529D0DCA-5CF4-4901-A61B-E6FFDC4B4CFE}" srcId="{DFF90B31-5234-4AC8-BA4F-B57870C5E65C}" destId="{9F49A00F-F80D-4FA6-BABC-F04480DDE443}" srcOrd="0" destOrd="0" parTransId="{FF9E8CC0-9D5A-4F23-8C02-178D1279055F}" sibTransId="{24A4F972-6D86-4E02-9E75-31DFC2CAD1D8}"/>
    <dgm:cxn modelId="{E4E63CD7-0832-4022-87ED-2892810B59A8}" type="presOf" srcId="{CFCCBC62-1082-4572-8951-AF0617ACC02F}" destId="{621D909C-B2AC-4D6E-BAB4-A62415B61633}" srcOrd="0" destOrd="0" presId="urn:microsoft.com/office/officeart/2005/8/layout/hierarchy1"/>
    <dgm:cxn modelId="{C4F505DA-0B81-479A-B8BF-6A5D1AE62AA0}" type="presOf" srcId="{D2DDA526-0054-44D5-94B7-4AE7FF0332CF}" destId="{80F65D4D-D518-4E23-872B-0AE96AD8B940}" srcOrd="0" destOrd="0" presId="urn:microsoft.com/office/officeart/2005/8/layout/hierarchy1"/>
    <dgm:cxn modelId="{CE25C7DE-11D7-418D-93FF-BB0ED585DC5A}" type="presOf" srcId="{94C1DB8A-CA4B-4B2E-8DB5-EDEED8FA9FCF}" destId="{61394ED2-EF6B-4BF4-A33C-1EDADBFDC376}" srcOrd="0" destOrd="0" presId="urn:microsoft.com/office/officeart/2005/8/layout/hierarchy1"/>
    <dgm:cxn modelId="{94D80FF3-07C6-47C3-87F3-2206CD120614}" type="presOf" srcId="{DFF90B31-5234-4AC8-BA4F-B57870C5E65C}" destId="{E4B04EF3-DEC0-4401-94F7-25044400E2AA}" srcOrd="0" destOrd="0" presId="urn:microsoft.com/office/officeart/2005/8/layout/hierarchy1"/>
    <dgm:cxn modelId="{4A494BFF-455B-404C-9E0B-5EA161CAE5BB}" type="presOf" srcId="{FF9E8CC0-9D5A-4F23-8C02-178D1279055F}" destId="{D4913BB3-6492-4D43-ADDB-9C0D1CE81928}" srcOrd="0" destOrd="0" presId="urn:microsoft.com/office/officeart/2005/8/layout/hierarchy1"/>
    <dgm:cxn modelId="{9AB93B5D-E812-4BFC-95B0-8F45B31EC528}" type="presParOf" srcId="{A5A15BD4-2FEB-405A-9AD6-4E8ECF1EB8F5}" destId="{BA6CDB7D-8F7F-4CDA-8A5E-1706830E5DCB}" srcOrd="0" destOrd="0" presId="urn:microsoft.com/office/officeart/2005/8/layout/hierarchy1"/>
    <dgm:cxn modelId="{E067B6ED-5C9C-4C5B-B984-65A5720B0775}" type="presParOf" srcId="{BA6CDB7D-8F7F-4CDA-8A5E-1706830E5DCB}" destId="{66419F85-E041-4A90-B84F-E756E355E901}" srcOrd="0" destOrd="0" presId="urn:microsoft.com/office/officeart/2005/8/layout/hierarchy1"/>
    <dgm:cxn modelId="{89307491-DE2E-47CE-8E3B-0437459FEE81}" type="presParOf" srcId="{66419F85-E041-4A90-B84F-E756E355E901}" destId="{150D897F-45AE-4837-B37C-9A764C14264E}" srcOrd="0" destOrd="0" presId="urn:microsoft.com/office/officeart/2005/8/layout/hierarchy1"/>
    <dgm:cxn modelId="{14D4E09D-20DF-4ECA-BCBE-FAC313A7A2D8}" type="presParOf" srcId="{66419F85-E041-4A90-B84F-E756E355E901}" destId="{8C96F782-B6F3-4CFB-A3DD-3C4516FF9AAF}" srcOrd="1" destOrd="0" presId="urn:microsoft.com/office/officeart/2005/8/layout/hierarchy1"/>
    <dgm:cxn modelId="{8A5D6FDD-6F87-42FA-AF8D-24DD2B6CED65}" type="presParOf" srcId="{BA6CDB7D-8F7F-4CDA-8A5E-1706830E5DCB}" destId="{7129E8CA-8BA8-47C7-9CC4-272535160113}" srcOrd="1" destOrd="0" presId="urn:microsoft.com/office/officeart/2005/8/layout/hierarchy1"/>
    <dgm:cxn modelId="{87441780-4EA9-42A6-B518-DFA491D1800E}" type="presParOf" srcId="{7129E8CA-8BA8-47C7-9CC4-272535160113}" destId="{865CA8F6-4608-4F95-B044-CA166D3263A3}" srcOrd="0" destOrd="0" presId="urn:microsoft.com/office/officeart/2005/8/layout/hierarchy1"/>
    <dgm:cxn modelId="{EB11E996-56B2-4E2C-B59E-C7E7846887B3}" type="presParOf" srcId="{7129E8CA-8BA8-47C7-9CC4-272535160113}" destId="{690C6CBD-291A-4F6C-8123-C04C166D3DDC}" srcOrd="1" destOrd="0" presId="urn:microsoft.com/office/officeart/2005/8/layout/hierarchy1"/>
    <dgm:cxn modelId="{17E48E5F-72FF-41E2-8FBE-F4BBE12D197A}" type="presParOf" srcId="{690C6CBD-291A-4F6C-8123-C04C166D3DDC}" destId="{09FDC2F6-5CF4-464F-BEA4-BF49A314563E}" srcOrd="0" destOrd="0" presId="urn:microsoft.com/office/officeart/2005/8/layout/hierarchy1"/>
    <dgm:cxn modelId="{D45E2A56-F642-4C07-8E40-D3BFA93496D5}" type="presParOf" srcId="{09FDC2F6-5CF4-464F-BEA4-BF49A314563E}" destId="{F39EAEDE-DEBB-4E1B-B452-FA212C64EA67}" srcOrd="0" destOrd="0" presId="urn:microsoft.com/office/officeart/2005/8/layout/hierarchy1"/>
    <dgm:cxn modelId="{0B3DFDA5-3CF1-46A7-AF18-F4E0DF5B6C1D}" type="presParOf" srcId="{09FDC2F6-5CF4-464F-BEA4-BF49A314563E}" destId="{80F65D4D-D518-4E23-872B-0AE96AD8B940}" srcOrd="1" destOrd="0" presId="urn:microsoft.com/office/officeart/2005/8/layout/hierarchy1"/>
    <dgm:cxn modelId="{2CD7913F-7134-4587-BD9E-795DBA3051A5}" type="presParOf" srcId="{690C6CBD-291A-4F6C-8123-C04C166D3DDC}" destId="{90874CE2-839E-4ABF-911F-F5708276A3C5}" srcOrd="1" destOrd="0" presId="urn:microsoft.com/office/officeart/2005/8/layout/hierarchy1"/>
    <dgm:cxn modelId="{E8224B73-AC12-40DC-9FE9-B88FBC51DAAE}" type="presParOf" srcId="{90874CE2-839E-4ABF-911F-F5708276A3C5}" destId="{61394ED2-EF6B-4BF4-A33C-1EDADBFDC376}" srcOrd="0" destOrd="0" presId="urn:microsoft.com/office/officeart/2005/8/layout/hierarchy1"/>
    <dgm:cxn modelId="{1B291934-40E5-4354-B7F2-73AD18517131}" type="presParOf" srcId="{90874CE2-839E-4ABF-911F-F5708276A3C5}" destId="{826D2369-EAE4-43A6-8CB6-1E863B50F3A0}" srcOrd="1" destOrd="0" presId="urn:microsoft.com/office/officeart/2005/8/layout/hierarchy1"/>
    <dgm:cxn modelId="{76DC33F5-C463-4C58-805A-408531B016F8}" type="presParOf" srcId="{826D2369-EAE4-43A6-8CB6-1E863B50F3A0}" destId="{83677182-E94F-4A46-B7D2-B8306A1351A8}" srcOrd="0" destOrd="0" presId="urn:microsoft.com/office/officeart/2005/8/layout/hierarchy1"/>
    <dgm:cxn modelId="{71B916B8-A911-498C-8C49-C9D087D2C44F}" type="presParOf" srcId="{83677182-E94F-4A46-B7D2-B8306A1351A8}" destId="{6A6DFA5F-56CD-4D5B-B818-43CBF6F632E3}" srcOrd="0" destOrd="0" presId="urn:microsoft.com/office/officeart/2005/8/layout/hierarchy1"/>
    <dgm:cxn modelId="{3A10796B-6342-4032-A682-ABFDA0AFFA09}" type="presParOf" srcId="{83677182-E94F-4A46-B7D2-B8306A1351A8}" destId="{E4B04EF3-DEC0-4401-94F7-25044400E2AA}" srcOrd="1" destOrd="0" presId="urn:microsoft.com/office/officeart/2005/8/layout/hierarchy1"/>
    <dgm:cxn modelId="{8EB55CAF-13EF-46E7-BF27-8479418C8D0D}" type="presParOf" srcId="{826D2369-EAE4-43A6-8CB6-1E863B50F3A0}" destId="{647C499D-8EDD-4950-9954-8B4317FE0922}" srcOrd="1" destOrd="0" presId="urn:microsoft.com/office/officeart/2005/8/layout/hierarchy1"/>
    <dgm:cxn modelId="{0044B340-2D8B-40D5-85BC-679141D81A50}" type="presParOf" srcId="{647C499D-8EDD-4950-9954-8B4317FE0922}" destId="{D4913BB3-6492-4D43-ADDB-9C0D1CE81928}" srcOrd="0" destOrd="0" presId="urn:microsoft.com/office/officeart/2005/8/layout/hierarchy1"/>
    <dgm:cxn modelId="{958061BA-9A51-47B7-A075-B3792554BD9C}" type="presParOf" srcId="{647C499D-8EDD-4950-9954-8B4317FE0922}" destId="{FF1B9427-858F-4B89-84B4-E2D91F5D87E2}" srcOrd="1" destOrd="0" presId="urn:microsoft.com/office/officeart/2005/8/layout/hierarchy1"/>
    <dgm:cxn modelId="{1E27D678-9F8A-4148-8411-1FA5DCC9FA03}" type="presParOf" srcId="{FF1B9427-858F-4B89-84B4-E2D91F5D87E2}" destId="{92A53E65-4A69-4D5A-ADEC-AA8105B49306}" srcOrd="0" destOrd="0" presId="urn:microsoft.com/office/officeart/2005/8/layout/hierarchy1"/>
    <dgm:cxn modelId="{F3DD446A-D1CF-4878-BB15-C1882B32B7C7}" type="presParOf" srcId="{92A53E65-4A69-4D5A-ADEC-AA8105B49306}" destId="{6E0CCCBB-8A23-447C-979D-1B7D35E66553}" srcOrd="0" destOrd="0" presId="urn:microsoft.com/office/officeart/2005/8/layout/hierarchy1"/>
    <dgm:cxn modelId="{F174140A-20CB-4830-A44B-00A7164D9072}" type="presParOf" srcId="{92A53E65-4A69-4D5A-ADEC-AA8105B49306}" destId="{A2D20C61-6D21-4C13-9B53-2DF5D5A3E525}" srcOrd="1" destOrd="0" presId="urn:microsoft.com/office/officeart/2005/8/layout/hierarchy1"/>
    <dgm:cxn modelId="{0313F630-CF67-4061-AE4F-E9114D9DB478}" type="presParOf" srcId="{FF1B9427-858F-4B89-84B4-E2D91F5D87E2}" destId="{CAF22639-AEFA-4B36-BC37-BDBD3F68878E}" srcOrd="1" destOrd="0" presId="urn:microsoft.com/office/officeart/2005/8/layout/hierarchy1"/>
    <dgm:cxn modelId="{F10DE132-1D4C-4BFD-9304-34B369303BBC}" type="presParOf" srcId="{CAF22639-AEFA-4B36-BC37-BDBD3F68878E}" destId="{621D909C-B2AC-4D6E-BAB4-A62415B61633}" srcOrd="0" destOrd="0" presId="urn:microsoft.com/office/officeart/2005/8/layout/hierarchy1"/>
    <dgm:cxn modelId="{9419AE27-0F27-412D-9853-8AFBC36554B1}" type="presParOf" srcId="{CAF22639-AEFA-4B36-BC37-BDBD3F68878E}" destId="{6B5EE12A-66DD-461B-8657-B6561B63E07F}" srcOrd="1" destOrd="0" presId="urn:microsoft.com/office/officeart/2005/8/layout/hierarchy1"/>
    <dgm:cxn modelId="{769B23A9-953C-477C-8715-B193A0EE632E}" type="presParOf" srcId="{6B5EE12A-66DD-461B-8657-B6561B63E07F}" destId="{6689C2CD-D10D-4645-94F3-8FDEF93E67ED}" srcOrd="0" destOrd="0" presId="urn:microsoft.com/office/officeart/2005/8/layout/hierarchy1"/>
    <dgm:cxn modelId="{3F03BC98-9A77-4B33-A462-2D065C52CF15}" type="presParOf" srcId="{6689C2CD-D10D-4645-94F3-8FDEF93E67ED}" destId="{226E7CAC-67BD-4F76-86CA-147D47B1F5F0}" srcOrd="0" destOrd="0" presId="urn:microsoft.com/office/officeart/2005/8/layout/hierarchy1"/>
    <dgm:cxn modelId="{14B881F8-8529-413F-8368-C3FE0344AA79}" type="presParOf" srcId="{6689C2CD-D10D-4645-94F3-8FDEF93E67ED}" destId="{7E093224-DC81-40AF-BCC7-70ADB7F71B3B}" srcOrd="1" destOrd="0" presId="urn:microsoft.com/office/officeart/2005/8/layout/hierarchy1"/>
    <dgm:cxn modelId="{316C5464-BE40-4DAC-A808-10D0E4F728DE}" type="presParOf" srcId="{6B5EE12A-66DD-461B-8657-B6561B63E07F}" destId="{3B244583-1E95-41CA-BF60-25AA3A9BC3F6}" srcOrd="1" destOrd="0" presId="urn:microsoft.com/office/officeart/2005/8/layout/hierarchy1"/>
    <dgm:cxn modelId="{B2E8AFD7-041F-417E-844E-788118226CEC}" type="presParOf" srcId="{3B244583-1E95-41CA-BF60-25AA3A9BC3F6}" destId="{1B1737A2-771E-4E80-8C41-1B79B97750E2}" srcOrd="0" destOrd="0" presId="urn:microsoft.com/office/officeart/2005/8/layout/hierarchy1"/>
    <dgm:cxn modelId="{F3E59F3B-CB2D-4E3E-B236-E80099F6EC42}" type="presParOf" srcId="{3B244583-1E95-41CA-BF60-25AA3A9BC3F6}" destId="{8787978C-DA7D-4665-A6E7-624D0B097976}" srcOrd="1" destOrd="0" presId="urn:microsoft.com/office/officeart/2005/8/layout/hierarchy1"/>
    <dgm:cxn modelId="{9798F133-E6FF-4056-96B8-10ADDF54670E}" type="presParOf" srcId="{8787978C-DA7D-4665-A6E7-624D0B097976}" destId="{A1EA7481-7964-44BE-9FD3-7ADC34DB974C}" srcOrd="0" destOrd="0" presId="urn:microsoft.com/office/officeart/2005/8/layout/hierarchy1"/>
    <dgm:cxn modelId="{0CAFEAF1-5115-471E-90F4-92B9BB90FE84}" type="presParOf" srcId="{A1EA7481-7964-44BE-9FD3-7ADC34DB974C}" destId="{ADD78705-38C2-4D53-BD23-BEEEDB4563C3}" srcOrd="0" destOrd="0" presId="urn:microsoft.com/office/officeart/2005/8/layout/hierarchy1"/>
    <dgm:cxn modelId="{73428E13-93A7-4EE8-9A6C-B482CB3FF898}" type="presParOf" srcId="{A1EA7481-7964-44BE-9FD3-7ADC34DB974C}" destId="{91DAF482-FA7E-4F8C-936A-5E21357DEB22}" srcOrd="1" destOrd="0" presId="urn:microsoft.com/office/officeart/2005/8/layout/hierarchy1"/>
    <dgm:cxn modelId="{AF1647BE-B1F1-4578-9DE6-A76FF3413D55}" type="presParOf" srcId="{8787978C-DA7D-4665-A6E7-624D0B097976}" destId="{B4D0AD6F-D15C-4D93-9677-81CEBDC90616}"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74EF2-39D8-43DD-BF8E-4739DCE3A13F}">
      <dsp:nvSpPr>
        <dsp:cNvPr id="0" name=""/>
        <dsp:cNvSpPr/>
      </dsp:nvSpPr>
      <dsp:spPr>
        <a:xfrm>
          <a:off x="2836561" y="2104268"/>
          <a:ext cx="91440" cy="1075220"/>
        </a:xfrm>
        <a:custGeom>
          <a:avLst/>
          <a:gdLst/>
          <a:ahLst/>
          <a:cxnLst/>
          <a:rect l="0" t="0" r="0" b="0"/>
          <a:pathLst>
            <a:path>
              <a:moveTo>
                <a:pt x="45720" y="0"/>
              </a:moveTo>
              <a:lnTo>
                <a:pt x="45720" y="986160"/>
              </a:lnTo>
              <a:lnTo>
                <a:pt x="46137" y="986160"/>
              </a:lnTo>
              <a:lnTo>
                <a:pt x="46137" y="10752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BC9A23-3A8D-4ADE-857A-4F1F0CA8C5D6}">
      <dsp:nvSpPr>
        <dsp:cNvPr id="0" name=""/>
        <dsp:cNvSpPr/>
      </dsp:nvSpPr>
      <dsp:spPr>
        <a:xfrm>
          <a:off x="2882281" y="2104268"/>
          <a:ext cx="1897010" cy="285647"/>
        </a:xfrm>
        <a:custGeom>
          <a:avLst/>
          <a:gdLst/>
          <a:ahLst/>
          <a:cxnLst/>
          <a:rect l="0" t="0" r="0" b="0"/>
          <a:pathLst>
            <a:path>
              <a:moveTo>
                <a:pt x="0" y="0"/>
              </a:moveTo>
              <a:lnTo>
                <a:pt x="0" y="196587"/>
              </a:lnTo>
              <a:lnTo>
                <a:pt x="1897010" y="196587"/>
              </a:lnTo>
              <a:lnTo>
                <a:pt x="1897010" y="2856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F05FE1-BE1A-4A1F-AA11-940C4DB4EEEE}">
      <dsp:nvSpPr>
        <dsp:cNvPr id="0" name=""/>
        <dsp:cNvSpPr/>
      </dsp:nvSpPr>
      <dsp:spPr>
        <a:xfrm>
          <a:off x="2882281" y="2104268"/>
          <a:ext cx="641837" cy="332781"/>
        </a:xfrm>
        <a:custGeom>
          <a:avLst/>
          <a:gdLst/>
          <a:ahLst/>
          <a:cxnLst/>
          <a:rect l="0" t="0" r="0" b="0"/>
          <a:pathLst>
            <a:path>
              <a:moveTo>
                <a:pt x="0" y="0"/>
              </a:moveTo>
              <a:lnTo>
                <a:pt x="0" y="243721"/>
              </a:lnTo>
              <a:lnTo>
                <a:pt x="641837" y="243721"/>
              </a:lnTo>
              <a:lnTo>
                <a:pt x="641837" y="3327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AA3588-F3C0-4466-A849-EFA2BDB964D8}">
      <dsp:nvSpPr>
        <dsp:cNvPr id="0" name=""/>
        <dsp:cNvSpPr/>
      </dsp:nvSpPr>
      <dsp:spPr>
        <a:xfrm>
          <a:off x="2128163" y="2104268"/>
          <a:ext cx="754117" cy="342304"/>
        </a:xfrm>
        <a:custGeom>
          <a:avLst/>
          <a:gdLst/>
          <a:ahLst/>
          <a:cxnLst/>
          <a:rect l="0" t="0" r="0" b="0"/>
          <a:pathLst>
            <a:path>
              <a:moveTo>
                <a:pt x="754117" y="0"/>
              </a:moveTo>
              <a:lnTo>
                <a:pt x="754117" y="253244"/>
              </a:lnTo>
              <a:lnTo>
                <a:pt x="0" y="253244"/>
              </a:lnTo>
              <a:lnTo>
                <a:pt x="0" y="3423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6D697C-4AF7-459D-A4D6-9E5D99474679}">
      <dsp:nvSpPr>
        <dsp:cNvPr id="0" name=""/>
        <dsp:cNvSpPr/>
      </dsp:nvSpPr>
      <dsp:spPr>
        <a:xfrm>
          <a:off x="993729" y="2104268"/>
          <a:ext cx="1888552" cy="333770"/>
        </a:xfrm>
        <a:custGeom>
          <a:avLst/>
          <a:gdLst/>
          <a:ahLst/>
          <a:cxnLst/>
          <a:rect l="0" t="0" r="0" b="0"/>
          <a:pathLst>
            <a:path>
              <a:moveTo>
                <a:pt x="1888552" y="0"/>
              </a:moveTo>
              <a:lnTo>
                <a:pt x="1888552" y="244710"/>
              </a:lnTo>
              <a:lnTo>
                <a:pt x="0" y="244710"/>
              </a:lnTo>
              <a:lnTo>
                <a:pt x="0" y="33377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CD00AD-AA97-4704-9DFA-E56E81024B92}">
      <dsp:nvSpPr>
        <dsp:cNvPr id="0" name=""/>
        <dsp:cNvSpPr/>
      </dsp:nvSpPr>
      <dsp:spPr>
        <a:xfrm>
          <a:off x="2817997" y="1340007"/>
          <a:ext cx="91440" cy="153792"/>
        </a:xfrm>
        <a:custGeom>
          <a:avLst/>
          <a:gdLst/>
          <a:ahLst/>
          <a:cxnLst/>
          <a:rect l="0" t="0" r="0" b="0"/>
          <a:pathLst>
            <a:path>
              <a:moveTo>
                <a:pt x="45720" y="0"/>
              </a:moveTo>
              <a:lnTo>
                <a:pt x="45720" y="64732"/>
              </a:lnTo>
              <a:lnTo>
                <a:pt x="64284" y="64732"/>
              </a:lnTo>
              <a:lnTo>
                <a:pt x="64284" y="1537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86E33B-22B9-4E42-95F0-5FBB8DEBCAE2}">
      <dsp:nvSpPr>
        <dsp:cNvPr id="0" name=""/>
        <dsp:cNvSpPr/>
      </dsp:nvSpPr>
      <dsp:spPr>
        <a:xfrm>
          <a:off x="2817007" y="575667"/>
          <a:ext cx="91440" cy="153871"/>
        </a:xfrm>
        <a:custGeom>
          <a:avLst/>
          <a:gdLst/>
          <a:ahLst/>
          <a:cxnLst/>
          <a:rect l="0" t="0" r="0" b="0"/>
          <a:pathLst>
            <a:path>
              <a:moveTo>
                <a:pt x="45720" y="0"/>
              </a:moveTo>
              <a:lnTo>
                <a:pt x="45720" y="64811"/>
              </a:lnTo>
              <a:lnTo>
                <a:pt x="46710" y="64811"/>
              </a:lnTo>
              <a:lnTo>
                <a:pt x="46710" y="15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120961-9E67-4F66-BDC3-0B903573E834}">
      <dsp:nvSpPr>
        <dsp:cNvPr id="0" name=""/>
        <dsp:cNvSpPr/>
      </dsp:nvSpPr>
      <dsp:spPr>
        <a:xfrm>
          <a:off x="2382043" y="-34800"/>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0DCBE8-CFAA-4782-912D-A1FA574D9920}">
      <dsp:nvSpPr>
        <dsp:cNvPr id="0" name=""/>
        <dsp:cNvSpPr/>
      </dsp:nvSpPr>
      <dsp:spPr>
        <a:xfrm>
          <a:off x="2488862" y="66677"/>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Board of Directors</a:t>
          </a:r>
        </a:p>
      </dsp:txBody>
      <dsp:txXfrm>
        <a:off x="2506742" y="84557"/>
        <a:ext cx="925607" cy="574708"/>
      </dsp:txXfrm>
    </dsp:sp>
    <dsp:sp modelId="{A7BFDE70-6592-40EE-B4A6-14540410624B}">
      <dsp:nvSpPr>
        <dsp:cNvPr id="0" name=""/>
        <dsp:cNvSpPr/>
      </dsp:nvSpPr>
      <dsp:spPr>
        <a:xfrm>
          <a:off x="2383034" y="729539"/>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7120FD-E1A4-4D14-8101-78E88E07121D}">
      <dsp:nvSpPr>
        <dsp:cNvPr id="0" name=""/>
        <dsp:cNvSpPr/>
      </dsp:nvSpPr>
      <dsp:spPr>
        <a:xfrm>
          <a:off x="2489852" y="831017"/>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Executive Management</a:t>
          </a:r>
        </a:p>
      </dsp:txBody>
      <dsp:txXfrm>
        <a:off x="2507732" y="848897"/>
        <a:ext cx="925607" cy="574708"/>
      </dsp:txXfrm>
    </dsp:sp>
    <dsp:sp modelId="{B65B69CC-C241-45A3-B621-529EFF4E4B88}">
      <dsp:nvSpPr>
        <dsp:cNvPr id="0" name=""/>
        <dsp:cNvSpPr/>
      </dsp:nvSpPr>
      <dsp:spPr>
        <a:xfrm>
          <a:off x="2401598" y="1493800"/>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C3B18F-2830-4834-845C-064694ECAD5D}">
      <dsp:nvSpPr>
        <dsp:cNvPr id="0" name=""/>
        <dsp:cNvSpPr/>
      </dsp:nvSpPr>
      <dsp:spPr>
        <a:xfrm>
          <a:off x="2508416" y="1595277"/>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Chief Information Security Officer (CISO)</a:t>
          </a:r>
        </a:p>
      </dsp:txBody>
      <dsp:txXfrm>
        <a:off x="2526296" y="1613157"/>
        <a:ext cx="925607" cy="574708"/>
      </dsp:txXfrm>
    </dsp:sp>
    <dsp:sp modelId="{480832FF-DF11-4371-92BD-2024915185F1}">
      <dsp:nvSpPr>
        <dsp:cNvPr id="0" name=""/>
        <dsp:cNvSpPr/>
      </dsp:nvSpPr>
      <dsp:spPr>
        <a:xfrm>
          <a:off x="513045" y="2438039"/>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AF0324-C01D-4107-A493-C033E8D4F687}">
      <dsp:nvSpPr>
        <dsp:cNvPr id="0" name=""/>
        <dsp:cNvSpPr/>
      </dsp:nvSpPr>
      <dsp:spPr>
        <a:xfrm>
          <a:off x="619864" y="2539516"/>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Security Operations</a:t>
          </a:r>
        </a:p>
      </dsp:txBody>
      <dsp:txXfrm>
        <a:off x="637744" y="2557396"/>
        <a:ext cx="925607" cy="574708"/>
      </dsp:txXfrm>
    </dsp:sp>
    <dsp:sp modelId="{23BD3BF8-1196-4167-B3AD-FF54D50718E0}">
      <dsp:nvSpPr>
        <dsp:cNvPr id="0" name=""/>
        <dsp:cNvSpPr/>
      </dsp:nvSpPr>
      <dsp:spPr>
        <a:xfrm>
          <a:off x="1647480" y="2446573"/>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EBD992-B5CD-4BA7-9ECA-5BBCFE7FCA0C}">
      <dsp:nvSpPr>
        <dsp:cNvPr id="0" name=""/>
        <dsp:cNvSpPr/>
      </dsp:nvSpPr>
      <dsp:spPr>
        <a:xfrm>
          <a:off x="1754298" y="2548051"/>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Risk &amp; Compliance</a:t>
          </a:r>
        </a:p>
      </dsp:txBody>
      <dsp:txXfrm>
        <a:off x="1772178" y="2565931"/>
        <a:ext cx="925607" cy="574708"/>
      </dsp:txXfrm>
    </dsp:sp>
    <dsp:sp modelId="{99DC6D85-EC52-41B8-BA41-F86BDB177F65}">
      <dsp:nvSpPr>
        <dsp:cNvPr id="0" name=""/>
        <dsp:cNvSpPr/>
      </dsp:nvSpPr>
      <dsp:spPr>
        <a:xfrm>
          <a:off x="3043435" y="2437050"/>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459271-0319-4E69-BB7F-DE9591B38A25}">
      <dsp:nvSpPr>
        <dsp:cNvPr id="0" name=""/>
        <dsp:cNvSpPr/>
      </dsp:nvSpPr>
      <dsp:spPr>
        <a:xfrm>
          <a:off x="3150254" y="2538527"/>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IT Operations </a:t>
          </a:r>
        </a:p>
      </dsp:txBody>
      <dsp:txXfrm>
        <a:off x="3168134" y="2556407"/>
        <a:ext cx="925607" cy="574708"/>
      </dsp:txXfrm>
    </dsp:sp>
    <dsp:sp modelId="{9CD673CB-E06B-44D3-BFDB-51EE03A19E9E}">
      <dsp:nvSpPr>
        <dsp:cNvPr id="0" name=""/>
        <dsp:cNvSpPr/>
      </dsp:nvSpPr>
      <dsp:spPr>
        <a:xfrm>
          <a:off x="4298608" y="2389915"/>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6F6FA5B-3AB4-4DC0-A9BB-FAD1A19DFED9}">
      <dsp:nvSpPr>
        <dsp:cNvPr id="0" name=""/>
        <dsp:cNvSpPr/>
      </dsp:nvSpPr>
      <dsp:spPr>
        <a:xfrm>
          <a:off x="4405427" y="2491393"/>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Internal Audit</a:t>
          </a:r>
        </a:p>
      </dsp:txBody>
      <dsp:txXfrm>
        <a:off x="4423307" y="2509273"/>
        <a:ext cx="925607" cy="574708"/>
      </dsp:txXfrm>
    </dsp:sp>
    <dsp:sp modelId="{36609848-F745-44CA-A0BD-01443898F691}">
      <dsp:nvSpPr>
        <dsp:cNvPr id="0" name=""/>
        <dsp:cNvSpPr/>
      </dsp:nvSpPr>
      <dsp:spPr>
        <a:xfrm>
          <a:off x="2402015" y="3179489"/>
          <a:ext cx="961367" cy="6104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0B1B14-6154-43EA-8261-34609B479073}">
      <dsp:nvSpPr>
        <dsp:cNvPr id="0" name=""/>
        <dsp:cNvSpPr/>
      </dsp:nvSpPr>
      <dsp:spPr>
        <a:xfrm>
          <a:off x="2508834" y="3280967"/>
          <a:ext cx="961367" cy="61046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System Users (Employees, Contractors, Third-Party Partners)</a:t>
          </a:r>
        </a:p>
      </dsp:txBody>
      <dsp:txXfrm>
        <a:off x="2526714" y="3298847"/>
        <a:ext cx="925607" cy="5747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1737A2-771E-4E80-8C41-1B79B97750E2}">
      <dsp:nvSpPr>
        <dsp:cNvPr id="0" name=""/>
        <dsp:cNvSpPr/>
      </dsp:nvSpPr>
      <dsp:spPr>
        <a:xfrm>
          <a:off x="2664395" y="2584877"/>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1D909C-B2AC-4D6E-BAB4-A62415B61633}">
      <dsp:nvSpPr>
        <dsp:cNvPr id="0" name=""/>
        <dsp:cNvSpPr/>
      </dsp:nvSpPr>
      <dsp:spPr>
        <a:xfrm>
          <a:off x="2664395" y="2033524"/>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913BB3-6492-4D43-ADDB-9C0D1CE81928}">
      <dsp:nvSpPr>
        <dsp:cNvPr id="0" name=""/>
        <dsp:cNvSpPr/>
      </dsp:nvSpPr>
      <dsp:spPr>
        <a:xfrm>
          <a:off x="2664395" y="1482171"/>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94ED2-EF6B-4BF4-A33C-1EDADBFDC376}">
      <dsp:nvSpPr>
        <dsp:cNvPr id="0" name=""/>
        <dsp:cNvSpPr/>
      </dsp:nvSpPr>
      <dsp:spPr>
        <a:xfrm>
          <a:off x="2664395" y="930818"/>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CA8F6-4608-4F95-B044-CA166D3263A3}">
      <dsp:nvSpPr>
        <dsp:cNvPr id="0" name=""/>
        <dsp:cNvSpPr/>
      </dsp:nvSpPr>
      <dsp:spPr>
        <a:xfrm>
          <a:off x="2664395" y="379464"/>
          <a:ext cx="91440" cy="173197"/>
        </a:xfrm>
        <a:custGeom>
          <a:avLst/>
          <a:gdLst/>
          <a:ahLst/>
          <a:cxnLst/>
          <a:rect l="0" t="0" r="0" b="0"/>
          <a:pathLst>
            <a:path>
              <a:moveTo>
                <a:pt x="45720" y="0"/>
              </a:moveTo>
              <a:lnTo>
                <a:pt x="45720" y="173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0D897F-45AE-4837-B37C-9A764C14264E}">
      <dsp:nvSpPr>
        <dsp:cNvPr id="0" name=""/>
        <dsp:cNvSpPr/>
      </dsp:nvSpPr>
      <dsp:spPr>
        <a:xfrm>
          <a:off x="2412355" y="1309"/>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C96F782-B6F3-4CFB-A3DD-3C4516FF9AAF}">
      <dsp:nvSpPr>
        <dsp:cNvPr id="0" name=""/>
        <dsp:cNvSpPr/>
      </dsp:nvSpPr>
      <dsp:spPr>
        <a:xfrm>
          <a:off x="2478524" y="64169"/>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Employee Device (BYOD)</a:t>
          </a:r>
        </a:p>
      </dsp:txBody>
      <dsp:txXfrm>
        <a:off x="2489600" y="75245"/>
        <a:ext cx="573368" cy="356003"/>
      </dsp:txXfrm>
    </dsp:sp>
    <dsp:sp modelId="{F39EAEDE-DEBB-4E1B-B452-FA212C64EA67}">
      <dsp:nvSpPr>
        <dsp:cNvPr id="0" name=""/>
        <dsp:cNvSpPr/>
      </dsp:nvSpPr>
      <dsp:spPr>
        <a:xfrm>
          <a:off x="2412355" y="552662"/>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0F65D4D-D518-4E23-872B-0AE96AD8B940}">
      <dsp:nvSpPr>
        <dsp:cNvPr id="0" name=""/>
        <dsp:cNvSpPr/>
      </dsp:nvSpPr>
      <dsp:spPr>
        <a:xfrm>
          <a:off x="2478524" y="615522"/>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Mobile Device Management (MDM)</a:t>
          </a:r>
        </a:p>
      </dsp:txBody>
      <dsp:txXfrm>
        <a:off x="2489600" y="626598"/>
        <a:ext cx="573368" cy="356003"/>
      </dsp:txXfrm>
    </dsp:sp>
    <dsp:sp modelId="{6A6DFA5F-56CD-4D5B-B818-43CBF6F632E3}">
      <dsp:nvSpPr>
        <dsp:cNvPr id="0" name=""/>
        <dsp:cNvSpPr/>
      </dsp:nvSpPr>
      <dsp:spPr>
        <a:xfrm>
          <a:off x="2412355" y="1104015"/>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4B04EF3-DEC0-4401-94F7-25044400E2AA}">
      <dsp:nvSpPr>
        <dsp:cNvPr id="0" name=""/>
        <dsp:cNvSpPr/>
      </dsp:nvSpPr>
      <dsp:spPr>
        <a:xfrm>
          <a:off x="2478524" y="1166875"/>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Identity Verification (Multi-Factor Authentication)</a:t>
          </a:r>
        </a:p>
      </dsp:txBody>
      <dsp:txXfrm>
        <a:off x="2489600" y="1177951"/>
        <a:ext cx="573368" cy="356003"/>
      </dsp:txXfrm>
    </dsp:sp>
    <dsp:sp modelId="{6E0CCCBB-8A23-447C-979D-1B7D35E66553}">
      <dsp:nvSpPr>
        <dsp:cNvPr id="0" name=""/>
        <dsp:cNvSpPr/>
      </dsp:nvSpPr>
      <dsp:spPr>
        <a:xfrm>
          <a:off x="2412355" y="1655368"/>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A2D20C61-6D21-4C13-9B53-2DF5D5A3E525}">
      <dsp:nvSpPr>
        <dsp:cNvPr id="0" name=""/>
        <dsp:cNvSpPr/>
      </dsp:nvSpPr>
      <dsp:spPr>
        <a:xfrm>
          <a:off x="2478524" y="1718228"/>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Secure Access Gateway / VPN</a:t>
          </a:r>
        </a:p>
      </dsp:txBody>
      <dsp:txXfrm>
        <a:off x="2489600" y="1729304"/>
        <a:ext cx="573368" cy="356003"/>
      </dsp:txXfrm>
    </dsp:sp>
    <dsp:sp modelId="{226E7CAC-67BD-4F76-86CA-147D47B1F5F0}">
      <dsp:nvSpPr>
        <dsp:cNvPr id="0" name=""/>
        <dsp:cNvSpPr/>
      </dsp:nvSpPr>
      <dsp:spPr>
        <a:xfrm>
          <a:off x="2412355" y="2206721"/>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E093224-DC81-40AF-BCC7-70ADB7F71B3B}">
      <dsp:nvSpPr>
        <dsp:cNvPr id="0" name=""/>
        <dsp:cNvSpPr/>
      </dsp:nvSpPr>
      <dsp:spPr>
        <a:xfrm>
          <a:off x="2478524" y="2269581"/>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Cloud Banking Systems</a:t>
          </a:r>
        </a:p>
      </dsp:txBody>
      <dsp:txXfrm>
        <a:off x="2489600" y="2280657"/>
        <a:ext cx="573368" cy="356003"/>
      </dsp:txXfrm>
    </dsp:sp>
    <dsp:sp modelId="{ADD78705-38C2-4D53-BD23-BEEEDB4563C3}">
      <dsp:nvSpPr>
        <dsp:cNvPr id="0" name=""/>
        <dsp:cNvSpPr/>
      </dsp:nvSpPr>
      <dsp:spPr>
        <a:xfrm>
          <a:off x="2412355" y="2758074"/>
          <a:ext cx="595520" cy="3781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1DAF482-FA7E-4F8C-936A-5E21357DEB22}">
      <dsp:nvSpPr>
        <dsp:cNvPr id="0" name=""/>
        <dsp:cNvSpPr/>
      </dsp:nvSpPr>
      <dsp:spPr>
        <a:xfrm>
          <a:off x="2478524" y="2820935"/>
          <a:ext cx="595520" cy="37815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Monitoring (SIEM)</a:t>
          </a:r>
        </a:p>
      </dsp:txBody>
      <dsp:txXfrm>
        <a:off x="2489600" y="2832011"/>
        <a:ext cx="573368" cy="3560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25303-5C8F-442F-836C-E8F0207E1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4600</Words>
  <Characters>26223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8</cp:revision>
  <dcterms:created xsi:type="dcterms:W3CDTF">2026-03-30T20:30:00Z</dcterms:created>
  <dcterms:modified xsi:type="dcterms:W3CDTF">2026-03-30T21:25:00Z</dcterms:modified>
</cp:coreProperties>
</file>