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B8C7193" w14:textId="77777777" w:rsidR="00D71CCF" w:rsidRPr="002332F8" w:rsidRDefault="00D71CCF" w:rsidP="00D71CCF">
      <w:pPr>
        <w:spacing w:after="200"/>
        <w:jc w:val="center"/>
        <w:rPr>
          <w:rFonts w:ascii="Arial" w:hAnsi="Arial" w:cs="Arial"/>
        </w:rPr>
      </w:pPr>
      <w:r w:rsidRPr="002332F8">
        <w:rPr>
          <w:rFonts w:ascii="Arial" w:hAnsi="Arial" w:cs="Arial"/>
          <w:noProof/>
        </w:rPr>
        <w:drawing>
          <wp:anchor distT="0" distB="0" distL="114300" distR="114300" simplePos="0" relativeHeight="251659264" behindDoc="0" locked="0" layoutInCell="1" allowOverlap="1" wp14:anchorId="2B63E1C1" wp14:editId="31D8673B">
            <wp:simplePos x="0" y="0"/>
            <wp:positionH relativeFrom="margin">
              <wp:posOffset>1809753</wp:posOffset>
            </wp:positionH>
            <wp:positionV relativeFrom="paragraph">
              <wp:posOffset>-190496</wp:posOffset>
            </wp:positionV>
            <wp:extent cx="1895478" cy="758193"/>
            <wp:effectExtent l="0" t="0" r="9522" b="3807"/>
            <wp:wrapTight wrapText="bothSides">
              <wp:wrapPolygon edited="0">
                <wp:start x="0" y="0"/>
                <wp:lineTo x="0" y="21166"/>
                <wp:lineTo x="21274" y="21166"/>
                <wp:lineTo x="21274" y="0"/>
                <wp:lineTo x="0" y="0"/>
              </wp:wrapPolygon>
            </wp:wrapTight>
            <wp:docPr id="1691918292" name="Picture 6" descr="A close-up of black tex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895478" cy="758193"/>
                    </a:xfrm>
                    <a:prstGeom prst="rect">
                      <a:avLst/>
                    </a:prstGeom>
                    <a:noFill/>
                    <a:ln>
                      <a:noFill/>
                      <a:prstDash/>
                    </a:ln>
                  </pic:spPr>
                </pic:pic>
              </a:graphicData>
            </a:graphic>
          </wp:anchor>
        </w:drawing>
      </w:r>
    </w:p>
    <w:p w14:paraId="75EDE3D3" w14:textId="77777777" w:rsidR="00D71CCF" w:rsidRPr="002332F8" w:rsidRDefault="00D71CCF" w:rsidP="00D71CCF">
      <w:pPr>
        <w:spacing w:after="200"/>
        <w:rPr>
          <w:rFonts w:ascii="Arial" w:hAnsi="Arial" w:cs="Arial"/>
          <w:b/>
          <w:bCs/>
          <w:sz w:val="28"/>
          <w:szCs w:val="28"/>
        </w:rPr>
      </w:pPr>
    </w:p>
    <w:p w14:paraId="424A042C" w14:textId="77777777" w:rsidR="00D71CCF" w:rsidRPr="002332F8" w:rsidRDefault="00D71CCF" w:rsidP="00D71CCF">
      <w:pPr>
        <w:spacing w:after="200"/>
        <w:jc w:val="center"/>
        <w:rPr>
          <w:rFonts w:ascii="Arial" w:hAnsi="Arial" w:cs="Arial"/>
          <w:b/>
          <w:bCs/>
          <w:sz w:val="28"/>
          <w:szCs w:val="28"/>
        </w:rPr>
      </w:pPr>
      <w:r w:rsidRPr="002332F8">
        <w:rPr>
          <w:rFonts w:ascii="Arial" w:hAnsi="Arial" w:cs="Arial"/>
          <w:b/>
          <w:bCs/>
          <w:sz w:val="28"/>
          <w:szCs w:val="28"/>
        </w:rPr>
        <w:t>Module: Dissertation</w:t>
      </w:r>
    </w:p>
    <w:p w14:paraId="2C8EE2D4" w14:textId="77777777" w:rsidR="00D71CCF" w:rsidRPr="002332F8" w:rsidRDefault="00D71CCF" w:rsidP="00D71CCF">
      <w:pPr>
        <w:spacing w:after="200"/>
        <w:jc w:val="center"/>
        <w:rPr>
          <w:rFonts w:ascii="Arial" w:hAnsi="Arial" w:cs="Arial"/>
          <w:b/>
          <w:bCs/>
          <w:sz w:val="28"/>
          <w:szCs w:val="28"/>
        </w:rPr>
      </w:pPr>
      <w:r w:rsidRPr="002332F8">
        <w:rPr>
          <w:rFonts w:ascii="Arial" w:hAnsi="Arial" w:cs="Arial"/>
          <w:b/>
          <w:bCs/>
          <w:sz w:val="28"/>
          <w:szCs w:val="28"/>
        </w:rPr>
        <w:t>Module code: LCMB7035</w:t>
      </w:r>
    </w:p>
    <w:p w14:paraId="00A0A680" w14:textId="77777777" w:rsidR="00D71CCF" w:rsidRPr="002332F8" w:rsidRDefault="00D71CCF" w:rsidP="00D71CCF">
      <w:pPr>
        <w:spacing w:after="200"/>
        <w:jc w:val="center"/>
        <w:rPr>
          <w:rFonts w:ascii="Arial" w:hAnsi="Arial" w:cs="Arial"/>
          <w:b/>
          <w:bCs/>
          <w:sz w:val="28"/>
          <w:szCs w:val="28"/>
        </w:rPr>
      </w:pPr>
      <w:r w:rsidRPr="002332F8">
        <w:rPr>
          <w:rFonts w:ascii="Arial" w:hAnsi="Arial" w:cs="Arial"/>
          <w:b/>
          <w:bCs/>
          <w:sz w:val="28"/>
          <w:szCs w:val="28"/>
        </w:rPr>
        <w:t>Programme: Master of Business Administration</w:t>
      </w:r>
    </w:p>
    <w:p w14:paraId="2E203AEB" w14:textId="77777777" w:rsidR="00D71CCF" w:rsidRPr="002332F8" w:rsidRDefault="00D71CCF" w:rsidP="00D71CCF">
      <w:pPr>
        <w:pStyle w:val="NoSpacing"/>
        <w:spacing w:line="360" w:lineRule="auto"/>
        <w:rPr>
          <w:rFonts w:ascii="Arial" w:hAnsi="Arial" w:cs="Arial"/>
          <w:b/>
          <w:bCs/>
          <w:sz w:val="28"/>
          <w:szCs w:val="28"/>
        </w:rPr>
      </w:pPr>
    </w:p>
    <w:p w14:paraId="2581089D" w14:textId="77777777" w:rsidR="00D71CCF" w:rsidRPr="002332F8" w:rsidRDefault="00D71CCF" w:rsidP="00D71CCF">
      <w:pPr>
        <w:pStyle w:val="NoSpacing"/>
        <w:spacing w:line="360" w:lineRule="auto"/>
        <w:jc w:val="center"/>
        <w:rPr>
          <w:rFonts w:ascii="Arial" w:hAnsi="Arial" w:cs="Arial"/>
          <w:b/>
          <w:bCs/>
          <w:sz w:val="28"/>
          <w:szCs w:val="28"/>
        </w:rPr>
      </w:pPr>
    </w:p>
    <w:p w14:paraId="623439B3" w14:textId="77777777" w:rsidR="00D71CCF" w:rsidRPr="002332F8" w:rsidRDefault="00D71CCF" w:rsidP="00D71CCF">
      <w:pPr>
        <w:pStyle w:val="NoSpacing"/>
        <w:spacing w:line="360" w:lineRule="auto"/>
        <w:jc w:val="center"/>
        <w:rPr>
          <w:rFonts w:ascii="Arial" w:hAnsi="Arial" w:cs="Arial"/>
          <w:b/>
          <w:bCs/>
          <w:sz w:val="28"/>
          <w:szCs w:val="28"/>
        </w:rPr>
      </w:pPr>
      <w:r w:rsidRPr="002332F8">
        <w:rPr>
          <w:rFonts w:ascii="Arial" w:hAnsi="Arial" w:cs="Arial"/>
          <w:b/>
          <w:bCs/>
          <w:sz w:val="28"/>
          <w:szCs w:val="28"/>
        </w:rPr>
        <w:t xml:space="preserve">Research Title: </w:t>
      </w:r>
    </w:p>
    <w:p w14:paraId="0896753D" w14:textId="77777777" w:rsidR="00D71CCF" w:rsidRPr="002332F8" w:rsidRDefault="00D71CCF" w:rsidP="00D71CCF">
      <w:pPr>
        <w:spacing w:after="400"/>
        <w:jc w:val="center"/>
        <w:rPr>
          <w:rFonts w:ascii="Arial" w:hAnsi="Arial" w:cs="Arial"/>
        </w:rPr>
      </w:pPr>
      <w:r w:rsidRPr="002332F8">
        <w:rPr>
          <w:rFonts w:ascii="Arial" w:hAnsi="Arial" w:cs="Arial"/>
          <w:b/>
          <w:bCs/>
          <w:i/>
          <w:iCs/>
          <w:sz w:val="28"/>
          <w:szCs w:val="28"/>
        </w:rPr>
        <w:t>“</w:t>
      </w:r>
      <w:r w:rsidRPr="002332F8">
        <w:rPr>
          <w:rFonts w:ascii="Arial" w:hAnsi="Arial" w:cs="Arial"/>
          <w:b/>
          <w:bCs/>
          <w:i/>
          <w:iCs/>
        </w:rPr>
        <w:t>Examining the Relationship Between Employees' Perceptions of Flexible Work Arrangements and Employee Engagement in the Bangladesh Ready-Made Garment Industry: Evidence from Natural Group</w:t>
      </w:r>
      <w:r w:rsidRPr="002332F8">
        <w:rPr>
          <w:rFonts w:ascii="Arial" w:hAnsi="Arial" w:cs="Arial"/>
          <w:b/>
          <w:bCs/>
          <w:i/>
          <w:iCs/>
          <w:sz w:val="28"/>
          <w:szCs w:val="28"/>
        </w:rPr>
        <w:t>”</w:t>
      </w:r>
    </w:p>
    <w:p w14:paraId="0F1C61DB" w14:textId="77777777" w:rsidR="00D71CCF" w:rsidRPr="002332F8" w:rsidRDefault="00D71CCF" w:rsidP="00D71CCF">
      <w:pPr>
        <w:spacing w:after="400"/>
        <w:jc w:val="center"/>
        <w:rPr>
          <w:rFonts w:ascii="Arial" w:hAnsi="Arial" w:cs="Arial"/>
          <w:b/>
          <w:bCs/>
          <w:sz w:val="32"/>
          <w:szCs w:val="32"/>
        </w:rPr>
      </w:pPr>
    </w:p>
    <w:p w14:paraId="4EE2C6FB" w14:textId="77777777" w:rsidR="00D71CCF" w:rsidRPr="002332F8" w:rsidRDefault="00D71CCF" w:rsidP="00D71CCF">
      <w:pPr>
        <w:spacing w:after="400"/>
        <w:jc w:val="center"/>
        <w:rPr>
          <w:rFonts w:ascii="Arial" w:hAnsi="Arial" w:cs="Arial"/>
        </w:rPr>
      </w:pPr>
      <w:r w:rsidRPr="002332F8">
        <w:rPr>
          <w:rFonts w:ascii="Arial" w:hAnsi="Arial" w:cs="Arial"/>
          <w:b/>
          <w:bCs/>
          <w:sz w:val="32"/>
          <w:szCs w:val="32"/>
        </w:rPr>
        <w:t>Student Name:</w:t>
      </w:r>
      <w:r w:rsidRPr="002332F8">
        <w:rPr>
          <w:rFonts w:ascii="Arial" w:hAnsi="Arial" w:cs="Arial"/>
          <w:shd w:val="clear" w:color="auto" w:fill="FFFFFF"/>
        </w:rPr>
        <w:t xml:space="preserve"> </w:t>
      </w:r>
      <w:r w:rsidRPr="002332F8">
        <w:rPr>
          <w:rFonts w:ascii="Arial" w:hAnsi="Arial" w:cs="Arial"/>
          <w:b/>
          <w:bCs/>
          <w:sz w:val="32"/>
          <w:szCs w:val="32"/>
        </w:rPr>
        <w:t>Md Moinul Hasan Bappy</w:t>
      </w:r>
      <w:r w:rsidRPr="002332F8">
        <w:rPr>
          <w:rFonts w:ascii="Arial" w:hAnsi="Arial" w:cs="Arial"/>
          <w:b/>
          <w:bCs/>
          <w:sz w:val="32"/>
          <w:szCs w:val="32"/>
        </w:rPr>
        <w:br/>
        <w:t>Student ID: 2503567</w:t>
      </w:r>
    </w:p>
    <w:p w14:paraId="6CF85C67" w14:textId="77777777" w:rsidR="00D71CCF" w:rsidRPr="002332F8" w:rsidRDefault="00D71CCF" w:rsidP="00D71CCF">
      <w:pPr>
        <w:spacing w:after="400"/>
        <w:jc w:val="center"/>
        <w:rPr>
          <w:rFonts w:ascii="Arial" w:hAnsi="Arial" w:cs="Arial"/>
          <w:b/>
          <w:bCs/>
          <w:sz w:val="32"/>
          <w:szCs w:val="32"/>
        </w:rPr>
      </w:pPr>
    </w:p>
    <w:p w14:paraId="0EFDD7BA" w14:textId="77777777" w:rsidR="00D71CCF" w:rsidRPr="002332F8" w:rsidRDefault="00D71CCF" w:rsidP="00D71CCF">
      <w:pPr>
        <w:tabs>
          <w:tab w:val="center" w:pos="4513"/>
        </w:tabs>
        <w:jc w:val="center"/>
        <w:rPr>
          <w:rFonts w:ascii="Arial" w:hAnsi="Arial" w:cs="Arial"/>
          <w:b/>
          <w:bCs/>
          <w:sz w:val="32"/>
          <w:szCs w:val="32"/>
        </w:rPr>
      </w:pPr>
      <w:r w:rsidRPr="002332F8">
        <w:rPr>
          <w:rFonts w:ascii="Arial" w:hAnsi="Arial" w:cs="Arial"/>
          <w:b/>
          <w:bCs/>
          <w:sz w:val="32"/>
          <w:szCs w:val="32"/>
        </w:rPr>
        <w:t>Supervisor: Amare Desta</w:t>
      </w:r>
    </w:p>
    <w:p w14:paraId="3B49BB3C" w14:textId="77777777" w:rsidR="00D71CCF" w:rsidRPr="002332F8" w:rsidRDefault="00D71CCF" w:rsidP="00D71CCF">
      <w:pPr>
        <w:tabs>
          <w:tab w:val="center" w:pos="4513"/>
        </w:tabs>
        <w:rPr>
          <w:rFonts w:ascii="Arial" w:hAnsi="Arial" w:cs="Arial"/>
          <w:b/>
          <w:bCs/>
          <w:sz w:val="32"/>
          <w:szCs w:val="32"/>
        </w:rPr>
      </w:pPr>
    </w:p>
    <w:p w14:paraId="16A0BD46" w14:textId="77777777" w:rsidR="00D71CCF" w:rsidRDefault="00D71CCF" w:rsidP="00D71CCF">
      <w:pPr>
        <w:tabs>
          <w:tab w:val="center" w:pos="4513"/>
        </w:tabs>
        <w:jc w:val="center"/>
        <w:rPr>
          <w:rFonts w:ascii="Arial" w:hAnsi="Arial" w:cs="Arial"/>
          <w:iCs/>
          <w:sz w:val="22"/>
        </w:rPr>
      </w:pPr>
      <w:r w:rsidRPr="002332F8">
        <w:rPr>
          <w:rFonts w:ascii="Arial" w:hAnsi="Arial" w:cs="Arial"/>
          <w:iCs/>
          <w:sz w:val="22"/>
        </w:rPr>
        <w:t>Words Count: 16,493 Words</w:t>
      </w:r>
    </w:p>
    <w:p w14:paraId="2F89DD0E" w14:textId="77777777" w:rsidR="00D71CCF" w:rsidRDefault="00D71CCF" w:rsidP="00D71CCF">
      <w:pPr>
        <w:tabs>
          <w:tab w:val="center" w:pos="4513"/>
        </w:tabs>
        <w:jc w:val="center"/>
        <w:rPr>
          <w:rFonts w:ascii="Arial" w:hAnsi="Arial" w:cs="Arial"/>
          <w:iCs/>
          <w:sz w:val="22"/>
        </w:rPr>
      </w:pPr>
    </w:p>
    <w:p w14:paraId="56F22585" w14:textId="77777777" w:rsidR="00D71CCF" w:rsidRPr="002332F8" w:rsidRDefault="00D71CCF" w:rsidP="00D71CCF">
      <w:pPr>
        <w:tabs>
          <w:tab w:val="center" w:pos="4513"/>
        </w:tabs>
        <w:jc w:val="center"/>
        <w:rPr>
          <w:rFonts w:ascii="Arial" w:hAnsi="Arial" w:cs="Arial"/>
          <w:iCs/>
          <w:sz w:val="22"/>
        </w:rPr>
      </w:pPr>
      <w:r>
        <w:rPr>
          <w:rFonts w:ascii="Arial" w:hAnsi="Arial" w:cs="Arial"/>
          <w:iCs/>
          <w:sz w:val="22"/>
        </w:rPr>
        <w:t>Date of Submission: 24/09/2026</w:t>
      </w:r>
    </w:p>
    <w:p w14:paraId="22964B71" w14:textId="77777777" w:rsidR="00D71CCF" w:rsidRPr="002332F8" w:rsidRDefault="00D71CCF" w:rsidP="00D71CCF">
      <w:pPr>
        <w:pStyle w:val="Heading1"/>
        <w:rPr>
          <w:rFonts w:ascii="Arial" w:hAnsi="Arial" w:cs="Arial"/>
          <w:color w:val="auto"/>
        </w:rPr>
      </w:pPr>
      <w:bookmarkStart w:id="0" w:name="_Toc240403519"/>
      <w:bookmarkStart w:id="1" w:name="_Toc241093439"/>
      <w:bookmarkStart w:id="2" w:name="_Toc241113258"/>
      <w:bookmarkStart w:id="3" w:name="front2"/>
      <w:r w:rsidRPr="002332F8">
        <w:rPr>
          <w:rFonts w:ascii="Arial" w:hAnsi="Arial" w:cs="Arial"/>
          <w:color w:val="auto"/>
        </w:rPr>
        <w:lastRenderedPageBreak/>
        <w:t>DECLARATION</w:t>
      </w:r>
      <w:bookmarkEnd w:id="0"/>
      <w:bookmarkEnd w:id="1"/>
      <w:bookmarkEnd w:id="2"/>
    </w:p>
    <w:p w14:paraId="7AD8E5A5" w14:textId="77777777" w:rsidR="00D71CCF" w:rsidRPr="002332F8" w:rsidRDefault="00D71CCF" w:rsidP="00D71CCF">
      <w:pPr>
        <w:pBdr>
          <w:top w:val="single" w:sz="4" w:space="1" w:color="000000"/>
          <w:left w:val="single" w:sz="4" w:space="4" w:color="000000"/>
          <w:bottom w:val="single" w:sz="4" w:space="1" w:color="000000"/>
          <w:right w:val="single" w:sz="4" w:space="4" w:color="000000"/>
        </w:pBdr>
        <w:jc w:val="center"/>
        <w:rPr>
          <w:rFonts w:ascii="Arial" w:hAnsi="Arial" w:cs="Arial"/>
        </w:rPr>
      </w:pPr>
      <w:r w:rsidRPr="002332F8">
        <w:rPr>
          <w:rFonts w:ascii="Arial" w:hAnsi="Arial" w:cs="Arial"/>
          <w:noProof/>
        </w:rPr>
        <w:drawing>
          <wp:inline distT="0" distB="0" distL="0" distR="0" wp14:anchorId="55FD0C29" wp14:editId="67C876E8">
            <wp:extent cx="2844798" cy="1162687"/>
            <wp:effectExtent l="0" t="0" r="0" b="0"/>
            <wp:docPr id="1583507870" name="Picture 176333116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844798" cy="1162687"/>
                    </a:xfrm>
                    <a:prstGeom prst="rect">
                      <a:avLst/>
                    </a:prstGeom>
                    <a:noFill/>
                    <a:ln>
                      <a:noFill/>
                      <a:prstDash/>
                    </a:ln>
                  </pic:spPr>
                </pic:pic>
              </a:graphicData>
            </a:graphic>
          </wp:inline>
        </w:drawing>
      </w:r>
    </w:p>
    <w:p w14:paraId="6DEEE299" w14:textId="77777777" w:rsidR="00D71CCF" w:rsidRPr="002332F8" w:rsidRDefault="00D71CCF" w:rsidP="00D71CCF">
      <w:pPr>
        <w:pBdr>
          <w:top w:val="single" w:sz="4" w:space="1" w:color="000000"/>
          <w:left w:val="single" w:sz="4" w:space="4" w:color="000000"/>
          <w:bottom w:val="single" w:sz="4" w:space="1" w:color="000000"/>
          <w:right w:val="single" w:sz="4" w:space="4" w:color="000000"/>
        </w:pBdr>
        <w:jc w:val="center"/>
        <w:rPr>
          <w:rFonts w:ascii="Arial" w:hAnsi="Arial" w:cs="Arial"/>
          <w:b/>
          <w:sz w:val="28"/>
          <w:szCs w:val="28"/>
        </w:rPr>
      </w:pPr>
    </w:p>
    <w:p w14:paraId="00780AEF" w14:textId="77777777" w:rsidR="00D71CCF" w:rsidRPr="002332F8" w:rsidRDefault="00D71CCF" w:rsidP="00D71CCF">
      <w:pPr>
        <w:pBdr>
          <w:top w:val="single" w:sz="4" w:space="1" w:color="000000"/>
          <w:left w:val="single" w:sz="4" w:space="4" w:color="000000"/>
          <w:bottom w:val="single" w:sz="4" w:space="1" w:color="000000"/>
          <w:right w:val="single" w:sz="4" w:space="4" w:color="000000"/>
        </w:pBdr>
        <w:jc w:val="center"/>
        <w:rPr>
          <w:rFonts w:ascii="Arial" w:hAnsi="Arial" w:cs="Arial"/>
        </w:rPr>
      </w:pPr>
      <w:r w:rsidRPr="002332F8">
        <w:rPr>
          <w:rFonts w:ascii="Arial" w:hAnsi="Arial" w:cs="Arial"/>
          <w:b/>
          <w:sz w:val="28"/>
          <w:szCs w:val="28"/>
        </w:rPr>
        <w:t>Master’s Degrees by Examination and Dissertation</w:t>
      </w:r>
    </w:p>
    <w:p w14:paraId="18483656" w14:textId="77777777" w:rsidR="00D71CCF" w:rsidRPr="002332F8" w:rsidRDefault="00D71CCF" w:rsidP="00D71CCF">
      <w:pPr>
        <w:pBdr>
          <w:top w:val="single" w:sz="4" w:space="1" w:color="000000"/>
          <w:left w:val="single" w:sz="4" w:space="4" w:color="000000"/>
          <w:bottom w:val="single" w:sz="4" w:space="1" w:color="000000"/>
          <w:right w:val="single" w:sz="4" w:space="4" w:color="000000"/>
        </w:pBdr>
        <w:jc w:val="center"/>
        <w:rPr>
          <w:rFonts w:ascii="Arial" w:hAnsi="Arial" w:cs="Arial"/>
        </w:rPr>
      </w:pPr>
      <w:r w:rsidRPr="002332F8">
        <w:rPr>
          <w:rFonts w:ascii="Arial" w:hAnsi="Arial" w:cs="Arial"/>
          <w:b/>
          <w:sz w:val="28"/>
          <w:szCs w:val="28"/>
        </w:rPr>
        <w:t>Declaration Form</w:t>
      </w:r>
    </w:p>
    <w:p w14:paraId="25594DF9" w14:textId="77777777" w:rsidR="00D71CCF" w:rsidRPr="002332F8" w:rsidRDefault="00D71CCF" w:rsidP="00D71CCF">
      <w:pPr>
        <w:pBdr>
          <w:top w:val="single" w:sz="4" w:space="1" w:color="000000"/>
          <w:left w:val="single" w:sz="4" w:space="4" w:color="000000"/>
          <w:bottom w:val="single" w:sz="4" w:space="1" w:color="000000"/>
          <w:right w:val="single" w:sz="4" w:space="4" w:color="000000"/>
        </w:pBdr>
        <w:rPr>
          <w:rFonts w:ascii="Arial" w:hAnsi="Arial" w:cs="Arial"/>
        </w:rPr>
      </w:pPr>
    </w:p>
    <w:p w14:paraId="6E11086F" w14:textId="77777777" w:rsidR="00D71CCF" w:rsidRPr="002332F8" w:rsidRDefault="00D71CCF" w:rsidP="00D71CCF">
      <w:pPr>
        <w:pBdr>
          <w:top w:val="single" w:sz="4" w:space="1" w:color="000000"/>
          <w:left w:val="single" w:sz="4" w:space="4" w:color="000000"/>
          <w:bottom w:val="single" w:sz="4" w:space="1" w:color="000000"/>
          <w:right w:val="single" w:sz="4" w:space="4" w:color="000000"/>
        </w:pBdr>
        <w:rPr>
          <w:rFonts w:ascii="Arial" w:hAnsi="Arial" w:cs="Arial"/>
        </w:rPr>
      </w:pPr>
      <w:r w:rsidRPr="002332F8">
        <w:rPr>
          <w:rFonts w:ascii="Arial" w:hAnsi="Arial" w:cs="Arial"/>
        </w:rPr>
        <w:t xml:space="preserve">I, </w:t>
      </w:r>
      <w:r w:rsidRPr="002332F8">
        <w:rPr>
          <w:rFonts w:ascii="Arial" w:hAnsi="Arial" w:cs="Arial"/>
          <w:szCs w:val="24"/>
        </w:rPr>
        <w:t>Md Moinul Hasan Bappy</w:t>
      </w:r>
      <w:r w:rsidRPr="002332F8">
        <w:rPr>
          <w:rFonts w:ascii="Arial" w:hAnsi="Arial" w:cs="Arial"/>
          <w:sz w:val="22"/>
          <w:szCs w:val="21"/>
        </w:rPr>
        <w:t xml:space="preserve">, </w:t>
      </w:r>
      <w:r w:rsidRPr="002332F8">
        <w:rPr>
          <w:rFonts w:ascii="Arial" w:hAnsi="Arial" w:cs="Arial"/>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E7D6AA6" w14:textId="77777777" w:rsidR="00D71CCF" w:rsidRPr="002332F8" w:rsidRDefault="00D71CCF" w:rsidP="00D71CCF">
      <w:pPr>
        <w:pBdr>
          <w:top w:val="single" w:sz="4" w:space="1" w:color="000000"/>
          <w:left w:val="single" w:sz="4" w:space="4" w:color="000000"/>
          <w:bottom w:val="single" w:sz="4" w:space="1" w:color="000000"/>
          <w:right w:val="single" w:sz="4" w:space="4" w:color="000000"/>
        </w:pBdr>
        <w:rPr>
          <w:rFonts w:ascii="Arial" w:hAnsi="Arial" w:cs="Arial"/>
        </w:rPr>
      </w:pPr>
      <w:r w:rsidRPr="002332F8">
        <w:rPr>
          <w:rFonts w:ascii="Arial" w:hAnsi="Arial" w:cs="Arial"/>
        </w:rPr>
        <w:t xml:space="preserve"> </w:t>
      </w:r>
    </w:p>
    <w:p w14:paraId="4C7115C8" w14:textId="77777777" w:rsidR="00D71CCF" w:rsidRPr="002332F8" w:rsidRDefault="00D71CCF" w:rsidP="00D71CCF">
      <w:pPr>
        <w:pBdr>
          <w:top w:val="single" w:sz="4" w:space="1" w:color="000000"/>
          <w:left w:val="single" w:sz="4" w:space="4" w:color="000000"/>
          <w:bottom w:val="single" w:sz="4" w:space="1" w:color="000000"/>
          <w:right w:val="single" w:sz="4" w:space="4" w:color="000000"/>
        </w:pBdr>
        <w:rPr>
          <w:rFonts w:ascii="Arial" w:hAnsi="Arial" w:cs="Arial"/>
        </w:rPr>
      </w:pPr>
      <w:r w:rsidRPr="002332F8">
        <w:rPr>
          <w:rFonts w:ascii="Arial" w:hAnsi="Arial" w:cs="Arial"/>
          <w:noProof/>
        </w:rPr>
        <w:drawing>
          <wp:anchor distT="0" distB="0" distL="114300" distR="114300" simplePos="0" relativeHeight="251662336" behindDoc="1" locked="0" layoutInCell="1" allowOverlap="1" wp14:anchorId="10867F58" wp14:editId="12D01D60">
            <wp:simplePos x="0" y="0"/>
            <wp:positionH relativeFrom="column">
              <wp:posOffset>819150</wp:posOffset>
            </wp:positionH>
            <wp:positionV relativeFrom="paragraph">
              <wp:posOffset>11430</wp:posOffset>
            </wp:positionV>
            <wp:extent cx="1352550" cy="209550"/>
            <wp:effectExtent l="0" t="0" r="0" b="0"/>
            <wp:wrapTight wrapText="bothSides">
              <wp:wrapPolygon edited="0">
                <wp:start x="0" y="0"/>
                <wp:lineTo x="0" y="19636"/>
                <wp:lineTo x="21296" y="19636"/>
                <wp:lineTo x="2129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352550" cy="209550"/>
                    </a:xfrm>
                    <a:prstGeom prst="rect">
                      <a:avLst/>
                    </a:prstGeom>
                  </pic:spPr>
                </pic:pic>
              </a:graphicData>
            </a:graphic>
            <wp14:sizeRelV relativeFrom="margin">
              <wp14:pctHeight>0</wp14:pctHeight>
            </wp14:sizeRelV>
          </wp:anchor>
        </w:drawing>
      </w:r>
      <w:r w:rsidRPr="002332F8">
        <w:rPr>
          <w:rFonts w:ascii="Arial" w:hAnsi="Arial" w:cs="Arial"/>
        </w:rPr>
        <w:t xml:space="preserve">Signature: </w:t>
      </w:r>
    </w:p>
    <w:p w14:paraId="295D6B54" w14:textId="77777777" w:rsidR="00D71CCF" w:rsidRPr="002332F8" w:rsidRDefault="00D71CCF" w:rsidP="00D71CCF">
      <w:pPr>
        <w:pBdr>
          <w:top w:val="single" w:sz="4" w:space="1" w:color="000000"/>
          <w:left w:val="single" w:sz="4" w:space="4" w:color="000000"/>
          <w:bottom w:val="single" w:sz="4" w:space="1" w:color="000000"/>
          <w:right w:val="single" w:sz="4" w:space="4" w:color="000000"/>
        </w:pBdr>
        <w:rPr>
          <w:rFonts w:ascii="Arial" w:hAnsi="Arial" w:cs="Arial"/>
        </w:rPr>
      </w:pPr>
      <w:r w:rsidRPr="002332F8">
        <w:rPr>
          <w:rFonts w:ascii="Arial" w:hAnsi="Arial" w:cs="Arial"/>
        </w:rPr>
        <w:t>Date: 24.09.2026</w:t>
      </w:r>
    </w:p>
    <w:p w14:paraId="7FEB4EE7" w14:textId="77777777" w:rsidR="00D71CCF" w:rsidRPr="002332F8" w:rsidRDefault="00D71CCF" w:rsidP="00D71CCF">
      <w:pPr>
        <w:pBdr>
          <w:top w:val="single" w:sz="4" w:space="1" w:color="000000"/>
          <w:left w:val="single" w:sz="4" w:space="4" w:color="000000"/>
          <w:bottom w:val="single" w:sz="4" w:space="1" w:color="000000"/>
          <w:right w:val="single" w:sz="4" w:space="4" w:color="000000"/>
        </w:pBdr>
        <w:rPr>
          <w:rFonts w:ascii="Arial" w:hAnsi="Arial" w:cs="Arial"/>
        </w:rPr>
      </w:pPr>
    </w:p>
    <w:p w14:paraId="013EE883" w14:textId="77777777" w:rsidR="00D71CCF" w:rsidRPr="002332F8" w:rsidRDefault="00D71CCF" w:rsidP="00D71CCF">
      <w:pPr>
        <w:suppressAutoHyphens w:val="0"/>
        <w:spacing w:after="160" w:line="256" w:lineRule="auto"/>
        <w:jc w:val="left"/>
        <w:rPr>
          <w:rFonts w:ascii="Arial" w:hAnsi="Arial" w:cs="Arial"/>
          <w:sz w:val="40"/>
          <w:szCs w:val="40"/>
        </w:rPr>
      </w:pPr>
      <w:r w:rsidRPr="002332F8">
        <w:rPr>
          <w:rFonts w:ascii="Arial" w:hAnsi="Arial" w:cs="Arial"/>
        </w:rPr>
        <w:br w:type="page"/>
      </w:r>
    </w:p>
    <w:p w14:paraId="656A8EFA" w14:textId="77777777" w:rsidR="00D71CCF" w:rsidRPr="002332F8" w:rsidRDefault="00D71CCF" w:rsidP="00D71CCF">
      <w:pPr>
        <w:pStyle w:val="Heading1"/>
        <w:rPr>
          <w:rFonts w:ascii="Arial" w:hAnsi="Arial" w:cs="Arial"/>
          <w:color w:val="auto"/>
        </w:rPr>
      </w:pPr>
      <w:bookmarkStart w:id="4" w:name="_Toc241093440"/>
      <w:bookmarkStart w:id="5" w:name="_Toc241113259"/>
      <w:r w:rsidRPr="002332F8">
        <w:rPr>
          <w:rFonts w:ascii="Arial" w:hAnsi="Arial" w:cs="Arial"/>
          <w:color w:val="auto"/>
        </w:rPr>
        <w:lastRenderedPageBreak/>
        <w:t>AI Use Acknowledgement</w:t>
      </w:r>
      <w:bookmarkEnd w:id="3"/>
      <w:bookmarkEnd w:id="4"/>
      <w:bookmarkEnd w:id="5"/>
    </w:p>
    <w:p w14:paraId="43FBFF2A" w14:textId="77777777" w:rsidR="00D71CCF" w:rsidRPr="002332F8" w:rsidRDefault="00D71CCF" w:rsidP="00D71CCF">
      <w:pPr>
        <w:spacing w:after="200" w:line="276" w:lineRule="auto"/>
        <w:jc w:val="left"/>
        <w:rPr>
          <w:rFonts w:ascii="Arial" w:hAnsi="Arial" w:cs="Arial"/>
        </w:rPr>
      </w:pPr>
      <w:bookmarkStart w:id="6" w:name="front3"/>
      <w:r w:rsidRPr="002332F8">
        <w:rPr>
          <w:rFonts w:ascii="Arial" w:hAnsi="Arial" w:cs="Arial"/>
          <w:noProof/>
        </w:rPr>
        <w:drawing>
          <wp:inline distT="0" distB="0" distL="0" distR="0" wp14:anchorId="5503AD83" wp14:editId="092458EE">
            <wp:extent cx="5731510" cy="45053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505325"/>
                    </a:xfrm>
                    <a:prstGeom prst="rect">
                      <a:avLst/>
                    </a:prstGeom>
                  </pic:spPr>
                </pic:pic>
              </a:graphicData>
            </a:graphic>
          </wp:inline>
        </w:drawing>
      </w:r>
    </w:p>
    <w:p w14:paraId="3578B43E" w14:textId="77777777" w:rsidR="00D71CCF" w:rsidRPr="002332F8" w:rsidRDefault="00D71CCF" w:rsidP="00D71CCF">
      <w:pPr>
        <w:spacing w:after="200" w:line="276" w:lineRule="auto"/>
        <w:jc w:val="left"/>
        <w:rPr>
          <w:rFonts w:ascii="Arial" w:hAnsi="Arial" w:cs="Arial"/>
        </w:rPr>
      </w:pPr>
    </w:p>
    <w:p w14:paraId="72A77B06" w14:textId="77777777" w:rsidR="00D71CCF" w:rsidRPr="002332F8" w:rsidRDefault="00D71CCF" w:rsidP="00D71CCF">
      <w:pPr>
        <w:pStyle w:val="Heading1"/>
        <w:pageBreakBefore/>
        <w:rPr>
          <w:rFonts w:ascii="Arial" w:hAnsi="Arial" w:cs="Arial"/>
          <w:color w:val="auto"/>
        </w:rPr>
      </w:pPr>
      <w:bookmarkStart w:id="7" w:name="_Toc241093441"/>
      <w:bookmarkStart w:id="8" w:name="_Toc241113260"/>
      <w:r w:rsidRPr="002332F8">
        <w:rPr>
          <w:rFonts w:ascii="Arial" w:hAnsi="Arial" w:cs="Arial"/>
          <w:color w:val="auto"/>
        </w:rPr>
        <w:lastRenderedPageBreak/>
        <w:t>Acknowledgements</w:t>
      </w:r>
      <w:bookmarkEnd w:id="6"/>
      <w:bookmarkEnd w:id="7"/>
      <w:bookmarkEnd w:id="8"/>
    </w:p>
    <w:p w14:paraId="1E27807B" w14:textId="77777777" w:rsidR="00D71CCF" w:rsidRPr="002332F8" w:rsidRDefault="00D71CCF" w:rsidP="00D71CCF">
      <w:pPr>
        <w:rPr>
          <w:rFonts w:ascii="Arial" w:hAnsi="Arial" w:cs="Arial"/>
        </w:rPr>
      </w:pPr>
      <w:r w:rsidRPr="002332F8">
        <w:rPr>
          <w:rFonts w:ascii="Arial" w:hAnsi="Arial" w:cs="Arial"/>
        </w:rPr>
        <w:t>I would like to thank the academic staff and supervisor who guided me during the completion of this dissertation. I also owe thanks to the staff who did their time to fill the survey and enable the empirical phase of the study. I would like to recognize the assistance provided by the University of Wales Trinity Saint David and the Institute of Inner-City Learning in the completion of the MBA programme. Last but not least, I would like to express my gratitude to my family and friends for their encouragement and patience during the period of research.</w:t>
      </w:r>
    </w:p>
    <w:p w14:paraId="6C78A65A" w14:textId="77777777" w:rsidR="00D71CCF" w:rsidRPr="002332F8" w:rsidRDefault="00D71CCF" w:rsidP="00D71CCF">
      <w:pPr>
        <w:rPr>
          <w:rFonts w:ascii="Arial" w:hAnsi="Arial" w:cs="Arial"/>
        </w:rPr>
      </w:pPr>
    </w:p>
    <w:p w14:paraId="6B92C952" w14:textId="77777777" w:rsidR="00D71CCF" w:rsidRPr="002332F8" w:rsidRDefault="00D71CCF" w:rsidP="00D71CCF">
      <w:pPr>
        <w:rPr>
          <w:rFonts w:ascii="Arial" w:hAnsi="Arial" w:cs="Arial"/>
        </w:rPr>
      </w:pPr>
      <w:r w:rsidRPr="002332F8">
        <w:rPr>
          <w:rFonts w:ascii="Arial" w:hAnsi="Arial" w:cs="Arial"/>
        </w:rPr>
        <w:t>Regards,</w:t>
      </w:r>
    </w:p>
    <w:p w14:paraId="79424E17" w14:textId="77777777" w:rsidR="00D71CCF" w:rsidRPr="002332F8" w:rsidRDefault="00D71CCF" w:rsidP="00D71CCF">
      <w:pPr>
        <w:rPr>
          <w:rFonts w:ascii="Arial" w:hAnsi="Arial" w:cs="Arial"/>
        </w:rPr>
      </w:pPr>
      <w:r w:rsidRPr="002332F8">
        <w:rPr>
          <w:rFonts w:ascii="Arial" w:hAnsi="Arial" w:cs="Arial"/>
          <w:szCs w:val="24"/>
        </w:rPr>
        <w:t>Md Moinul Hasan Bappy</w:t>
      </w:r>
    </w:p>
    <w:p w14:paraId="7FBAB992" w14:textId="77777777" w:rsidR="00D71CCF" w:rsidRPr="002332F8" w:rsidRDefault="00D71CCF" w:rsidP="00D71CCF">
      <w:pPr>
        <w:spacing w:after="200" w:line="276" w:lineRule="auto"/>
        <w:jc w:val="left"/>
        <w:rPr>
          <w:rFonts w:ascii="Arial" w:hAnsi="Arial" w:cs="Arial"/>
        </w:rPr>
      </w:pPr>
      <w:bookmarkStart w:id="9" w:name="front4"/>
    </w:p>
    <w:p w14:paraId="396E0190" w14:textId="77777777" w:rsidR="00D71CCF" w:rsidRPr="002332F8" w:rsidRDefault="00D71CCF" w:rsidP="00D71CCF">
      <w:pPr>
        <w:pStyle w:val="Heading1"/>
        <w:pageBreakBefore/>
        <w:rPr>
          <w:rFonts w:ascii="Arial" w:hAnsi="Arial" w:cs="Arial"/>
          <w:color w:val="auto"/>
        </w:rPr>
      </w:pPr>
      <w:bookmarkStart w:id="10" w:name="_Toc241093442"/>
      <w:bookmarkStart w:id="11" w:name="_Toc241113261"/>
      <w:r w:rsidRPr="002332F8">
        <w:rPr>
          <w:rFonts w:ascii="Arial" w:hAnsi="Arial" w:cs="Arial"/>
          <w:color w:val="auto"/>
        </w:rPr>
        <w:lastRenderedPageBreak/>
        <w:t>Abstract</w:t>
      </w:r>
      <w:bookmarkEnd w:id="9"/>
      <w:bookmarkEnd w:id="10"/>
      <w:bookmarkEnd w:id="11"/>
    </w:p>
    <w:p w14:paraId="4C3EBDF7" w14:textId="77777777" w:rsidR="00D71CCF" w:rsidRPr="002332F8" w:rsidRDefault="00D71CCF" w:rsidP="00D71CCF">
      <w:pPr>
        <w:rPr>
          <w:rFonts w:ascii="Arial" w:hAnsi="Arial" w:cs="Arial"/>
        </w:rPr>
      </w:pPr>
      <w:r w:rsidRPr="002332F8">
        <w:rPr>
          <w:rFonts w:ascii="Arial" w:hAnsi="Arial" w:cs="Arial"/>
        </w:rPr>
        <w:t>The dissertation investigated the relationship between perception of flexible work arrangements and employee engagement of production and operational employees in a factory setting of Natural Group Bangladesh. The study focused on three scheduling dimensions: perceived schedule control, perceived schedule predictability and perceived shift accommodation. A positivist, deductive and quantitative cross sectional survey design was employed. 105 responses were used after eligibility screening. Scheduling perceptions were measured with three four-item researcher-adapted scales, while employee engagement was measured using the three-item Utrecht Work Engagement Scale. Descriptive statistics, reliability analysis, Pearson correlation and multiple linear regression were used to test the proposed relationships. The overall regression model was statistically significant, F(3, 101) = 4.109, p = .009, accounting for 10.9 per cent of the variance in engagement observed. Perceived Schedule Control does not have a significant relationship with engagement. Perceived schedule predictability and perceived shift accommodation were positive and statistically significant in the primary model, but were not statistically significant after removal of three influential cases. The internal consistency of the adapted scales was also very low for the scheduling scales, but acceptable for the engagement scale. The study therefore offers preliminary evidence that predictability and fair accommodation may have more influence on engagement in this factory context than does schedule control. Nevertheless, some precautions need to be taken when interpreting the results of the present study due to measurement constraints, the one organisation sample and the cross-sectional design, which calls for additional research and validation.</w:t>
      </w:r>
    </w:p>
    <w:p w14:paraId="1E0A7F9B" w14:textId="77777777" w:rsidR="00D71CCF" w:rsidRPr="002332F8" w:rsidRDefault="00D71CCF" w:rsidP="00D71CCF">
      <w:pPr>
        <w:rPr>
          <w:rFonts w:ascii="Arial" w:hAnsi="Arial" w:cs="Arial"/>
        </w:rPr>
      </w:pPr>
      <w:r w:rsidRPr="002332F8">
        <w:rPr>
          <w:rFonts w:ascii="Arial" w:hAnsi="Arial" w:cs="Arial"/>
          <w:b/>
          <w:bCs/>
        </w:rPr>
        <w:t>Keywords:</w:t>
      </w:r>
      <w:r w:rsidRPr="002332F8">
        <w:rPr>
          <w:rFonts w:ascii="Arial" w:hAnsi="Arial" w:cs="Arial"/>
        </w:rPr>
        <w:t xml:space="preserve"> Flexible Work Arrangements, Employee Engagement, Schedule Control, Schedule Predictability, Shift Accommodation</w:t>
      </w:r>
    </w:p>
    <w:p w14:paraId="13CE0CBE" w14:textId="77777777" w:rsidR="00D71CCF" w:rsidRPr="002332F8" w:rsidRDefault="00D71CCF" w:rsidP="00D71CCF">
      <w:pPr>
        <w:rPr>
          <w:rFonts w:ascii="Arial" w:hAnsi="Arial" w:cs="Arial"/>
        </w:rPr>
      </w:pPr>
    </w:p>
    <w:p w14:paraId="62CB87AC" w14:textId="77777777" w:rsidR="00D71CCF" w:rsidRPr="002332F8" w:rsidRDefault="00D71CCF" w:rsidP="00D71CCF">
      <w:pPr>
        <w:rPr>
          <w:rFonts w:ascii="Arial" w:hAnsi="Arial" w:cs="Arial"/>
        </w:rPr>
      </w:pPr>
    </w:p>
    <w:p w14:paraId="3520C998" w14:textId="77777777" w:rsidR="00D71CCF" w:rsidRPr="002332F8" w:rsidRDefault="00D71CCF" w:rsidP="00D71CCF">
      <w:pPr>
        <w:rPr>
          <w:rFonts w:ascii="Arial" w:hAnsi="Arial" w:cs="Arial"/>
        </w:rPr>
      </w:pPr>
    </w:p>
    <w:p w14:paraId="45E2AC94" w14:textId="77777777" w:rsidR="00D71CCF" w:rsidRPr="002332F8" w:rsidRDefault="00D71CCF" w:rsidP="00D71CCF">
      <w:pPr>
        <w:rPr>
          <w:rFonts w:ascii="Arial" w:hAnsi="Arial" w:cs="Arial"/>
        </w:rPr>
      </w:pPr>
    </w:p>
    <w:p w14:paraId="240373DF" w14:textId="77777777" w:rsidR="00D71CCF" w:rsidRPr="002332F8" w:rsidRDefault="00D71CCF" w:rsidP="00D71CCF">
      <w:pPr>
        <w:suppressAutoHyphens w:val="0"/>
        <w:spacing w:after="160" w:line="256" w:lineRule="auto"/>
        <w:jc w:val="left"/>
        <w:rPr>
          <w:rFonts w:ascii="Arial" w:hAnsi="Arial" w:cs="Arial"/>
          <w:b/>
          <w:bCs/>
          <w:sz w:val="32"/>
          <w:szCs w:val="28"/>
        </w:rPr>
      </w:pPr>
      <w:bookmarkStart w:id="12" w:name="front5"/>
    </w:p>
    <w:bookmarkStart w:id="13" w:name="_Toc241113262" w:displacedByCustomXml="next"/>
    <w:sdt>
      <w:sdtPr>
        <w:rPr>
          <w:rFonts w:ascii="Arial" w:hAnsi="Arial" w:cs="Arial"/>
          <w:b w:val="0"/>
          <w:bCs w:val="0"/>
          <w:color w:val="auto"/>
          <w:sz w:val="24"/>
          <w:szCs w:val="22"/>
        </w:rPr>
        <w:id w:val="-1712564149"/>
        <w:docPartObj>
          <w:docPartGallery w:val="Table of Contents"/>
          <w:docPartUnique/>
        </w:docPartObj>
      </w:sdtPr>
      <w:sdtEndPr>
        <w:rPr>
          <w:noProof/>
        </w:rPr>
      </w:sdtEndPr>
      <w:sdtContent>
        <w:p w14:paraId="3380FE24" w14:textId="77777777" w:rsidR="00D71CCF" w:rsidRPr="002332F8" w:rsidRDefault="00D71CCF" w:rsidP="00D71CCF">
          <w:pPr>
            <w:pStyle w:val="TOCHeading"/>
            <w:rPr>
              <w:rFonts w:ascii="Arial" w:hAnsi="Arial" w:cs="Arial"/>
            </w:rPr>
          </w:pPr>
          <w:r w:rsidRPr="002332F8">
            <w:rPr>
              <w:rFonts w:ascii="Arial" w:hAnsi="Arial" w:cs="Arial"/>
            </w:rPr>
            <w:t>Table of Contents</w:t>
          </w:r>
          <w:bookmarkEnd w:id="13"/>
        </w:p>
        <w:p w14:paraId="76A27388" w14:textId="77777777" w:rsidR="00D71CCF" w:rsidRPr="002332F8" w:rsidRDefault="00D71CCF" w:rsidP="00D71CCF">
          <w:pPr>
            <w:pStyle w:val="TOC1"/>
            <w:rPr>
              <w:rFonts w:ascii="Arial" w:eastAsiaTheme="minorEastAsia" w:hAnsi="Arial" w:cs="Arial"/>
              <w:b w:val="0"/>
              <w:bCs w:val="0"/>
              <w:noProof/>
              <w:sz w:val="22"/>
            </w:rPr>
          </w:pPr>
          <w:r w:rsidRPr="002332F8">
            <w:rPr>
              <w:rFonts w:ascii="Arial" w:hAnsi="Arial" w:cs="Arial"/>
            </w:rPr>
            <w:fldChar w:fldCharType="begin"/>
          </w:r>
          <w:r w:rsidRPr="002332F8">
            <w:rPr>
              <w:rFonts w:ascii="Arial" w:hAnsi="Arial" w:cs="Arial"/>
            </w:rPr>
            <w:instrText xml:space="preserve"> TOC \o "1-3" \h \z \u </w:instrText>
          </w:r>
          <w:r w:rsidRPr="002332F8">
            <w:rPr>
              <w:rFonts w:ascii="Arial" w:hAnsi="Arial" w:cs="Arial"/>
            </w:rPr>
            <w:fldChar w:fldCharType="separate"/>
          </w:r>
          <w:hyperlink w:anchor="_Toc241113258" w:history="1">
            <w:r w:rsidRPr="002332F8">
              <w:rPr>
                <w:rStyle w:val="Hyperlink"/>
                <w:rFonts w:ascii="Arial" w:hAnsi="Arial" w:cs="Arial"/>
                <w:noProof/>
              </w:rPr>
              <w:t>DECLARATION</w:t>
            </w:r>
            <w:r w:rsidRPr="002332F8">
              <w:rPr>
                <w:rFonts w:ascii="Arial" w:hAnsi="Arial" w:cs="Arial"/>
                <w:noProof/>
                <w:webHidden/>
              </w:rPr>
              <w:tab/>
            </w:r>
            <w:r w:rsidRPr="002332F8">
              <w:rPr>
                <w:rFonts w:ascii="Arial" w:hAnsi="Arial" w:cs="Arial"/>
                <w:noProof/>
                <w:webHidden/>
              </w:rPr>
              <w:fldChar w:fldCharType="begin"/>
            </w:r>
            <w:r w:rsidRPr="002332F8">
              <w:rPr>
                <w:rFonts w:ascii="Arial" w:hAnsi="Arial" w:cs="Arial"/>
                <w:noProof/>
                <w:webHidden/>
              </w:rPr>
              <w:instrText xml:space="preserve"> PAGEREF _Toc241113258 \h </w:instrText>
            </w:r>
            <w:r w:rsidRPr="002332F8">
              <w:rPr>
                <w:rFonts w:ascii="Arial" w:hAnsi="Arial" w:cs="Arial"/>
                <w:noProof/>
                <w:webHidden/>
              </w:rPr>
            </w:r>
            <w:r w:rsidRPr="002332F8">
              <w:rPr>
                <w:rFonts w:ascii="Arial" w:hAnsi="Arial" w:cs="Arial"/>
                <w:noProof/>
                <w:webHidden/>
              </w:rPr>
              <w:fldChar w:fldCharType="separate"/>
            </w:r>
            <w:r w:rsidRPr="002332F8">
              <w:rPr>
                <w:rFonts w:ascii="Arial" w:hAnsi="Arial" w:cs="Arial"/>
                <w:noProof/>
                <w:webHidden/>
              </w:rPr>
              <w:t>2</w:t>
            </w:r>
            <w:r w:rsidRPr="002332F8">
              <w:rPr>
                <w:rFonts w:ascii="Arial" w:hAnsi="Arial" w:cs="Arial"/>
                <w:noProof/>
                <w:webHidden/>
              </w:rPr>
              <w:fldChar w:fldCharType="end"/>
            </w:r>
          </w:hyperlink>
        </w:p>
        <w:p w14:paraId="51371B0C" w14:textId="77777777" w:rsidR="00D71CCF" w:rsidRPr="002332F8" w:rsidRDefault="00F62741" w:rsidP="00D71CCF">
          <w:pPr>
            <w:pStyle w:val="TOC1"/>
            <w:rPr>
              <w:rFonts w:ascii="Arial" w:eastAsiaTheme="minorEastAsia" w:hAnsi="Arial" w:cs="Arial"/>
              <w:b w:val="0"/>
              <w:bCs w:val="0"/>
              <w:noProof/>
              <w:sz w:val="22"/>
            </w:rPr>
          </w:pPr>
          <w:hyperlink w:anchor="_Toc241113259" w:history="1">
            <w:r w:rsidR="00D71CCF" w:rsidRPr="002332F8">
              <w:rPr>
                <w:rStyle w:val="Hyperlink"/>
                <w:rFonts w:ascii="Arial" w:hAnsi="Arial" w:cs="Arial"/>
                <w:noProof/>
              </w:rPr>
              <w:t>AI Use Acknowledgement</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_Toc241113259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w:t>
            </w:r>
            <w:r w:rsidR="00D71CCF" w:rsidRPr="002332F8">
              <w:rPr>
                <w:rFonts w:ascii="Arial" w:hAnsi="Arial" w:cs="Arial"/>
                <w:noProof/>
                <w:webHidden/>
              </w:rPr>
              <w:fldChar w:fldCharType="end"/>
            </w:r>
          </w:hyperlink>
        </w:p>
        <w:p w14:paraId="4A1571E7" w14:textId="77777777" w:rsidR="00D71CCF" w:rsidRPr="002332F8" w:rsidRDefault="00F62741" w:rsidP="00D71CCF">
          <w:pPr>
            <w:pStyle w:val="TOC1"/>
            <w:rPr>
              <w:rFonts w:ascii="Arial" w:eastAsiaTheme="minorEastAsia" w:hAnsi="Arial" w:cs="Arial"/>
              <w:b w:val="0"/>
              <w:bCs w:val="0"/>
              <w:noProof/>
              <w:sz w:val="22"/>
            </w:rPr>
          </w:pPr>
          <w:hyperlink w:anchor="_Toc241113260" w:history="1">
            <w:r w:rsidR="00D71CCF" w:rsidRPr="002332F8">
              <w:rPr>
                <w:rStyle w:val="Hyperlink"/>
                <w:rFonts w:ascii="Arial" w:hAnsi="Arial" w:cs="Arial"/>
                <w:noProof/>
              </w:rPr>
              <w:t>Acknowledgements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_Toc241113260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4</w:t>
            </w:r>
            <w:r w:rsidR="00D71CCF" w:rsidRPr="002332F8">
              <w:rPr>
                <w:rFonts w:ascii="Arial" w:hAnsi="Arial" w:cs="Arial"/>
                <w:noProof/>
                <w:webHidden/>
              </w:rPr>
              <w:fldChar w:fldCharType="end"/>
            </w:r>
          </w:hyperlink>
        </w:p>
        <w:p w14:paraId="33BF7CE4" w14:textId="77777777" w:rsidR="00D71CCF" w:rsidRPr="002332F8" w:rsidRDefault="00F62741" w:rsidP="00D71CCF">
          <w:pPr>
            <w:pStyle w:val="TOC1"/>
            <w:rPr>
              <w:rFonts w:ascii="Arial" w:eastAsiaTheme="minorEastAsia" w:hAnsi="Arial" w:cs="Arial"/>
              <w:b w:val="0"/>
              <w:bCs w:val="0"/>
              <w:noProof/>
              <w:sz w:val="22"/>
            </w:rPr>
          </w:pPr>
          <w:hyperlink w:anchor="_Toc241113261" w:history="1">
            <w:r w:rsidR="00D71CCF" w:rsidRPr="002332F8">
              <w:rPr>
                <w:rStyle w:val="Hyperlink"/>
                <w:rFonts w:ascii="Arial" w:hAnsi="Arial" w:cs="Arial"/>
                <w:noProof/>
              </w:rPr>
              <w:t>Abstract</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_Toc241113261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5</w:t>
            </w:r>
            <w:r w:rsidR="00D71CCF" w:rsidRPr="002332F8">
              <w:rPr>
                <w:rFonts w:ascii="Arial" w:hAnsi="Arial" w:cs="Arial"/>
                <w:noProof/>
                <w:webHidden/>
              </w:rPr>
              <w:fldChar w:fldCharType="end"/>
            </w:r>
          </w:hyperlink>
        </w:p>
        <w:p w14:paraId="542705BA" w14:textId="77777777" w:rsidR="00D71CCF" w:rsidRPr="002332F8" w:rsidRDefault="00F62741" w:rsidP="00D71CCF">
          <w:pPr>
            <w:pStyle w:val="TOC1"/>
            <w:rPr>
              <w:rFonts w:ascii="Arial" w:eastAsiaTheme="minorEastAsia" w:hAnsi="Arial" w:cs="Arial"/>
              <w:b w:val="0"/>
              <w:bCs w:val="0"/>
              <w:noProof/>
              <w:sz w:val="22"/>
            </w:rPr>
          </w:pPr>
          <w:hyperlink w:anchor="_Toc241113262" w:history="1">
            <w:r w:rsidR="00D71CCF" w:rsidRPr="002332F8">
              <w:rPr>
                <w:rStyle w:val="Hyperlink"/>
                <w:rFonts w:ascii="Arial" w:hAnsi="Arial" w:cs="Arial"/>
                <w:noProof/>
              </w:rPr>
              <w:t>Table of Contents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_Toc241113262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8</w:t>
            </w:r>
            <w:r w:rsidR="00D71CCF" w:rsidRPr="002332F8">
              <w:rPr>
                <w:rFonts w:ascii="Arial" w:hAnsi="Arial" w:cs="Arial"/>
                <w:noProof/>
                <w:webHidden/>
              </w:rPr>
              <w:fldChar w:fldCharType="end"/>
            </w:r>
          </w:hyperlink>
        </w:p>
        <w:p w14:paraId="781394AC" w14:textId="77777777" w:rsidR="00D71CCF" w:rsidRPr="002332F8" w:rsidRDefault="00F62741" w:rsidP="00D71CCF">
          <w:pPr>
            <w:pStyle w:val="TOC1"/>
            <w:rPr>
              <w:rFonts w:ascii="Arial" w:eastAsiaTheme="minorEastAsia" w:hAnsi="Arial" w:cs="Arial"/>
              <w:b w:val="0"/>
              <w:bCs w:val="0"/>
              <w:noProof/>
              <w:sz w:val="22"/>
            </w:rPr>
          </w:pPr>
          <w:hyperlink w:anchor="_Toc241113263" w:history="1">
            <w:r w:rsidR="00D71CCF" w:rsidRPr="002332F8">
              <w:rPr>
                <w:rStyle w:val="Hyperlink"/>
                <w:rFonts w:ascii="Arial" w:hAnsi="Arial" w:cs="Arial"/>
                <w:noProof/>
              </w:rPr>
              <w:t>List of Tables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_Toc241113263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9</w:t>
            </w:r>
            <w:r w:rsidR="00D71CCF" w:rsidRPr="002332F8">
              <w:rPr>
                <w:rFonts w:ascii="Arial" w:hAnsi="Arial" w:cs="Arial"/>
                <w:noProof/>
                <w:webHidden/>
              </w:rPr>
              <w:fldChar w:fldCharType="end"/>
            </w:r>
          </w:hyperlink>
        </w:p>
        <w:p w14:paraId="223B7E1A" w14:textId="77777777" w:rsidR="00D71CCF" w:rsidRPr="002332F8" w:rsidRDefault="00F62741" w:rsidP="00D71CCF">
          <w:pPr>
            <w:pStyle w:val="TOC1"/>
            <w:rPr>
              <w:rFonts w:ascii="Arial" w:eastAsiaTheme="minorEastAsia" w:hAnsi="Arial" w:cs="Arial"/>
              <w:b w:val="0"/>
              <w:bCs w:val="0"/>
              <w:noProof/>
              <w:sz w:val="22"/>
            </w:rPr>
          </w:pPr>
          <w:hyperlink w:anchor="_Toc241113264" w:history="1">
            <w:r w:rsidR="00D71CCF" w:rsidRPr="002332F8">
              <w:rPr>
                <w:rStyle w:val="Hyperlink"/>
                <w:rFonts w:ascii="Arial" w:hAnsi="Arial" w:cs="Arial"/>
                <w:noProof/>
              </w:rPr>
              <w:t>List of Figures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_Toc241113264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10</w:t>
            </w:r>
            <w:r w:rsidR="00D71CCF" w:rsidRPr="002332F8">
              <w:rPr>
                <w:rFonts w:ascii="Arial" w:hAnsi="Arial" w:cs="Arial"/>
                <w:noProof/>
                <w:webHidden/>
              </w:rPr>
              <w:fldChar w:fldCharType="end"/>
            </w:r>
          </w:hyperlink>
        </w:p>
        <w:p w14:paraId="5F616969" w14:textId="77777777" w:rsidR="00D71CCF" w:rsidRPr="002332F8" w:rsidRDefault="00F62741" w:rsidP="00D71CCF">
          <w:pPr>
            <w:pStyle w:val="TOC1"/>
            <w:rPr>
              <w:rFonts w:ascii="Arial" w:eastAsiaTheme="minorEastAsia" w:hAnsi="Arial" w:cs="Arial"/>
              <w:b w:val="0"/>
              <w:bCs w:val="0"/>
              <w:noProof/>
              <w:sz w:val="22"/>
            </w:rPr>
          </w:pPr>
          <w:hyperlink w:anchor="_Toc241113265" w:history="1">
            <w:r w:rsidR="00D71CCF" w:rsidRPr="002332F8">
              <w:rPr>
                <w:rStyle w:val="Hyperlink"/>
                <w:rFonts w:ascii="Arial" w:hAnsi="Arial" w:cs="Arial"/>
                <w:noProof/>
              </w:rPr>
              <w:t>List of Abbreviations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_Toc241113265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12</w:t>
            </w:r>
            <w:r w:rsidR="00D71CCF" w:rsidRPr="002332F8">
              <w:rPr>
                <w:rFonts w:ascii="Arial" w:hAnsi="Arial" w:cs="Arial"/>
                <w:noProof/>
                <w:webHidden/>
              </w:rPr>
              <w:fldChar w:fldCharType="end"/>
            </w:r>
          </w:hyperlink>
        </w:p>
        <w:p w14:paraId="3715C34D" w14:textId="77777777" w:rsidR="00D71CCF" w:rsidRPr="002332F8" w:rsidRDefault="00F62741" w:rsidP="00D71CCF">
          <w:pPr>
            <w:pStyle w:val="TOC1"/>
            <w:rPr>
              <w:rFonts w:ascii="Arial" w:eastAsiaTheme="minorEastAsia" w:hAnsi="Arial" w:cs="Arial"/>
              <w:b w:val="0"/>
              <w:bCs w:val="0"/>
              <w:noProof/>
              <w:sz w:val="22"/>
            </w:rPr>
          </w:pPr>
          <w:hyperlink w:anchor="_Toc241113266" w:history="1">
            <w:r w:rsidR="00D71CCF" w:rsidRPr="002332F8">
              <w:rPr>
                <w:rStyle w:val="Hyperlink"/>
                <w:rFonts w:ascii="Arial" w:hAnsi="Arial" w:cs="Arial"/>
                <w:noProof/>
              </w:rPr>
              <w:t>List of Glossary Terms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_Toc241113266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13</w:t>
            </w:r>
            <w:r w:rsidR="00D71CCF" w:rsidRPr="002332F8">
              <w:rPr>
                <w:rFonts w:ascii="Arial" w:hAnsi="Arial" w:cs="Arial"/>
                <w:noProof/>
                <w:webHidden/>
              </w:rPr>
              <w:fldChar w:fldCharType="end"/>
            </w:r>
          </w:hyperlink>
        </w:p>
        <w:p w14:paraId="58F238DD" w14:textId="77777777" w:rsidR="00D71CCF" w:rsidRPr="002332F8" w:rsidRDefault="00F62741" w:rsidP="00D71CCF">
          <w:pPr>
            <w:pStyle w:val="TOC1"/>
            <w:rPr>
              <w:rFonts w:ascii="Arial" w:eastAsiaTheme="minorEastAsia" w:hAnsi="Arial" w:cs="Arial"/>
              <w:b w:val="0"/>
              <w:bCs w:val="0"/>
              <w:noProof/>
              <w:sz w:val="22"/>
            </w:rPr>
          </w:pPr>
          <w:hyperlink w:anchor="_Toc241113267" w:history="1">
            <w:r w:rsidR="00D71CCF" w:rsidRPr="002332F8">
              <w:rPr>
                <w:rStyle w:val="Hyperlink"/>
                <w:rFonts w:ascii="Arial" w:hAnsi="Arial" w:cs="Arial"/>
                <w:noProof/>
              </w:rPr>
              <w:t>1. Introduction</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_Toc241113267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14</w:t>
            </w:r>
            <w:r w:rsidR="00D71CCF" w:rsidRPr="002332F8">
              <w:rPr>
                <w:rFonts w:ascii="Arial" w:hAnsi="Arial" w:cs="Arial"/>
                <w:noProof/>
                <w:webHidden/>
              </w:rPr>
              <w:fldChar w:fldCharType="end"/>
            </w:r>
          </w:hyperlink>
        </w:p>
        <w:p w14:paraId="5F7C5298"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68" w:history="1">
            <w:r w:rsidR="00D71CCF" w:rsidRPr="002332F8">
              <w:rPr>
                <w:rStyle w:val="Hyperlink"/>
                <w:rFonts w:ascii="Arial" w:hAnsi="Arial" w:cs="Arial"/>
                <w:noProof/>
              </w:rPr>
              <w:t>1.1 Background and Academic Context</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_Toc241113268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14</w:t>
            </w:r>
            <w:r w:rsidR="00D71CCF" w:rsidRPr="002332F8">
              <w:rPr>
                <w:rFonts w:ascii="Arial" w:hAnsi="Arial" w:cs="Arial"/>
                <w:noProof/>
                <w:webHidden/>
              </w:rPr>
              <w:fldChar w:fldCharType="end"/>
            </w:r>
          </w:hyperlink>
        </w:p>
        <w:p w14:paraId="3F798908"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69" w:history="1">
            <w:r w:rsidR="00D71CCF" w:rsidRPr="002332F8">
              <w:rPr>
                <w:rStyle w:val="Hyperlink"/>
                <w:rFonts w:ascii="Arial" w:hAnsi="Arial" w:cs="Arial"/>
                <w:noProof/>
              </w:rPr>
              <w:t>1.2 Research Problem</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_Toc241113269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15</w:t>
            </w:r>
            <w:r w:rsidR="00D71CCF" w:rsidRPr="002332F8">
              <w:rPr>
                <w:rFonts w:ascii="Arial" w:hAnsi="Arial" w:cs="Arial"/>
                <w:noProof/>
                <w:webHidden/>
              </w:rPr>
              <w:fldChar w:fldCharType="end"/>
            </w:r>
          </w:hyperlink>
        </w:p>
        <w:p w14:paraId="348ABC64"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70" w:history="1">
            <w:r w:rsidR="00D71CCF" w:rsidRPr="002332F8">
              <w:rPr>
                <w:rStyle w:val="Hyperlink"/>
                <w:rFonts w:ascii="Arial" w:hAnsi="Arial" w:cs="Arial"/>
                <w:noProof/>
              </w:rPr>
              <w:t>1.3 Research Aim, Objectives, Questions and Hypotheses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_Toc241113270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16</w:t>
            </w:r>
            <w:r w:rsidR="00D71CCF" w:rsidRPr="002332F8">
              <w:rPr>
                <w:rFonts w:ascii="Arial" w:hAnsi="Arial" w:cs="Arial"/>
                <w:noProof/>
                <w:webHidden/>
              </w:rPr>
              <w:fldChar w:fldCharType="end"/>
            </w:r>
          </w:hyperlink>
        </w:p>
        <w:p w14:paraId="496A22EB"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271" w:history="1">
            <w:r w:rsidR="00D71CCF" w:rsidRPr="002332F8">
              <w:rPr>
                <w:rStyle w:val="Hyperlink"/>
                <w:rFonts w:ascii="Arial" w:hAnsi="Arial" w:cs="Arial"/>
                <w:noProof/>
              </w:rPr>
              <w:t>1.3.1 Research Aim</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_Toc241113271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16</w:t>
            </w:r>
            <w:r w:rsidR="00D71CCF" w:rsidRPr="002332F8">
              <w:rPr>
                <w:rFonts w:ascii="Arial" w:hAnsi="Arial" w:cs="Arial"/>
                <w:noProof/>
                <w:webHidden/>
              </w:rPr>
              <w:fldChar w:fldCharType="end"/>
            </w:r>
          </w:hyperlink>
        </w:p>
        <w:p w14:paraId="07CA5C01"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272" w:history="1">
            <w:r w:rsidR="00D71CCF" w:rsidRPr="002332F8">
              <w:rPr>
                <w:rStyle w:val="Hyperlink"/>
                <w:rFonts w:ascii="Arial" w:hAnsi="Arial" w:cs="Arial"/>
                <w:noProof/>
              </w:rPr>
              <w:t>1.3.2 Research Objectives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_Toc241113272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16</w:t>
            </w:r>
            <w:r w:rsidR="00D71CCF" w:rsidRPr="002332F8">
              <w:rPr>
                <w:rFonts w:ascii="Arial" w:hAnsi="Arial" w:cs="Arial"/>
                <w:noProof/>
                <w:webHidden/>
              </w:rPr>
              <w:fldChar w:fldCharType="end"/>
            </w:r>
          </w:hyperlink>
        </w:p>
        <w:p w14:paraId="7938428A"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273" w:history="1">
            <w:r w:rsidR="00D71CCF" w:rsidRPr="002332F8">
              <w:rPr>
                <w:rStyle w:val="Hyperlink"/>
                <w:rFonts w:ascii="Arial" w:hAnsi="Arial" w:cs="Arial"/>
                <w:noProof/>
              </w:rPr>
              <w:t>1.3.3 Research Questions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_Toc241113273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16</w:t>
            </w:r>
            <w:r w:rsidR="00D71CCF" w:rsidRPr="002332F8">
              <w:rPr>
                <w:rFonts w:ascii="Arial" w:hAnsi="Arial" w:cs="Arial"/>
                <w:noProof/>
                <w:webHidden/>
              </w:rPr>
              <w:fldChar w:fldCharType="end"/>
            </w:r>
          </w:hyperlink>
        </w:p>
        <w:p w14:paraId="7E5DA077"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274" w:history="1">
            <w:r w:rsidR="00D71CCF" w:rsidRPr="002332F8">
              <w:rPr>
                <w:rStyle w:val="Hyperlink"/>
                <w:rFonts w:ascii="Arial" w:hAnsi="Arial" w:cs="Arial"/>
                <w:noProof/>
              </w:rPr>
              <w:t>1.3.4 Research Hypotheses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_Toc241113274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17</w:t>
            </w:r>
            <w:r w:rsidR="00D71CCF" w:rsidRPr="002332F8">
              <w:rPr>
                <w:rFonts w:ascii="Arial" w:hAnsi="Arial" w:cs="Arial"/>
                <w:noProof/>
                <w:webHidden/>
              </w:rPr>
              <w:fldChar w:fldCharType="end"/>
            </w:r>
          </w:hyperlink>
        </w:p>
        <w:p w14:paraId="68E1EAA4"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75" w:history="1">
            <w:r w:rsidR="00D71CCF" w:rsidRPr="002332F8">
              <w:rPr>
                <w:rStyle w:val="Hyperlink"/>
                <w:rFonts w:ascii="Arial" w:hAnsi="Arial" w:cs="Arial"/>
                <w:noProof/>
              </w:rPr>
              <w:t>1.4 Theoretical Framework</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_Toc241113275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17</w:t>
            </w:r>
            <w:r w:rsidR="00D71CCF" w:rsidRPr="002332F8">
              <w:rPr>
                <w:rFonts w:ascii="Arial" w:hAnsi="Arial" w:cs="Arial"/>
                <w:noProof/>
                <w:webHidden/>
              </w:rPr>
              <w:fldChar w:fldCharType="end"/>
            </w:r>
          </w:hyperlink>
        </w:p>
        <w:p w14:paraId="3DF387B2"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76" w:history="1">
            <w:r w:rsidR="00D71CCF" w:rsidRPr="002332F8">
              <w:rPr>
                <w:rStyle w:val="Hyperlink"/>
                <w:rFonts w:ascii="Arial" w:hAnsi="Arial" w:cs="Arial"/>
                <w:noProof/>
              </w:rPr>
              <w:t>1.5 Significance and Contribution of the Study</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_Toc241113276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18</w:t>
            </w:r>
            <w:r w:rsidR="00D71CCF" w:rsidRPr="002332F8">
              <w:rPr>
                <w:rFonts w:ascii="Arial" w:hAnsi="Arial" w:cs="Arial"/>
                <w:noProof/>
                <w:webHidden/>
              </w:rPr>
              <w:fldChar w:fldCharType="end"/>
            </w:r>
          </w:hyperlink>
        </w:p>
        <w:p w14:paraId="42A983A4"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77" w:history="1">
            <w:r w:rsidR="00D71CCF" w:rsidRPr="002332F8">
              <w:rPr>
                <w:rStyle w:val="Hyperlink"/>
                <w:rFonts w:ascii="Arial" w:hAnsi="Arial" w:cs="Arial"/>
                <w:noProof/>
              </w:rPr>
              <w:t>1.6 Scope and Delimitations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_Toc241113277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18</w:t>
            </w:r>
            <w:r w:rsidR="00D71CCF" w:rsidRPr="002332F8">
              <w:rPr>
                <w:rFonts w:ascii="Arial" w:hAnsi="Arial" w:cs="Arial"/>
                <w:noProof/>
                <w:webHidden/>
              </w:rPr>
              <w:fldChar w:fldCharType="end"/>
            </w:r>
          </w:hyperlink>
        </w:p>
        <w:p w14:paraId="7C2C0B75"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78" w:history="1">
            <w:r w:rsidR="00D71CCF" w:rsidRPr="002332F8">
              <w:rPr>
                <w:rStyle w:val="Hyperlink"/>
                <w:rFonts w:ascii="Arial" w:hAnsi="Arial" w:cs="Arial"/>
                <w:noProof/>
              </w:rPr>
              <w:t>1.7 Structure of the Dissertation</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_Toc241113278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18</w:t>
            </w:r>
            <w:r w:rsidR="00D71CCF" w:rsidRPr="002332F8">
              <w:rPr>
                <w:rFonts w:ascii="Arial" w:hAnsi="Arial" w:cs="Arial"/>
                <w:noProof/>
                <w:webHidden/>
              </w:rPr>
              <w:fldChar w:fldCharType="end"/>
            </w:r>
          </w:hyperlink>
        </w:p>
        <w:p w14:paraId="40C08263" w14:textId="77777777" w:rsidR="00D71CCF" w:rsidRPr="002332F8" w:rsidRDefault="00F62741" w:rsidP="00D71CCF">
          <w:pPr>
            <w:pStyle w:val="TOC1"/>
            <w:rPr>
              <w:rFonts w:ascii="Arial" w:eastAsiaTheme="minorEastAsia" w:hAnsi="Arial" w:cs="Arial"/>
              <w:b w:val="0"/>
              <w:bCs w:val="0"/>
              <w:noProof/>
              <w:sz w:val="22"/>
            </w:rPr>
          </w:pPr>
          <w:hyperlink w:anchor="_Toc241113279" w:history="1">
            <w:r w:rsidR="00D71CCF" w:rsidRPr="002332F8">
              <w:rPr>
                <w:rStyle w:val="Hyperlink"/>
                <w:rFonts w:ascii="Arial" w:hAnsi="Arial" w:cs="Arial"/>
                <w:noProof/>
              </w:rPr>
              <w:t>2. Literature Review</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_Toc241113279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19</w:t>
            </w:r>
            <w:r w:rsidR="00D71CCF" w:rsidRPr="002332F8">
              <w:rPr>
                <w:rFonts w:ascii="Arial" w:hAnsi="Arial" w:cs="Arial"/>
                <w:noProof/>
                <w:webHidden/>
              </w:rPr>
              <w:fldChar w:fldCharType="end"/>
            </w:r>
          </w:hyperlink>
        </w:p>
        <w:p w14:paraId="3456E59C"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80" w:history="1">
            <w:r w:rsidR="00D71CCF" w:rsidRPr="002332F8">
              <w:rPr>
                <w:rStyle w:val="Hyperlink"/>
                <w:rFonts w:ascii="Arial" w:hAnsi="Arial" w:cs="Arial"/>
                <w:noProof/>
              </w:rPr>
              <w:t>2.1 Introduction</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_Toc241113280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19</w:t>
            </w:r>
            <w:r w:rsidR="00D71CCF" w:rsidRPr="002332F8">
              <w:rPr>
                <w:rFonts w:ascii="Arial" w:hAnsi="Arial" w:cs="Arial"/>
                <w:noProof/>
                <w:webHidden/>
              </w:rPr>
              <w:fldChar w:fldCharType="end"/>
            </w:r>
          </w:hyperlink>
        </w:p>
        <w:p w14:paraId="04B35CC1"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81" w:history="1">
            <w:r w:rsidR="00D71CCF" w:rsidRPr="002332F8">
              <w:rPr>
                <w:rStyle w:val="Hyperlink"/>
                <w:rFonts w:ascii="Arial" w:hAnsi="Arial" w:cs="Arial"/>
                <w:noProof/>
              </w:rPr>
              <w:t>2.2 Flexible Work Arrangements in Labour-Intensive Manufacturing</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_Toc241113281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19</w:t>
            </w:r>
            <w:r w:rsidR="00D71CCF" w:rsidRPr="002332F8">
              <w:rPr>
                <w:rFonts w:ascii="Arial" w:hAnsi="Arial" w:cs="Arial"/>
                <w:noProof/>
                <w:webHidden/>
              </w:rPr>
              <w:fldChar w:fldCharType="end"/>
            </w:r>
          </w:hyperlink>
        </w:p>
        <w:p w14:paraId="6FFA0BBC"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82" w:history="1">
            <w:r w:rsidR="00D71CCF" w:rsidRPr="002332F8">
              <w:rPr>
                <w:rStyle w:val="Hyperlink"/>
                <w:rFonts w:ascii="Arial" w:hAnsi="Arial" w:cs="Arial"/>
                <w:noProof/>
              </w:rPr>
              <w:t>2.3 Employee Engagement: Concept, Measurement and Consequences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_Toc241113282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21</w:t>
            </w:r>
            <w:r w:rsidR="00D71CCF" w:rsidRPr="002332F8">
              <w:rPr>
                <w:rFonts w:ascii="Arial" w:hAnsi="Arial" w:cs="Arial"/>
                <w:noProof/>
                <w:webHidden/>
              </w:rPr>
              <w:fldChar w:fldCharType="end"/>
            </w:r>
          </w:hyperlink>
        </w:p>
        <w:p w14:paraId="66A13144"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83" w:history="1">
            <w:r w:rsidR="00D71CCF" w:rsidRPr="002332F8">
              <w:rPr>
                <w:rStyle w:val="Hyperlink"/>
                <w:rFonts w:ascii="Arial" w:hAnsi="Arial" w:cs="Arial"/>
                <w:noProof/>
              </w:rPr>
              <w:t>2.4 Scheduling Resources and Employee Engagement</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_Toc241113283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22</w:t>
            </w:r>
            <w:r w:rsidR="00D71CCF" w:rsidRPr="002332F8">
              <w:rPr>
                <w:rFonts w:ascii="Arial" w:hAnsi="Arial" w:cs="Arial"/>
                <w:noProof/>
                <w:webHidden/>
              </w:rPr>
              <w:fldChar w:fldCharType="end"/>
            </w:r>
          </w:hyperlink>
        </w:p>
        <w:p w14:paraId="50EBF537"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284" w:history="1">
            <w:r w:rsidR="00D71CCF" w:rsidRPr="002332F8">
              <w:rPr>
                <w:rStyle w:val="Hyperlink"/>
                <w:rFonts w:ascii="Arial" w:hAnsi="Arial" w:cs="Arial"/>
                <w:noProof/>
              </w:rPr>
              <w:t>2.4.1 Perceived Schedule Control</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_Toc241113284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22</w:t>
            </w:r>
            <w:r w:rsidR="00D71CCF" w:rsidRPr="002332F8">
              <w:rPr>
                <w:rFonts w:ascii="Arial" w:hAnsi="Arial" w:cs="Arial"/>
                <w:noProof/>
                <w:webHidden/>
              </w:rPr>
              <w:fldChar w:fldCharType="end"/>
            </w:r>
          </w:hyperlink>
        </w:p>
        <w:p w14:paraId="072B0DF5"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85" w:history="1">
            <w:r w:rsidR="00D71CCF" w:rsidRPr="002332F8">
              <w:rPr>
                <w:rStyle w:val="Hyperlink"/>
                <w:rFonts w:ascii="Arial" w:hAnsi="Arial" w:cs="Arial"/>
                <w:noProof/>
              </w:rPr>
              <w:t>2.6 Theoretical Frameworks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_Toc241113285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25</w:t>
            </w:r>
            <w:r w:rsidR="00D71CCF" w:rsidRPr="002332F8">
              <w:rPr>
                <w:rFonts w:ascii="Arial" w:hAnsi="Arial" w:cs="Arial"/>
                <w:noProof/>
                <w:webHidden/>
              </w:rPr>
              <w:fldChar w:fldCharType="end"/>
            </w:r>
          </w:hyperlink>
        </w:p>
        <w:p w14:paraId="19C334B7"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286" w:history="1">
            <w:r w:rsidR="00D71CCF" w:rsidRPr="002332F8">
              <w:rPr>
                <w:rStyle w:val="Hyperlink"/>
                <w:rFonts w:ascii="Arial" w:hAnsi="Arial" w:cs="Arial"/>
                <w:noProof/>
              </w:rPr>
              <w:t>2.6.1 Job Demands-Resources Theory</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_Toc241113286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25</w:t>
            </w:r>
            <w:r w:rsidR="00D71CCF" w:rsidRPr="002332F8">
              <w:rPr>
                <w:rFonts w:ascii="Arial" w:hAnsi="Arial" w:cs="Arial"/>
                <w:noProof/>
                <w:webHidden/>
              </w:rPr>
              <w:fldChar w:fldCharType="end"/>
            </w:r>
          </w:hyperlink>
        </w:p>
        <w:p w14:paraId="70CA199C"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287" w:history="1">
            <w:r w:rsidR="00D71CCF" w:rsidRPr="002332F8">
              <w:rPr>
                <w:rStyle w:val="Hyperlink"/>
                <w:rFonts w:ascii="Arial" w:hAnsi="Arial" w:cs="Arial"/>
                <w:noProof/>
              </w:rPr>
              <w:t>2.6.2 Social Exchange Theory</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_Toc241113287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27</w:t>
            </w:r>
            <w:r w:rsidR="00D71CCF" w:rsidRPr="002332F8">
              <w:rPr>
                <w:rFonts w:ascii="Arial" w:hAnsi="Arial" w:cs="Arial"/>
                <w:noProof/>
                <w:webHidden/>
              </w:rPr>
              <w:fldChar w:fldCharType="end"/>
            </w:r>
          </w:hyperlink>
        </w:p>
        <w:p w14:paraId="14455A4E"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288" w:history="1">
            <w:r w:rsidR="00D71CCF" w:rsidRPr="002332F8">
              <w:rPr>
                <w:rStyle w:val="Hyperlink"/>
                <w:rFonts w:ascii="Arial" w:hAnsi="Arial" w:cs="Arial"/>
                <w:noProof/>
              </w:rPr>
              <w:t>2.6.3 Integration of the Theoretical Frameworks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_Toc241113288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28</w:t>
            </w:r>
            <w:r w:rsidR="00D71CCF" w:rsidRPr="002332F8">
              <w:rPr>
                <w:rFonts w:ascii="Arial" w:hAnsi="Arial" w:cs="Arial"/>
                <w:noProof/>
                <w:webHidden/>
              </w:rPr>
              <w:fldChar w:fldCharType="end"/>
            </w:r>
          </w:hyperlink>
        </w:p>
        <w:p w14:paraId="43A613B7"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89" w:history="1">
            <w:r w:rsidR="00D71CCF" w:rsidRPr="002332F8">
              <w:rPr>
                <w:rStyle w:val="Hyperlink"/>
                <w:rFonts w:ascii="Arial" w:hAnsi="Arial" w:cs="Arial"/>
                <w:noProof/>
              </w:rPr>
              <w:t>2.7 Research Gap</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_Toc241113289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28</w:t>
            </w:r>
            <w:r w:rsidR="00D71CCF" w:rsidRPr="002332F8">
              <w:rPr>
                <w:rFonts w:ascii="Arial" w:hAnsi="Arial" w:cs="Arial"/>
                <w:noProof/>
                <w:webHidden/>
              </w:rPr>
              <w:fldChar w:fldCharType="end"/>
            </w:r>
          </w:hyperlink>
        </w:p>
        <w:p w14:paraId="554F21DB"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90" w:history="1">
            <w:r w:rsidR="00D71CCF" w:rsidRPr="002332F8">
              <w:rPr>
                <w:rStyle w:val="Hyperlink"/>
                <w:rFonts w:ascii="Arial" w:hAnsi="Arial" w:cs="Arial"/>
                <w:noProof/>
              </w:rPr>
              <w:t>2.8 Conceptual Framework and Hypothesis Development</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_Toc241113290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29</w:t>
            </w:r>
            <w:r w:rsidR="00D71CCF" w:rsidRPr="002332F8">
              <w:rPr>
                <w:rFonts w:ascii="Arial" w:hAnsi="Arial" w:cs="Arial"/>
                <w:noProof/>
                <w:webHidden/>
              </w:rPr>
              <w:fldChar w:fldCharType="end"/>
            </w:r>
          </w:hyperlink>
        </w:p>
        <w:p w14:paraId="57D2A83F"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291" w:history="1">
            <w:r w:rsidR="00D71CCF" w:rsidRPr="002332F8">
              <w:rPr>
                <w:rStyle w:val="Hyperlink"/>
                <w:rFonts w:ascii="Arial" w:hAnsi="Arial" w:cs="Arial"/>
                <w:noProof/>
              </w:rPr>
              <w:t>2.8.1 Perceived Schedule Control and Employee Engagement</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_Toc241113291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31</w:t>
            </w:r>
            <w:r w:rsidR="00D71CCF" w:rsidRPr="002332F8">
              <w:rPr>
                <w:rFonts w:ascii="Arial" w:hAnsi="Arial" w:cs="Arial"/>
                <w:noProof/>
                <w:webHidden/>
              </w:rPr>
              <w:fldChar w:fldCharType="end"/>
            </w:r>
          </w:hyperlink>
        </w:p>
        <w:p w14:paraId="478D62FC"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292" w:history="1">
            <w:r w:rsidR="00D71CCF" w:rsidRPr="002332F8">
              <w:rPr>
                <w:rStyle w:val="Hyperlink"/>
                <w:rFonts w:ascii="Arial" w:hAnsi="Arial" w:cs="Arial"/>
                <w:noProof/>
              </w:rPr>
              <w:t>2.8.2 Perceived Schedule Predictability and Employee Engagement</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_Toc241113292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31</w:t>
            </w:r>
            <w:r w:rsidR="00D71CCF" w:rsidRPr="002332F8">
              <w:rPr>
                <w:rFonts w:ascii="Arial" w:hAnsi="Arial" w:cs="Arial"/>
                <w:noProof/>
                <w:webHidden/>
              </w:rPr>
              <w:fldChar w:fldCharType="end"/>
            </w:r>
          </w:hyperlink>
        </w:p>
        <w:p w14:paraId="161B3F2E"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293" w:history="1">
            <w:r w:rsidR="00D71CCF" w:rsidRPr="002332F8">
              <w:rPr>
                <w:rStyle w:val="Hyperlink"/>
                <w:rFonts w:ascii="Arial" w:hAnsi="Arial" w:cs="Arial"/>
                <w:noProof/>
              </w:rPr>
              <w:t>2.8.3 Perceived Shift Accommodation and Employee Engagement</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_Toc241113293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32</w:t>
            </w:r>
            <w:r w:rsidR="00D71CCF" w:rsidRPr="002332F8">
              <w:rPr>
                <w:rFonts w:ascii="Arial" w:hAnsi="Arial" w:cs="Arial"/>
                <w:noProof/>
                <w:webHidden/>
              </w:rPr>
              <w:fldChar w:fldCharType="end"/>
            </w:r>
          </w:hyperlink>
        </w:p>
        <w:p w14:paraId="2E539530" w14:textId="77777777" w:rsidR="00D71CCF" w:rsidRPr="002332F8" w:rsidRDefault="00F62741" w:rsidP="00D71CCF">
          <w:pPr>
            <w:pStyle w:val="TOC1"/>
            <w:rPr>
              <w:rFonts w:ascii="Arial" w:eastAsiaTheme="minorEastAsia" w:hAnsi="Arial" w:cs="Arial"/>
              <w:b w:val="0"/>
              <w:bCs w:val="0"/>
              <w:noProof/>
              <w:sz w:val="22"/>
            </w:rPr>
          </w:pPr>
          <w:hyperlink w:anchor="_Toc241113294" w:history="1">
            <w:r w:rsidR="00D71CCF" w:rsidRPr="002332F8">
              <w:rPr>
                <w:rStyle w:val="Hyperlink"/>
                <w:rFonts w:ascii="Arial" w:hAnsi="Arial" w:cs="Arial"/>
                <w:noProof/>
              </w:rPr>
              <w:t>3. Research Methodology</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_Toc241113294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33</w:t>
            </w:r>
            <w:r w:rsidR="00D71CCF" w:rsidRPr="002332F8">
              <w:rPr>
                <w:rFonts w:ascii="Arial" w:hAnsi="Arial" w:cs="Arial"/>
                <w:noProof/>
                <w:webHidden/>
              </w:rPr>
              <w:fldChar w:fldCharType="end"/>
            </w:r>
          </w:hyperlink>
        </w:p>
        <w:p w14:paraId="578F253B"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95" w:history="1">
            <w:r w:rsidR="00D71CCF" w:rsidRPr="002332F8">
              <w:rPr>
                <w:rStyle w:val="Hyperlink"/>
                <w:rFonts w:ascii="Arial" w:hAnsi="Arial" w:cs="Arial"/>
                <w:noProof/>
              </w:rPr>
              <w:t>3.1 Introduction</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_Toc241113295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33</w:t>
            </w:r>
            <w:r w:rsidR="00D71CCF" w:rsidRPr="002332F8">
              <w:rPr>
                <w:rFonts w:ascii="Arial" w:hAnsi="Arial" w:cs="Arial"/>
                <w:noProof/>
                <w:webHidden/>
              </w:rPr>
              <w:fldChar w:fldCharType="end"/>
            </w:r>
          </w:hyperlink>
        </w:p>
        <w:p w14:paraId="29943DA0"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96" w:history="1">
            <w:r w:rsidR="00D71CCF" w:rsidRPr="002332F8">
              <w:rPr>
                <w:rStyle w:val="Hyperlink"/>
                <w:rFonts w:ascii="Arial" w:hAnsi="Arial" w:cs="Arial"/>
                <w:noProof/>
              </w:rPr>
              <w:t>3.2 Research Philosophy and Approach</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_Toc241113296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33</w:t>
            </w:r>
            <w:r w:rsidR="00D71CCF" w:rsidRPr="002332F8">
              <w:rPr>
                <w:rFonts w:ascii="Arial" w:hAnsi="Arial" w:cs="Arial"/>
                <w:noProof/>
                <w:webHidden/>
              </w:rPr>
              <w:fldChar w:fldCharType="end"/>
            </w:r>
          </w:hyperlink>
        </w:p>
        <w:p w14:paraId="370CD9E6"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297" w:history="1">
            <w:r w:rsidR="00D71CCF" w:rsidRPr="002332F8">
              <w:rPr>
                <w:rStyle w:val="Hyperlink"/>
                <w:rFonts w:ascii="Arial" w:hAnsi="Arial" w:cs="Arial"/>
                <w:noProof/>
              </w:rPr>
              <w:t>3.2.1 Research Philosophy</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_Toc241113297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33</w:t>
            </w:r>
            <w:r w:rsidR="00D71CCF" w:rsidRPr="002332F8">
              <w:rPr>
                <w:rFonts w:ascii="Arial" w:hAnsi="Arial" w:cs="Arial"/>
                <w:noProof/>
                <w:webHidden/>
              </w:rPr>
              <w:fldChar w:fldCharType="end"/>
            </w:r>
          </w:hyperlink>
        </w:p>
        <w:p w14:paraId="03101DEE"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298" w:history="1">
            <w:r w:rsidR="00D71CCF" w:rsidRPr="002332F8">
              <w:rPr>
                <w:rStyle w:val="Hyperlink"/>
                <w:rFonts w:ascii="Arial" w:hAnsi="Arial" w:cs="Arial"/>
                <w:noProof/>
              </w:rPr>
              <w:t>3.2.2 Research Approach</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_Toc241113298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34</w:t>
            </w:r>
            <w:r w:rsidR="00D71CCF" w:rsidRPr="002332F8">
              <w:rPr>
                <w:rFonts w:ascii="Arial" w:hAnsi="Arial" w:cs="Arial"/>
                <w:noProof/>
                <w:webHidden/>
              </w:rPr>
              <w:fldChar w:fldCharType="end"/>
            </w:r>
          </w:hyperlink>
        </w:p>
        <w:p w14:paraId="1C58F0FB"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299" w:history="1">
            <w:r w:rsidR="00D71CCF" w:rsidRPr="002332F8">
              <w:rPr>
                <w:rStyle w:val="Hyperlink"/>
                <w:rFonts w:ascii="Arial" w:hAnsi="Arial" w:cs="Arial"/>
                <w:noProof/>
              </w:rPr>
              <w:t>3.3 Methodological Choice, Research Strategy and Time Horizon</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_Toc241113299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34</w:t>
            </w:r>
            <w:r w:rsidR="00D71CCF" w:rsidRPr="002332F8">
              <w:rPr>
                <w:rFonts w:ascii="Arial" w:hAnsi="Arial" w:cs="Arial"/>
                <w:noProof/>
                <w:webHidden/>
              </w:rPr>
              <w:fldChar w:fldCharType="end"/>
            </w:r>
          </w:hyperlink>
        </w:p>
        <w:p w14:paraId="1B218589"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300" w:history="1">
            <w:r w:rsidR="00D71CCF" w:rsidRPr="002332F8">
              <w:rPr>
                <w:rStyle w:val="Hyperlink"/>
                <w:rFonts w:ascii="Arial" w:hAnsi="Arial" w:cs="Arial"/>
                <w:noProof/>
              </w:rPr>
              <w:t>3.3.1 Methodological Choice</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_Toc241113300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34</w:t>
            </w:r>
            <w:r w:rsidR="00D71CCF" w:rsidRPr="002332F8">
              <w:rPr>
                <w:rFonts w:ascii="Arial" w:hAnsi="Arial" w:cs="Arial"/>
                <w:noProof/>
                <w:webHidden/>
              </w:rPr>
              <w:fldChar w:fldCharType="end"/>
            </w:r>
          </w:hyperlink>
        </w:p>
        <w:p w14:paraId="700C93A9"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301" w:history="1">
            <w:r w:rsidR="00D71CCF" w:rsidRPr="002332F8">
              <w:rPr>
                <w:rStyle w:val="Hyperlink"/>
                <w:rFonts w:ascii="Arial" w:hAnsi="Arial" w:cs="Arial"/>
                <w:noProof/>
              </w:rPr>
              <w:t>3.3.2 Research Strategy</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_Toc241113301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34</w:t>
            </w:r>
            <w:r w:rsidR="00D71CCF" w:rsidRPr="002332F8">
              <w:rPr>
                <w:rFonts w:ascii="Arial" w:hAnsi="Arial" w:cs="Arial"/>
                <w:noProof/>
                <w:webHidden/>
              </w:rPr>
              <w:fldChar w:fldCharType="end"/>
            </w:r>
          </w:hyperlink>
        </w:p>
        <w:p w14:paraId="2D89B1C2"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302" w:history="1">
            <w:r w:rsidR="00D71CCF" w:rsidRPr="002332F8">
              <w:rPr>
                <w:rStyle w:val="Hyperlink"/>
                <w:rFonts w:ascii="Arial" w:hAnsi="Arial" w:cs="Arial"/>
                <w:noProof/>
              </w:rPr>
              <w:t>3.3.3 Time Horizon</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_Toc241113302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35</w:t>
            </w:r>
            <w:r w:rsidR="00D71CCF" w:rsidRPr="002332F8">
              <w:rPr>
                <w:rFonts w:ascii="Arial" w:hAnsi="Arial" w:cs="Arial"/>
                <w:noProof/>
                <w:webHidden/>
              </w:rPr>
              <w:fldChar w:fldCharType="end"/>
            </w:r>
          </w:hyperlink>
        </w:p>
        <w:p w14:paraId="16752098"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03" w:history="1">
            <w:r w:rsidR="00D71CCF" w:rsidRPr="002332F8">
              <w:rPr>
                <w:rStyle w:val="Hyperlink"/>
                <w:rFonts w:ascii="Arial" w:hAnsi="Arial" w:cs="Arial"/>
                <w:noProof/>
              </w:rPr>
              <w:t>3.4 Target Population, Sampling and Sample Size</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_Toc241113303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35</w:t>
            </w:r>
            <w:r w:rsidR="00D71CCF" w:rsidRPr="002332F8">
              <w:rPr>
                <w:rFonts w:ascii="Arial" w:hAnsi="Arial" w:cs="Arial"/>
                <w:noProof/>
                <w:webHidden/>
              </w:rPr>
              <w:fldChar w:fldCharType="end"/>
            </w:r>
          </w:hyperlink>
        </w:p>
        <w:p w14:paraId="267014C7"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04" w:history="1">
            <w:r w:rsidR="00D71CCF" w:rsidRPr="002332F8">
              <w:rPr>
                <w:rStyle w:val="Hyperlink"/>
                <w:rFonts w:ascii="Arial" w:hAnsi="Arial" w:cs="Arial"/>
                <w:noProof/>
              </w:rPr>
              <w:t>3.5 Data Collection Instrument and Procedure</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_Toc241113304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36</w:t>
            </w:r>
            <w:r w:rsidR="00D71CCF" w:rsidRPr="002332F8">
              <w:rPr>
                <w:rFonts w:ascii="Arial" w:hAnsi="Arial" w:cs="Arial"/>
                <w:noProof/>
                <w:webHidden/>
              </w:rPr>
              <w:fldChar w:fldCharType="end"/>
            </w:r>
          </w:hyperlink>
        </w:p>
        <w:p w14:paraId="34D9DA8E"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05" w:history="1">
            <w:r w:rsidR="00D71CCF" w:rsidRPr="002332F8">
              <w:rPr>
                <w:rStyle w:val="Hyperlink"/>
                <w:rFonts w:ascii="Arial" w:hAnsi="Arial" w:cs="Arial"/>
                <w:noProof/>
              </w:rPr>
              <w:t>3.6 Operationalisation, Reliability and Data Quality</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_Toc241113305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37</w:t>
            </w:r>
            <w:r w:rsidR="00D71CCF" w:rsidRPr="002332F8">
              <w:rPr>
                <w:rFonts w:ascii="Arial" w:hAnsi="Arial" w:cs="Arial"/>
                <w:noProof/>
                <w:webHidden/>
              </w:rPr>
              <w:fldChar w:fldCharType="end"/>
            </w:r>
          </w:hyperlink>
        </w:p>
        <w:p w14:paraId="24A23F45"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06" w:history="1">
            <w:r w:rsidR="00D71CCF" w:rsidRPr="002332F8">
              <w:rPr>
                <w:rStyle w:val="Hyperlink"/>
                <w:rFonts w:ascii="Arial" w:hAnsi="Arial" w:cs="Arial"/>
                <w:noProof/>
              </w:rPr>
              <w:t>3.7 Data Analysis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_Toc241113306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37</w:t>
            </w:r>
            <w:r w:rsidR="00D71CCF" w:rsidRPr="002332F8">
              <w:rPr>
                <w:rFonts w:ascii="Arial" w:hAnsi="Arial" w:cs="Arial"/>
                <w:noProof/>
                <w:webHidden/>
              </w:rPr>
              <w:fldChar w:fldCharType="end"/>
            </w:r>
          </w:hyperlink>
        </w:p>
        <w:p w14:paraId="7F62110E"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07" w:history="1">
            <w:r w:rsidR="00D71CCF" w:rsidRPr="002332F8">
              <w:rPr>
                <w:rStyle w:val="Hyperlink"/>
                <w:rFonts w:ascii="Arial" w:hAnsi="Arial" w:cs="Arial"/>
                <w:noProof/>
              </w:rPr>
              <w:t>3.8 Ethical Considerations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_Toc241113307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38</w:t>
            </w:r>
            <w:r w:rsidR="00D71CCF" w:rsidRPr="002332F8">
              <w:rPr>
                <w:rFonts w:ascii="Arial" w:hAnsi="Arial" w:cs="Arial"/>
                <w:noProof/>
                <w:webHidden/>
              </w:rPr>
              <w:fldChar w:fldCharType="end"/>
            </w:r>
          </w:hyperlink>
        </w:p>
        <w:p w14:paraId="703541DD"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08" w:history="1">
            <w:r w:rsidR="00D71CCF" w:rsidRPr="002332F8">
              <w:rPr>
                <w:rStyle w:val="Hyperlink"/>
                <w:rFonts w:ascii="Arial" w:hAnsi="Arial" w:cs="Arial"/>
                <w:noProof/>
              </w:rPr>
              <w:t>3.9 Methodological Limitation and Mitigation</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_Toc241113308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39</w:t>
            </w:r>
            <w:r w:rsidR="00D71CCF" w:rsidRPr="002332F8">
              <w:rPr>
                <w:rFonts w:ascii="Arial" w:hAnsi="Arial" w:cs="Arial"/>
                <w:noProof/>
                <w:webHidden/>
              </w:rPr>
              <w:fldChar w:fldCharType="end"/>
            </w:r>
          </w:hyperlink>
        </w:p>
        <w:p w14:paraId="462CBE2F" w14:textId="77777777" w:rsidR="00D71CCF" w:rsidRPr="002332F8" w:rsidRDefault="00F62741" w:rsidP="00D71CCF">
          <w:pPr>
            <w:pStyle w:val="TOC1"/>
            <w:rPr>
              <w:rFonts w:ascii="Arial" w:eastAsiaTheme="minorEastAsia" w:hAnsi="Arial" w:cs="Arial"/>
              <w:b w:val="0"/>
              <w:bCs w:val="0"/>
              <w:noProof/>
              <w:sz w:val="22"/>
            </w:rPr>
          </w:pPr>
          <w:hyperlink w:anchor="_Toc241113309" w:history="1">
            <w:r w:rsidR="00D71CCF" w:rsidRPr="002332F8">
              <w:rPr>
                <w:rStyle w:val="Hyperlink"/>
                <w:rFonts w:ascii="Arial" w:hAnsi="Arial" w:cs="Arial"/>
                <w:noProof/>
              </w:rPr>
              <w:t>4. Data Analysis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_Toc241113309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40</w:t>
            </w:r>
            <w:r w:rsidR="00D71CCF" w:rsidRPr="002332F8">
              <w:rPr>
                <w:rFonts w:ascii="Arial" w:hAnsi="Arial" w:cs="Arial"/>
                <w:noProof/>
                <w:webHidden/>
              </w:rPr>
              <w:fldChar w:fldCharType="end"/>
            </w:r>
          </w:hyperlink>
        </w:p>
        <w:p w14:paraId="3D88F780"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10" w:history="1">
            <w:r w:rsidR="00D71CCF" w:rsidRPr="002332F8">
              <w:rPr>
                <w:rStyle w:val="Hyperlink"/>
                <w:rFonts w:ascii="Arial" w:hAnsi="Arial" w:cs="Arial"/>
                <w:noProof/>
              </w:rPr>
              <w:t>4.1 Introduction</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_Toc241113310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40</w:t>
            </w:r>
            <w:r w:rsidR="00D71CCF" w:rsidRPr="002332F8">
              <w:rPr>
                <w:rFonts w:ascii="Arial" w:hAnsi="Arial" w:cs="Arial"/>
                <w:noProof/>
                <w:webHidden/>
              </w:rPr>
              <w:fldChar w:fldCharType="end"/>
            </w:r>
          </w:hyperlink>
        </w:p>
        <w:p w14:paraId="4A8BCEF4"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11" w:history="1">
            <w:r w:rsidR="00D71CCF" w:rsidRPr="002332F8">
              <w:rPr>
                <w:rStyle w:val="Hyperlink"/>
                <w:rFonts w:ascii="Arial" w:hAnsi="Arial" w:cs="Arial"/>
                <w:noProof/>
              </w:rPr>
              <w:t>4.2 Data Screening and Final Analytical Sample</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_Toc241113311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40</w:t>
            </w:r>
            <w:r w:rsidR="00D71CCF" w:rsidRPr="002332F8">
              <w:rPr>
                <w:rFonts w:ascii="Arial" w:hAnsi="Arial" w:cs="Arial"/>
                <w:noProof/>
                <w:webHidden/>
              </w:rPr>
              <w:fldChar w:fldCharType="end"/>
            </w:r>
          </w:hyperlink>
        </w:p>
        <w:p w14:paraId="708F3E3B"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12" w:history="1">
            <w:r w:rsidR="00D71CCF" w:rsidRPr="002332F8">
              <w:rPr>
                <w:rStyle w:val="Hyperlink"/>
                <w:rFonts w:ascii="Arial" w:hAnsi="Arial" w:cs="Arial"/>
                <w:noProof/>
              </w:rPr>
              <w:t>4.3 Demographic and Work-Arrangement Profile</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_Toc241113312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41</w:t>
            </w:r>
            <w:r w:rsidR="00D71CCF" w:rsidRPr="002332F8">
              <w:rPr>
                <w:rFonts w:ascii="Arial" w:hAnsi="Arial" w:cs="Arial"/>
                <w:noProof/>
                <w:webHidden/>
              </w:rPr>
              <w:fldChar w:fldCharType="end"/>
            </w:r>
          </w:hyperlink>
        </w:p>
        <w:p w14:paraId="4253443C"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13" w:history="1">
            <w:r w:rsidR="00D71CCF" w:rsidRPr="002332F8">
              <w:rPr>
                <w:rStyle w:val="Hyperlink"/>
                <w:rFonts w:ascii="Arial" w:hAnsi="Arial" w:cs="Arial"/>
                <w:noProof/>
              </w:rPr>
              <w:t>4.4 Analytical Approach</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_Toc241113313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63</w:t>
            </w:r>
            <w:r w:rsidR="00D71CCF" w:rsidRPr="002332F8">
              <w:rPr>
                <w:rFonts w:ascii="Arial" w:hAnsi="Arial" w:cs="Arial"/>
                <w:noProof/>
                <w:webHidden/>
              </w:rPr>
              <w:fldChar w:fldCharType="end"/>
            </w:r>
          </w:hyperlink>
        </w:p>
        <w:p w14:paraId="0F6D93BB"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14" w:history="1">
            <w:r w:rsidR="00D71CCF" w:rsidRPr="002332F8">
              <w:rPr>
                <w:rStyle w:val="Hyperlink"/>
                <w:rFonts w:ascii="Arial" w:hAnsi="Arial" w:cs="Arial"/>
                <w:noProof/>
              </w:rPr>
              <w:t>4.5 Descriptive Statistics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_Toc241113314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64</w:t>
            </w:r>
            <w:r w:rsidR="00D71CCF" w:rsidRPr="002332F8">
              <w:rPr>
                <w:rFonts w:ascii="Arial" w:hAnsi="Arial" w:cs="Arial"/>
                <w:noProof/>
                <w:webHidden/>
              </w:rPr>
              <w:fldChar w:fldCharType="end"/>
            </w:r>
          </w:hyperlink>
        </w:p>
        <w:p w14:paraId="79C92FEB"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15" w:history="1">
            <w:r w:rsidR="00D71CCF" w:rsidRPr="002332F8">
              <w:rPr>
                <w:rStyle w:val="Hyperlink"/>
                <w:rFonts w:ascii="Arial" w:hAnsi="Arial" w:cs="Arial"/>
                <w:noProof/>
              </w:rPr>
              <w:t>4.6 Reliability Analysis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_Toc241113315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65</w:t>
            </w:r>
            <w:r w:rsidR="00D71CCF" w:rsidRPr="002332F8">
              <w:rPr>
                <w:rFonts w:ascii="Arial" w:hAnsi="Arial" w:cs="Arial"/>
                <w:noProof/>
                <w:webHidden/>
              </w:rPr>
              <w:fldChar w:fldCharType="end"/>
            </w:r>
          </w:hyperlink>
        </w:p>
        <w:p w14:paraId="3640330C"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16" w:history="1">
            <w:r w:rsidR="00D71CCF" w:rsidRPr="002332F8">
              <w:rPr>
                <w:rStyle w:val="Hyperlink"/>
                <w:rFonts w:ascii="Arial" w:hAnsi="Arial" w:cs="Arial"/>
                <w:noProof/>
              </w:rPr>
              <w:t>4.7 Pearson Correlation Analysis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_Toc241113316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66</w:t>
            </w:r>
            <w:r w:rsidR="00D71CCF" w:rsidRPr="002332F8">
              <w:rPr>
                <w:rFonts w:ascii="Arial" w:hAnsi="Arial" w:cs="Arial"/>
                <w:noProof/>
                <w:webHidden/>
              </w:rPr>
              <w:fldChar w:fldCharType="end"/>
            </w:r>
          </w:hyperlink>
        </w:p>
        <w:p w14:paraId="57F323C2"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17" w:history="1">
            <w:r w:rsidR="00D71CCF" w:rsidRPr="002332F8">
              <w:rPr>
                <w:rStyle w:val="Hyperlink"/>
                <w:rFonts w:ascii="Arial" w:hAnsi="Arial" w:cs="Arial"/>
                <w:noProof/>
              </w:rPr>
              <w:t>4.8 Regression Analysis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_Toc241113317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67</w:t>
            </w:r>
            <w:r w:rsidR="00D71CCF" w:rsidRPr="002332F8">
              <w:rPr>
                <w:rFonts w:ascii="Arial" w:hAnsi="Arial" w:cs="Arial"/>
                <w:noProof/>
                <w:webHidden/>
              </w:rPr>
              <w:fldChar w:fldCharType="end"/>
            </w:r>
          </w:hyperlink>
        </w:p>
        <w:p w14:paraId="25AF9F7F"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318" w:history="1">
            <w:r w:rsidR="00D71CCF" w:rsidRPr="002332F8">
              <w:rPr>
                <w:rStyle w:val="Hyperlink"/>
                <w:rFonts w:ascii="Arial" w:hAnsi="Arial" w:cs="Arial"/>
                <w:noProof/>
              </w:rPr>
              <w:t>4.8.1 Model Summary and Overall Significance</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_Toc241113318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67</w:t>
            </w:r>
            <w:r w:rsidR="00D71CCF" w:rsidRPr="002332F8">
              <w:rPr>
                <w:rFonts w:ascii="Arial" w:hAnsi="Arial" w:cs="Arial"/>
                <w:noProof/>
                <w:webHidden/>
              </w:rPr>
              <w:fldChar w:fldCharType="end"/>
            </w:r>
          </w:hyperlink>
        </w:p>
        <w:p w14:paraId="5D8692B1"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319" w:history="1">
            <w:r w:rsidR="00D71CCF" w:rsidRPr="002332F8">
              <w:rPr>
                <w:rStyle w:val="Hyperlink"/>
                <w:rFonts w:ascii="Arial" w:hAnsi="Arial" w:cs="Arial"/>
                <w:noProof/>
              </w:rPr>
              <w:t>4.8.2 Regression Coefficients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_Toc241113319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68</w:t>
            </w:r>
            <w:r w:rsidR="00D71CCF" w:rsidRPr="002332F8">
              <w:rPr>
                <w:rFonts w:ascii="Arial" w:hAnsi="Arial" w:cs="Arial"/>
                <w:noProof/>
                <w:webHidden/>
              </w:rPr>
              <w:fldChar w:fldCharType="end"/>
            </w:r>
          </w:hyperlink>
        </w:p>
        <w:p w14:paraId="0EB67C0D" w14:textId="77777777" w:rsidR="00D71CCF" w:rsidRPr="002332F8" w:rsidRDefault="00F62741" w:rsidP="00D71CCF">
          <w:pPr>
            <w:pStyle w:val="TOC3"/>
            <w:tabs>
              <w:tab w:val="right" w:leader="dot" w:pos="9016"/>
            </w:tabs>
            <w:rPr>
              <w:rFonts w:ascii="Arial" w:eastAsiaTheme="minorEastAsia" w:hAnsi="Arial" w:cs="Arial"/>
              <w:noProof/>
              <w:sz w:val="22"/>
            </w:rPr>
          </w:pPr>
          <w:hyperlink w:anchor="_Toc241113320" w:history="1">
            <w:r w:rsidR="00D71CCF" w:rsidRPr="002332F8">
              <w:rPr>
                <w:rStyle w:val="Hyperlink"/>
                <w:rFonts w:ascii="Arial" w:hAnsi="Arial" w:cs="Arial"/>
                <w:noProof/>
              </w:rPr>
              <w:t>4.8.3 Estimated Regression Model</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_Toc241113320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69</w:t>
            </w:r>
            <w:r w:rsidR="00D71CCF" w:rsidRPr="002332F8">
              <w:rPr>
                <w:rFonts w:ascii="Arial" w:hAnsi="Arial" w:cs="Arial"/>
                <w:noProof/>
                <w:webHidden/>
              </w:rPr>
              <w:fldChar w:fldCharType="end"/>
            </w:r>
          </w:hyperlink>
        </w:p>
        <w:p w14:paraId="09C1B9D8"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21" w:history="1">
            <w:r w:rsidR="00D71CCF" w:rsidRPr="002332F8">
              <w:rPr>
                <w:rStyle w:val="Hyperlink"/>
                <w:rFonts w:ascii="Arial" w:hAnsi="Arial" w:cs="Arial"/>
                <w:noProof/>
              </w:rPr>
              <w:t>4.9 Regression Diagnostics and Robustness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_Toc241113321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70</w:t>
            </w:r>
            <w:r w:rsidR="00D71CCF" w:rsidRPr="002332F8">
              <w:rPr>
                <w:rFonts w:ascii="Arial" w:hAnsi="Arial" w:cs="Arial"/>
                <w:noProof/>
                <w:webHidden/>
              </w:rPr>
              <w:fldChar w:fldCharType="end"/>
            </w:r>
          </w:hyperlink>
        </w:p>
        <w:p w14:paraId="68035301"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22" w:history="1">
            <w:r w:rsidR="00D71CCF" w:rsidRPr="002332F8">
              <w:rPr>
                <w:rStyle w:val="Hyperlink"/>
                <w:rFonts w:ascii="Arial" w:hAnsi="Arial" w:cs="Arial"/>
                <w:noProof/>
              </w:rPr>
              <w:t>4.10 Hypothesis Testing</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_Toc241113322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71</w:t>
            </w:r>
            <w:r w:rsidR="00D71CCF" w:rsidRPr="002332F8">
              <w:rPr>
                <w:rFonts w:ascii="Arial" w:hAnsi="Arial" w:cs="Arial"/>
                <w:noProof/>
                <w:webHidden/>
              </w:rPr>
              <w:fldChar w:fldCharType="end"/>
            </w:r>
          </w:hyperlink>
        </w:p>
        <w:p w14:paraId="62944EC3"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23" w:history="1">
            <w:r w:rsidR="00D71CCF" w:rsidRPr="002332F8">
              <w:rPr>
                <w:rStyle w:val="Hyperlink"/>
                <w:rFonts w:ascii="Arial" w:hAnsi="Arial" w:cs="Arial"/>
                <w:noProof/>
              </w:rPr>
              <w:t>4.11 Analytical Limitations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_Toc241113323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72</w:t>
            </w:r>
            <w:r w:rsidR="00D71CCF" w:rsidRPr="002332F8">
              <w:rPr>
                <w:rFonts w:ascii="Arial" w:hAnsi="Arial" w:cs="Arial"/>
                <w:noProof/>
                <w:webHidden/>
              </w:rPr>
              <w:fldChar w:fldCharType="end"/>
            </w:r>
          </w:hyperlink>
        </w:p>
        <w:p w14:paraId="6E9E8347" w14:textId="77777777" w:rsidR="00D71CCF" w:rsidRPr="002332F8" w:rsidRDefault="00F62741" w:rsidP="00D71CCF">
          <w:pPr>
            <w:pStyle w:val="TOC1"/>
            <w:rPr>
              <w:rFonts w:ascii="Arial" w:eastAsiaTheme="minorEastAsia" w:hAnsi="Arial" w:cs="Arial"/>
              <w:b w:val="0"/>
              <w:bCs w:val="0"/>
              <w:noProof/>
              <w:sz w:val="22"/>
            </w:rPr>
          </w:pPr>
          <w:hyperlink w:anchor="_Toc241113324" w:history="1">
            <w:r w:rsidR="00D71CCF" w:rsidRPr="002332F8">
              <w:rPr>
                <w:rStyle w:val="Hyperlink"/>
                <w:rFonts w:ascii="Arial" w:hAnsi="Arial" w:cs="Arial"/>
                <w:noProof/>
              </w:rPr>
              <w:t>5. Discussion</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_Toc241113324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73</w:t>
            </w:r>
            <w:r w:rsidR="00D71CCF" w:rsidRPr="002332F8">
              <w:rPr>
                <w:rFonts w:ascii="Arial" w:hAnsi="Arial" w:cs="Arial"/>
                <w:noProof/>
                <w:webHidden/>
              </w:rPr>
              <w:fldChar w:fldCharType="end"/>
            </w:r>
          </w:hyperlink>
        </w:p>
        <w:p w14:paraId="521F1EF9"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25" w:history="1">
            <w:r w:rsidR="00D71CCF" w:rsidRPr="002332F8">
              <w:rPr>
                <w:rStyle w:val="Hyperlink"/>
                <w:rFonts w:ascii="Arial" w:hAnsi="Arial" w:cs="Arial"/>
                <w:noProof/>
              </w:rPr>
              <w:t>5.1 Introduction</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_Toc241113325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73</w:t>
            </w:r>
            <w:r w:rsidR="00D71CCF" w:rsidRPr="002332F8">
              <w:rPr>
                <w:rFonts w:ascii="Arial" w:hAnsi="Arial" w:cs="Arial"/>
                <w:noProof/>
                <w:webHidden/>
              </w:rPr>
              <w:fldChar w:fldCharType="end"/>
            </w:r>
          </w:hyperlink>
        </w:p>
        <w:p w14:paraId="0EF40AC1"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26" w:history="1">
            <w:r w:rsidR="00D71CCF" w:rsidRPr="002332F8">
              <w:rPr>
                <w:rStyle w:val="Hyperlink"/>
                <w:rFonts w:ascii="Arial" w:hAnsi="Arial" w:cs="Arial"/>
                <w:noProof/>
              </w:rPr>
              <w:t>5.2 Overview of the Main Findings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_Toc241113326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73</w:t>
            </w:r>
            <w:r w:rsidR="00D71CCF" w:rsidRPr="002332F8">
              <w:rPr>
                <w:rFonts w:ascii="Arial" w:hAnsi="Arial" w:cs="Arial"/>
                <w:noProof/>
                <w:webHidden/>
              </w:rPr>
              <w:fldChar w:fldCharType="end"/>
            </w:r>
          </w:hyperlink>
        </w:p>
        <w:p w14:paraId="434D4EDA"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27" w:history="1">
            <w:r w:rsidR="00D71CCF" w:rsidRPr="002332F8">
              <w:rPr>
                <w:rStyle w:val="Hyperlink"/>
                <w:rFonts w:ascii="Arial" w:hAnsi="Arial" w:cs="Arial"/>
                <w:noProof/>
              </w:rPr>
              <w:t>5.3 Perceived Schedule Control and Employee Engagement</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_Toc241113327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73</w:t>
            </w:r>
            <w:r w:rsidR="00D71CCF" w:rsidRPr="002332F8">
              <w:rPr>
                <w:rFonts w:ascii="Arial" w:hAnsi="Arial" w:cs="Arial"/>
                <w:noProof/>
                <w:webHidden/>
              </w:rPr>
              <w:fldChar w:fldCharType="end"/>
            </w:r>
          </w:hyperlink>
        </w:p>
        <w:p w14:paraId="07D6D8A4"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28" w:history="1">
            <w:r w:rsidR="00D71CCF" w:rsidRPr="002332F8">
              <w:rPr>
                <w:rStyle w:val="Hyperlink"/>
                <w:rFonts w:ascii="Arial" w:hAnsi="Arial" w:cs="Arial"/>
                <w:noProof/>
              </w:rPr>
              <w:t>5.4 Perceived Schedule Predictability and Employee Engagement</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_Toc241113328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74</w:t>
            </w:r>
            <w:r w:rsidR="00D71CCF" w:rsidRPr="002332F8">
              <w:rPr>
                <w:rFonts w:ascii="Arial" w:hAnsi="Arial" w:cs="Arial"/>
                <w:noProof/>
                <w:webHidden/>
              </w:rPr>
              <w:fldChar w:fldCharType="end"/>
            </w:r>
          </w:hyperlink>
        </w:p>
        <w:p w14:paraId="5841BE14"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29" w:history="1">
            <w:r w:rsidR="00D71CCF" w:rsidRPr="002332F8">
              <w:rPr>
                <w:rStyle w:val="Hyperlink"/>
                <w:rFonts w:ascii="Arial" w:hAnsi="Arial" w:cs="Arial"/>
                <w:noProof/>
              </w:rPr>
              <w:t>5.5 Perceived Shift Accommodation and Employee Engagement</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_Toc241113329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75</w:t>
            </w:r>
            <w:r w:rsidR="00D71CCF" w:rsidRPr="002332F8">
              <w:rPr>
                <w:rFonts w:ascii="Arial" w:hAnsi="Arial" w:cs="Arial"/>
                <w:noProof/>
                <w:webHidden/>
              </w:rPr>
              <w:fldChar w:fldCharType="end"/>
            </w:r>
          </w:hyperlink>
        </w:p>
        <w:p w14:paraId="6D25EF70"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30" w:history="1">
            <w:r w:rsidR="00D71CCF" w:rsidRPr="002332F8">
              <w:rPr>
                <w:rStyle w:val="Hyperlink"/>
                <w:rFonts w:ascii="Arial" w:hAnsi="Arial" w:cs="Arial"/>
                <w:noProof/>
              </w:rPr>
              <w:t>5.6 Interpretation Through the Theoretical Framework</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_Toc241113330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76</w:t>
            </w:r>
            <w:r w:rsidR="00D71CCF" w:rsidRPr="002332F8">
              <w:rPr>
                <w:rFonts w:ascii="Arial" w:hAnsi="Arial" w:cs="Arial"/>
                <w:noProof/>
                <w:webHidden/>
              </w:rPr>
              <w:fldChar w:fldCharType="end"/>
            </w:r>
          </w:hyperlink>
        </w:p>
        <w:p w14:paraId="635F8449"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31" w:history="1">
            <w:r w:rsidR="00D71CCF" w:rsidRPr="002332F8">
              <w:rPr>
                <w:rStyle w:val="Hyperlink"/>
                <w:rFonts w:ascii="Arial" w:hAnsi="Arial" w:cs="Arial"/>
                <w:noProof/>
              </w:rPr>
              <w:t>5.7 Contribution to the Research Gap and Practical Meaning</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_Toc241113331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77</w:t>
            </w:r>
            <w:r w:rsidR="00D71CCF" w:rsidRPr="002332F8">
              <w:rPr>
                <w:rFonts w:ascii="Arial" w:hAnsi="Arial" w:cs="Arial"/>
                <w:noProof/>
                <w:webHidden/>
              </w:rPr>
              <w:fldChar w:fldCharType="end"/>
            </w:r>
          </w:hyperlink>
        </w:p>
        <w:p w14:paraId="6262D43C"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32" w:history="1">
            <w:r w:rsidR="00D71CCF" w:rsidRPr="002332F8">
              <w:rPr>
                <w:rStyle w:val="Hyperlink"/>
                <w:rFonts w:ascii="Arial" w:hAnsi="Arial" w:cs="Arial"/>
                <w:noProof/>
              </w:rPr>
              <w:t>5.8 Limitation of Interpretation</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_Toc241113332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77</w:t>
            </w:r>
            <w:r w:rsidR="00D71CCF" w:rsidRPr="002332F8">
              <w:rPr>
                <w:rFonts w:ascii="Arial" w:hAnsi="Arial" w:cs="Arial"/>
                <w:noProof/>
                <w:webHidden/>
              </w:rPr>
              <w:fldChar w:fldCharType="end"/>
            </w:r>
          </w:hyperlink>
        </w:p>
        <w:p w14:paraId="0474FB56" w14:textId="77777777" w:rsidR="00D71CCF" w:rsidRPr="002332F8" w:rsidRDefault="00F62741" w:rsidP="00D71CCF">
          <w:pPr>
            <w:pStyle w:val="TOC1"/>
            <w:rPr>
              <w:rFonts w:ascii="Arial" w:eastAsiaTheme="minorEastAsia" w:hAnsi="Arial" w:cs="Arial"/>
              <w:b w:val="0"/>
              <w:bCs w:val="0"/>
              <w:noProof/>
              <w:sz w:val="22"/>
            </w:rPr>
          </w:pPr>
          <w:hyperlink w:anchor="_Toc241113333" w:history="1">
            <w:r w:rsidR="00D71CCF" w:rsidRPr="002332F8">
              <w:rPr>
                <w:rStyle w:val="Hyperlink"/>
                <w:rFonts w:ascii="Arial" w:hAnsi="Arial" w:cs="Arial"/>
                <w:noProof/>
              </w:rPr>
              <w:t>6. Conclusion</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_Toc241113333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78</w:t>
            </w:r>
            <w:r w:rsidR="00D71CCF" w:rsidRPr="002332F8">
              <w:rPr>
                <w:rFonts w:ascii="Arial" w:hAnsi="Arial" w:cs="Arial"/>
                <w:noProof/>
                <w:webHidden/>
              </w:rPr>
              <w:fldChar w:fldCharType="end"/>
            </w:r>
          </w:hyperlink>
        </w:p>
        <w:p w14:paraId="16DAB72F"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34" w:history="1">
            <w:r w:rsidR="00D71CCF" w:rsidRPr="002332F8">
              <w:rPr>
                <w:rStyle w:val="Hyperlink"/>
                <w:rFonts w:ascii="Arial" w:hAnsi="Arial" w:cs="Arial"/>
                <w:noProof/>
              </w:rPr>
              <w:t>6.1 Introduction</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_Toc241113334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78</w:t>
            </w:r>
            <w:r w:rsidR="00D71CCF" w:rsidRPr="002332F8">
              <w:rPr>
                <w:rFonts w:ascii="Arial" w:hAnsi="Arial" w:cs="Arial"/>
                <w:noProof/>
                <w:webHidden/>
              </w:rPr>
              <w:fldChar w:fldCharType="end"/>
            </w:r>
          </w:hyperlink>
        </w:p>
        <w:p w14:paraId="5FB24E9A"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35" w:history="1">
            <w:r w:rsidR="00D71CCF" w:rsidRPr="002332F8">
              <w:rPr>
                <w:rStyle w:val="Hyperlink"/>
                <w:rFonts w:ascii="Arial" w:hAnsi="Arial" w:cs="Arial"/>
                <w:noProof/>
              </w:rPr>
              <w:t>6.2 Summary of Key Findings and Answers to the Research Questions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_Toc241113335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78</w:t>
            </w:r>
            <w:r w:rsidR="00D71CCF" w:rsidRPr="002332F8">
              <w:rPr>
                <w:rFonts w:ascii="Arial" w:hAnsi="Arial" w:cs="Arial"/>
                <w:noProof/>
                <w:webHidden/>
              </w:rPr>
              <w:fldChar w:fldCharType="end"/>
            </w:r>
          </w:hyperlink>
        </w:p>
        <w:p w14:paraId="567E638E"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36" w:history="1">
            <w:r w:rsidR="00D71CCF" w:rsidRPr="002332F8">
              <w:rPr>
                <w:rStyle w:val="Hyperlink"/>
                <w:rFonts w:ascii="Arial" w:hAnsi="Arial" w:cs="Arial"/>
                <w:noProof/>
              </w:rPr>
              <w:t>6.3 Contribution to Knowledge and Theory</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_Toc241113336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79</w:t>
            </w:r>
            <w:r w:rsidR="00D71CCF" w:rsidRPr="002332F8">
              <w:rPr>
                <w:rFonts w:ascii="Arial" w:hAnsi="Arial" w:cs="Arial"/>
                <w:noProof/>
                <w:webHidden/>
              </w:rPr>
              <w:fldChar w:fldCharType="end"/>
            </w:r>
          </w:hyperlink>
        </w:p>
        <w:p w14:paraId="49BE10DB"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37" w:history="1">
            <w:r w:rsidR="00D71CCF" w:rsidRPr="002332F8">
              <w:rPr>
                <w:rStyle w:val="Hyperlink"/>
                <w:rFonts w:ascii="Arial" w:hAnsi="Arial" w:cs="Arial"/>
                <w:noProof/>
              </w:rPr>
              <w:t>6.4 Practical Recommendations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_Toc241113337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79</w:t>
            </w:r>
            <w:r w:rsidR="00D71CCF" w:rsidRPr="002332F8">
              <w:rPr>
                <w:rFonts w:ascii="Arial" w:hAnsi="Arial" w:cs="Arial"/>
                <w:noProof/>
                <w:webHidden/>
              </w:rPr>
              <w:fldChar w:fldCharType="end"/>
            </w:r>
          </w:hyperlink>
        </w:p>
        <w:p w14:paraId="1B998C55"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38" w:history="1">
            <w:r w:rsidR="00D71CCF" w:rsidRPr="002332F8">
              <w:rPr>
                <w:rStyle w:val="Hyperlink"/>
                <w:rFonts w:ascii="Arial" w:hAnsi="Arial" w:cs="Arial"/>
                <w:noProof/>
              </w:rPr>
              <w:t>6.5 Limitations of the Study</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_Toc241113338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80</w:t>
            </w:r>
            <w:r w:rsidR="00D71CCF" w:rsidRPr="002332F8">
              <w:rPr>
                <w:rFonts w:ascii="Arial" w:hAnsi="Arial" w:cs="Arial"/>
                <w:noProof/>
                <w:webHidden/>
              </w:rPr>
              <w:fldChar w:fldCharType="end"/>
            </w:r>
          </w:hyperlink>
        </w:p>
        <w:p w14:paraId="6CA96C7F"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39" w:history="1">
            <w:r w:rsidR="00D71CCF" w:rsidRPr="002332F8">
              <w:rPr>
                <w:rStyle w:val="Hyperlink"/>
                <w:rFonts w:ascii="Arial" w:hAnsi="Arial" w:cs="Arial"/>
                <w:noProof/>
              </w:rPr>
              <w:t>6.6 Recommendations for Future Research</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_Toc241113339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80</w:t>
            </w:r>
            <w:r w:rsidR="00D71CCF" w:rsidRPr="002332F8">
              <w:rPr>
                <w:rFonts w:ascii="Arial" w:hAnsi="Arial" w:cs="Arial"/>
                <w:noProof/>
                <w:webHidden/>
              </w:rPr>
              <w:fldChar w:fldCharType="end"/>
            </w:r>
          </w:hyperlink>
        </w:p>
        <w:p w14:paraId="3AB43940"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40" w:history="1">
            <w:r w:rsidR="00D71CCF" w:rsidRPr="002332F8">
              <w:rPr>
                <w:rStyle w:val="Hyperlink"/>
                <w:rFonts w:ascii="Arial" w:hAnsi="Arial" w:cs="Arial"/>
                <w:noProof/>
              </w:rPr>
              <w:t>6.7 Final Conclusion</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_Toc241113340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81</w:t>
            </w:r>
            <w:r w:rsidR="00D71CCF" w:rsidRPr="002332F8">
              <w:rPr>
                <w:rFonts w:ascii="Arial" w:hAnsi="Arial" w:cs="Arial"/>
                <w:noProof/>
                <w:webHidden/>
              </w:rPr>
              <w:fldChar w:fldCharType="end"/>
            </w:r>
          </w:hyperlink>
        </w:p>
        <w:p w14:paraId="2F05227E" w14:textId="77777777" w:rsidR="00D71CCF" w:rsidRPr="002332F8" w:rsidRDefault="00F62741" w:rsidP="00D71CCF">
          <w:pPr>
            <w:pStyle w:val="TOC1"/>
            <w:rPr>
              <w:rFonts w:ascii="Arial" w:eastAsiaTheme="minorEastAsia" w:hAnsi="Arial" w:cs="Arial"/>
              <w:b w:val="0"/>
              <w:bCs w:val="0"/>
              <w:noProof/>
              <w:sz w:val="22"/>
            </w:rPr>
          </w:pPr>
          <w:hyperlink w:anchor="_Toc241113341" w:history="1">
            <w:r w:rsidR="00D71CCF" w:rsidRPr="002332F8">
              <w:rPr>
                <w:rStyle w:val="Hyperlink"/>
                <w:rFonts w:ascii="Arial" w:hAnsi="Arial" w:cs="Arial"/>
                <w:noProof/>
              </w:rPr>
              <w:t>References List</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_Toc241113341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82</w:t>
            </w:r>
            <w:r w:rsidR="00D71CCF" w:rsidRPr="002332F8">
              <w:rPr>
                <w:rFonts w:ascii="Arial" w:hAnsi="Arial" w:cs="Arial"/>
                <w:noProof/>
                <w:webHidden/>
              </w:rPr>
              <w:fldChar w:fldCharType="end"/>
            </w:r>
          </w:hyperlink>
        </w:p>
        <w:p w14:paraId="7309183B" w14:textId="77777777" w:rsidR="00D71CCF" w:rsidRPr="002332F8" w:rsidRDefault="00F62741" w:rsidP="00D71CCF">
          <w:pPr>
            <w:pStyle w:val="TOC1"/>
            <w:rPr>
              <w:rFonts w:ascii="Arial" w:eastAsiaTheme="minorEastAsia" w:hAnsi="Arial" w:cs="Arial"/>
              <w:b w:val="0"/>
              <w:bCs w:val="0"/>
              <w:noProof/>
              <w:sz w:val="22"/>
            </w:rPr>
          </w:pPr>
          <w:hyperlink w:anchor="_Toc241113342" w:history="1">
            <w:r w:rsidR="00D71CCF" w:rsidRPr="002332F8">
              <w:rPr>
                <w:rStyle w:val="Hyperlink"/>
                <w:rFonts w:ascii="Arial" w:hAnsi="Arial" w:cs="Arial"/>
                <w:noProof/>
              </w:rPr>
              <w:t>Appendices</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_Toc241113342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90</w:t>
            </w:r>
            <w:r w:rsidR="00D71CCF" w:rsidRPr="002332F8">
              <w:rPr>
                <w:rFonts w:ascii="Arial" w:hAnsi="Arial" w:cs="Arial"/>
                <w:noProof/>
                <w:webHidden/>
              </w:rPr>
              <w:fldChar w:fldCharType="end"/>
            </w:r>
          </w:hyperlink>
        </w:p>
        <w:p w14:paraId="3EF3952E"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43" w:history="1">
            <w:r w:rsidR="00D71CCF" w:rsidRPr="002332F8">
              <w:rPr>
                <w:rStyle w:val="Hyperlink"/>
                <w:rFonts w:ascii="Arial" w:hAnsi="Arial" w:cs="Arial"/>
                <w:noProof/>
              </w:rPr>
              <w:t>Appendix A: Ethical Approval Form</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_Toc241113343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90</w:t>
            </w:r>
            <w:r w:rsidR="00D71CCF" w:rsidRPr="002332F8">
              <w:rPr>
                <w:rFonts w:ascii="Arial" w:hAnsi="Arial" w:cs="Arial"/>
                <w:noProof/>
                <w:webHidden/>
              </w:rPr>
              <w:fldChar w:fldCharType="end"/>
            </w:r>
          </w:hyperlink>
        </w:p>
        <w:p w14:paraId="21AEE865"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44" w:history="1">
            <w:r w:rsidR="00D71CCF" w:rsidRPr="002332F8">
              <w:rPr>
                <w:rStyle w:val="Hyperlink"/>
                <w:rFonts w:ascii="Arial" w:hAnsi="Arial" w:cs="Arial"/>
                <w:noProof/>
              </w:rPr>
              <w:t>Appendix B: Participant Consent Form</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_Toc241113344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90</w:t>
            </w:r>
            <w:r w:rsidR="00D71CCF" w:rsidRPr="002332F8">
              <w:rPr>
                <w:rFonts w:ascii="Arial" w:hAnsi="Arial" w:cs="Arial"/>
                <w:noProof/>
                <w:webHidden/>
              </w:rPr>
              <w:fldChar w:fldCharType="end"/>
            </w:r>
          </w:hyperlink>
        </w:p>
        <w:p w14:paraId="4E1626A2"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45" w:history="1">
            <w:r w:rsidR="00D71CCF" w:rsidRPr="002332F8">
              <w:rPr>
                <w:rStyle w:val="Hyperlink"/>
                <w:rFonts w:ascii="Arial" w:hAnsi="Arial" w:cs="Arial"/>
                <w:noProof/>
              </w:rPr>
              <w:t>Appendix C: Survey Permission Letter</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_Toc241113345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91</w:t>
            </w:r>
            <w:r w:rsidR="00D71CCF" w:rsidRPr="002332F8">
              <w:rPr>
                <w:rFonts w:ascii="Arial" w:hAnsi="Arial" w:cs="Arial"/>
                <w:noProof/>
                <w:webHidden/>
              </w:rPr>
              <w:fldChar w:fldCharType="end"/>
            </w:r>
          </w:hyperlink>
        </w:p>
        <w:p w14:paraId="42D4FAAE"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46" w:history="1">
            <w:r w:rsidR="00D71CCF" w:rsidRPr="002332F8">
              <w:rPr>
                <w:rStyle w:val="Hyperlink"/>
                <w:rFonts w:ascii="Arial" w:hAnsi="Arial" w:cs="Arial"/>
                <w:noProof/>
              </w:rPr>
              <w:t>Appendix D: Survey Questionnaire</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_Toc241113346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92</w:t>
            </w:r>
            <w:r w:rsidR="00D71CCF" w:rsidRPr="002332F8">
              <w:rPr>
                <w:rFonts w:ascii="Arial" w:hAnsi="Arial" w:cs="Arial"/>
                <w:noProof/>
                <w:webHidden/>
              </w:rPr>
              <w:fldChar w:fldCharType="end"/>
            </w:r>
          </w:hyperlink>
        </w:p>
        <w:p w14:paraId="7FA1B947"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47" w:history="1">
            <w:r w:rsidR="00D71CCF" w:rsidRPr="002332F8">
              <w:rPr>
                <w:rStyle w:val="Hyperlink"/>
                <w:rFonts w:ascii="Arial" w:hAnsi="Arial" w:cs="Arial"/>
                <w:noProof/>
              </w:rPr>
              <w:t>Appendix E: Survey Dataset</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_Toc241113347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98</w:t>
            </w:r>
            <w:r w:rsidR="00D71CCF" w:rsidRPr="002332F8">
              <w:rPr>
                <w:rFonts w:ascii="Arial" w:hAnsi="Arial" w:cs="Arial"/>
                <w:noProof/>
                <w:webHidden/>
              </w:rPr>
              <w:fldChar w:fldCharType="end"/>
            </w:r>
          </w:hyperlink>
        </w:p>
        <w:p w14:paraId="7A4DD159" w14:textId="77777777" w:rsidR="00D71CCF" w:rsidRPr="002332F8" w:rsidRDefault="00F62741" w:rsidP="00D71CCF">
          <w:pPr>
            <w:pStyle w:val="TOC2"/>
            <w:tabs>
              <w:tab w:val="right" w:leader="dot" w:pos="9016"/>
            </w:tabs>
            <w:rPr>
              <w:rFonts w:ascii="Arial" w:eastAsiaTheme="minorEastAsia" w:hAnsi="Arial" w:cs="Arial"/>
              <w:noProof/>
              <w:sz w:val="22"/>
              <w:szCs w:val="22"/>
              <w:lang w:val="en-US" w:eastAsia="en-US"/>
            </w:rPr>
          </w:pPr>
          <w:hyperlink w:anchor="_Toc241113348" w:history="1">
            <w:r w:rsidR="00D71CCF" w:rsidRPr="002332F8">
              <w:rPr>
                <w:rStyle w:val="Hyperlink"/>
                <w:rFonts w:ascii="Arial" w:hAnsi="Arial" w:cs="Arial"/>
                <w:noProof/>
              </w:rPr>
              <w:t>Appendix F: Variables Operationalisation and Measurement</w:t>
            </w:r>
            <w:r w:rsidR="00D71CCF" w:rsidRPr="002332F8">
              <w:rPr>
                <w:rFonts w:ascii="Arial" w:hAnsi="Arial" w:cs="Arial"/>
                <w:noProof/>
                <w:webHidden/>
              </w:rPr>
              <w:tab/>
            </w:r>
            <w:r w:rsidR="00D71CCF" w:rsidRPr="002332F8">
              <w:rPr>
                <w:rFonts w:ascii="Arial" w:hAnsi="Arial" w:cs="Arial"/>
                <w:noProof/>
                <w:webHidden/>
              </w:rPr>
              <w:fldChar w:fldCharType="begin"/>
            </w:r>
            <w:r w:rsidR="00D71CCF" w:rsidRPr="002332F8">
              <w:rPr>
                <w:rFonts w:ascii="Arial" w:hAnsi="Arial" w:cs="Arial"/>
                <w:noProof/>
                <w:webHidden/>
              </w:rPr>
              <w:instrText xml:space="preserve"> PAGEREF _Toc241113348 \h </w:instrText>
            </w:r>
            <w:r w:rsidR="00D71CCF" w:rsidRPr="002332F8">
              <w:rPr>
                <w:rFonts w:ascii="Arial" w:hAnsi="Arial" w:cs="Arial"/>
                <w:noProof/>
                <w:webHidden/>
              </w:rPr>
            </w:r>
            <w:r w:rsidR="00D71CCF" w:rsidRPr="002332F8">
              <w:rPr>
                <w:rFonts w:ascii="Arial" w:hAnsi="Arial" w:cs="Arial"/>
                <w:noProof/>
                <w:webHidden/>
              </w:rPr>
              <w:fldChar w:fldCharType="separate"/>
            </w:r>
            <w:r w:rsidR="00D71CCF" w:rsidRPr="002332F8">
              <w:rPr>
                <w:rFonts w:ascii="Arial" w:hAnsi="Arial" w:cs="Arial"/>
                <w:noProof/>
                <w:webHidden/>
              </w:rPr>
              <w:t>99</w:t>
            </w:r>
            <w:r w:rsidR="00D71CCF" w:rsidRPr="002332F8">
              <w:rPr>
                <w:rFonts w:ascii="Arial" w:hAnsi="Arial" w:cs="Arial"/>
                <w:noProof/>
                <w:webHidden/>
              </w:rPr>
              <w:fldChar w:fldCharType="end"/>
            </w:r>
          </w:hyperlink>
        </w:p>
        <w:p w14:paraId="16654D94" w14:textId="77777777" w:rsidR="00D71CCF" w:rsidRPr="002332F8" w:rsidRDefault="00D71CCF" w:rsidP="00D71CCF">
          <w:pPr>
            <w:rPr>
              <w:rFonts w:ascii="Arial" w:hAnsi="Arial" w:cs="Arial"/>
            </w:rPr>
          </w:pPr>
          <w:r w:rsidRPr="002332F8">
            <w:rPr>
              <w:rFonts w:ascii="Arial" w:hAnsi="Arial" w:cs="Arial"/>
              <w:b/>
              <w:bCs/>
              <w:noProof/>
            </w:rPr>
            <w:fldChar w:fldCharType="end"/>
          </w:r>
        </w:p>
      </w:sdtContent>
    </w:sdt>
    <w:p w14:paraId="475DDF30" w14:textId="77777777" w:rsidR="00D71CCF" w:rsidRPr="002332F8" w:rsidRDefault="00D71CCF" w:rsidP="00D71CCF">
      <w:pPr>
        <w:rPr>
          <w:rFonts w:ascii="Arial" w:hAnsi="Arial" w:cs="Arial"/>
        </w:rPr>
      </w:pPr>
    </w:p>
    <w:p w14:paraId="774805A8" w14:textId="77777777" w:rsidR="00D71CCF" w:rsidRPr="002332F8" w:rsidRDefault="00D71CCF" w:rsidP="00D71CCF">
      <w:pPr>
        <w:suppressAutoHyphens w:val="0"/>
        <w:spacing w:after="160" w:line="256" w:lineRule="auto"/>
        <w:jc w:val="left"/>
        <w:rPr>
          <w:rFonts w:ascii="Arial" w:hAnsi="Arial" w:cs="Arial"/>
          <w:sz w:val="40"/>
          <w:szCs w:val="40"/>
        </w:rPr>
      </w:pPr>
      <w:r w:rsidRPr="002332F8">
        <w:rPr>
          <w:rFonts w:ascii="Arial" w:hAnsi="Arial" w:cs="Arial"/>
        </w:rPr>
        <w:br w:type="page"/>
      </w:r>
    </w:p>
    <w:p w14:paraId="210DFA57" w14:textId="77777777" w:rsidR="00D71CCF" w:rsidRPr="002332F8" w:rsidRDefault="00D71CCF" w:rsidP="00D71CCF">
      <w:pPr>
        <w:pStyle w:val="Heading1"/>
        <w:rPr>
          <w:rFonts w:ascii="Arial" w:hAnsi="Arial" w:cs="Arial"/>
          <w:color w:val="auto"/>
        </w:rPr>
      </w:pPr>
      <w:bookmarkStart w:id="14" w:name="_Toc241093443"/>
      <w:bookmarkStart w:id="15" w:name="_Toc241113263"/>
      <w:r w:rsidRPr="002332F8">
        <w:rPr>
          <w:rFonts w:ascii="Arial" w:hAnsi="Arial" w:cs="Arial"/>
          <w:color w:val="auto"/>
        </w:rPr>
        <w:lastRenderedPageBreak/>
        <w:t>List of Tables</w:t>
      </w:r>
      <w:bookmarkEnd w:id="12"/>
      <w:bookmarkEnd w:id="14"/>
      <w:bookmarkEnd w:id="15"/>
    </w:p>
    <w:p w14:paraId="30499C45" w14:textId="77777777" w:rsidR="00D71CCF" w:rsidRPr="002332F8" w:rsidRDefault="00F62741" w:rsidP="00D71CCF">
      <w:pPr>
        <w:tabs>
          <w:tab w:val="right" w:leader="dot" w:pos="8784"/>
        </w:tabs>
        <w:spacing w:after="20"/>
        <w:rPr>
          <w:rFonts w:ascii="Arial" w:hAnsi="Arial" w:cs="Arial"/>
        </w:rPr>
      </w:pPr>
      <w:hyperlink w:anchor="tbl4_1" w:history="1">
        <w:r w:rsidR="00D71CCF" w:rsidRPr="002332F8">
          <w:rPr>
            <w:rFonts w:ascii="Arial" w:hAnsi="Arial" w:cs="Arial"/>
            <w:szCs w:val="24"/>
          </w:rPr>
          <w:t>Table 4.1. Data Screening and Final Analytical Sample</w:t>
        </w:r>
        <w:r w:rsidR="00D71CCF" w:rsidRPr="002332F8">
          <w:rPr>
            <w:rFonts w:ascii="Arial" w:hAnsi="Arial" w:cs="Arial"/>
            <w:szCs w:val="24"/>
          </w:rPr>
          <w:tab/>
          <w:t>42</w:t>
        </w:r>
      </w:hyperlink>
    </w:p>
    <w:p w14:paraId="12FCD38B" w14:textId="77777777" w:rsidR="00D71CCF" w:rsidRPr="002332F8" w:rsidRDefault="00F62741" w:rsidP="00D71CCF">
      <w:pPr>
        <w:tabs>
          <w:tab w:val="right" w:leader="dot" w:pos="8784"/>
        </w:tabs>
        <w:spacing w:after="20"/>
        <w:rPr>
          <w:rFonts w:ascii="Arial" w:hAnsi="Arial" w:cs="Arial"/>
        </w:rPr>
      </w:pPr>
      <w:hyperlink w:anchor="tbl4_2" w:history="1">
        <w:r w:rsidR="00D71CCF" w:rsidRPr="002332F8">
          <w:rPr>
            <w:rFonts w:ascii="Arial" w:hAnsi="Arial" w:cs="Arial"/>
            <w:szCs w:val="24"/>
          </w:rPr>
          <w:t>Table 4.2. Demographic and Work-Arrangement Characteristics</w:t>
        </w:r>
        <w:r w:rsidR="00D71CCF" w:rsidRPr="002332F8">
          <w:rPr>
            <w:rFonts w:ascii="Arial" w:hAnsi="Arial" w:cs="Arial"/>
            <w:szCs w:val="24"/>
          </w:rPr>
          <w:tab/>
          <w:t>42</w:t>
        </w:r>
      </w:hyperlink>
    </w:p>
    <w:p w14:paraId="084C321F" w14:textId="77777777" w:rsidR="00D71CCF" w:rsidRPr="002332F8" w:rsidRDefault="00F62741" w:rsidP="00D71CCF">
      <w:pPr>
        <w:tabs>
          <w:tab w:val="right" w:leader="dot" w:pos="8784"/>
        </w:tabs>
        <w:spacing w:after="20"/>
        <w:rPr>
          <w:rFonts w:ascii="Arial" w:hAnsi="Arial" w:cs="Arial"/>
        </w:rPr>
      </w:pPr>
      <w:hyperlink w:anchor="tbl4_3" w:history="1">
        <w:r w:rsidR="00D71CCF" w:rsidRPr="002332F8">
          <w:rPr>
            <w:rFonts w:ascii="Arial" w:hAnsi="Arial" w:cs="Arial"/>
            <w:szCs w:val="24"/>
          </w:rPr>
          <w:t>Table 4.3. Descriptive Statistics for Main Study Variables</w:t>
        </w:r>
        <w:r w:rsidR="00D71CCF" w:rsidRPr="002332F8">
          <w:rPr>
            <w:rFonts w:ascii="Arial" w:hAnsi="Arial" w:cs="Arial"/>
            <w:szCs w:val="24"/>
          </w:rPr>
          <w:tab/>
          <w:t>65</w:t>
        </w:r>
      </w:hyperlink>
    </w:p>
    <w:p w14:paraId="6E2B92B2" w14:textId="77777777" w:rsidR="00D71CCF" w:rsidRPr="002332F8" w:rsidRDefault="00F62741" w:rsidP="00D71CCF">
      <w:pPr>
        <w:tabs>
          <w:tab w:val="right" w:leader="dot" w:pos="8784"/>
        </w:tabs>
        <w:spacing w:after="20"/>
        <w:rPr>
          <w:rFonts w:ascii="Arial" w:hAnsi="Arial" w:cs="Arial"/>
        </w:rPr>
      </w:pPr>
      <w:hyperlink w:anchor="tbl4_4" w:history="1">
        <w:r w:rsidR="00D71CCF" w:rsidRPr="002332F8">
          <w:rPr>
            <w:rFonts w:ascii="Arial" w:hAnsi="Arial" w:cs="Arial"/>
            <w:szCs w:val="24"/>
          </w:rPr>
          <w:t>Table 4.4. Internal Consistency Reliability Results</w:t>
        </w:r>
        <w:r w:rsidR="00D71CCF" w:rsidRPr="002332F8">
          <w:rPr>
            <w:rFonts w:ascii="Arial" w:hAnsi="Arial" w:cs="Arial"/>
            <w:szCs w:val="24"/>
          </w:rPr>
          <w:tab/>
          <w:t>67</w:t>
        </w:r>
      </w:hyperlink>
    </w:p>
    <w:p w14:paraId="18A7A2CA" w14:textId="77777777" w:rsidR="00D71CCF" w:rsidRPr="002332F8" w:rsidRDefault="00F62741" w:rsidP="00D71CCF">
      <w:pPr>
        <w:tabs>
          <w:tab w:val="right" w:leader="dot" w:pos="8784"/>
        </w:tabs>
        <w:spacing w:after="20"/>
        <w:rPr>
          <w:rFonts w:ascii="Arial" w:hAnsi="Arial" w:cs="Arial"/>
        </w:rPr>
      </w:pPr>
      <w:hyperlink w:anchor="tbl4_5" w:history="1">
        <w:r w:rsidR="00D71CCF" w:rsidRPr="002332F8">
          <w:rPr>
            <w:rFonts w:ascii="Arial" w:hAnsi="Arial" w:cs="Arial"/>
            <w:szCs w:val="24"/>
          </w:rPr>
          <w:t>Table 4.5. Pearson Correlation Matrix</w:t>
        </w:r>
        <w:r w:rsidR="00D71CCF" w:rsidRPr="002332F8">
          <w:rPr>
            <w:rFonts w:ascii="Arial" w:hAnsi="Arial" w:cs="Arial"/>
            <w:szCs w:val="24"/>
          </w:rPr>
          <w:tab/>
          <w:t>68</w:t>
        </w:r>
      </w:hyperlink>
    </w:p>
    <w:p w14:paraId="721CD70D" w14:textId="77777777" w:rsidR="00D71CCF" w:rsidRPr="002332F8" w:rsidRDefault="00F62741" w:rsidP="00D71CCF">
      <w:pPr>
        <w:tabs>
          <w:tab w:val="right" w:leader="dot" w:pos="8784"/>
        </w:tabs>
        <w:spacing w:after="20"/>
        <w:rPr>
          <w:rFonts w:ascii="Arial" w:hAnsi="Arial" w:cs="Arial"/>
        </w:rPr>
      </w:pPr>
      <w:hyperlink w:anchor="tbl4_6" w:history="1">
        <w:r w:rsidR="00D71CCF" w:rsidRPr="002332F8">
          <w:rPr>
            <w:rFonts w:ascii="Arial" w:hAnsi="Arial" w:cs="Arial"/>
            <w:szCs w:val="24"/>
          </w:rPr>
          <w:t>Table 4.6. Variables Entered/Removed - Regression Model</w:t>
        </w:r>
        <w:r w:rsidR="00D71CCF" w:rsidRPr="002332F8">
          <w:rPr>
            <w:rFonts w:ascii="Arial" w:hAnsi="Arial" w:cs="Arial"/>
            <w:szCs w:val="24"/>
          </w:rPr>
          <w:tab/>
          <w:t>68</w:t>
        </w:r>
      </w:hyperlink>
    </w:p>
    <w:p w14:paraId="57730C5A" w14:textId="77777777" w:rsidR="00D71CCF" w:rsidRPr="002332F8" w:rsidRDefault="00F62741" w:rsidP="00D71CCF">
      <w:pPr>
        <w:tabs>
          <w:tab w:val="right" w:leader="dot" w:pos="8784"/>
        </w:tabs>
        <w:spacing w:after="20"/>
        <w:rPr>
          <w:rFonts w:ascii="Arial" w:hAnsi="Arial" w:cs="Arial"/>
        </w:rPr>
      </w:pPr>
      <w:hyperlink w:anchor="tbl4_7" w:history="1">
        <w:r w:rsidR="00D71CCF" w:rsidRPr="002332F8">
          <w:rPr>
            <w:rFonts w:ascii="Arial" w:hAnsi="Arial" w:cs="Arial"/>
            <w:szCs w:val="24"/>
          </w:rPr>
          <w:t>Table 4.7. Regression Model Summary</w:t>
        </w:r>
        <w:r w:rsidR="00D71CCF" w:rsidRPr="002332F8">
          <w:rPr>
            <w:rFonts w:ascii="Arial" w:hAnsi="Arial" w:cs="Arial"/>
            <w:szCs w:val="24"/>
          </w:rPr>
          <w:tab/>
          <w:t>69</w:t>
        </w:r>
      </w:hyperlink>
    </w:p>
    <w:p w14:paraId="73ADB1A2" w14:textId="77777777" w:rsidR="00D71CCF" w:rsidRPr="002332F8" w:rsidRDefault="00F62741" w:rsidP="00D71CCF">
      <w:pPr>
        <w:tabs>
          <w:tab w:val="right" w:leader="dot" w:pos="8784"/>
        </w:tabs>
        <w:spacing w:after="20"/>
        <w:rPr>
          <w:rFonts w:ascii="Arial" w:hAnsi="Arial" w:cs="Arial"/>
        </w:rPr>
      </w:pPr>
      <w:hyperlink w:anchor="tbl4_8" w:history="1">
        <w:r w:rsidR="00D71CCF" w:rsidRPr="002332F8">
          <w:rPr>
            <w:rFonts w:ascii="Arial" w:hAnsi="Arial" w:cs="Arial"/>
            <w:szCs w:val="24"/>
          </w:rPr>
          <w:t>Table 4.8. ANOVA - Regression Model</w:t>
        </w:r>
        <w:r w:rsidR="00D71CCF" w:rsidRPr="002332F8">
          <w:rPr>
            <w:rFonts w:ascii="Arial" w:hAnsi="Arial" w:cs="Arial"/>
            <w:szCs w:val="24"/>
          </w:rPr>
          <w:tab/>
          <w:t>69</w:t>
        </w:r>
      </w:hyperlink>
    </w:p>
    <w:p w14:paraId="698484FE" w14:textId="77777777" w:rsidR="00D71CCF" w:rsidRPr="002332F8" w:rsidRDefault="00F62741" w:rsidP="00D71CCF">
      <w:pPr>
        <w:tabs>
          <w:tab w:val="right" w:leader="dot" w:pos="8784"/>
        </w:tabs>
        <w:spacing w:after="20"/>
        <w:rPr>
          <w:rFonts w:ascii="Arial" w:hAnsi="Arial" w:cs="Arial"/>
        </w:rPr>
      </w:pPr>
      <w:hyperlink w:anchor="tbl4_9" w:history="1">
        <w:r w:rsidR="00D71CCF" w:rsidRPr="002332F8">
          <w:rPr>
            <w:rFonts w:ascii="Arial" w:hAnsi="Arial" w:cs="Arial"/>
            <w:szCs w:val="24"/>
          </w:rPr>
          <w:t>Table 4.9. Regression Coefficients Predicting Employee Engagement</w:t>
        </w:r>
        <w:r w:rsidR="00D71CCF" w:rsidRPr="002332F8">
          <w:rPr>
            <w:rFonts w:ascii="Arial" w:hAnsi="Arial" w:cs="Arial"/>
            <w:szCs w:val="24"/>
          </w:rPr>
          <w:tab/>
          <w:t>70</w:t>
        </w:r>
      </w:hyperlink>
    </w:p>
    <w:p w14:paraId="1BEEE8E8" w14:textId="77777777" w:rsidR="00D71CCF" w:rsidRPr="002332F8" w:rsidRDefault="00F62741" w:rsidP="00D71CCF">
      <w:pPr>
        <w:tabs>
          <w:tab w:val="right" w:leader="dot" w:pos="8784"/>
        </w:tabs>
        <w:spacing w:after="20"/>
        <w:rPr>
          <w:rFonts w:ascii="Arial" w:hAnsi="Arial" w:cs="Arial"/>
        </w:rPr>
      </w:pPr>
      <w:hyperlink w:anchor="tbl4_10" w:history="1">
        <w:r w:rsidR="00D71CCF" w:rsidRPr="002332F8">
          <w:rPr>
            <w:rFonts w:ascii="Arial" w:hAnsi="Arial" w:cs="Arial"/>
            <w:szCs w:val="24"/>
          </w:rPr>
          <w:t>Table 4.10. Regression Diagnostics and Robustness Checks</w:t>
        </w:r>
        <w:r w:rsidR="00D71CCF" w:rsidRPr="002332F8">
          <w:rPr>
            <w:rFonts w:ascii="Arial" w:hAnsi="Arial" w:cs="Arial"/>
            <w:szCs w:val="24"/>
          </w:rPr>
          <w:tab/>
          <w:t>72</w:t>
        </w:r>
      </w:hyperlink>
    </w:p>
    <w:p w14:paraId="3769BD96" w14:textId="77777777" w:rsidR="00D71CCF" w:rsidRPr="002332F8" w:rsidRDefault="00F62741" w:rsidP="00D71CCF">
      <w:pPr>
        <w:tabs>
          <w:tab w:val="right" w:leader="dot" w:pos="8784"/>
        </w:tabs>
        <w:spacing w:after="20"/>
        <w:rPr>
          <w:rFonts w:ascii="Arial" w:hAnsi="Arial" w:cs="Arial"/>
        </w:rPr>
      </w:pPr>
      <w:hyperlink w:anchor="tbl4_11" w:history="1">
        <w:r w:rsidR="00D71CCF" w:rsidRPr="002332F8">
          <w:rPr>
            <w:rFonts w:ascii="Arial" w:hAnsi="Arial" w:cs="Arial"/>
            <w:szCs w:val="24"/>
          </w:rPr>
          <w:t>Table 4.11. Summary of Hypothesis Testing</w:t>
        </w:r>
        <w:r w:rsidR="00D71CCF" w:rsidRPr="002332F8">
          <w:rPr>
            <w:rFonts w:ascii="Arial" w:hAnsi="Arial" w:cs="Arial"/>
            <w:szCs w:val="24"/>
          </w:rPr>
          <w:tab/>
          <w:t>72</w:t>
        </w:r>
      </w:hyperlink>
    </w:p>
    <w:p w14:paraId="6E9AEAE5" w14:textId="77777777" w:rsidR="00D71CCF" w:rsidRPr="002332F8" w:rsidRDefault="00F62741" w:rsidP="00D71CCF">
      <w:pPr>
        <w:tabs>
          <w:tab w:val="right" w:leader="dot" w:pos="8784"/>
        </w:tabs>
        <w:spacing w:after="20"/>
        <w:rPr>
          <w:rFonts w:ascii="Arial" w:hAnsi="Arial" w:cs="Arial"/>
        </w:rPr>
      </w:pPr>
      <w:hyperlink w:anchor="tblE_1" w:history="1">
        <w:r w:rsidR="00D71CCF" w:rsidRPr="002332F8">
          <w:rPr>
            <w:rFonts w:ascii="Arial" w:hAnsi="Arial" w:cs="Arial"/>
            <w:szCs w:val="24"/>
          </w:rPr>
          <w:t>Table E.1. Variables Operationalisation and Measurement</w:t>
        </w:r>
        <w:r w:rsidR="00D71CCF" w:rsidRPr="002332F8">
          <w:rPr>
            <w:rFonts w:ascii="Arial" w:hAnsi="Arial" w:cs="Arial"/>
            <w:szCs w:val="24"/>
          </w:rPr>
          <w:tab/>
          <w:t>101</w:t>
        </w:r>
      </w:hyperlink>
    </w:p>
    <w:p w14:paraId="4832575D" w14:textId="77777777" w:rsidR="00D71CCF" w:rsidRPr="002332F8" w:rsidRDefault="00D71CCF" w:rsidP="00D71CCF">
      <w:pPr>
        <w:rPr>
          <w:rFonts w:ascii="Arial" w:hAnsi="Arial" w:cs="Arial"/>
        </w:rPr>
      </w:pPr>
    </w:p>
    <w:p w14:paraId="4E4E7482" w14:textId="77777777" w:rsidR="00D71CCF" w:rsidRPr="002332F8" w:rsidRDefault="00D71CCF" w:rsidP="00D71CCF">
      <w:pPr>
        <w:pStyle w:val="Heading1"/>
        <w:pageBreakBefore/>
        <w:rPr>
          <w:rFonts w:ascii="Arial" w:hAnsi="Arial" w:cs="Arial"/>
          <w:color w:val="auto"/>
        </w:rPr>
      </w:pPr>
      <w:bookmarkStart w:id="16" w:name="_Toc241093444"/>
      <w:bookmarkStart w:id="17" w:name="_Toc241113264"/>
      <w:r w:rsidRPr="002332F8">
        <w:rPr>
          <w:rFonts w:ascii="Arial" w:hAnsi="Arial" w:cs="Arial"/>
          <w:color w:val="auto"/>
        </w:rPr>
        <w:lastRenderedPageBreak/>
        <w:t>List of Figures</w:t>
      </w:r>
      <w:bookmarkEnd w:id="16"/>
      <w:bookmarkEnd w:id="17"/>
    </w:p>
    <w:p w14:paraId="32D88462" w14:textId="77777777" w:rsidR="00D71CCF" w:rsidRPr="002332F8" w:rsidRDefault="00F62741" w:rsidP="00D71CCF">
      <w:pPr>
        <w:tabs>
          <w:tab w:val="right" w:leader="dot" w:pos="8784"/>
        </w:tabs>
        <w:spacing w:after="20"/>
        <w:rPr>
          <w:rFonts w:ascii="Arial" w:hAnsi="Arial" w:cs="Arial"/>
        </w:rPr>
      </w:pPr>
      <w:hyperlink w:anchor="fig2_1" w:history="1">
        <w:r w:rsidR="00D71CCF" w:rsidRPr="002332F8">
          <w:rPr>
            <w:rFonts w:ascii="Arial" w:hAnsi="Arial" w:cs="Arial"/>
            <w:szCs w:val="24"/>
          </w:rPr>
          <w:t>Figure 2.1. Extended pathways linking flexible work arrangements, employee engagement and organisational outcomes</w:t>
        </w:r>
        <w:r w:rsidR="00D71CCF" w:rsidRPr="002332F8">
          <w:rPr>
            <w:rFonts w:ascii="Arial" w:hAnsi="Arial" w:cs="Arial"/>
            <w:szCs w:val="24"/>
          </w:rPr>
          <w:tab/>
          <w:t>21</w:t>
        </w:r>
      </w:hyperlink>
    </w:p>
    <w:p w14:paraId="375B5F52" w14:textId="77777777" w:rsidR="00D71CCF" w:rsidRPr="002332F8" w:rsidRDefault="00F62741" w:rsidP="00D71CCF">
      <w:pPr>
        <w:tabs>
          <w:tab w:val="right" w:leader="dot" w:pos="8784"/>
        </w:tabs>
        <w:spacing w:after="20"/>
        <w:rPr>
          <w:rFonts w:ascii="Arial" w:hAnsi="Arial" w:cs="Arial"/>
        </w:rPr>
      </w:pPr>
      <w:hyperlink w:anchor="fig2_2" w:history="1">
        <w:r w:rsidR="00D71CCF" w:rsidRPr="002332F8">
          <w:rPr>
            <w:rFonts w:ascii="Arial" w:hAnsi="Arial" w:cs="Arial"/>
            <w:szCs w:val="24"/>
          </w:rPr>
          <w:t>Figure 2.2. The Job Demands-Resources model</w:t>
        </w:r>
        <w:r w:rsidR="00D71CCF" w:rsidRPr="002332F8">
          <w:rPr>
            <w:rFonts w:ascii="Arial" w:hAnsi="Arial" w:cs="Arial"/>
            <w:szCs w:val="24"/>
          </w:rPr>
          <w:tab/>
          <w:t>27</w:t>
        </w:r>
      </w:hyperlink>
    </w:p>
    <w:p w14:paraId="47649DB6" w14:textId="77777777" w:rsidR="00D71CCF" w:rsidRPr="002332F8" w:rsidRDefault="00F62741" w:rsidP="00D71CCF">
      <w:pPr>
        <w:tabs>
          <w:tab w:val="right" w:leader="dot" w:pos="8784"/>
        </w:tabs>
        <w:spacing w:after="20"/>
        <w:rPr>
          <w:rFonts w:ascii="Arial" w:hAnsi="Arial" w:cs="Arial"/>
        </w:rPr>
      </w:pPr>
      <w:hyperlink w:anchor="fig2_3" w:history="1">
        <w:r w:rsidR="00D71CCF" w:rsidRPr="002332F8">
          <w:rPr>
            <w:rFonts w:ascii="Arial" w:hAnsi="Arial" w:cs="Arial"/>
            <w:szCs w:val="24"/>
          </w:rPr>
          <w:t>Figure 2.3. Illustrative social exchange pathways through trust and relationship satisfaction</w:t>
        </w:r>
        <w:r w:rsidR="00D71CCF" w:rsidRPr="002332F8">
          <w:rPr>
            <w:rFonts w:ascii="Arial" w:hAnsi="Arial" w:cs="Arial"/>
            <w:szCs w:val="24"/>
          </w:rPr>
          <w:tab/>
          <w:t>28</w:t>
        </w:r>
      </w:hyperlink>
    </w:p>
    <w:p w14:paraId="7A032F8C" w14:textId="77777777" w:rsidR="00D71CCF" w:rsidRPr="002332F8" w:rsidRDefault="00F62741" w:rsidP="00D71CCF">
      <w:pPr>
        <w:tabs>
          <w:tab w:val="right" w:leader="dot" w:pos="8784"/>
        </w:tabs>
        <w:spacing w:after="20"/>
        <w:rPr>
          <w:rFonts w:ascii="Arial" w:hAnsi="Arial" w:cs="Arial"/>
        </w:rPr>
      </w:pPr>
      <w:hyperlink w:anchor="fig2_4" w:history="1">
        <w:r w:rsidR="00D71CCF" w:rsidRPr="002332F8">
          <w:rPr>
            <w:rFonts w:ascii="Arial" w:hAnsi="Arial" w:cs="Arial"/>
            <w:szCs w:val="24"/>
          </w:rPr>
          <w:t>Figure 2.4. Conceptual framework for perceived scheduling practices and employee engagement</w:t>
        </w:r>
        <w:r w:rsidR="00D71CCF" w:rsidRPr="002332F8">
          <w:rPr>
            <w:rFonts w:ascii="Arial" w:hAnsi="Arial" w:cs="Arial"/>
            <w:szCs w:val="24"/>
          </w:rPr>
          <w:tab/>
          <w:t>31</w:t>
        </w:r>
      </w:hyperlink>
    </w:p>
    <w:p w14:paraId="6744054B" w14:textId="77777777" w:rsidR="00D71CCF" w:rsidRPr="002332F8" w:rsidRDefault="00F62741" w:rsidP="00D71CCF">
      <w:pPr>
        <w:tabs>
          <w:tab w:val="right" w:leader="dot" w:pos="8784"/>
        </w:tabs>
        <w:spacing w:after="20"/>
        <w:rPr>
          <w:rFonts w:ascii="Arial" w:hAnsi="Arial" w:cs="Arial"/>
        </w:rPr>
      </w:pPr>
      <w:hyperlink w:anchor="fig3_1" w:history="1">
        <w:r w:rsidR="00D71CCF" w:rsidRPr="002332F8">
          <w:rPr>
            <w:rFonts w:ascii="Arial" w:hAnsi="Arial" w:cs="Arial"/>
            <w:szCs w:val="24"/>
          </w:rPr>
          <w:t>Figure 3.1. Research onion and the methodological positioning of the study</w:t>
        </w:r>
        <w:r w:rsidR="00D71CCF" w:rsidRPr="002332F8">
          <w:rPr>
            <w:rFonts w:ascii="Arial" w:hAnsi="Arial" w:cs="Arial"/>
            <w:szCs w:val="24"/>
          </w:rPr>
          <w:tab/>
          <w:t>34</w:t>
        </w:r>
      </w:hyperlink>
    </w:p>
    <w:p w14:paraId="378BFCC4" w14:textId="77777777" w:rsidR="00D71CCF" w:rsidRPr="002332F8" w:rsidRDefault="00F62741" w:rsidP="00D71CCF">
      <w:pPr>
        <w:tabs>
          <w:tab w:val="right" w:leader="dot" w:pos="8784"/>
        </w:tabs>
        <w:spacing w:after="20"/>
        <w:rPr>
          <w:rFonts w:ascii="Arial" w:hAnsi="Arial" w:cs="Arial"/>
        </w:rPr>
      </w:pPr>
      <w:hyperlink w:anchor="fig4_1" w:history="1">
        <w:r w:rsidR="00D71CCF" w:rsidRPr="002332F8">
          <w:rPr>
            <w:rFonts w:ascii="Arial" w:hAnsi="Arial" w:cs="Arial"/>
            <w:szCs w:val="24"/>
          </w:rPr>
          <w:t>Figure 4.1. Age distribution of respondents</w:t>
        </w:r>
        <w:r w:rsidR="00D71CCF" w:rsidRPr="002332F8">
          <w:rPr>
            <w:rFonts w:ascii="Arial" w:hAnsi="Arial" w:cs="Arial"/>
            <w:szCs w:val="24"/>
          </w:rPr>
          <w:tab/>
          <w:t>44</w:t>
        </w:r>
      </w:hyperlink>
    </w:p>
    <w:p w14:paraId="106CC1F9" w14:textId="77777777" w:rsidR="00D71CCF" w:rsidRPr="002332F8" w:rsidRDefault="00F62741" w:rsidP="00D71CCF">
      <w:pPr>
        <w:tabs>
          <w:tab w:val="right" w:leader="dot" w:pos="8784"/>
        </w:tabs>
        <w:spacing w:after="20"/>
        <w:rPr>
          <w:rFonts w:ascii="Arial" w:hAnsi="Arial" w:cs="Arial"/>
        </w:rPr>
      </w:pPr>
      <w:hyperlink w:anchor="fig4_2" w:history="1">
        <w:r w:rsidR="00D71CCF" w:rsidRPr="002332F8">
          <w:rPr>
            <w:rFonts w:ascii="Arial" w:hAnsi="Arial" w:cs="Arial"/>
            <w:szCs w:val="24"/>
          </w:rPr>
          <w:t>Figure 4.2. Job position distribution of respondents</w:t>
        </w:r>
        <w:r w:rsidR="00D71CCF" w:rsidRPr="002332F8">
          <w:rPr>
            <w:rFonts w:ascii="Arial" w:hAnsi="Arial" w:cs="Arial"/>
            <w:szCs w:val="24"/>
          </w:rPr>
          <w:tab/>
          <w:t>44</w:t>
        </w:r>
      </w:hyperlink>
    </w:p>
    <w:p w14:paraId="375A2DF9" w14:textId="77777777" w:rsidR="00D71CCF" w:rsidRPr="002332F8" w:rsidRDefault="00F62741" w:rsidP="00D71CCF">
      <w:pPr>
        <w:tabs>
          <w:tab w:val="right" w:leader="dot" w:pos="8784"/>
        </w:tabs>
        <w:spacing w:after="20"/>
        <w:rPr>
          <w:rFonts w:ascii="Arial" w:hAnsi="Arial" w:cs="Arial"/>
        </w:rPr>
      </w:pPr>
      <w:hyperlink w:anchor="fig4_3" w:history="1">
        <w:r w:rsidR="00D71CCF" w:rsidRPr="002332F8">
          <w:rPr>
            <w:rFonts w:ascii="Arial" w:hAnsi="Arial" w:cs="Arial"/>
            <w:szCs w:val="24"/>
          </w:rPr>
          <w:t>Figure 4.3. Overtime frequency of respondents</w:t>
        </w:r>
        <w:r w:rsidR="00D71CCF" w:rsidRPr="002332F8">
          <w:rPr>
            <w:rFonts w:ascii="Arial" w:hAnsi="Arial" w:cs="Arial"/>
            <w:szCs w:val="24"/>
          </w:rPr>
          <w:tab/>
          <w:t>45</w:t>
        </w:r>
      </w:hyperlink>
    </w:p>
    <w:p w14:paraId="19A26BFF" w14:textId="77777777" w:rsidR="00D71CCF" w:rsidRPr="002332F8" w:rsidRDefault="00F62741" w:rsidP="00D71CCF">
      <w:pPr>
        <w:tabs>
          <w:tab w:val="right" w:leader="dot" w:pos="8784"/>
        </w:tabs>
        <w:spacing w:after="20"/>
        <w:rPr>
          <w:rFonts w:ascii="Arial" w:hAnsi="Arial" w:cs="Arial"/>
        </w:rPr>
      </w:pPr>
      <w:hyperlink w:anchor="fig4_4" w:history="1">
        <w:r w:rsidR="00D71CCF" w:rsidRPr="002332F8">
          <w:rPr>
            <w:rFonts w:ascii="Arial" w:hAnsi="Arial" w:cs="Arial"/>
            <w:szCs w:val="24"/>
          </w:rPr>
          <w:t>Figure 4.4. Responses to Q3: Have you worked continuously at Natural Group Bangladesh for at least three months?</w:t>
        </w:r>
        <w:r w:rsidR="00D71CCF" w:rsidRPr="002332F8">
          <w:rPr>
            <w:rFonts w:ascii="Arial" w:hAnsi="Arial" w:cs="Arial"/>
            <w:szCs w:val="24"/>
          </w:rPr>
          <w:tab/>
          <w:t>46</w:t>
        </w:r>
      </w:hyperlink>
    </w:p>
    <w:p w14:paraId="0715D481" w14:textId="77777777" w:rsidR="00D71CCF" w:rsidRPr="002332F8" w:rsidRDefault="00F62741" w:rsidP="00D71CCF">
      <w:pPr>
        <w:tabs>
          <w:tab w:val="right" w:leader="dot" w:pos="8784"/>
        </w:tabs>
        <w:spacing w:after="20"/>
        <w:rPr>
          <w:rFonts w:ascii="Arial" w:hAnsi="Arial" w:cs="Arial"/>
        </w:rPr>
      </w:pPr>
      <w:hyperlink w:anchor="fig4_5" w:history="1">
        <w:r w:rsidR="00D71CCF" w:rsidRPr="002332F8">
          <w:rPr>
            <w:rFonts w:ascii="Arial" w:hAnsi="Arial" w:cs="Arial"/>
            <w:szCs w:val="24"/>
          </w:rPr>
          <w:t>Figure 4.5. Responses to Q4: Do you work according to a fixed, rotating, or production-based work schedule?</w:t>
        </w:r>
        <w:r w:rsidR="00D71CCF" w:rsidRPr="002332F8">
          <w:rPr>
            <w:rFonts w:ascii="Arial" w:hAnsi="Arial" w:cs="Arial"/>
            <w:szCs w:val="24"/>
          </w:rPr>
          <w:tab/>
          <w:t>46</w:t>
        </w:r>
      </w:hyperlink>
    </w:p>
    <w:p w14:paraId="6B861B8C" w14:textId="77777777" w:rsidR="00D71CCF" w:rsidRPr="002332F8" w:rsidRDefault="00F62741" w:rsidP="00D71CCF">
      <w:pPr>
        <w:tabs>
          <w:tab w:val="right" w:leader="dot" w:pos="8784"/>
        </w:tabs>
        <w:spacing w:after="20"/>
        <w:rPr>
          <w:rFonts w:ascii="Arial" w:hAnsi="Arial" w:cs="Arial"/>
        </w:rPr>
      </w:pPr>
      <w:hyperlink w:anchor="fig4_6" w:history="1">
        <w:r w:rsidR="00D71CCF" w:rsidRPr="002332F8">
          <w:rPr>
            <w:rFonts w:ascii="Arial" w:hAnsi="Arial" w:cs="Arial"/>
            <w:szCs w:val="24"/>
          </w:rPr>
          <w:t>Figure 4.6. Responses to Q5: What is your age group?</w:t>
        </w:r>
        <w:r w:rsidR="00D71CCF" w:rsidRPr="002332F8">
          <w:rPr>
            <w:rFonts w:ascii="Arial" w:hAnsi="Arial" w:cs="Arial"/>
            <w:szCs w:val="24"/>
          </w:rPr>
          <w:tab/>
          <w:t>47</w:t>
        </w:r>
      </w:hyperlink>
    </w:p>
    <w:p w14:paraId="12DBBD07" w14:textId="77777777" w:rsidR="00D71CCF" w:rsidRPr="002332F8" w:rsidRDefault="00F62741" w:rsidP="00D71CCF">
      <w:pPr>
        <w:tabs>
          <w:tab w:val="right" w:leader="dot" w:pos="8784"/>
        </w:tabs>
        <w:spacing w:after="20"/>
        <w:rPr>
          <w:rFonts w:ascii="Arial" w:hAnsi="Arial" w:cs="Arial"/>
        </w:rPr>
      </w:pPr>
      <w:hyperlink w:anchor="fig4_7" w:history="1">
        <w:r w:rsidR="00D71CCF" w:rsidRPr="002332F8">
          <w:rPr>
            <w:rFonts w:ascii="Arial" w:hAnsi="Arial" w:cs="Arial"/>
            <w:szCs w:val="24"/>
          </w:rPr>
          <w:t>Figure 4.7. Responses to Q6: What is your gender?</w:t>
        </w:r>
        <w:r w:rsidR="00D71CCF" w:rsidRPr="002332F8">
          <w:rPr>
            <w:rFonts w:ascii="Arial" w:hAnsi="Arial" w:cs="Arial"/>
            <w:szCs w:val="24"/>
          </w:rPr>
          <w:tab/>
          <w:t>47</w:t>
        </w:r>
      </w:hyperlink>
    </w:p>
    <w:p w14:paraId="12EF7011" w14:textId="77777777" w:rsidR="00D71CCF" w:rsidRPr="002332F8" w:rsidRDefault="00F62741" w:rsidP="00D71CCF">
      <w:pPr>
        <w:tabs>
          <w:tab w:val="right" w:leader="dot" w:pos="8784"/>
        </w:tabs>
        <w:spacing w:after="20"/>
        <w:rPr>
          <w:rFonts w:ascii="Arial" w:hAnsi="Arial" w:cs="Arial"/>
        </w:rPr>
      </w:pPr>
      <w:hyperlink w:anchor="fig4_8" w:history="1">
        <w:r w:rsidR="00D71CCF" w:rsidRPr="002332F8">
          <w:rPr>
            <w:rFonts w:ascii="Arial" w:hAnsi="Arial" w:cs="Arial"/>
            <w:sz w:val="23"/>
            <w:szCs w:val="23"/>
          </w:rPr>
          <w:t>Figure 4.8. Responses to Q7: What is your highest educational level completed?</w:t>
        </w:r>
        <w:r w:rsidR="00D71CCF" w:rsidRPr="002332F8">
          <w:rPr>
            <w:rFonts w:ascii="Arial" w:hAnsi="Arial" w:cs="Arial"/>
            <w:szCs w:val="24"/>
          </w:rPr>
          <w:tab/>
          <w:t>48</w:t>
        </w:r>
      </w:hyperlink>
    </w:p>
    <w:p w14:paraId="06AAEA56" w14:textId="77777777" w:rsidR="00D71CCF" w:rsidRPr="002332F8" w:rsidRDefault="00F62741" w:rsidP="00D71CCF">
      <w:pPr>
        <w:tabs>
          <w:tab w:val="right" w:leader="dot" w:pos="8784"/>
        </w:tabs>
        <w:spacing w:after="20"/>
        <w:rPr>
          <w:rFonts w:ascii="Arial" w:hAnsi="Arial" w:cs="Arial"/>
        </w:rPr>
      </w:pPr>
      <w:hyperlink w:anchor="fig4_9" w:history="1">
        <w:r w:rsidR="00D71CCF" w:rsidRPr="002332F8">
          <w:rPr>
            <w:rFonts w:ascii="Arial" w:hAnsi="Arial" w:cs="Arial"/>
            <w:szCs w:val="24"/>
          </w:rPr>
          <w:t>Figure 4.9. Responses to Q8: What is your current job position?</w:t>
        </w:r>
        <w:r w:rsidR="00D71CCF" w:rsidRPr="002332F8">
          <w:rPr>
            <w:rFonts w:ascii="Arial" w:hAnsi="Arial" w:cs="Arial"/>
            <w:szCs w:val="24"/>
          </w:rPr>
          <w:tab/>
          <w:t>48</w:t>
        </w:r>
      </w:hyperlink>
    </w:p>
    <w:p w14:paraId="65EC9485" w14:textId="77777777" w:rsidR="00D71CCF" w:rsidRPr="002332F8" w:rsidRDefault="00F62741" w:rsidP="00D71CCF">
      <w:pPr>
        <w:tabs>
          <w:tab w:val="right" w:leader="dot" w:pos="8784"/>
        </w:tabs>
        <w:spacing w:after="20"/>
        <w:rPr>
          <w:rFonts w:ascii="Arial" w:hAnsi="Arial" w:cs="Arial"/>
        </w:rPr>
      </w:pPr>
      <w:hyperlink w:anchor="fig4_10" w:history="1">
        <w:r w:rsidR="00D71CCF" w:rsidRPr="002332F8">
          <w:rPr>
            <w:rFonts w:ascii="Arial" w:hAnsi="Arial" w:cs="Arial"/>
            <w:szCs w:val="24"/>
          </w:rPr>
          <w:t>Figure 4.10. Responses to Q9: What is your length of service at Natural Group Bangladesh?</w:t>
        </w:r>
        <w:r w:rsidR="00D71CCF" w:rsidRPr="002332F8">
          <w:rPr>
            <w:rFonts w:ascii="Arial" w:hAnsi="Arial" w:cs="Arial"/>
            <w:szCs w:val="24"/>
          </w:rPr>
          <w:tab/>
          <w:t>49</w:t>
        </w:r>
      </w:hyperlink>
    </w:p>
    <w:p w14:paraId="400AA3C2" w14:textId="77777777" w:rsidR="00D71CCF" w:rsidRPr="002332F8" w:rsidRDefault="00F62741" w:rsidP="00D71CCF">
      <w:pPr>
        <w:tabs>
          <w:tab w:val="right" w:leader="dot" w:pos="8784"/>
        </w:tabs>
        <w:spacing w:after="20"/>
        <w:rPr>
          <w:rFonts w:ascii="Arial" w:hAnsi="Arial" w:cs="Arial"/>
        </w:rPr>
      </w:pPr>
      <w:hyperlink w:anchor="fig4_11" w:history="1">
        <w:r w:rsidR="00D71CCF" w:rsidRPr="002332F8">
          <w:rPr>
            <w:rFonts w:ascii="Arial" w:hAnsi="Arial" w:cs="Arial"/>
            <w:szCs w:val="24"/>
          </w:rPr>
          <w:t>Figure 4.11. Responses to Q10: What is your usual work schedule?</w:t>
        </w:r>
        <w:r w:rsidR="00D71CCF" w:rsidRPr="002332F8">
          <w:rPr>
            <w:rFonts w:ascii="Arial" w:hAnsi="Arial" w:cs="Arial"/>
            <w:szCs w:val="24"/>
          </w:rPr>
          <w:tab/>
          <w:t>50</w:t>
        </w:r>
      </w:hyperlink>
    </w:p>
    <w:p w14:paraId="73392376" w14:textId="77777777" w:rsidR="00D71CCF" w:rsidRPr="002332F8" w:rsidRDefault="00F62741" w:rsidP="00D71CCF">
      <w:pPr>
        <w:tabs>
          <w:tab w:val="right" w:leader="dot" w:pos="8784"/>
        </w:tabs>
        <w:spacing w:after="20"/>
        <w:rPr>
          <w:rFonts w:ascii="Arial" w:hAnsi="Arial" w:cs="Arial"/>
        </w:rPr>
      </w:pPr>
      <w:hyperlink w:anchor="fig4_12" w:history="1">
        <w:r w:rsidR="00D71CCF" w:rsidRPr="002332F8">
          <w:rPr>
            <w:rFonts w:ascii="Arial" w:hAnsi="Arial" w:cs="Arial"/>
            <w:szCs w:val="24"/>
          </w:rPr>
          <w:t>Figure 4.12. Responses to Q11: How often do you normally work overtime?</w:t>
        </w:r>
        <w:r w:rsidR="00D71CCF" w:rsidRPr="002332F8">
          <w:rPr>
            <w:rFonts w:ascii="Arial" w:hAnsi="Arial" w:cs="Arial"/>
            <w:szCs w:val="24"/>
          </w:rPr>
          <w:tab/>
          <w:t>50</w:t>
        </w:r>
      </w:hyperlink>
    </w:p>
    <w:p w14:paraId="72126BD6" w14:textId="77777777" w:rsidR="00D71CCF" w:rsidRPr="002332F8" w:rsidRDefault="00F62741" w:rsidP="00D71CCF">
      <w:pPr>
        <w:tabs>
          <w:tab w:val="right" w:leader="dot" w:pos="8784"/>
        </w:tabs>
        <w:spacing w:after="20"/>
        <w:rPr>
          <w:rFonts w:ascii="Arial" w:hAnsi="Arial" w:cs="Arial"/>
        </w:rPr>
      </w:pPr>
      <w:hyperlink w:anchor="fig4_13" w:history="1">
        <w:r w:rsidR="00D71CCF" w:rsidRPr="002332F8">
          <w:rPr>
            <w:rFonts w:ascii="Arial" w:hAnsi="Arial" w:cs="Arial"/>
            <w:szCs w:val="24"/>
          </w:rPr>
          <w:t>Figure 4.13. Responses to Q12: How far in advance do you usually receive your work schedule?</w:t>
        </w:r>
        <w:r w:rsidR="00D71CCF" w:rsidRPr="002332F8">
          <w:rPr>
            <w:rFonts w:ascii="Arial" w:hAnsi="Arial" w:cs="Arial"/>
            <w:szCs w:val="24"/>
          </w:rPr>
          <w:tab/>
          <w:t>51</w:t>
        </w:r>
      </w:hyperlink>
    </w:p>
    <w:p w14:paraId="47BFE841" w14:textId="77777777" w:rsidR="00D71CCF" w:rsidRPr="002332F8" w:rsidRDefault="00F62741" w:rsidP="00D71CCF">
      <w:pPr>
        <w:tabs>
          <w:tab w:val="right" w:leader="dot" w:pos="8784"/>
        </w:tabs>
        <w:spacing w:after="20"/>
        <w:rPr>
          <w:rFonts w:ascii="Arial" w:hAnsi="Arial" w:cs="Arial"/>
        </w:rPr>
      </w:pPr>
      <w:hyperlink w:anchor="fig4_14" w:history="1">
        <w:r w:rsidR="00D71CCF" w:rsidRPr="002332F8">
          <w:rPr>
            <w:rFonts w:ascii="Arial" w:hAnsi="Arial" w:cs="Arial"/>
            <w:szCs w:val="24"/>
          </w:rPr>
          <w:t>Figure 4.14. Responses to Q13: During the past three months, have you requested a shift change, shift exchange, leave adjustment or schedule adjustment?</w:t>
        </w:r>
        <w:r w:rsidR="00D71CCF" w:rsidRPr="002332F8">
          <w:rPr>
            <w:rFonts w:ascii="Arial" w:hAnsi="Arial" w:cs="Arial"/>
            <w:szCs w:val="24"/>
          </w:rPr>
          <w:tab/>
          <w:t>52</w:t>
        </w:r>
      </w:hyperlink>
    </w:p>
    <w:p w14:paraId="283DD4AA" w14:textId="77777777" w:rsidR="00D71CCF" w:rsidRPr="002332F8" w:rsidRDefault="00F62741" w:rsidP="00D71CCF">
      <w:pPr>
        <w:tabs>
          <w:tab w:val="right" w:leader="dot" w:pos="8784"/>
        </w:tabs>
        <w:spacing w:after="20"/>
        <w:rPr>
          <w:rFonts w:ascii="Arial" w:hAnsi="Arial" w:cs="Arial"/>
        </w:rPr>
      </w:pPr>
      <w:hyperlink w:anchor="fig4_15" w:history="1">
        <w:r w:rsidR="00D71CCF" w:rsidRPr="002332F8">
          <w:rPr>
            <w:rFonts w:ascii="Arial" w:hAnsi="Arial" w:cs="Arial"/>
            <w:szCs w:val="24"/>
          </w:rPr>
          <w:t>Figure 4.15. Responses to Q14: I have some control over when my scheduled work begins and ends.</w:t>
        </w:r>
        <w:r w:rsidR="00D71CCF" w:rsidRPr="002332F8">
          <w:rPr>
            <w:rFonts w:ascii="Arial" w:hAnsi="Arial" w:cs="Arial"/>
            <w:szCs w:val="24"/>
          </w:rPr>
          <w:tab/>
          <w:t>53</w:t>
        </w:r>
      </w:hyperlink>
    </w:p>
    <w:p w14:paraId="6714496F" w14:textId="77777777" w:rsidR="00D71CCF" w:rsidRPr="002332F8" w:rsidRDefault="00F62741" w:rsidP="00D71CCF">
      <w:pPr>
        <w:tabs>
          <w:tab w:val="right" w:leader="dot" w:pos="8784"/>
        </w:tabs>
        <w:spacing w:after="20"/>
        <w:rPr>
          <w:rFonts w:ascii="Arial" w:hAnsi="Arial" w:cs="Arial"/>
        </w:rPr>
      </w:pPr>
      <w:hyperlink w:anchor="fig4_16" w:history="1">
        <w:r w:rsidR="00D71CCF" w:rsidRPr="002332F8">
          <w:rPr>
            <w:rFonts w:ascii="Arial" w:hAnsi="Arial" w:cs="Arial"/>
            <w:szCs w:val="24"/>
          </w:rPr>
          <w:t>Figure 4.16. Responses to Q15: When operationally possible, I can express a preference about my shift or working time.</w:t>
        </w:r>
        <w:r w:rsidR="00D71CCF" w:rsidRPr="002332F8">
          <w:rPr>
            <w:rFonts w:ascii="Arial" w:hAnsi="Arial" w:cs="Arial"/>
            <w:szCs w:val="24"/>
          </w:rPr>
          <w:tab/>
          <w:t>54</w:t>
        </w:r>
      </w:hyperlink>
    </w:p>
    <w:p w14:paraId="105212B3" w14:textId="77777777" w:rsidR="00D71CCF" w:rsidRPr="002332F8" w:rsidRDefault="00F62741" w:rsidP="00D71CCF">
      <w:pPr>
        <w:tabs>
          <w:tab w:val="right" w:leader="dot" w:pos="8784"/>
        </w:tabs>
        <w:spacing w:after="20"/>
        <w:rPr>
          <w:rFonts w:ascii="Arial" w:hAnsi="Arial" w:cs="Arial"/>
        </w:rPr>
      </w:pPr>
      <w:hyperlink w:anchor="fig4_17" w:history="1">
        <w:r w:rsidR="00D71CCF" w:rsidRPr="002332F8">
          <w:rPr>
            <w:rFonts w:ascii="Arial" w:hAnsi="Arial" w:cs="Arial"/>
            <w:szCs w:val="24"/>
          </w:rPr>
          <w:t>Figure 4.17. Responses to Q16: I have reasonable influence over changes to my work schedule.</w:t>
        </w:r>
        <w:r w:rsidR="00D71CCF" w:rsidRPr="002332F8">
          <w:rPr>
            <w:rFonts w:ascii="Arial" w:hAnsi="Arial" w:cs="Arial"/>
            <w:szCs w:val="24"/>
          </w:rPr>
          <w:tab/>
          <w:t>55</w:t>
        </w:r>
      </w:hyperlink>
    </w:p>
    <w:p w14:paraId="37A41BAB" w14:textId="77777777" w:rsidR="00D71CCF" w:rsidRPr="002332F8" w:rsidRDefault="00F62741" w:rsidP="00D71CCF">
      <w:pPr>
        <w:tabs>
          <w:tab w:val="right" w:leader="dot" w:pos="8784"/>
        </w:tabs>
        <w:spacing w:after="20"/>
        <w:rPr>
          <w:rFonts w:ascii="Arial" w:hAnsi="Arial" w:cs="Arial"/>
        </w:rPr>
      </w:pPr>
      <w:hyperlink w:anchor="fig4_18" w:history="1">
        <w:r w:rsidR="00D71CCF" w:rsidRPr="002332F8">
          <w:rPr>
            <w:rFonts w:ascii="Arial" w:hAnsi="Arial" w:cs="Arial"/>
            <w:szCs w:val="24"/>
          </w:rPr>
          <w:t>Figure 4.18. Responses to Q17: I can make choices about my work schedule when personal needs arise.</w:t>
        </w:r>
        <w:r w:rsidR="00D71CCF" w:rsidRPr="002332F8">
          <w:rPr>
            <w:rFonts w:ascii="Arial" w:hAnsi="Arial" w:cs="Arial"/>
            <w:szCs w:val="24"/>
          </w:rPr>
          <w:tab/>
          <w:t>56</w:t>
        </w:r>
      </w:hyperlink>
    </w:p>
    <w:p w14:paraId="2DC64344" w14:textId="77777777" w:rsidR="00D71CCF" w:rsidRPr="002332F8" w:rsidRDefault="00F62741" w:rsidP="00D71CCF">
      <w:pPr>
        <w:tabs>
          <w:tab w:val="right" w:leader="dot" w:pos="8784"/>
        </w:tabs>
        <w:spacing w:after="20"/>
        <w:rPr>
          <w:rFonts w:ascii="Arial" w:hAnsi="Arial" w:cs="Arial"/>
        </w:rPr>
      </w:pPr>
      <w:hyperlink w:anchor="fig4_19" w:history="1">
        <w:r w:rsidR="00D71CCF" w:rsidRPr="002332F8">
          <w:rPr>
            <w:rFonts w:ascii="Arial" w:hAnsi="Arial" w:cs="Arial"/>
            <w:szCs w:val="24"/>
          </w:rPr>
          <w:t>Figure 4.19. Responses to Q18: I usually receive my work schedule far enough in advance to plan my personal responsibilities.</w:t>
        </w:r>
        <w:r w:rsidR="00D71CCF" w:rsidRPr="002332F8">
          <w:rPr>
            <w:rFonts w:ascii="Arial" w:hAnsi="Arial" w:cs="Arial"/>
            <w:szCs w:val="24"/>
          </w:rPr>
          <w:tab/>
          <w:t>57</w:t>
        </w:r>
      </w:hyperlink>
    </w:p>
    <w:p w14:paraId="2A0F60DF" w14:textId="77777777" w:rsidR="00D71CCF" w:rsidRPr="002332F8" w:rsidRDefault="00F62741" w:rsidP="00D71CCF">
      <w:pPr>
        <w:tabs>
          <w:tab w:val="right" w:leader="dot" w:pos="8784"/>
        </w:tabs>
        <w:spacing w:after="20"/>
        <w:rPr>
          <w:rFonts w:ascii="Arial" w:hAnsi="Arial" w:cs="Arial"/>
        </w:rPr>
      </w:pPr>
      <w:hyperlink w:anchor="fig4_20" w:history="1">
        <w:r w:rsidR="00D71CCF" w:rsidRPr="002332F8">
          <w:rPr>
            <w:rFonts w:ascii="Arial" w:hAnsi="Arial" w:cs="Arial"/>
            <w:szCs w:val="24"/>
          </w:rPr>
          <w:t>Figure 4.20. Responses to Q19: My scheduled working hours are generally consistent from week to week.</w:t>
        </w:r>
        <w:r w:rsidR="00D71CCF" w:rsidRPr="002332F8">
          <w:rPr>
            <w:rFonts w:ascii="Arial" w:hAnsi="Arial" w:cs="Arial"/>
            <w:szCs w:val="24"/>
          </w:rPr>
          <w:tab/>
          <w:t>58</w:t>
        </w:r>
      </w:hyperlink>
    </w:p>
    <w:p w14:paraId="2B040455" w14:textId="77777777" w:rsidR="00D71CCF" w:rsidRPr="002332F8" w:rsidRDefault="00F62741" w:rsidP="00D71CCF">
      <w:pPr>
        <w:tabs>
          <w:tab w:val="right" w:leader="dot" w:pos="8784"/>
        </w:tabs>
        <w:spacing w:after="20"/>
        <w:rPr>
          <w:rFonts w:ascii="Arial" w:hAnsi="Arial" w:cs="Arial"/>
        </w:rPr>
      </w:pPr>
      <w:hyperlink w:anchor="fig4_21" w:history="1">
        <w:r w:rsidR="00D71CCF" w:rsidRPr="002332F8">
          <w:rPr>
            <w:rFonts w:ascii="Arial" w:hAnsi="Arial" w:cs="Arial"/>
            <w:szCs w:val="24"/>
          </w:rPr>
          <w:t>Figure 4.21. Responses to Q20: Unexpected changes to my work schedule are kept to a minimum.</w:t>
        </w:r>
        <w:r w:rsidR="00D71CCF" w:rsidRPr="002332F8">
          <w:rPr>
            <w:rFonts w:ascii="Arial" w:hAnsi="Arial" w:cs="Arial"/>
            <w:szCs w:val="24"/>
          </w:rPr>
          <w:tab/>
          <w:t>58</w:t>
        </w:r>
      </w:hyperlink>
    </w:p>
    <w:p w14:paraId="542708FE" w14:textId="77777777" w:rsidR="00D71CCF" w:rsidRPr="002332F8" w:rsidRDefault="00F62741" w:rsidP="00D71CCF">
      <w:pPr>
        <w:tabs>
          <w:tab w:val="right" w:leader="dot" w:pos="8784"/>
        </w:tabs>
        <w:spacing w:after="20"/>
        <w:rPr>
          <w:rFonts w:ascii="Arial" w:hAnsi="Arial" w:cs="Arial"/>
        </w:rPr>
      </w:pPr>
      <w:hyperlink w:anchor="fig4_22" w:history="1">
        <w:r w:rsidR="00D71CCF" w:rsidRPr="002332F8">
          <w:rPr>
            <w:rFonts w:ascii="Arial" w:hAnsi="Arial" w:cs="Arial"/>
            <w:szCs w:val="24"/>
          </w:rPr>
          <w:t>Figure 4.22. Responses to Q21: I can normally predict the days and hours that I will be required to work.</w:t>
        </w:r>
        <w:r w:rsidR="00D71CCF" w:rsidRPr="002332F8">
          <w:rPr>
            <w:rFonts w:ascii="Arial" w:hAnsi="Arial" w:cs="Arial"/>
            <w:szCs w:val="24"/>
          </w:rPr>
          <w:tab/>
          <w:t>59</w:t>
        </w:r>
      </w:hyperlink>
    </w:p>
    <w:p w14:paraId="7890E97D" w14:textId="77777777" w:rsidR="00D71CCF" w:rsidRPr="002332F8" w:rsidRDefault="00F62741" w:rsidP="00D71CCF">
      <w:pPr>
        <w:tabs>
          <w:tab w:val="right" w:leader="dot" w:pos="8784"/>
        </w:tabs>
        <w:spacing w:after="20"/>
        <w:rPr>
          <w:rFonts w:ascii="Arial" w:hAnsi="Arial" w:cs="Arial"/>
        </w:rPr>
      </w:pPr>
      <w:hyperlink w:anchor="fig4_23" w:history="1">
        <w:r w:rsidR="00D71CCF" w:rsidRPr="002332F8">
          <w:rPr>
            <w:rFonts w:ascii="Arial" w:hAnsi="Arial" w:cs="Arial"/>
            <w:szCs w:val="24"/>
          </w:rPr>
          <w:t>Figure 4.23. Responses to Q22: My supervisor listens when I request a reasonable change to my shift or schedule.</w:t>
        </w:r>
        <w:r w:rsidR="00D71CCF" w:rsidRPr="002332F8">
          <w:rPr>
            <w:rFonts w:ascii="Arial" w:hAnsi="Arial" w:cs="Arial"/>
            <w:szCs w:val="24"/>
          </w:rPr>
          <w:tab/>
          <w:t>60</w:t>
        </w:r>
      </w:hyperlink>
    </w:p>
    <w:p w14:paraId="6A5A4BDB" w14:textId="77777777" w:rsidR="00D71CCF" w:rsidRPr="002332F8" w:rsidRDefault="00F62741" w:rsidP="00D71CCF">
      <w:pPr>
        <w:tabs>
          <w:tab w:val="right" w:leader="dot" w:pos="8784"/>
        </w:tabs>
        <w:spacing w:after="20"/>
        <w:rPr>
          <w:rFonts w:ascii="Arial" w:hAnsi="Arial" w:cs="Arial"/>
        </w:rPr>
      </w:pPr>
      <w:hyperlink w:anchor="fig4_24" w:history="1">
        <w:r w:rsidR="00D71CCF" w:rsidRPr="002332F8">
          <w:rPr>
            <w:rFonts w:ascii="Arial" w:hAnsi="Arial" w:cs="Arial"/>
            <w:szCs w:val="24"/>
          </w:rPr>
          <w:t>Figure 4.24. Responses to Q23: Reasonable requests to exchange shifts or adjust working time are considered fairly.</w:t>
        </w:r>
        <w:r w:rsidR="00D71CCF" w:rsidRPr="002332F8">
          <w:rPr>
            <w:rFonts w:ascii="Arial" w:hAnsi="Arial" w:cs="Arial"/>
            <w:szCs w:val="24"/>
          </w:rPr>
          <w:tab/>
          <w:t>60</w:t>
        </w:r>
      </w:hyperlink>
    </w:p>
    <w:p w14:paraId="251CFCAF" w14:textId="77777777" w:rsidR="00D71CCF" w:rsidRPr="002332F8" w:rsidRDefault="00F62741" w:rsidP="00D71CCF">
      <w:pPr>
        <w:tabs>
          <w:tab w:val="right" w:leader="dot" w:pos="8784"/>
        </w:tabs>
        <w:spacing w:after="20"/>
        <w:rPr>
          <w:rFonts w:ascii="Arial" w:hAnsi="Arial" w:cs="Arial"/>
        </w:rPr>
      </w:pPr>
      <w:hyperlink w:anchor="fig4_25" w:history="1">
        <w:r w:rsidR="00D71CCF" w:rsidRPr="002332F8">
          <w:rPr>
            <w:rFonts w:ascii="Arial" w:hAnsi="Arial" w:cs="Arial"/>
            <w:szCs w:val="24"/>
          </w:rPr>
          <w:t>Figure 4.25. Responses to Q24: When I have an important personal need, the organisation tries to accommodate my schedule where operationally possible.</w:t>
        </w:r>
        <w:r w:rsidR="00D71CCF" w:rsidRPr="002332F8">
          <w:rPr>
            <w:rFonts w:ascii="Arial" w:hAnsi="Arial" w:cs="Arial"/>
            <w:szCs w:val="24"/>
          </w:rPr>
          <w:tab/>
          <w:t>61</w:t>
        </w:r>
      </w:hyperlink>
    </w:p>
    <w:p w14:paraId="64167D2B" w14:textId="77777777" w:rsidR="00D71CCF" w:rsidRPr="002332F8" w:rsidRDefault="00F62741" w:rsidP="00D71CCF">
      <w:pPr>
        <w:tabs>
          <w:tab w:val="right" w:leader="dot" w:pos="8784"/>
        </w:tabs>
        <w:spacing w:after="20"/>
        <w:rPr>
          <w:rFonts w:ascii="Arial" w:hAnsi="Arial" w:cs="Arial"/>
        </w:rPr>
      </w:pPr>
      <w:hyperlink w:anchor="fig4_26" w:history="1">
        <w:r w:rsidR="00D71CCF" w:rsidRPr="002332F8">
          <w:rPr>
            <w:rFonts w:ascii="Arial" w:hAnsi="Arial" w:cs="Arial"/>
            <w:szCs w:val="24"/>
          </w:rPr>
          <w:t>Figure 4.26. Responses to Q25: Schedule-related decisions are handled consistently and respectfully.</w:t>
        </w:r>
        <w:r w:rsidR="00D71CCF" w:rsidRPr="002332F8">
          <w:rPr>
            <w:rFonts w:ascii="Arial" w:hAnsi="Arial" w:cs="Arial"/>
            <w:szCs w:val="24"/>
          </w:rPr>
          <w:tab/>
          <w:t>62</w:t>
        </w:r>
      </w:hyperlink>
    </w:p>
    <w:p w14:paraId="4DCCD248" w14:textId="77777777" w:rsidR="00D71CCF" w:rsidRPr="002332F8" w:rsidRDefault="00F62741" w:rsidP="00D71CCF">
      <w:pPr>
        <w:tabs>
          <w:tab w:val="right" w:leader="dot" w:pos="8784"/>
        </w:tabs>
        <w:spacing w:after="20"/>
        <w:rPr>
          <w:rFonts w:ascii="Arial" w:hAnsi="Arial" w:cs="Arial"/>
        </w:rPr>
      </w:pPr>
      <w:hyperlink w:anchor="fig4_27" w:history="1">
        <w:r w:rsidR="00D71CCF" w:rsidRPr="002332F8">
          <w:rPr>
            <w:rFonts w:ascii="Arial" w:hAnsi="Arial" w:cs="Arial"/>
            <w:szCs w:val="24"/>
          </w:rPr>
          <w:t>Figure 4.27. Responses to Q26: At my work, I feel full of energy.</w:t>
        </w:r>
        <w:r w:rsidR="00D71CCF" w:rsidRPr="002332F8">
          <w:rPr>
            <w:rFonts w:ascii="Arial" w:hAnsi="Arial" w:cs="Arial"/>
            <w:szCs w:val="24"/>
          </w:rPr>
          <w:tab/>
          <w:t>62</w:t>
        </w:r>
      </w:hyperlink>
    </w:p>
    <w:p w14:paraId="45ABF111" w14:textId="77777777" w:rsidR="00D71CCF" w:rsidRPr="002332F8" w:rsidRDefault="00F62741" w:rsidP="00D71CCF">
      <w:pPr>
        <w:tabs>
          <w:tab w:val="right" w:leader="dot" w:pos="8784"/>
        </w:tabs>
        <w:spacing w:after="20"/>
        <w:rPr>
          <w:rFonts w:ascii="Arial" w:hAnsi="Arial" w:cs="Arial"/>
        </w:rPr>
      </w:pPr>
      <w:hyperlink w:anchor="fig4_28" w:history="1">
        <w:r w:rsidR="00D71CCF" w:rsidRPr="002332F8">
          <w:rPr>
            <w:rFonts w:ascii="Arial" w:hAnsi="Arial" w:cs="Arial"/>
            <w:szCs w:val="24"/>
          </w:rPr>
          <w:t>Figure 4.28. Responses to Q27: I am enthusiastic about my job.</w:t>
        </w:r>
        <w:r w:rsidR="00D71CCF" w:rsidRPr="002332F8">
          <w:rPr>
            <w:rFonts w:ascii="Arial" w:hAnsi="Arial" w:cs="Arial"/>
            <w:szCs w:val="24"/>
          </w:rPr>
          <w:tab/>
          <w:t>63</w:t>
        </w:r>
      </w:hyperlink>
    </w:p>
    <w:p w14:paraId="704BFC01" w14:textId="77777777" w:rsidR="00D71CCF" w:rsidRPr="002332F8" w:rsidRDefault="00F62741" w:rsidP="00D71CCF">
      <w:pPr>
        <w:tabs>
          <w:tab w:val="right" w:leader="dot" w:pos="8784"/>
        </w:tabs>
        <w:spacing w:after="20"/>
        <w:rPr>
          <w:rFonts w:ascii="Arial" w:hAnsi="Arial" w:cs="Arial"/>
        </w:rPr>
      </w:pPr>
      <w:hyperlink w:anchor="fig4_29" w:history="1">
        <w:r w:rsidR="00D71CCF" w:rsidRPr="002332F8">
          <w:rPr>
            <w:rFonts w:ascii="Arial" w:hAnsi="Arial" w:cs="Arial"/>
            <w:szCs w:val="24"/>
          </w:rPr>
          <w:t>Figure 4.29. Responses to Q28: I feel happy when I am working intensely.</w:t>
        </w:r>
        <w:r w:rsidR="00D71CCF" w:rsidRPr="002332F8">
          <w:rPr>
            <w:rFonts w:ascii="Arial" w:hAnsi="Arial" w:cs="Arial"/>
            <w:szCs w:val="24"/>
          </w:rPr>
          <w:tab/>
          <w:t>64</w:t>
        </w:r>
      </w:hyperlink>
    </w:p>
    <w:p w14:paraId="2E0FA29B" w14:textId="77777777" w:rsidR="00D71CCF" w:rsidRPr="002332F8" w:rsidRDefault="00F62741" w:rsidP="00D71CCF">
      <w:pPr>
        <w:tabs>
          <w:tab w:val="right" w:leader="dot" w:pos="8784"/>
        </w:tabs>
        <w:spacing w:after="20"/>
        <w:rPr>
          <w:rFonts w:ascii="Arial" w:hAnsi="Arial" w:cs="Arial"/>
        </w:rPr>
      </w:pPr>
      <w:hyperlink w:anchor="fig4_30" w:history="1">
        <w:r w:rsidR="00D71CCF" w:rsidRPr="002332F8">
          <w:rPr>
            <w:rFonts w:ascii="Arial" w:hAnsi="Arial" w:cs="Arial"/>
            <w:szCs w:val="24"/>
          </w:rPr>
          <w:t>Figure 4.30. Mean scores for the three scheduling constructs</w:t>
        </w:r>
        <w:r w:rsidR="00D71CCF" w:rsidRPr="002332F8">
          <w:rPr>
            <w:rFonts w:ascii="Arial" w:hAnsi="Arial" w:cs="Arial"/>
            <w:szCs w:val="24"/>
          </w:rPr>
          <w:tab/>
          <w:t>66</w:t>
        </w:r>
      </w:hyperlink>
    </w:p>
    <w:p w14:paraId="28DDF20C" w14:textId="77777777" w:rsidR="00D71CCF" w:rsidRPr="002332F8" w:rsidRDefault="00F62741" w:rsidP="00D71CCF">
      <w:pPr>
        <w:tabs>
          <w:tab w:val="right" w:leader="dot" w:pos="8784"/>
        </w:tabs>
        <w:spacing w:after="20"/>
        <w:rPr>
          <w:rFonts w:ascii="Arial" w:hAnsi="Arial" w:cs="Arial"/>
        </w:rPr>
      </w:pPr>
      <w:hyperlink w:anchor="fig4_31" w:history="1">
        <w:r w:rsidR="00D71CCF" w:rsidRPr="002332F8">
          <w:rPr>
            <w:rFonts w:ascii="Arial" w:hAnsi="Arial" w:cs="Arial"/>
            <w:szCs w:val="24"/>
          </w:rPr>
          <w:t>Figure 4.31. Standardised regression coefficients for Model 1</w:t>
        </w:r>
        <w:r w:rsidR="00D71CCF" w:rsidRPr="002332F8">
          <w:rPr>
            <w:rFonts w:ascii="Arial" w:hAnsi="Arial" w:cs="Arial"/>
            <w:szCs w:val="24"/>
          </w:rPr>
          <w:tab/>
          <w:t>70</w:t>
        </w:r>
      </w:hyperlink>
    </w:p>
    <w:p w14:paraId="659B72C0" w14:textId="77777777" w:rsidR="00D71CCF" w:rsidRPr="002332F8" w:rsidRDefault="00D71CCF" w:rsidP="00D71CCF">
      <w:pPr>
        <w:rPr>
          <w:rFonts w:ascii="Arial" w:hAnsi="Arial" w:cs="Arial"/>
        </w:rPr>
      </w:pPr>
    </w:p>
    <w:p w14:paraId="178E1907" w14:textId="77777777" w:rsidR="00D71CCF" w:rsidRPr="002332F8" w:rsidRDefault="00D71CCF" w:rsidP="00D71CCF">
      <w:pPr>
        <w:pStyle w:val="Heading1"/>
        <w:pageBreakBefore/>
        <w:rPr>
          <w:rFonts w:ascii="Arial" w:hAnsi="Arial" w:cs="Arial"/>
          <w:color w:val="auto"/>
        </w:rPr>
      </w:pPr>
      <w:bookmarkStart w:id="18" w:name="_Toc241093445"/>
      <w:bookmarkStart w:id="19" w:name="_Toc241113265"/>
      <w:r w:rsidRPr="002332F8">
        <w:rPr>
          <w:rFonts w:ascii="Arial" w:hAnsi="Arial" w:cs="Arial"/>
          <w:color w:val="auto"/>
        </w:rPr>
        <w:lastRenderedPageBreak/>
        <w:t>List of Abbreviations</w:t>
      </w:r>
      <w:bookmarkEnd w:id="18"/>
      <w:bookmarkEnd w:id="19"/>
    </w:p>
    <w:tbl>
      <w:tblPr>
        <w:tblW w:w="5000" w:type="pct"/>
        <w:jc w:val="center"/>
        <w:tblCellMar>
          <w:left w:w="10" w:type="dxa"/>
          <w:right w:w="10" w:type="dxa"/>
        </w:tblCellMar>
        <w:tblLook w:val="04A0" w:firstRow="1" w:lastRow="0" w:firstColumn="1" w:lastColumn="0" w:noHBand="0" w:noVBand="1"/>
      </w:tblPr>
      <w:tblGrid>
        <w:gridCol w:w="1561"/>
        <w:gridCol w:w="7455"/>
      </w:tblGrid>
      <w:tr w:rsidR="00D71CCF" w:rsidRPr="002332F8" w14:paraId="664EED51" w14:textId="77777777" w:rsidTr="002D2DAA">
        <w:trPr>
          <w:trHeight w:val="483"/>
          <w:jc w:val="center"/>
        </w:trPr>
        <w:tc>
          <w:tcPr>
            <w:tcW w:w="1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62DCE3" w14:textId="77777777" w:rsidR="00D71CCF" w:rsidRPr="002332F8" w:rsidRDefault="00D71CCF" w:rsidP="002D2DAA">
            <w:pPr>
              <w:spacing w:after="0" w:line="240" w:lineRule="auto"/>
              <w:rPr>
                <w:rFonts w:ascii="Arial" w:hAnsi="Arial" w:cs="Arial"/>
              </w:rPr>
            </w:pPr>
            <w:r w:rsidRPr="002332F8">
              <w:rPr>
                <w:rFonts w:ascii="Arial" w:hAnsi="Arial" w:cs="Arial"/>
                <w:b/>
                <w:sz w:val="22"/>
              </w:rPr>
              <w:t>Abbreviation</w:t>
            </w:r>
          </w:p>
        </w:tc>
        <w:tc>
          <w:tcPr>
            <w:tcW w:w="74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C0C4EA" w14:textId="77777777" w:rsidR="00D71CCF" w:rsidRPr="002332F8" w:rsidRDefault="00D71CCF" w:rsidP="002D2DAA">
            <w:pPr>
              <w:spacing w:after="0" w:line="240" w:lineRule="auto"/>
              <w:rPr>
                <w:rFonts w:ascii="Arial" w:hAnsi="Arial" w:cs="Arial"/>
              </w:rPr>
            </w:pPr>
            <w:r w:rsidRPr="002332F8">
              <w:rPr>
                <w:rFonts w:ascii="Arial" w:hAnsi="Arial" w:cs="Arial"/>
                <w:b/>
                <w:sz w:val="22"/>
              </w:rPr>
              <w:t>Meaning</w:t>
            </w:r>
          </w:p>
        </w:tc>
      </w:tr>
      <w:tr w:rsidR="00D71CCF" w:rsidRPr="002332F8" w14:paraId="3AA247CF" w14:textId="77777777" w:rsidTr="002D2DAA">
        <w:trPr>
          <w:trHeight w:val="560"/>
          <w:jc w:val="center"/>
        </w:trPr>
        <w:tc>
          <w:tcPr>
            <w:tcW w:w="1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CF331FC" w14:textId="77777777" w:rsidR="00D71CCF" w:rsidRPr="002332F8" w:rsidRDefault="00D71CCF" w:rsidP="002D2DAA">
            <w:pPr>
              <w:spacing w:after="0" w:line="240" w:lineRule="auto"/>
              <w:rPr>
                <w:rFonts w:ascii="Arial" w:hAnsi="Arial" w:cs="Arial"/>
              </w:rPr>
            </w:pPr>
            <w:r w:rsidRPr="002332F8">
              <w:rPr>
                <w:rFonts w:ascii="Arial" w:hAnsi="Arial" w:cs="Arial"/>
                <w:sz w:val="22"/>
              </w:rPr>
              <w:t>EE</w:t>
            </w:r>
          </w:p>
        </w:tc>
        <w:tc>
          <w:tcPr>
            <w:tcW w:w="74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8D19087" w14:textId="77777777" w:rsidR="00D71CCF" w:rsidRPr="002332F8" w:rsidRDefault="00D71CCF" w:rsidP="002D2DAA">
            <w:pPr>
              <w:spacing w:after="0" w:line="240" w:lineRule="auto"/>
              <w:rPr>
                <w:rFonts w:ascii="Arial" w:hAnsi="Arial" w:cs="Arial"/>
              </w:rPr>
            </w:pPr>
            <w:r w:rsidRPr="002332F8">
              <w:rPr>
                <w:rFonts w:ascii="Arial" w:hAnsi="Arial" w:cs="Arial"/>
                <w:sz w:val="22"/>
              </w:rPr>
              <w:t>Employee Engagement</w:t>
            </w:r>
          </w:p>
        </w:tc>
      </w:tr>
      <w:tr w:rsidR="00D71CCF" w:rsidRPr="002332F8" w14:paraId="18C6356B" w14:textId="77777777" w:rsidTr="002D2DAA">
        <w:trPr>
          <w:trHeight w:val="604"/>
          <w:jc w:val="center"/>
        </w:trPr>
        <w:tc>
          <w:tcPr>
            <w:tcW w:w="1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EA9B5F3" w14:textId="77777777" w:rsidR="00D71CCF" w:rsidRPr="002332F8" w:rsidRDefault="00D71CCF" w:rsidP="002D2DAA">
            <w:pPr>
              <w:spacing w:after="0" w:line="240" w:lineRule="auto"/>
              <w:rPr>
                <w:rFonts w:ascii="Arial" w:hAnsi="Arial" w:cs="Arial"/>
              </w:rPr>
            </w:pPr>
            <w:r w:rsidRPr="002332F8">
              <w:rPr>
                <w:rFonts w:ascii="Arial" w:hAnsi="Arial" w:cs="Arial"/>
                <w:sz w:val="22"/>
              </w:rPr>
              <w:t>FWA</w:t>
            </w:r>
          </w:p>
        </w:tc>
        <w:tc>
          <w:tcPr>
            <w:tcW w:w="74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FB61EBE" w14:textId="77777777" w:rsidR="00D71CCF" w:rsidRPr="002332F8" w:rsidRDefault="00D71CCF" w:rsidP="002D2DAA">
            <w:pPr>
              <w:spacing w:after="0" w:line="240" w:lineRule="auto"/>
              <w:rPr>
                <w:rFonts w:ascii="Arial" w:hAnsi="Arial" w:cs="Arial"/>
              </w:rPr>
            </w:pPr>
            <w:r w:rsidRPr="002332F8">
              <w:rPr>
                <w:rFonts w:ascii="Arial" w:hAnsi="Arial" w:cs="Arial"/>
                <w:sz w:val="22"/>
              </w:rPr>
              <w:t>Flexible Work Arrangements</w:t>
            </w:r>
          </w:p>
        </w:tc>
      </w:tr>
      <w:tr w:rsidR="00D71CCF" w:rsidRPr="002332F8" w14:paraId="50E99697" w14:textId="77777777" w:rsidTr="002D2DAA">
        <w:trPr>
          <w:trHeight w:val="604"/>
          <w:jc w:val="center"/>
        </w:trPr>
        <w:tc>
          <w:tcPr>
            <w:tcW w:w="1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6FC0DE9" w14:textId="77777777" w:rsidR="00D71CCF" w:rsidRPr="002332F8" w:rsidRDefault="00D71CCF" w:rsidP="002D2DAA">
            <w:pPr>
              <w:spacing w:after="0" w:line="240" w:lineRule="auto"/>
              <w:rPr>
                <w:rFonts w:ascii="Arial" w:hAnsi="Arial" w:cs="Arial"/>
              </w:rPr>
            </w:pPr>
            <w:r w:rsidRPr="002332F8">
              <w:rPr>
                <w:rFonts w:ascii="Arial" w:hAnsi="Arial" w:cs="Arial"/>
                <w:sz w:val="22"/>
              </w:rPr>
              <w:t>HC3</w:t>
            </w:r>
          </w:p>
        </w:tc>
        <w:tc>
          <w:tcPr>
            <w:tcW w:w="74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EAE546D" w14:textId="77777777" w:rsidR="00D71CCF" w:rsidRPr="002332F8" w:rsidRDefault="00D71CCF" w:rsidP="002D2DAA">
            <w:pPr>
              <w:spacing w:after="0" w:line="240" w:lineRule="auto"/>
              <w:rPr>
                <w:rFonts w:ascii="Arial" w:hAnsi="Arial" w:cs="Arial"/>
              </w:rPr>
            </w:pPr>
            <w:r w:rsidRPr="002332F8">
              <w:rPr>
                <w:rFonts w:ascii="Arial" w:hAnsi="Arial" w:cs="Arial"/>
                <w:sz w:val="22"/>
              </w:rPr>
              <w:t>Heteroskedasticity-consistent covariance estimator, type 3</w:t>
            </w:r>
          </w:p>
        </w:tc>
      </w:tr>
      <w:tr w:rsidR="00D71CCF" w:rsidRPr="002332F8" w14:paraId="2E789EB9" w14:textId="77777777" w:rsidTr="002D2DAA">
        <w:trPr>
          <w:trHeight w:val="604"/>
          <w:jc w:val="center"/>
        </w:trPr>
        <w:tc>
          <w:tcPr>
            <w:tcW w:w="1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C42F327" w14:textId="77777777" w:rsidR="00D71CCF" w:rsidRPr="002332F8" w:rsidRDefault="00D71CCF" w:rsidP="002D2DAA">
            <w:pPr>
              <w:spacing w:after="0" w:line="240" w:lineRule="auto"/>
              <w:rPr>
                <w:rFonts w:ascii="Arial" w:hAnsi="Arial" w:cs="Arial"/>
              </w:rPr>
            </w:pPr>
            <w:r w:rsidRPr="002332F8">
              <w:rPr>
                <w:rFonts w:ascii="Arial" w:hAnsi="Arial" w:cs="Arial"/>
                <w:sz w:val="22"/>
              </w:rPr>
              <w:t>JD-R</w:t>
            </w:r>
          </w:p>
        </w:tc>
        <w:tc>
          <w:tcPr>
            <w:tcW w:w="74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F76DFE9" w14:textId="77777777" w:rsidR="00D71CCF" w:rsidRPr="002332F8" w:rsidRDefault="00D71CCF" w:rsidP="002D2DAA">
            <w:pPr>
              <w:spacing w:after="0" w:line="240" w:lineRule="auto"/>
              <w:rPr>
                <w:rFonts w:ascii="Arial" w:hAnsi="Arial" w:cs="Arial"/>
              </w:rPr>
            </w:pPr>
            <w:r w:rsidRPr="002332F8">
              <w:rPr>
                <w:rFonts w:ascii="Arial" w:hAnsi="Arial" w:cs="Arial"/>
                <w:sz w:val="22"/>
              </w:rPr>
              <w:t>Job Demands-Resources</w:t>
            </w:r>
          </w:p>
        </w:tc>
      </w:tr>
      <w:tr w:rsidR="00D71CCF" w:rsidRPr="002332F8" w14:paraId="536B92B7" w14:textId="77777777" w:rsidTr="002D2DAA">
        <w:trPr>
          <w:trHeight w:val="604"/>
          <w:jc w:val="center"/>
        </w:trPr>
        <w:tc>
          <w:tcPr>
            <w:tcW w:w="1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46DF812" w14:textId="77777777" w:rsidR="00D71CCF" w:rsidRPr="002332F8" w:rsidRDefault="00D71CCF" w:rsidP="002D2DAA">
            <w:pPr>
              <w:spacing w:after="0" w:line="240" w:lineRule="auto"/>
              <w:rPr>
                <w:rFonts w:ascii="Arial" w:hAnsi="Arial" w:cs="Arial"/>
              </w:rPr>
            </w:pPr>
            <w:r w:rsidRPr="002332F8">
              <w:rPr>
                <w:rFonts w:ascii="Arial" w:hAnsi="Arial" w:cs="Arial"/>
                <w:sz w:val="22"/>
              </w:rPr>
              <w:t>OLS</w:t>
            </w:r>
          </w:p>
        </w:tc>
        <w:tc>
          <w:tcPr>
            <w:tcW w:w="74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9D2B4B6" w14:textId="77777777" w:rsidR="00D71CCF" w:rsidRPr="002332F8" w:rsidRDefault="00D71CCF" w:rsidP="002D2DAA">
            <w:pPr>
              <w:spacing w:after="0" w:line="240" w:lineRule="auto"/>
              <w:rPr>
                <w:rFonts w:ascii="Arial" w:hAnsi="Arial" w:cs="Arial"/>
              </w:rPr>
            </w:pPr>
            <w:r w:rsidRPr="002332F8">
              <w:rPr>
                <w:rFonts w:ascii="Arial" w:hAnsi="Arial" w:cs="Arial"/>
                <w:sz w:val="22"/>
              </w:rPr>
              <w:t>Ordinary Least Squares</w:t>
            </w:r>
          </w:p>
        </w:tc>
      </w:tr>
      <w:tr w:rsidR="00D71CCF" w:rsidRPr="002332F8" w14:paraId="3F06EF55" w14:textId="77777777" w:rsidTr="002D2DAA">
        <w:trPr>
          <w:trHeight w:val="560"/>
          <w:jc w:val="center"/>
        </w:trPr>
        <w:tc>
          <w:tcPr>
            <w:tcW w:w="1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0E86632" w14:textId="77777777" w:rsidR="00D71CCF" w:rsidRPr="002332F8" w:rsidRDefault="00D71CCF" w:rsidP="002D2DAA">
            <w:pPr>
              <w:spacing w:after="0" w:line="240" w:lineRule="auto"/>
              <w:rPr>
                <w:rFonts w:ascii="Arial" w:hAnsi="Arial" w:cs="Arial"/>
              </w:rPr>
            </w:pPr>
            <w:r w:rsidRPr="002332F8">
              <w:rPr>
                <w:rFonts w:ascii="Arial" w:hAnsi="Arial" w:cs="Arial"/>
                <w:sz w:val="22"/>
              </w:rPr>
              <w:t>PSC</w:t>
            </w:r>
          </w:p>
        </w:tc>
        <w:tc>
          <w:tcPr>
            <w:tcW w:w="74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EA585B2" w14:textId="77777777" w:rsidR="00D71CCF" w:rsidRPr="002332F8" w:rsidRDefault="00D71CCF" w:rsidP="002D2DAA">
            <w:pPr>
              <w:spacing w:after="0" w:line="240" w:lineRule="auto"/>
              <w:rPr>
                <w:rFonts w:ascii="Arial" w:hAnsi="Arial" w:cs="Arial"/>
              </w:rPr>
            </w:pPr>
            <w:r w:rsidRPr="002332F8">
              <w:rPr>
                <w:rFonts w:ascii="Arial" w:hAnsi="Arial" w:cs="Arial"/>
                <w:sz w:val="22"/>
              </w:rPr>
              <w:t>Perceived Schedule Control</w:t>
            </w:r>
          </w:p>
        </w:tc>
      </w:tr>
      <w:tr w:rsidR="00D71CCF" w:rsidRPr="002332F8" w14:paraId="2DCAD99A" w14:textId="77777777" w:rsidTr="002D2DAA">
        <w:trPr>
          <w:trHeight w:val="604"/>
          <w:jc w:val="center"/>
        </w:trPr>
        <w:tc>
          <w:tcPr>
            <w:tcW w:w="1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818586A" w14:textId="77777777" w:rsidR="00D71CCF" w:rsidRPr="002332F8" w:rsidRDefault="00D71CCF" w:rsidP="002D2DAA">
            <w:pPr>
              <w:spacing w:after="0" w:line="240" w:lineRule="auto"/>
              <w:rPr>
                <w:rFonts w:ascii="Arial" w:hAnsi="Arial" w:cs="Arial"/>
              </w:rPr>
            </w:pPr>
            <w:r w:rsidRPr="002332F8">
              <w:rPr>
                <w:rFonts w:ascii="Arial" w:hAnsi="Arial" w:cs="Arial"/>
                <w:sz w:val="22"/>
              </w:rPr>
              <w:t>PSP</w:t>
            </w:r>
          </w:p>
        </w:tc>
        <w:tc>
          <w:tcPr>
            <w:tcW w:w="74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9048764" w14:textId="77777777" w:rsidR="00D71CCF" w:rsidRPr="002332F8" w:rsidRDefault="00D71CCF" w:rsidP="002D2DAA">
            <w:pPr>
              <w:spacing w:after="0" w:line="240" w:lineRule="auto"/>
              <w:rPr>
                <w:rFonts w:ascii="Arial" w:hAnsi="Arial" w:cs="Arial"/>
              </w:rPr>
            </w:pPr>
            <w:r w:rsidRPr="002332F8">
              <w:rPr>
                <w:rFonts w:ascii="Arial" w:hAnsi="Arial" w:cs="Arial"/>
                <w:sz w:val="22"/>
              </w:rPr>
              <w:t>Perceived Schedule Predictability</w:t>
            </w:r>
          </w:p>
        </w:tc>
      </w:tr>
      <w:tr w:rsidR="00D71CCF" w:rsidRPr="002332F8" w14:paraId="086294F7" w14:textId="77777777" w:rsidTr="002D2DAA">
        <w:trPr>
          <w:trHeight w:val="604"/>
          <w:jc w:val="center"/>
        </w:trPr>
        <w:tc>
          <w:tcPr>
            <w:tcW w:w="1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A0AAD5B" w14:textId="77777777" w:rsidR="00D71CCF" w:rsidRPr="002332F8" w:rsidRDefault="00D71CCF" w:rsidP="002D2DAA">
            <w:pPr>
              <w:spacing w:after="0" w:line="240" w:lineRule="auto"/>
              <w:rPr>
                <w:rFonts w:ascii="Arial" w:hAnsi="Arial" w:cs="Arial"/>
              </w:rPr>
            </w:pPr>
            <w:r w:rsidRPr="002332F8">
              <w:rPr>
                <w:rFonts w:ascii="Arial" w:hAnsi="Arial" w:cs="Arial"/>
                <w:sz w:val="22"/>
              </w:rPr>
              <w:t>PSA</w:t>
            </w:r>
          </w:p>
        </w:tc>
        <w:tc>
          <w:tcPr>
            <w:tcW w:w="74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6A94FAD" w14:textId="77777777" w:rsidR="00D71CCF" w:rsidRPr="002332F8" w:rsidRDefault="00D71CCF" w:rsidP="002D2DAA">
            <w:pPr>
              <w:spacing w:after="0" w:line="240" w:lineRule="auto"/>
              <w:rPr>
                <w:rFonts w:ascii="Arial" w:hAnsi="Arial" w:cs="Arial"/>
              </w:rPr>
            </w:pPr>
            <w:r w:rsidRPr="002332F8">
              <w:rPr>
                <w:rFonts w:ascii="Arial" w:hAnsi="Arial" w:cs="Arial"/>
                <w:sz w:val="22"/>
              </w:rPr>
              <w:t>Perceived Shift Accommodation</w:t>
            </w:r>
          </w:p>
        </w:tc>
      </w:tr>
      <w:tr w:rsidR="00D71CCF" w:rsidRPr="002332F8" w14:paraId="2BBD25D9" w14:textId="77777777" w:rsidTr="002D2DAA">
        <w:trPr>
          <w:trHeight w:val="604"/>
          <w:jc w:val="center"/>
        </w:trPr>
        <w:tc>
          <w:tcPr>
            <w:tcW w:w="1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8F97789" w14:textId="77777777" w:rsidR="00D71CCF" w:rsidRPr="002332F8" w:rsidRDefault="00D71CCF" w:rsidP="002D2DAA">
            <w:pPr>
              <w:spacing w:after="0" w:line="240" w:lineRule="auto"/>
              <w:rPr>
                <w:rFonts w:ascii="Arial" w:hAnsi="Arial" w:cs="Arial"/>
              </w:rPr>
            </w:pPr>
            <w:r w:rsidRPr="002332F8">
              <w:rPr>
                <w:rFonts w:ascii="Arial" w:hAnsi="Arial" w:cs="Arial"/>
                <w:sz w:val="22"/>
              </w:rPr>
              <w:t>RMG</w:t>
            </w:r>
          </w:p>
        </w:tc>
        <w:tc>
          <w:tcPr>
            <w:tcW w:w="74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56B9844" w14:textId="77777777" w:rsidR="00D71CCF" w:rsidRPr="002332F8" w:rsidRDefault="00D71CCF" w:rsidP="002D2DAA">
            <w:pPr>
              <w:spacing w:after="0" w:line="240" w:lineRule="auto"/>
              <w:rPr>
                <w:rFonts w:ascii="Arial" w:hAnsi="Arial" w:cs="Arial"/>
              </w:rPr>
            </w:pPr>
            <w:r w:rsidRPr="002332F8">
              <w:rPr>
                <w:rFonts w:ascii="Arial" w:hAnsi="Arial" w:cs="Arial"/>
                <w:sz w:val="22"/>
              </w:rPr>
              <w:t>Ready-Made Garment</w:t>
            </w:r>
          </w:p>
        </w:tc>
      </w:tr>
      <w:tr w:rsidR="00D71CCF" w:rsidRPr="002332F8" w14:paraId="7A4122A7" w14:textId="77777777" w:rsidTr="002D2DAA">
        <w:trPr>
          <w:trHeight w:val="560"/>
          <w:jc w:val="center"/>
        </w:trPr>
        <w:tc>
          <w:tcPr>
            <w:tcW w:w="1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261B1B4" w14:textId="77777777" w:rsidR="00D71CCF" w:rsidRPr="002332F8" w:rsidRDefault="00D71CCF" w:rsidP="002D2DAA">
            <w:pPr>
              <w:spacing w:after="0" w:line="240" w:lineRule="auto"/>
              <w:rPr>
                <w:rFonts w:ascii="Arial" w:hAnsi="Arial" w:cs="Arial"/>
              </w:rPr>
            </w:pPr>
            <w:r w:rsidRPr="002332F8">
              <w:rPr>
                <w:rFonts w:ascii="Arial" w:hAnsi="Arial" w:cs="Arial"/>
                <w:sz w:val="22"/>
              </w:rPr>
              <w:t>SET</w:t>
            </w:r>
          </w:p>
        </w:tc>
        <w:tc>
          <w:tcPr>
            <w:tcW w:w="74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8EAFEE3" w14:textId="77777777" w:rsidR="00D71CCF" w:rsidRPr="002332F8" w:rsidRDefault="00D71CCF" w:rsidP="002D2DAA">
            <w:pPr>
              <w:spacing w:after="0" w:line="240" w:lineRule="auto"/>
              <w:rPr>
                <w:rFonts w:ascii="Arial" w:hAnsi="Arial" w:cs="Arial"/>
              </w:rPr>
            </w:pPr>
            <w:r w:rsidRPr="002332F8">
              <w:rPr>
                <w:rFonts w:ascii="Arial" w:hAnsi="Arial" w:cs="Arial"/>
                <w:sz w:val="22"/>
              </w:rPr>
              <w:t>Social Exchange Theory</w:t>
            </w:r>
          </w:p>
        </w:tc>
      </w:tr>
      <w:tr w:rsidR="00D71CCF" w:rsidRPr="002332F8" w14:paraId="698AFCA9" w14:textId="77777777" w:rsidTr="002D2DAA">
        <w:trPr>
          <w:trHeight w:val="604"/>
          <w:jc w:val="center"/>
        </w:trPr>
        <w:tc>
          <w:tcPr>
            <w:tcW w:w="1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FDB58DB" w14:textId="77777777" w:rsidR="00D71CCF" w:rsidRPr="002332F8" w:rsidRDefault="00D71CCF" w:rsidP="002D2DAA">
            <w:pPr>
              <w:spacing w:after="0" w:line="240" w:lineRule="auto"/>
              <w:rPr>
                <w:rFonts w:ascii="Arial" w:hAnsi="Arial" w:cs="Arial"/>
              </w:rPr>
            </w:pPr>
            <w:r w:rsidRPr="002332F8">
              <w:rPr>
                <w:rFonts w:ascii="Arial" w:hAnsi="Arial" w:cs="Arial"/>
                <w:sz w:val="22"/>
              </w:rPr>
              <w:t>SPSS</w:t>
            </w:r>
          </w:p>
        </w:tc>
        <w:tc>
          <w:tcPr>
            <w:tcW w:w="74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CEC8A86" w14:textId="77777777" w:rsidR="00D71CCF" w:rsidRPr="002332F8" w:rsidRDefault="00D71CCF" w:rsidP="002D2DAA">
            <w:pPr>
              <w:spacing w:after="0" w:line="240" w:lineRule="auto"/>
              <w:rPr>
                <w:rFonts w:ascii="Arial" w:hAnsi="Arial" w:cs="Arial"/>
              </w:rPr>
            </w:pPr>
            <w:r w:rsidRPr="002332F8">
              <w:rPr>
                <w:rFonts w:ascii="Arial" w:hAnsi="Arial" w:cs="Arial"/>
                <w:sz w:val="22"/>
              </w:rPr>
              <w:t>Statistical Package for the Social Sciences</w:t>
            </w:r>
          </w:p>
        </w:tc>
      </w:tr>
      <w:tr w:rsidR="00D71CCF" w:rsidRPr="002332F8" w14:paraId="7A6C7076" w14:textId="77777777" w:rsidTr="002D2DAA">
        <w:trPr>
          <w:trHeight w:val="604"/>
          <w:jc w:val="center"/>
        </w:trPr>
        <w:tc>
          <w:tcPr>
            <w:tcW w:w="1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40BD243" w14:textId="77777777" w:rsidR="00D71CCF" w:rsidRPr="002332F8" w:rsidRDefault="00D71CCF" w:rsidP="002D2DAA">
            <w:pPr>
              <w:spacing w:after="0" w:line="240" w:lineRule="auto"/>
              <w:rPr>
                <w:rFonts w:ascii="Arial" w:hAnsi="Arial" w:cs="Arial"/>
              </w:rPr>
            </w:pPr>
            <w:r w:rsidRPr="002332F8">
              <w:rPr>
                <w:rFonts w:ascii="Arial" w:hAnsi="Arial" w:cs="Arial"/>
                <w:sz w:val="22"/>
              </w:rPr>
              <w:t>UWES-3</w:t>
            </w:r>
          </w:p>
        </w:tc>
        <w:tc>
          <w:tcPr>
            <w:tcW w:w="74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48E1947" w14:textId="77777777" w:rsidR="00D71CCF" w:rsidRPr="002332F8" w:rsidRDefault="00D71CCF" w:rsidP="002D2DAA">
            <w:pPr>
              <w:spacing w:after="0" w:line="240" w:lineRule="auto"/>
              <w:rPr>
                <w:rFonts w:ascii="Arial" w:hAnsi="Arial" w:cs="Arial"/>
              </w:rPr>
            </w:pPr>
            <w:r w:rsidRPr="002332F8">
              <w:rPr>
                <w:rFonts w:ascii="Arial" w:hAnsi="Arial" w:cs="Arial"/>
                <w:sz w:val="22"/>
              </w:rPr>
              <w:t>Three-item Utrecht Work Engagement Scale</w:t>
            </w:r>
          </w:p>
        </w:tc>
      </w:tr>
      <w:tr w:rsidR="00D71CCF" w:rsidRPr="002332F8" w14:paraId="20778C0C" w14:textId="77777777" w:rsidTr="002D2DAA">
        <w:trPr>
          <w:trHeight w:val="560"/>
          <w:jc w:val="center"/>
        </w:trPr>
        <w:tc>
          <w:tcPr>
            <w:tcW w:w="156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D235D7F" w14:textId="77777777" w:rsidR="00D71CCF" w:rsidRPr="002332F8" w:rsidRDefault="00D71CCF" w:rsidP="002D2DAA">
            <w:pPr>
              <w:spacing w:after="0" w:line="240" w:lineRule="auto"/>
              <w:rPr>
                <w:rFonts w:ascii="Arial" w:hAnsi="Arial" w:cs="Arial"/>
              </w:rPr>
            </w:pPr>
            <w:r w:rsidRPr="002332F8">
              <w:rPr>
                <w:rFonts w:ascii="Arial" w:hAnsi="Arial" w:cs="Arial"/>
                <w:sz w:val="22"/>
              </w:rPr>
              <w:t>VIF</w:t>
            </w:r>
          </w:p>
        </w:tc>
        <w:tc>
          <w:tcPr>
            <w:tcW w:w="745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0C6AA14" w14:textId="77777777" w:rsidR="00D71CCF" w:rsidRPr="002332F8" w:rsidRDefault="00D71CCF" w:rsidP="002D2DAA">
            <w:pPr>
              <w:spacing w:after="0" w:line="240" w:lineRule="auto"/>
              <w:rPr>
                <w:rFonts w:ascii="Arial" w:hAnsi="Arial" w:cs="Arial"/>
              </w:rPr>
            </w:pPr>
            <w:r w:rsidRPr="002332F8">
              <w:rPr>
                <w:rFonts w:ascii="Arial" w:hAnsi="Arial" w:cs="Arial"/>
                <w:sz w:val="22"/>
              </w:rPr>
              <w:t>Variance Inflation Factor</w:t>
            </w:r>
          </w:p>
        </w:tc>
      </w:tr>
    </w:tbl>
    <w:p w14:paraId="2544667A" w14:textId="77777777" w:rsidR="00D71CCF" w:rsidRPr="002332F8" w:rsidRDefault="00D71CCF" w:rsidP="00D71CCF">
      <w:pPr>
        <w:rPr>
          <w:rFonts w:ascii="Arial" w:hAnsi="Arial" w:cs="Arial"/>
        </w:rPr>
      </w:pPr>
    </w:p>
    <w:p w14:paraId="4C1C200D" w14:textId="77777777" w:rsidR="00D71CCF" w:rsidRPr="002332F8" w:rsidRDefault="00D71CCF" w:rsidP="00D71CCF">
      <w:pPr>
        <w:suppressAutoHyphens w:val="0"/>
        <w:spacing w:after="160" w:line="256" w:lineRule="auto"/>
        <w:jc w:val="left"/>
        <w:rPr>
          <w:rFonts w:ascii="Arial" w:hAnsi="Arial" w:cs="Arial"/>
          <w:sz w:val="40"/>
          <w:szCs w:val="40"/>
        </w:rPr>
      </w:pPr>
      <w:r w:rsidRPr="002332F8">
        <w:rPr>
          <w:rFonts w:ascii="Arial" w:hAnsi="Arial" w:cs="Arial"/>
        </w:rPr>
        <w:br w:type="page"/>
      </w:r>
    </w:p>
    <w:p w14:paraId="6E06625E" w14:textId="77777777" w:rsidR="00D71CCF" w:rsidRPr="002332F8" w:rsidRDefault="00D71CCF" w:rsidP="00D71CCF">
      <w:pPr>
        <w:pStyle w:val="Heading1"/>
        <w:rPr>
          <w:rFonts w:ascii="Arial" w:hAnsi="Arial" w:cs="Arial"/>
          <w:color w:val="auto"/>
        </w:rPr>
      </w:pPr>
      <w:bookmarkStart w:id="20" w:name="_Toc241093446"/>
      <w:bookmarkStart w:id="21" w:name="_Toc241113266"/>
      <w:r w:rsidRPr="002332F8">
        <w:rPr>
          <w:rFonts w:ascii="Arial" w:hAnsi="Arial" w:cs="Arial"/>
          <w:color w:val="auto"/>
        </w:rPr>
        <w:lastRenderedPageBreak/>
        <w:t>List of Glossary Terms</w:t>
      </w:r>
      <w:bookmarkEnd w:id="20"/>
      <w:bookmarkEnd w:id="21"/>
    </w:p>
    <w:tbl>
      <w:tblPr>
        <w:tblW w:w="5010" w:type="pct"/>
        <w:tblCellMar>
          <w:left w:w="10" w:type="dxa"/>
          <w:right w:w="10" w:type="dxa"/>
        </w:tblCellMar>
        <w:tblLook w:val="04A0" w:firstRow="1" w:lastRow="0" w:firstColumn="1" w:lastColumn="0" w:noHBand="0" w:noVBand="1"/>
      </w:tblPr>
      <w:tblGrid>
        <w:gridCol w:w="1918"/>
        <w:gridCol w:w="7116"/>
      </w:tblGrid>
      <w:tr w:rsidR="00D71CCF" w:rsidRPr="002332F8" w14:paraId="7B48FE93" w14:textId="77777777" w:rsidTr="002D2DAA">
        <w:trPr>
          <w:trHeight w:val="277"/>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F8B394" w14:textId="77777777" w:rsidR="00D71CCF" w:rsidRPr="002332F8" w:rsidRDefault="00D71CCF" w:rsidP="002D2DAA">
            <w:pPr>
              <w:spacing w:after="0" w:line="240" w:lineRule="auto"/>
              <w:rPr>
                <w:rFonts w:ascii="Arial" w:hAnsi="Arial" w:cs="Arial"/>
                <w:b/>
                <w:bCs/>
              </w:rPr>
            </w:pPr>
            <w:r w:rsidRPr="002332F8">
              <w:rPr>
                <w:rFonts w:ascii="Arial" w:hAnsi="Arial" w:cs="Arial"/>
                <w:b/>
                <w:bCs/>
                <w:sz w:val="22"/>
              </w:rPr>
              <w:t>Term</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0DD8F5" w14:textId="77777777" w:rsidR="00D71CCF" w:rsidRPr="002332F8" w:rsidRDefault="00D71CCF" w:rsidP="002D2DAA">
            <w:pPr>
              <w:spacing w:after="0" w:line="240" w:lineRule="auto"/>
              <w:rPr>
                <w:rFonts w:ascii="Arial" w:hAnsi="Arial" w:cs="Arial"/>
                <w:b/>
                <w:bCs/>
              </w:rPr>
            </w:pPr>
            <w:r w:rsidRPr="002332F8">
              <w:rPr>
                <w:rFonts w:ascii="Arial" w:hAnsi="Arial" w:cs="Arial"/>
                <w:b/>
                <w:bCs/>
                <w:sz w:val="22"/>
              </w:rPr>
              <w:t>Definition</w:t>
            </w:r>
          </w:p>
        </w:tc>
      </w:tr>
      <w:tr w:rsidR="00D71CCF" w:rsidRPr="002332F8" w14:paraId="73B71BE8" w14:textId="77777777" w:rsidTr="002D2DAA">
        <w:trPr>
          <w:trHeight w:val="1133"/>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A5B49DC" w14:textId="77777777" w:rsidR="00D71CCF" w:rsidRPr="002332F8" w:rsidRDefault="00D71CCF" w:rsidP="002D2DAA">
            <w:pPr>
              <w:spacing w:after="0" w:line="240" w:lineRule="auto"/>
              <w:rPr>
                <w:rFonts w:ascii="Arial" w:hAnsi="Arial" w:cs="Arial"/>
              </w:rPr>
            </w:pPr>
            <w:r w:rsidRPr="002332F8">
              <w:rPr>
                <w:rFonts w:ascii="Arial" w:hAnsi="Arial" w:cs="Arial"/>
                <w:sz w:val="22"/>
              </w:rPr>
              <w:t>Flexible Work Arrangements (FWA)</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B2D4B85" w14:textId="77777777" w:rsidR="00D71CCF" w:rsidRPr="002332F8" w:rsidRDefault="00D71CCF" w:rsidP="002D2DAA">
            <w:pPr>
              <w:spacing w:after="0" w:line="240" w:lineRule="auto"/>
              <w:rPr>
                <w:rFonts w:ascii="Arial" w:hAnsi="Arial" w:cs="Arial"/>
              </w:rPr>
            </w:pPr>
            <w:r w:rsidRPr="002332F8">
              <w:rPr>
                <w:rFonts w:ascii="Arial" w:hAnsi="Arial" w:cs="Arial"/>
                <w:sz w:val="22"/>
              </w:rPr>
              <w:t>Work practices that provide employees with some flexibility regarding when, where, or how work is performed. In this study, flexibility is examined mainly through scheduling practices suitable for factory-based employees.</w:t>
            </w:r>
          </w:p>
        </w:tc>
      </w:tr>
      <w:tr w:rsidR="00D71CCF" w:rsidRPr="002332F8" w14:paraId="6DE5476A" w14:textId="77777777" w:rsidTr="002D2DAA">
        <w:trPr>
          <w:trHeight w:val="556"/>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2B69761" w14:textId="77777777" w:rsidR="00D71CCF" w:rsidRPr="002332F8" w:rsidRDefault="00D71CCF" w:rsidP="002D2DAA">
            <w:pPr>
              <w:spacing w:after="0" w:line="240" w:lineRule="auto"/>
              <w:rPr>
                <w:rFonts w:ascii="Arial" w:hAnsi="Arial" w:cs="Arial"/>
              </w:rPr>
            </w:pPr>
            <w:r w:rsidRPr="002332F8">
              <w:rPr>
                <w:rFonts w:ascii="Arial" w:hAnsi="Arial" w:cs="Arial"/>
                <w:sz w:val="22"/>
              </w:rPr>
              <w:t>Employee Engagement (EE)</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DA4712" w14:textId="77777777" w:rsidR="00D71CCF" w:rsidRPr="002332F8" w:rsidRDefault="00D71CCF" w:rsidP="002D2DAA">
            <w:pPr>
              <w:spacing w:after="0" w:line="240" w:lineRule="auto"/>
              <w:rPr>
                <w:rFonts w:ascii="Arial" w:hAnsi="Arial" w:cs="Arial"/>
              </w:rPr>
            </w:pPr>
            <w:r w:rsidRPr="002332F8">
              <w:rPr>
                <w:rFonts w:ascii="Arial" w:hAnsi="Arial" w:cs="Arial"/>
                <w:sz w:val="22"/>
              </w:rPr>
              <w:t>A positive work-related psychological state characterised by vigour, dedication, and absorption in work.</w:t>
            </w:r>
          </w:p>
        </w:tc>
      </w:tr>
      <w:tr w:rsidR="00D71CCF" w:rsidRPr="002332F8" w14:paraId="7A62DD2C" w14:textId="77777777" w:rsidTr="002D2DAA">
        <w:trPr>
          <w:trHeight w:val="556"/>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FF1B176" w14:textId="77777777" w:rsidR="00D71CCF" w:rsidRPr="002332F8" w:rsidRDefault="00D71CCF" w:rsidP="002D2DAA">
            <w:pPr>
              <w:spacing w:after="0" w:line="240" w:lineRule="auto"/>
              <w:rPr>
                <w:rFonts w:ascii="Arial" w:hAnsi="Arial" w:cs="Arial"/>
              </w:rPr>
            </w:pPr>
            <w:r w:rsidRPr="002332F8">
              <w:rPr>
                <w:rFonts w:ascii="Arial" w:hAnsi="Arial" w:cs="Arial"/>
                <w:sz w:val="22"/>
              </w:rPr>
              <w:t>Perceived Schedule Control (PSC)</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631AA66" w14:textId="77777777" w:rsidR="00D71CCF" w:rsidRPr="002332F8" w:rsidRDefault="00D71CCF" w:rsidP="002D2DAA">
            <w:pPr>
              <w:spacing w:after="0" w:line="240" w:lineRule="auto"/>
              <w:rPr>
                <w:rFonts w:ascii="Arial" w:hAnsi="Arial" w:cs="Arial"/>
              </w:rPr>
            </w:pPr>
            <w:r w:rsidRPr="002332F8">
              <w:rPr>
                <w:rFonts w:ascii="Arial" w:hAnsi="Arial" w:cs="Arial"/>
                <w:sz w:val="22"/>
              </w:rPr>
              <w:t>The extent to which employees believe they can influence their working hours, shifts, or adjustments to their work schedules.</w:t>
            </w:r>
          </w:p>
        </w:tc>
      </w:tr>
      <w:tr w:rsidR="00D71CCF" w:rsidRPr="002332F8" w14:paraId="0DFC3710" w14:textId="77777777" w:rsidTr="002D2DAA">
        <w:trPr>
          <w:trHeight w:val="577"/>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CBE42F" w14:textId="77777777" w:rsidR="00D71CCF" w:rsidRPr="002332F8" w:rsidRDefault="00D71CCF" w:rsidP="002D2DAA">
            <w:pPr>
              <w:spacing w:after="0" w:line="240" w:lineRule="auto"/>
              <w:rPr>
                <w:rFonts w:ascii="Arial" w:hAnsi="Arial" w:cs="Arial"/>
              </w:rPr>
            </w:pPr>
            <w:r w:rsidRPr="002332F8">
              <w:rPr>
                <w:rFonts w:ascii="Arial" w:hAnsi="Arial" w:cs="Arial"/>
                <w:sz w:val="22"/>
              </w:rPr>
              <w:t>Perceived Schedule Predictability (PSP)</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FDBB03" w14:textId="77777777" w:rsidR="00D71CCF" w:rsidRPr="002332F8" w:rsidRDefault="00D71CCF" w:rsidP="002D2DAA">
            <w:pPr>
              <w:spacing w:after="0" w:line="240" w:lineRule="auto"/>
              <w:rPr>
                <w:rFonts w:ascii="Arial" w:hAnsi="Arial" w:cs="Arial"/>
              </w:rPr>
            </w:pPr>
            <w:r>
              <w:rPr>
                <w:noProof/>
              </w:rPr>
              <w:drawing>
                <wp:inline distT="0" distB="0" distL="0" distR="0" wp14:anchorId="527449DF" wp14:editId="5242DEAE">
                  <wp:extent cx="4381500" cy="3524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81500" cy="352425"/>
                          </a:xfrm>
                          <a:prstGeom prst="rect">
                            <a:avLst/>
                          </a:prstGeom>
                        </pic:spPr>
                      </pic:pic>
                    </a:graphicData>
                  </a:graphic>
                </wp:inline>
              </w:drawing>
            </w:r>
          </w:p>
        </w:tc>
      </w:tr>
      <w:tr w:rsidR="00D71CCF" w:rsidRPr="002332F8" w14:paraId="61B5FA11" w14:textId="77777777" w:rsidTr="002D2DAA">
        <w:trPr>
          <w:trHeight w:val="834"/>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D9138B" w14:textId="77777777" w:rsidR="00D71CCF" w:rsidRPr="002332F8" w:rsidRDefault="00D71CCF" w:rsidP="002D2DAA">
            <w:pPr>
              <w:spacing w:after="0" w:line="240" w:lineRule="auto"/>
              <w:rPr>
                <w:rFonts w:ascii="Arial" w:hAnsi="Arial" w:cs="Arial"/>
              </w:rPr>
            </w:pPr>
            <w:r w:rsidRPr="002332F8">
              <w:rPr>
                <w:rFonts w:ascii="Arial" w:hAnsi="Arial" w:cs="Arial"/>
                <w:sz w:val="22"/>
              </w:rPr>
              <w:t>Perceived Shift Accommodation (PSA)</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CF6DD9" w14:textId="77777777" w:rsidR="00D71CCF" w:rsidRPr="002332F8" w:rsidRDefault="00D71CCF" w:rsidP="002D2DAA">
            <w:pPr>
              <w:spacing w:after="0" w:line="240" w:lineRule="auto"/>
              <w:rPr>
                <w:rFonts w:ascii="Arial" w:hAnsi="Arial" w:cs="Arial"/>
              </w:rPr>
            </w:pPr>
            <w:r>
              <w:rPr>
                <w:noProof/>
              </w:rPr>
              <w:drawing>
                <wp:inline distT="0" distB="0" distL="0" distR="0" wp14:anchorId="6A659DEA" wp14:editId="5767F8A4">
                  <wp:extent cx="4324350" cy="5048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24350" cy="504825"/>
                          </a:xfrm>
                          <a:prstGeom prst="rect">
                            <a:avLst/>
                          </a:prstGeom>
                        </pic:spPr>
                      </pic:pic>
                    </a:graphicData>
                  </a:graphic>
                </wp:inline>
              </w:drawing>
            </w:r>
          </w:p>
        </w:tc>
      </w:tr>
      <w:tr w:rsidR="00D71CCF" w:rsidRPr="002332F8" w14:paraId="04877874" w14:textId="77777777" w:rsidTr="002D2DAA">
        <w:trPr>
          <w:trHeight w:val="855"/>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474F05" w14:textId="77777777" w:rsidR="00D71CCF" w:rsidRPr="002332F8" w:rsidRDefault="00D71CCF" w:rsidP="002D2DAA">
            <w:pPr>
              <w:spacing w:after="0" w:line="240" w:lineRule="auto"/>
              <w:rPr>
                <w:rFonts w:ascii="Arial" w:hAnsi="Arial" w:cs="Arial"/>
              </w:rPr>
            </w:pPr>
            <w:r w:rsidRPr="002332F8">
              <w:rPr>
                <w:rFonts w:ascii="Arial" w:hAnsi="Arial" w:cs="Arial"/>
                <w:sz w:val="22"/>
              </w:rPr>
              <w:t>Ready-Made Garment (RMG) Industry</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3AF3B6C" w14:textId="77777777" w:rsidR="00D71CCF" w:rsidRPr="002332F8" w:rsidRDefault="00D71CCF" w:rsidP="002D2DAA">
            <w:pPr>
              <w:spacing w:after="0" w:line="240" w:lineRule="auto"/>
              <w:rPr>
                <w:rFonts w:ascii="Arial" w:hAnsi="Arial" w:cs="Arial"/>
              </w:rPr>
            </w:pPr>
            <w:r>
              <w:rPr>
                <w:noProof/>
              </w:rPr>
              <w:drawing>
                <wp:inline distT="0" distB="0" distL="0" distR="0" wp14:anchorId="4ABA953A" wp14:editId="72FBB041">
                  <wp:extent cx="4114800" cy="514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14800" cy="514350"/>
                          </a:xfrm>
                          <a:prstGeom prst="rect">
                            <a:avLst/>
                          </a:prstGeom>
                        </pic:spPr>
                      </pic:pic>
                    </a:graphicData>
                  </a:graphic>
                </wp:inline>
              </w:drawing>
            </w:r>
          </w:p>
        </w:tc>
      </w:tr>
      <w:tr w:rsidR="00D71CCF" w:rsidRPr="002332F8" w14:paraId="2EC7FCFD" w14:textId="77777777" w:rsidTr="002D2DAA">
        <w:trPr>
          <w:trHeight w:val="834"/>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C24A1ED" w14:textId="77777777" w:rsidR="00D71CCF" w:rsidRPr="002332F8" w:rsidRDefault="00D71CCF" w:rsidP="002D2DAA">
            <w:pPr>
              <w:spacing w:after="0" w:line="240" w:lineRule="auto"/>
              <w:rPr>
                <w:rFonts w:ascii="Arial" w:hAnsi="Arial" w:cs="Arial"/>
              </w:rPr>
            </w:pPr>
            <w:r w:rsidRPr="002332F8">
              <w:rPr>
                <w:rFonts w:ascii="Arial" w:hAnsi="Arial" w:cs="Arial"/>
                <w:sz w:val="22"/>
              </w:rPr>
              <w:t>Job Demands-Resources Theory (JD-R)</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464EC40" w14:textId="77777777" w:rsidR="00D71CCF" w:rsidRPr="002332F8" w:rsidRDefault="00D71CCF" w:rsidP="002D2DAA">
            <w:pPr>
              <w:spacing w:after="0" w:line="240" w:lineRule="auto"/>
              <w:rPr>
                <w:rFonts w:ascii="Arial" w:hAnsi="Arial" w:cs="Arial"/>
              </w:rPr>
            </w:pPr>
            <w:r>
              <w:rPr>
                <w:noProof/>
              </w:rPr>
              <w:drawing>
                <wp:inline distT="0" distB="0" distL="0" distR="0" wp14:anchorId="3CA593D1" wp14:editId="37248979">
                  <wp:extent cx="4171950" cy="5048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71950" cy="504825"/>
                          </a:xfrm>
                          <a:prstGeom prst="rect">
                            <a:avLst/>
                          </a:prstGeom>
                        </pic:spPr>
                      </pic:pic>
                    </a:graphicData>
                  </a:graphic>
                </wp:inline>
              </w:drawing>
            </w:r>
          </w:p>
        </w:tc>
      </w:tr>
      <w:tr w:rsidR="00D71CCF" w:rsidRPr="002332F8" w14:paraId="1BE3F2E0" w14:textId="77777777" w:rsidTr="002D2DAA">
        <w:trPr>
          <w:trHeight w:val="855"/>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41300E" w14:textId="77777777" w:rsidR="00D71CCF" w:rsidRPr="002332F8" w:rsidRDefault="00D71CCF" w:rsidP="002D2DAA">
            <w:pPr>
              <w:spacing w:after="0" w:line="240" w:lineRule="auto"/>
              <w:rPr>
                <w:rFonts w:ascii="Arial" w:hAnsi="Arial" w:cs="Arial"/>
              </w:rPr>
            </w:pPr>
            <w:r w:rsidRPr="002332F8">
              <w:rPr>
                <w:rFonts w:ascii="Arial" w:hAnsi="Arial" w:cs="Arial"/>
                <w:sz w:val="22"/>
              </w:rPr>
              <w:t>Social Exchange Theory (SET)</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DD6120" w14:textId="77777777" w:rsidR="00D71CCF" w:rsidRPr="002332F8" w:rsidRDefault="00D71CCF" w:rsidP="002D2DAA">
            <w:pPr>
              <w:spacing w:after="0" w:line="240" w:lineRule="auto"/>
              <w:rPr>
                <w:rFonts w:ascii="Arial" w:hAnsi="Arial" w:cs="Arial"/>
              </w:rPr>
            </w:pPr>
            <w:r>
              <w:rPr>
                <w:noProof/>
              </w:rPr>
              <w:drawing>
                <wp:inline distT="0" distB="0" distL="0" distR="0" wp14:anchorId="0FBACAEA" wp14:editId="0C073253">
                  <wp:extent cx="4238625" cy="6000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38625" cy="600075"/>
                          </a:xfrm>
                          <a:prstGeom prst="rect">
                            <a:avLst/>
                          </a:prstGeom>
                        </pic:spPr>
                      </pic:pic>
                    </a:graphicData>
                  </a:graphic>
                </wp:inline>
              </w:drawing>
            </w:r>
          </w:p>
        </w:tc>
      </w:tr>
      <w:tr w:rsidR="00D71CCF" w:rsidRPr="002332F8" w14:paraId="78EB3C54" w14:textId="77777777" w:rsidTr="002D2DAA">
        <w:trPr>
          <w:trHeight w:val="834"/>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E94495" w14:textId="77777777" w:rsidR="00D71CCF" w:rsidRPr="002332F8" w:rsidRDefault="00D71CCF" w:rsidP="002D2DAA">
            <w:pPr>
              <w:spacing w:after="0" w:line="240" w:lineRule="auto"/>
              <w:rPr>
                <w:rFonts w:ascii="Arial" w:hAnsi="Arial" w:cs="Arial"/>
              </w:rPr>
            </w:pPr>
            <w:r w:rsidRPr="002332F8">
              <w:rPr>
                <w:rFonts w:ascii="Arial" w:hAnsi="Arial" w:cs="Arial"/>
                <w:sz w:val="22"/>
              </w:rPr>
              <w:t>Utrecht Work Engagement Scale-3 (UWES-3)</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9F8CD5E" w14:textId="77777777" w:rsidR="00D71CCF" w:rsidRPr="002332F8" w:rsidRDefault="00D71CCF" w:rsidP="002D2DAA">
            <w:pPr>
              <w:spacing w:after="0" w:line="240" w:lineRule="auto"/>
              <w:rPr>
                <w:rFonts w:ascii="Arial" w:hAnsi="Arial" w:cs="Arial"/>
              </w:rPr>
            </w:pPr>
            <w:r w:rsidRPr="002332F8">
              <w:rPr>
                <w:rFonts w:ascii="Arial" w:hAnsi="Arial" w:cs="Arial"/>
                <w:sz w:val="22"/>
              </w:rPr>
              <w:t>A three-item measurement scale used to assess employee engagement through vigour, dedication, and absorption.</w:t>
            </w:r>
          </w:p>
        </w:tc>
      </w:tr>
      <w:tr w:rsidR="00D71CCF" w:rsidRPr="002332F8" w14:paraId="53ADF782" w14:textId="77777777" w:rsidTr="002D2DAA">
        <w:trPr>
          <w:trHeight w:val="577"/>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7650A8" w14:textId="77777777" w:rsidR="00D71CCF" w:rsidRPr="002332F8" w:rsidRDefault="00D71CCF" w:rsidP="002D2DAA">
            <w:pPr>
              <w:spacing w:after="0" w:line="240" w:lineRule="auto"/>
              <w:rPr>
                <w:rFonts w:ascii="Arial" w:hAnsi="Arial" w:cs="Arial"/>
              </w:rPr>
            </w:pPr>
            <w:r w:rsidRPr="002332F8">
              <w:rPr>
                <w:rFonts w:ascii="Arial" w:hAnsi="Arial" w:cs="Arial"/>
                <w:sz w:val="22"/>
              </w:rPr>
              <w:t>Cross-Sectional Research</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013DD6" w14:textId="77777777" w:rsidR="00D71CCF" w:rsidRPr="002332F8" w:rsidRDefault="00D71CCF" w:rsidP="002D2DAA">
            <w:pPr>
              <w:spacing w:after="0" w:line="240" w:lineRule="auto"/>
              <w:rPr>
                <w:rFonts w:ascii="Arial" w:hAnsi="Arial" w:cs="Arial"/>
              </w:rPr>
            </w:pPr>
            <w:r w:rsidRPr="002332F8">
              <w:rPr>
                <w:rFonts w:ascii="Arial" w:hAnsi="Arial" w:cs="Arial"/>
                <w:sz w:val="22"/>
              </w:rPr>
              <w:t>A research design in which data are collected from participants at a single point in time to examine relationships between variables.</w:t>
            </w:r>
          </w:p>
        </w:tc>
      </w:tr>
      <w:tr w:rsidR="00D71CCF" w:rsidRPr="002332F8" w14:paraId="6BCD7BD6" w14:textId="77777777" w:rsidTr="002D2DAA">
        <w:trPr>
          <w:trHeight w:val="556"/>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3FD1BFA" w14:textId="77777777" w:rsidR="00D71CCF" w:rsidRPr="002332F8" w:rsidRDefault="00D71CCF" w:rsidP="002D2DAA">
            <w:pPr>
              <w:spacing w:after="0" w:line="240" w:lineRule="auto"/>
              <w:rPr>
                <w:rFonts w:ascii="Arial" w:hAnsi="Arial" w:cs="Arial"/>
              </w:rPr>
            </w:pPr>
            <w:r w:rsidRPr="002332F8">
              <w:rPr>
                <w:rFonts w:ascii="Arial" w:hAnsi="Arial" w:cs="Arial"/>
                <w:sz w:val="22"/>
              </w:rPr>
              <w:t>Pearson Correlation</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0273949" w14:textId="77777777" w:rsidR="00D71CCF" w:rsidRPr="002332F8" w:rsidRDefault="00D71CCF" w:rsidP="002D2DAA">
            <w:pPr>
              <w:spacing w:after="0" w:line="240" w:lineRule="auto"/>
              <w:rPr>
                <w:rFonts w:ascii="Arial" w:hAnsi="Arial" w:cs="Arial"/>
              </w:rPr>
            </w:pPr>
            <w:r w:rsidRPr="002332F8">
              <w:rPr>
                <w:rFonts w:ascii="Arial" w:hAnsi="Arial" w:cs="Arial"/>
                <w:sz w:val="22"/>
              </w:rPr>
              <w:t>A statistical technique used to measure the strength and direction of the linear relationship between two continuous variables.</w:t>
            </w:r>
          </w:p>
        </w:tc>
      </w:tr>
      <w:tr w:rsidR="00D71CCF" w:rsidRPr="002332F8" w14:paraId="2A84BEBD" w14:textId="77777777" w:rsidTr="002D2DAA">
        <w:trPr>
          <w:trHeight w:val="834"/>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14A42C" w14:textId="77777777" w:rsidR="00D71CCF" w:rsidRPr="002332F8" w:rsidRDefault="00D71CCF" w:rsidP="002D2DAA">
            <w:pPr>
              <w:spacing w:after="0" w:line="240" w:lineRule="auto"/>
              <w:rPr>
                <w:rFonts w:ascii="Arial" w:hAnsi="Arial" w:cs="Arial"/>
              </w:rPr>
            </w:pPr>
            <w:r w:rsidRPr="002332F8">
              <w:rPr>
                <w:rFonts w:ascii="Arial" w:hAnsi="Arial" w:cs="Arial"/>
                <w:sz w:val="22"/>
              </w:rPr>
              <w:t>Multiple Linear Regression</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EB0752" w14:textId="77777777" w:rsidR="00D71CCF" w:rsidRPr="002332F8" w:rsidRDefault="00D71CCF" w:rsidP="002D2DAA">
            <w:pPr>
              <w:spacing w:after="0" w:line="240" w:lineRule="auto"/>
              <w:rPr>
                <w:rFonts w:ascii="Arial" w:hAnsi="Arial" w:cs="Arial"/>
              </w:rPr>
            </w:pPr>
            <w:r w:rsidRPr="002332F8">
              <w:rPr>
                <w:rFonts w:ascii="Arial" w:hAnsi="Arial" w:cs="Arial"/>
                <w:sz w:val="22"/>
              </w:rPr>
              <w:t>A statistical method used to estimate the relationship between one dependent variable and two or more independent variables simultaneously.</w:t>
            </w:r>
          </w:p>
        </w:tc>
      </w:tr>
      <w:tr w:rsidR="00D71CCF" w:rsidRPr="002332F8" w14:paraId="12FCC858" w14:textId="77777777" w:rsidTr="002D2DAA">
        <w:trPr>
          <w:trHeight w:val="577"/>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962C5B" w14:textId="77777777" w:rsidR="00D71CCF" w:rsidRPr="002332F8" w:rsidRDefault="00D71CCF" w:rsidP="002D2DAA">
            <w:pPr>
              <w:spacing w:after="0" w:line="240" w:lineRule="auto"/>
              <w:rPr>
                <w:rFonts w:ascii="Arial" w:hAnsi="Arial" w:cs="Arial"/>
              </w:rPr>
            </w:pPr>
            <w:r w:rsidRPr="002332F8">
              <w:rPr>
                <w:rFonts w:ascii="Arial" w:hAnsi="Arial" w:cs="Arial"/>
                <w:sz w:val="22"/>
              </w:rPr>
              <w:t>Cronbach's Alpha</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93074C7" w14:textId="77777777" w:rsidR="00D71CCF" w:rsidRPr="002332F8" w:rsidRDefault="00D71CCF" w:rsidP="002D2DAA">
            <w:pPr>
              <w:spacing w:after="0" w:line="240" w:lineRule="auto"/>
              <w:rPr>
                <w:rFonts w:ascii="Arial" w:hAnsi="Arial" w:cs="Arial"/>
              </w:rPr>
            </w:pPr>
            <w:r w:rsidRPr="002332F8">
              <w:rPr>
                <w:rFonts w:ascii="Arial" w:hAnsi="Arial" w:cs="Arial"/>
                <w:sz w:val="22"/>
              </w:rPr>
              <w:t>A statistical measure used to assess the internal consistency or reliability of items within a measurement scale.</w:t>
            </w:r>
          </w:p>
        </w:tc>
      </w:tr>
      <w:tr w:rsidR="00D71CCF" w:rsidRPr="002332F8" w14:paraId="04BD472E" w14:textId="77777777" w:rsidTr="002D2DAA">
        <w:trPr>
          <w:trHeight w:val="834"/>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9E877A" w14:textId="77777777" w:rsidR="00D71CCF" w:rsidRPr="002332F8" w:rsidRDefault="00D71CCF" w:rsidP="002D2DAA">
            <w:pPr>
              <w:spacing w:after="0" w:line="240" w:lineRule="auto"/>
              <w:rPr>
                <w:rFonts w:ascii="Arial" w:hAnsi="Arial" w:cs="Arial"/>
              </w:rPr>
            </w:pPr>
            <w:r w:rsidRPr="002332F8">
              <w:rPr>
                <w:rFonts w:ascii="Arial" w:hAnsi="Arial" w:cs="Arial"/>
                <w:sz w:val="22"/>
              </w:rPr>
              <w:t>Ordinary Least Squares (OLS)</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C00CF2" w14:textId="77777777" w:rsidR="00D71CCF" w:rsidRPr="002332F8" w:rsidRDefault="00D71CCF" w:rsidP="002D2DAA">
            <w:pPr>
              <w:spacing w:after="0" w:line="240" w:lineRule="auto"/>
              <w:rPr>
                <w:rFonts w:ascii="Arial" w:hAnsi="Arial" w:cs="Arial"/>
              </w:rPr>
            </w:pPr>
            <w:r w:rsidRPr="002332F8">
              <w:rPr>
                <w:rFonts w:ascii="Arial" w:hAnsi="Arial" w:cs="Arial"/>
                <w:sz w:val="22"/>
              </w:rPr>
              <w:t>A regression estimation method that calculates coefficients by minimising the squared differences between observed and predicted values.</w:t>
            </w:r>
          </w:p>
        </w:tc>
      </w:tr>
      <w:tr w:rsidR="00D71CCF" w:rsidRPr="002332F8" w14:paraId="28DAEBA7" w14:textId="77777777" w:rsidTr="002D2DAA">
        <w:trPr>
          <w:trHeight w:val="577"/>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C606A14" w14:textId="77777777" w:rsidR="00D71CCF" w:rsidRPr="002332F8" w:rsidRDefault="00D71CCF" w:rsidP="002D2DAA">
            <w:pPr>
              <w:spacing w:after="0" w:line="240" w:lineRule="auto"/>
              <w:rPr>
                <w:rFonts w:ascii="Arial" w:hAnsi="Arial" w:cs="Arial"/>
              </w:rPr>
            </w:pPr>
            <w:r w:rsidRPr="002332F8">
              <w:rPr>
                <w:rFonts w:ascii="Arial" w:hAnsi="Arial" w:cs="Arial"/>
                <w:sz w:val="22"/>
              </w:rPr>
              <w:t>Variance Inflation Factor (VIF)</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D26E36" w14:textId="77777777" w:rsidR="00D71CCF" w:rsidRPr="002332F8" w:rsidRDefault="00D71CCF" w:rsidP="002D2DAA">
            <w:pPr>
              <w:spacing w:after="0" w:line="240" w:lineRule="auto"/>
              <w:rPr>
                <w:rFonts w:ascii="Arial" w:hAnsi="Arial" w:cs="Arial"/>
              </w:rPr>
            </w:pPr>
            <w:r w:rsidRPr="002332F8">
              <w:rPr>
                <w:rFonts w:ascii="Arial" w:hAnsi="Arial" w:cs="Arial"/>
                <w:sz w:val="22"/>
              </w:rPr>
              <w:t>A diagnostic statistic used to assess the extent of multicollinearity among independent variables in a regression model.</w:t>
            </w:r>
          </w:p>
        </w:tc>
      </w:tr>
      <w:tr w:rsidR="00D71CCF" w:rsidRPr="002332F8" w14:paraId="2167B451" w14:textId="77777777" w:rsidTr="002D2DAA">
        <w:trPr>
          <w:trHeight w:val="834"/>
        </w:trPr>
        <w:tc>
          <w:tcPr>
            <w:tcW w:w="24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8F3DEE" w14:textId="77777777" w:rsidR="00D71CCF" w:rsidRPr="002332F8" w:rsidRDefault="00D71CCF" w:rsidP="002D2DAA">
            <w:pPr>
              <w:spacing w:after="0" w:line="240" w:lineRule="auto"/>
              <w:rPr>
                <w:rFonts w:ascii="Arial" w:hAnsi="Arial" w:cs="Arial"/>
              </w:rPr>
            </w:pPr>
            <w:r w:rsidRPr="002332F8">
              <w:rPr>
                <w:rFonts w:ascii="Arial" w:hAnsi="Arial" w:cs="Arial"/>
                <w:sz w:val="22"/>
              </w:rPr>
              <w:lastRenderedPageBreak/>
              <w:t>HC3 Robust Standard Errors</w:t>
            </w:r>
          </w:p>
        </w:tc>
        <w:tc>
          <w:tcPr>
            <w:tcW w:w="657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47D29E" w14:textId="77777777" w:rsidR="00D71CCF" w:rsidRPr="002332F8" w:rsidRDefault="00D71CCF" w:rsidP="002D2DAA">
            <w:pPr>
              <w:spacing w:after="0" w:line="240" w:lineRule="auto"/>
              <w:rPr>
                <w:rFonts w:ascii="Arial" w:hAnsi="Arial" w:cs="Arial"/>
              </w:rPr>
            </w:pPr>
            <w:r w:rsidRPr="002332F8">
              <w:rPr>
                <w:rFonts w:ascii="Arial" w:hAnsi="Arial" w:cs="Arial"/>
                <w:sz w:val="22"/>
              </w:rPr>
              <w:t>Heteroskedasticity-consistent standard errors used to provide more reliable statistical inference when the assumption of constant error variance may not hold.</w:t>
            </w:r>
          </w:p>
        </w:tc>
      </w:tr>
    </w:tbl>
    <w:p w14:paraId="227D54C1" w14:textId="77777777" w:rsidR="00D71CCF" w:rsidRPr="002332F8" w:rsidRDefault="00D71CCF" w:rsidP="00D71CCF">
      <w:pPr>
        <w:pStyle w:val="Heading1"/>
        <w:rPr>
          <w:rFonts w:ascii="Arial" w:hAnsi="Arial" w:cs="Arial"/>
          <w:color w:val="auto"/>
        </w:rPr>
      </w:pPr>
      <w:bookmarkStart w:id="22" w:name="_Toc236591100"/>
      <w:bookmarkStart w:id="23" w:name="h001"/>
      <w:bookmarkStart w:id="24" w:name="_Toc241093447"/>
      <w:bookmarkStart w:id="25" w:name="_Toc241113267"/>
      <w:r w:rsidRPr="002332F8">
        <w:rPr>
          <w:rFonts w:ascii="Arial" w:hAnsi="Arial" w:cs="Arial"/>
          <w:color w:val="auto"/>
        </w:rPr>
        <w:t>1. Introduction</w:t>
      </w:r>
      <w:bookmarkEnd w:id="22"/>
      <w:bookmarkEnd w:id="23"/>
      <w:bookmarkEnd w:id="24"/>
      <w:bookmarkEnd w:id="25"/>
    </w:p>
    <w:p w14:paraId="3D2934F9" w14:textId="77777777" w:rsidR="00D71CCF" w:rsidRPr="002332F8" w:rsidRDefault="00D71CCF" w:rsidP="00D71CCF">
      <w:pPr>
        <w:pStyle w:val="Heading2"/>
        <w:rPr>
          <w:rFonts w:ascii="Arial" w:hAnsi="Arial" w:cs="Arial"/>
          <w:color w:val="auto"/>
        </w:rPr>
      </w:pPr>
      <w:bookmarkStart w:id="26" w:name="_Toc236591101"/>
      <w:bookmarkStart w:id="27" w:name="h002"/>
      <w:bookmarkStart w:id="28" w:name="_Toc241093448"/>
      <w:bookmarkStart w:id="29" w:name="_Toc241113268"/>
      <w:r w:rsidRPr="002332F8">
        <w:rPr>
          <w:rFonts w:ascii="Arial" w:hAnsi="Arial" w:cs="Arial"/>
          <w:color w:val="auto"/>
        </w:rPr>
        <w:t>1.1 Background and Academic Context</w:t>
      </w:r>
      <w:bookmarkEnd w:id="26"/>
      <w:bookmarkEnd w:id="27"/>
      <w:bookmarkEnd w:id="28"/>
      <w:bookmarkEnd w:id="29"/>
    </w:p>
    <w:p w14:paraId="70E20B85" w14:textId="77777777" w:rsidR="00D71CCF" w:rsidRPr="002332F8" w:rsidRDefault="00D71CCF" w:rsidP="00D71CCF">
      <w:pPr>
        <w:rPr>
          <w:rFonts w:ascii="Arial" w:hAnsi="Arial" w:cs="Arial"/>
        </w:rPr>
      </w:pPr>
      <w:r w:rsidRPr="002332F8">
        <w:rPr>
          <w:rFonts w:ascii="Arial" w:hAnsi="Arial" w:cs="Arial"/>
        </w:rPr>
        <w:t>Bangladesh’s ready-made garment industry is a major source of export earnings and industrial employment (Islam, 2021). Anner (2020) examines how global purchasing practices put pressure on garment workers, while the International Labour Organization (2020) and Syed (2025) discuss labour conditions and welfare in the sector.</w:t>
      </w:r>
    </w:p>
    <w:p w14:paraId="2AE0F011" w14:textId="77777777" w:rsidR="00D71CCF" w:rsidRPr="002332F8" w:rsidRDefault="00D71CCF" w:rsidP="00D71CCF">
      <w:pPr>
        <w:rPr>
          <w:rFonts w:ascii="Arial" w:hAnsi="Arial" w:cs="Arial"/>
        </w:rPr>
      </w:pPr>
      <w:r w:rsidRPr="002332F8">
        <w:rPr>
          <w:rFonts w:ascii="Arial" w:hAnsi="Arial" w:cs="Arial"/>
        </w:rPr>
        <w:t>In this production context, it is crucial to separate the scheduling of factory jobs from the flexible work arrangements found in other jobs that have been studied. Allen et al. (2013) focusses on work-family conflict and flex arrangements, while Kossek et al. (2023) focus on work-life flexibility, and Bloom et al. (2024) examine hybrid working. The findings can hardly be applied to garment production, because in coordinated production lines and the utilization of machines in Bangladesh, it is difficult to do either of the two, as discussed in the literature on the Bangladesh garment sector (Anner, 2020; Islam, 2021). In this context, the narrower employee-perceived measures of scheduling flexibility examined in this study are schedule control, schedule predictability and schedule adjustment requests treated fairly.</w:t>
      </w:r>
    </w:p>
    <w:p w14:paraId="126694AB" w14:textId="77777777" w:rsidR="00D71CCF" w:rsidRPr="002332F8" w:rsidRDefault="00D71CCF" w:rsidP="00D71CCF">
      <w:pPr>
        <w:rPr>
          <w:rFonts w:ascii="Arial" w:hAnsi="Arial" w:cs="Arial"/>
        </w:rPr>
      </w:pPr>
      <w:r w:rsidRPr="002332F8">
        <w:rPr>
          <w:rFonts w:ascii="Arial" w:hAnsi="Arial" w:cs="Arial"/>
        </w:rPr>
        <w:t>In a study of hourly service-sector employees in the United States, Schneider and Harknett (2019) associate unstable schedules with poorer sleep and well-being. Harknett et al. (2020) examine sleep quality, while Schneider and Harknett (2021) link unpredictable schedules with material hardship in that occupational context. Using evidence from Seattle, Harknett et al. (2021) report benefits following reduced scheduling uncertainty; Kesavan et al. (2022) identify productivity gains from a bundled responsible-scheduling intervention in US retail stores. These studies support examining scheduling but do not establish the same effects in Bangladesh garment factories. Moreover, de Menezes and Kelliher (2017) and Kossek et al. (2023) distinguish formal flexibility from employees’ actual experience of it. Perceptions are therefore central to the present study.</w:t>
      </w:r>
    </w:p>
    <w:p w14:paraId="04622B75" w14:textId="77777777" w:rsidR="00D71CCF" w:rsidRPr="002332F8" w:rsidRDefault="00D71CCF" w:rsidP="00D71CCF">
      <w:pPr>
        <w:rPr>
          <w:rFonts w:ascii="Arial" w:hAnsi="Arial" w:cs="Arial"/>
        </w:rPr>
      </w:pPr>
      <w:r w:rsidRPr="002332F8">
        <w:rPr>
          <w:rFonts w:ascii="Arial" w:hAnsi="Arial" w:cs="Arial"/>
        </w:rPr>
        <w:lastRenderedPageBreak/>
        <w:t>Employee engagement is also relevant because it reflects energetic, dedicated and absorbed involvement in work, rather than simple satisfaction or organisational loyalty (Schaufeli et al., 2019). Engagement has been associated with performance, lower absenteeism and constructive work behaviour, although its meaning and measurement remain contested across studies (Bailey et al., 2017; Borst et al., 2020; Neuber et al., 2022). Meta-analytic evidence supports job resources as important antecedents of engagement, but effect sizes vary by resource type and context (Lesener et al., 2020; Mazzetti et al., 2023). In labour-intensive manufacturing, where employees face constrained autonomy, scheduling resources may be especially salient.</w:t>
      </w:r>
    </w:p>
    <w:p w14:paraId="4529D7FC" w14:textId="77777777" w:rsidR="00D71CCF" w:rsidRPr="002332F8" w:rsidRDefault="00D71CCF" w:rsidP="00D71CCF">
      <w:pPr>
        <w:rPr>
          <w:rFonts w:ascii="Arial" w:hAnsi="Arial" w:cs="Arial"/>
        </w:rPr>
      </w:pPr>
      <w:r w:rsidRPr="002332F8">
        <w:rPr>
          <w:rFonts w:ascii="Arial" w:hAnsi="Arial" w:cs="Arial"/>
        </w:rPr>
        <w:t>Bangladesh garment research has examined labour standards, welfare deficiencies, work satisfaction, workplace violence and quality of working life (Naved et al., 2021; Syed and Mahmud, 2022; Syed et al., 2024; Gazi et al., 2024). There was recent evidence that correlates engagement with innovative work behaviour in the sector (Nishat and Haque, 2025). This doesn't, however, account for the possibility that these perceptions of control, predictability, and accommodation in scheduling may be interrelated and therefore independently associated with engagement. Therefore, this chapter posits that perceived scheduling quality is a consequential job resource whose relationship with engagement needs to be studied in a focused manner with Natural Group Bangladesh.</w:t>
      </w:r>
    </w:p>
    <w:p w14:paraId="714FA607" w14:textId="77777777" w:rsidR="00D71CCF" w:rsidRPr="002332F8" w:rsidRDefault="00D71CCF" w:rsidP="00D71CCF">
      <w:pPr>
        <w:pStyle w:val="Heading2"/>
        <w:rPr>
          <w:rFonts w:ascii="Arial" w:hAnsi="Arial" w:cs="Arial"/>
          <w:color w:val="auto"/>
        </w:rPr>
      </w:pPr>
      <w:bookmarkStart w:id="30" w:name="_Toc236591102"/>
      <w:bookmarkStart w:id="31" w:name="h003"/>
      <w:bookmarkStart w:id="32" w:name="_Toc241093449"/>
      <w:bookmarkStart w:id="33" w:name="_Toc241113269"/>
      <w:r w:rsidRPr="002332F8">
        <w:rPr>
          <w:rFonts w:ascii="Arial" w:hAnsi="Arial" w:cs="Arial"/>
          <w:color w:val="auto"/>
        </w:rPr>
        <w:t>1.2 Research Problem</w:t>
      </w:r>
      <w:bookmarkEnd w:id="30"/>
      <w:bookmarkEnd w:id="31"/>
      <w:bookmarkEnd w:id="32"/>
      <w:bookmarkEnd w:id="33"/>
    </w:p>
    <w:p w14:paraId="17A13F53" w14:textId="77777777" w:rsidR="00D71CCF" w:rsidRPr="002332F8" w:rsidRDefault="00D71CCF" w:rsidP="00D71CCF">
      <w:pPr>
        <w:rPr>
          <w:rFonts w:ascii="Arial" w:hAnsi="Arial" w:cs="Arial"/>
        </w:rPr>
      </w:pPr>
      <w:r w:rsidRPr="002332F8">
        <w:rPr>
          <w:rFonts w:ascii="Arial" w:hAnsi="Arial" w:cs="Arial"/>
        </w:rPr>
        <w:t>The study problem stems from the gap between the prevailing flexible-work discourse and the working conditions in the garment industry. Most of the current research focuses on professional, highly educated, service sector, remote/at-home workers (Bal and De Lange, 2015; Weideman and Hofmeyr, 2020; Gašić and Berber, 2023; Lee et al., 2024). They are offered forms of temporal and spatial discretion that the production workers often lack. The results of the study could not be directly applied to the RMG sector in the risk of distorting the concept of flexibility as it could be different in different professions.</w:t>
      </w:r>
    </w:p>
    <w:p w14:paraId="20071278" w14:textId="77777777" w:rsidR="00D71CCF" w:rsidRPr="002332F8" w:rsidRDefault="00D71CCF" w:rsidP="00D71CCF">
      <w:pPr>
        <w:rPr>
          <w:rFonts w:ascii="Arial" w:hAnsi="Arial" w:cs="Arial"/>
        </w:rPr>
      </w:pPr>
      <w:r w:rsidRPr="002332F8">
        <w:rPr>
          <w:rFonts w:ascii="Arial" w:hAnsi="Arial" w:cs="Arial"/>
        </w:rPr>
        <w:t xml:space="preserve">A second problem concerns measurement. Although there is evidence that the different dimensions of flexible arrangements are distinct from each other (Allen et al., 2013; de Menezes and Kelliher, 2017; Kossek et al., 2023), they are often considered </w:t>
      </w:r>
      <w:r w:rsidRPr="002332F8">
        <w:rPr>
          <w:rFonts w:ascii="Arial" w:hAnsi="Arial" w:cs="Arial"/>
        </w:rPr>
        <w:lastRenderedPageBreak/>
        <w:t>as broad categories of flexible arrangements in policy. These experiences can be combined so as to mask the relationship between engagement and other elements of the experience, such as influence over schedules, advance notification, or equitable responses to requests for changes. To tackle this weakness, the study investigates three dimensions of perceived schedule control (predictability, shift accommodation, and perceived control) and subsequently quantifies their distinct contributions to engagement.</w:t>
      </w:r>
    </w:p>
    <w:p w14:paraId="4A5C4BBA" w14:textId="77777777" w:rsidR="00D71CCF" w:rsidRPr="002332F8" w:rsidRDefault="00D71CCF" w:rsidP="00D71CCF">
      <w:pPr>
        <w:rPr>
          <w:rFonts w:ascii="Arial" w:hAnsi="Arial" w:cs="Arial"/>
        </w:rPr>
      </w:pPr>
      <w:r w:rsidRPr="002332F8">
        <w:rPr>
          <w:rFonts w:ascii="Arial" w:hAnsi="Arial" w:cs="Arial"/>
        </w:rPr>
        <w:t>The third issue is the lack of integration of scheduling and engagement research in the garment industry in Bangladesh. There are relevant studies that have already been done on purchasing pressure, labour compliance, welfare, and the vulnerability of gender and their health and job satisfaction (Anner, 2020; Menzel and Woodruff, 2021; Nabi et al., 2023; Syed, 2024). This evidence, however, cannot tell us if the scheduling experiences that occur in everyday life are motivational resources. In Bangladesh, however, the engagement study often focuses on the overall HR practices or the downstream effects, instead of a specific dimension of scheduling (Alam et al., 2024; Nishat and Haque, 2025).</w:t>
      </w:r>
    </w:p>
    <w:p w14:paraId="51D1F902" w14:textId="77777777" w:rsidR="00D71CCF" w:rsidRPr="002332F8" w:rsidRDefault="00D71CCF" w:rsidP="00D71CCF">
      <w:pPr>
        <w:pStyle w:val="Heading2"/>
        <w:rPr>
          <w:rFonts w:ascii="Arial" w:hAnsi="Arial" w:cs="Arial"/>
          <w:color w:val="auto"/>
        </w:rPr>
      </w:pPr>
      <w:bookmarkStart w:id="34" w:name="_Toc236591103"/>
      <w:bookmarkStart w:id="35" w:name="h004"/>
      <w:bookmarkStart w:id="36" w:name="_Toc241093450"/>
      <w:bookmarkStart w:id="37" w:name="_Toc241113270"/>
      <w:r w:rsidRPr="002332F8">
        <w:rPr>
          <w:rFonts w:ascii="Arial" w:hAnsi="Arial" w:cs="Arial"/>
          <w:color w:val="auto"/>
        </w:rPr>
        <w:t>1.3 Research Aim, Objectives, Questions and Hypotheses</w:t>
      </w:r>
      <w:bookmarkEnd w:id="34"/>
      <w:bookmarkEnd w:id="35"/>
      <w:bookmarkEnd w:id="36"/>
      <w:bookmarkEnd w:id="37"/>
    </w:p>
    <w:p w14:paraId="7F4AA4C7" w14:textId="77777777" w:rsidR="00D71CCF" w:rsidRPr="002332F8" w:rsidRDefault="00D71CCF" w:rsidP="00D71CCF">
      <w:pPr>
        <w:pStyle w:val="Heading3"/>
        <w:rPr>
          <w:rFonts w:ascii="Arial" w:hAnsi="Arial" w:cs="Arial"/>
          <w:color w:val="auto"/>
        </w:rPr>
      </w:pPr>
      <w:bookmarkStart w:id="38" w:name="_Toc236591104"/>
      <w:bookmarkStart w:id="39" w:name="h005"/>
      <w:bookmarkStart w:id="40" w:name="_Toc241093451"/>
      <w:bookmarkStart w:id="41" w:name="_Toc241113271"/>
      <w:r w:rsidRPr="002332F8">
        <w:rPr>
          <w:rFonts w:ascii="Arial" w:hAnsi="Arial" w:cs="Arial"/>
          <w:color w:val="auto"/>
        </w:rPr>
        <w:t>1.3.1 Research Aim</w:t>
      </w:r>
      <w:bookmarkEnd w:id="38"/>
      <w:bookmarkEnd w:id="39"/>
      <w:bookmarkEnd w:id="40"/>
      <w:bookmarkEnd w:id="41"/>
    </w:p>
    <w:p w14:paraId="6DA06B70" w14:textId="77777777" w:rsidR="00D71CCF" w:rsidRPr="002332F8" w:rsidRDefault="00D71CCF" w:rsidP="00D71CCF">
      <w:pPr>
        <w:rPr>
          <w:rFonts w:ascii="Arial" w:hAnsi="Arial" w:cs="Arial"/>
        </w:rPr>
      </w:pPr>
      <w:r w:rsidRPr="002332F8">
        <w:rPr>
          <w:rFonts w:ascii="Arial" w:hAnsi="Arial" w:cs="Arial"/>
        </w:rPr>
        <w:t>The aim of this study is to examine the relationship between employees’ perceptions of flexible work arrangements and employee engagement among employees of Natural Group Bangladesh, with particular attention to perceived schedule control, perceived schedule predictability and perceived shift accommodation.</w:t>
      </w:r>
    </w:p>
    <w:p w14:paraId="3E469F59" w14:textId="77777777" w:rsidR="00D71CCF" w:rsidRPr="002332F8" w:rsidRDefault="00D71CCF" w:rsidP="00D71CCF">
      <w:pPr>
        <w:pStyle w:val="Heading3"/>
        <w:rPr>
          <w:rFonts w:ascii="Arial" w:hAnsi="Arial" w:cs="Arial"/>
          <w:color w:val="auto"/>
        </w:rPr>
      </w:pPr>
      <w:bookmarkStart w:id="42" w:name="_Toc236591105"/>
      <w:bookmarkStart w:id="43" w:name="h006"/>
      <w:bookmarkStart w:id="44" w:name="_Toc241093452"/>
      <w:bookmarkStart w:id="45" w:name="_Toc241113272"/>
      <w:r w:rsidRPr="002332F8">
        <w:rPr>
          <w:rFonts w:ascii="Arial" w:hAnsi="Arial" w:cs="Arial"/>
          <w:color w:val="auto"/>
        </w:rPr>
        <w:t>1.3.2 Research Objectives</w:t>
      </w:r>
      <w:bookmarkEnd w:id="42"/>
      <w:bookmarkEnd w:id="43"/>
      <w:bookmarkEnd w:id="44"/>
      <w:bookmarkEnd w:id="45"/>
    </w:p>
    <w:p w14:paraId="365BF652" w14:textId="77777777" w:rsidR="00D71CCF" w:rsidRPr="002332F8" w:rsidRDefault="00D71CCF" w:rsidP="00D71CCF">
      <w:pPr>
        <w:rPr>
          <w:rFonts w:ascii="Arial" w:hAnsi="Arial" w:cs="Arial"/>
        </w:rPr>
      </w:pPr>
      <w:r w:rsidRPr="002332F8">
        <w:rPr>
          <w:rFonts w:ascii="Arial" w:hAnsi="Arial" w:cs="Arial"/>
        </w:rPr>
        <w:t>The research objectives are:</w:t>
      </w:r>
    </w:p>
    <w:p w14:paraId="01056B3B" w14:textId="77777777" w:rsidR="00D71CCF" w:rsidRPr="002332F8" w:rsidRDefault="00D71CCF" w:rsidP="00D71CCF">
      <w:pPr>
        <w:pStyle w:val="ListParagraph"/>
        <w:numPr>
          <w:ilvl w:val="0"/>
          <w:numId w:val="7"/>
        </w:numPr>
        <w:spacing w:after="60"/>
        <w:rPr>
          <w:rFonts w:ascii="Arial" w:hAnsi="Arial" w:cs="Arial"/>
        </w:rPr>
      </w:pPr>
      <w:r w:rsidRPr="002332F8">
        <w:rPr>
          <w:rFonts w:ascii="Arial" w:hAnsi="Arial" w:cs="Arial"/>
        </w:rPr>
        <w:t>To examine the relationship between perceived schedule control and employee engagement among employees of Natural Group Bangladesh.</w:t>
      </w:r>
    </w:p>
    <w:p w14:paraId="47EF55D4" w14:textId="77777777" w:rsidR="00D71CCF" w:rsidRPr="002332F8" w:rsidRDefault="00D71CCF" w:rsidP="00D71CCF">
      <w:pPr>
        <w:pStyle w:val="ListParagraph"/>
        <w:numPr>
          <w:ilvl w:val="0"/>
          <w:numId w:val="7"/>
        </w:numPr>
        <w:spacing w:after="60"/>
        <w:rPr>
          <w:rFonts w:ascii="Arial" w:hAnsi="Arial" w:cs="Arial"/>
        </w:rPr>
      </w:pPr>
      <w:r w:rsidRPr="002332F8">
        <w:rPr>
          <w:rFonts w:ascii="Arial" w:hAnsi="Arial" w:cs="Arial"/>
        </w:rPr>
        <w:t>To examine the relationship between perceived schedule predictability and employee engagement among employees of Natural Group Bangladesh.</w:t>
      </w:r>
    </w:p>
    <w:p w14:paraId="43BC83FA" w14:textId="77777777" w:rsidR="00D71CCF" w:rsidRPr="002332F8" w:rsidRDefault="00D71CCF" w:rsidP="00D71CCF">
      <w:pPr>
        <w:pStyle w:val="ListParagraph"/>
        <w:numPr>
          <w:ilvl w:val="0"/>
          <w:numId w:val="7"/>
        </w:numPr>
        <w:spacing w:after="60"/>
        <w:rPr>
          <w:rFonts w:ascii="Arial" w:hAnsi="Arial" w:cs="Arial"/>
        </w:rPr>
      </w:pPr>
      <w:r w:rsidRPr="002332F8">
        <w:rPr>
          <w:rFonts w:ascii="Arial" w:hAnsi="Arial" w:cs="Arial"/>
        </w:rPr>
        <w:t>To examine the relationship between perceived shift accommodation and employee engagement among employees of Natural Group Bangladesh.</w:t>
      </w:r>
    </w:p>
    <w:p w14:paraId="321FEA95" w14:textId="77777777" w:rsidR="00D71CCF" w:rsidRPr="002332F8" w:rsidRDefault="00D71CCF" w:rsidP="00D71CCF">
      <w:pPr>
        <w:pStyle w:val="Heading3"/>
        <w:rPr>
          <w:rFonts w:ascii="Arial" w:hAnsi="Arial" w:cs="Arial"/>
          <w:color w:val="auto"/>
        </w:rPr>
      </w:pPr>
      <w:bookmarkStart w:id="46" w:name="_Toc236591106"/>
      <w:bookmarkStart w:id="47" w:name="h007"/>
      <w:bookmarkStart w:id="48" w:name="_Toc241093453"/>
      <w:bookmarkStart w:id="49" w:name="_Toc241113273"/>
      <w:r w:rsidRPr="002332F8">
        <w:rPr>
          <w:rFonts w:ascii="Arial" w:hAnsi="Arial" w:cs="Arial"/>
          <w:color w:val="auto"/>
        </w:rPr>
        <w:lastRenderedPageBreak/>
        <w:t>1.3.3 Research Questions</w:t>
      </w:r>
      <w:bookmarkEnd w:id="46"/>
      <w:bookmarkEnd w:id="47"/>
      <w:bookmarkEnd w:id="48"/>
      <w:bookmarkEnd w:id="49"/>
    </w:p>
    <w:p w14:paraId="0D772B07" w14:textId="77777777" w:rsidR="00D71CCF" w:rsidRPr="002332F8" w:rsidRDefault="00D71CCF" w:rsidP="00D71CCF">
      <w:pPr>
        <w:rPr>
          <w:rFonts w:ascii="Arial" w:hAnsi="Arial" w:cs="Arial"/>
        </w:rPr>
      </w:pPr>
      <w:r w:rsidRPr="002332F8">
        <w:rPr>
          <w:rFonts w:ascii="Arial" w:hAnsi="Arial" w:cs="Arial"/>
        </w:rPr>
        <w:t>The research questions are:</w:t>
      </w:r>
    </w:p>
    <w:p w14:paraId="2FBA574D" w14:textId="77777777" w:rsidR="00D71CCF" w:rsidRPr="002332F8" w:rsidRDefault="00D71CCF" w:rsidP="00D71CCF">
      <w:pPr>
        <w:pStyle w:val="ListParagraph"/>
        <w:numPr>
          <w:ilvl w:val="0"/>
          <w:numId w:val="8"/>
        </w:numPr>
        <w:spacing w:after="60"/>
        <w:rPr>
          <w:rFonts w:ascii="Arial" w:hAnsi="Arial" w:cs="Arial"/>
        </w:rPr>
      </w:pPr>
      <w:r w:rsidRPr="002332F8">
        <w:rPr>
          <w:rFonts w:ascii="Arial" w:hAnsi="Arial" w:cs="Arial"/>
        </w:rPr>
        <w:t>What relationship exists between perceived schedule control and employee engagement among employees of Natural Group Bangladesh?</w:t>
      </w:r>
    </w:p>
    <w:p w14:paraId="1AB401D0" w14:textId="77777777" w:rsidR="00D71CCF" w:rsidRPr="002332F8" w:rsidRDefault="00D71CCF" w:rsidP="00D71CCF">
      <w:pPr>
        <w:pStyle w:val="ListParagraph"/>
        <w:numPr>
          <w:ilvl w:val="0"/>
          <w:numId w:val="8"/>
        </w:numPr>
        <w:spacing w:after="60"/>
        <w:rPr>
          <w:rFonts w:ascii="Arial" w:hAnsi="Arial" w:cs="Arial"/>
        </w:rPr>
      </w:pPr>
      <w:r w:rsidRPr="002332F8">
        <w:rPr>
          <w:rFonts w:ascii="Arial" w:hAnsi="Arial" w:cs="Arial"/>
        </w:rPr>
        <w:t>What relationship exists between perceived schedule predictability and employee engagement among employees of Natural Group Bangladesh?</w:t>
      </w:r>
    </w:p>
    <w:p w14:paraId="06B63E11" w14:textId="77777777" w:rsidR="00D71CCF" w:rsidRPr="002332F8" w:rsidRDefault="00D71CCF" w:rsidP="00D71CCF">
      <w:pPr>
        <w:pStyle w:val="ListParagraph"/>
        <w:numPr>
          <w:ilvl w:val="0"/>
          <w:numId w:val="8"/>
        </w:numPr>
        <w:spacing w:after="60"/>
        <w:rPr>
          <w:rFonts w:ascii="Arial" w:hAnsi="Arial" w:cs="Arial"/>
        </w:rPr>
      </w:pPr>
      <w:r w:rsidRPr="002332F8">
        <w:rPr>
          <w:rFonts w:ascii="Arial" w:hAnsi="Arial" w:cs="Arial"/>
        </w:rPr>
        <w:t>What relationship exists between perceived shift accommodation and employee engagement among employees of Natural Group Bangladesh?</w:t>
      </w:r>
    </w:p>
    <w:p w14:paraId="1877B9D1" w14:textId="77777777" w:rsidR="00D71CCF" w:rsidRPr="002332F8" w:rsidRDefault="00D71CCF" w:rsidP="00D71CCF">
      <w:pPr>
        <w:pStyle w:val="Heading3"/>
        <w:rPr>
          <w:rFonts w:ascii="Arial" w:hAnsi="Arial" w:cs="Arial"/>
          <w:color w:val="auto"/>
        </w:rPr>
      </w:pPr>
      <w:bookmarkStart w:id="50" w:name="h008"/>
      <w:bookmarkStart w:id="51" w:name="_Toc241093454"/>
      <w:bookmarkStart w:id="52" w:name="_Toc241113274"/>
      <w:r w:rsidRPr="002332F8">
        <w:rPr>
          <w:rFonts w:ascii="Arial" w:hAnsi="Arial" w:cs="Arial"/>
          <w:color w:val="auto"/>
        </w:rPr>
        <w:t>1.3.4 Research Hypotheses</w:t>
      </w:r>
      <w:bookmarkEnd w:id="50"/>
      <w:bookmarkEnd w:id="51"/>
      <w:bookmarkEnd w:id="52"/>
    </w:p>
    <w:p w14:paraId="44203DC6" w14:textId="77777777" w:rsidR="00D71CCF" w:rsidRPr="002332F8" w:rsidRDefault="00D71CCF" w:rsidP="00D71CCF">
      <w:pPr>
        <w:rPr>
          <w:rFonts w:ascii="Arial" w:hAnsi="Arial" w:cs="Arial"/>
        </w:rPr>
      </w:pPr>
      <w:r w:rsidRPr="002332F8">
        <w:rPr>
          <w:rFonts w:ascii="Arial" w:hAnsi="Arial" w:cs="Arial"/>
          <w:b/>
        </w:rPr>
        <w:t>H1:</w:t>
      </w:r>
      <w:r w:rsidRPr="002332F8">
        <w:rPr>
          <w:rFonts w:ascii="Arial" w:hAnsi="Arial" w:cs="Arial"/>
        </w:rPr>
        <w:t xml:space="preserve"> Perceived schedule control is positively and significantly associated with employee engagement.</w:t>
      </w:r>
    </w:p>
    <w:p w14:paraId="23EEAD46" w14:textId="77777777" w:rsidR="00D71CCF" w:rsidRPr="002332F8" w:rsidRDefault="00D71CCF" w:rsidP="00D71CCF">
      <w:pPr>
        <w:rPr>
          <w:rFonts w:ascii="Arial" w:hAnsi="Arial" w:cs="Arial"/>
        </w:rPr>
      </w:pPr>
      <w:r w:rsidRPr="002332F8">
        <w:rPr>
          <w:rFonts w:ascii="Arial" w:hAnsi="Arial" w:cs="Arial"/>
          <w:b/>
        </w:rPr>
        <w:t>H2:</w:t>
      </w:r>
      <w:r w:rsidRPr="002332F8">
        <w:rPr>
          <w:rFonts w:ascii="Arial" w:hAnsi="Arial" w:cs="Arial"/>
        </w:rPr>
        <w:t xml:space="preserve"> Perceived schedule predictability is positively and significantly associated with employee engagement.</w:t>
      </w:r>
    </w:p>
    <w:p w14:paraId="167A0FD4" w14:textId="77777777" w:rsidR="00D71CCF" w:rsidRPr="002332F8" w:rsidRDefault="00D71CCF" w:rsidP="00D71CCF">
      <w:pPr>
        <w:rPr>
          <w:rFonts w:ascii="Arial" w:hAnsi="Arial" w:cs="Arial"/>
        </w:rPr>
      </w:pPr>
      <w:r w:rsidRPr="002332F8">
        <w:rPr>
          <w:rFonts w:ascii="Arial" w:hAnsi="Arial" w:cs="Arial"/>
          <w:b/>
        </w:rPr>
        <w:t>H3:</w:t>
      </w:r>
      <w:r w:rsidRPr="002332F8">
        <w:rPr>
          <w:rFonts w:ascii="Arial" w:hAnsi="Arial" w:cs="Arial"/>
        </w:rPr>
        <w:t xml:space="preserve"> Perceived shift accommodation is positively and significantly associated with employee engagement.</w:t>
      </w:r>
    </w:p>
    <w:p w14:paraId="63BDF0BC" w14:textId="77777777" w:rsidR="00D71CCF" w:rsidRPr="002332F8" w:rsidRDefault="00D71CCF" w:rsidP="00D71CCF">
      <w:pPr>
        <w:pStyle w:val="Heading2"/>
        <w:rPr>
          <w:rFonts w:ascii="Arial" w:hAnsi="Arial" w:cs="Arial"/>
          <w:color w:val="auto"/>
        </w:rPr>
      </w:pPr>
      <w:bookmarkStart w:id="53" w:name="_Toc236591108"/>
      <w:bookmarkStart w:id="54" w:name="h009"/>
      <w:bookmarkStart w:id="55" w:name="_Toc241093455"/>
      <w:bookmarkStart w:id="56" w:name="_Toc241113275"/>
      <w:r w:rsidRPr="002332F8">
        <w:rPr>
          <w:rFonts w:ascii="Arial" w:hAnsi="Arial" w:cs="Arial"/>
          <w:color w:val="auto"/>
        </w:rPr>
        <w:t>1.4 Theoretical Framework</w:t>
      </w:r>
      <w:bookmarkEnd w:id="53"/>
      <w:bookmarkEnd w:id="54"/>
      <w:bookmarkEnd w:id="55"/>
      <w:bookmarkEnd w:id="56"/>
    </w:p>
    <w:p w14:paraId="08C94965" w14:textId="77777777" w:rsidR="00D71CCF" w:rsidRPr="002332F8" w:rsidRDefault="00D71CCF" w:rsidP="00D71CCF">
      <w:pPr>
        <w:rPr>
          <w:rFonts w:ascii="Arial" w:hAnsi="Arial" w:cs="Arial"/>
        </w:rPr>
      </w:pPr>
      <w:r w:rsidRPr="002332F8">
        <w:rPr>
          <w:rFonts w:ascii="Arial" w:hAnsi="Arial" w:cs="Arial"/>
        </w:rPr>
        <w:t xml:space="preserve">According to Job Demands-Resources Theory, the combination of job resources such as work motivation and engagement occurs in conjunction with high job demands (Bakker and Demerouti, 2017; Bakker et al., 2023). Autonomy and predictability may help to manage uncertainty, while accommodation may help to manage personal demands.  This explanation is supplemented by the Social Exchange Theory which emphasizes reciprocity. When the organisation instills good scheduling, communication and reasonable accommodation, it is indicating that the company is a good employer and will invest more in the employee (Cropanzano et al., 2017; Ahmad et al., 2023). Experimental studies on perceived organisational support also suggest that cultural differences do not diminish the link between experienced care and positive employee attitudes, nor can they weaken the link between experienced fairness and positive employee attitudes (Eisenberger et al., 2020; Rockstuhl et al., 2020). But reciprocity requires that employees are able to understand practices as supportive. This qualification builds on the focus of the study on perceptions, not formal policy statements. Therefore, Job Demands-Resources Theory views the quality of </w:t>
      </w:r>
      <w:r w:rsidRPr="002332F8">
        <w:rPr>
          <w:rFonts w:ascii="Arial" w:hAnsi="Arial" w:cs="Arial"/>
        </w:rPr>
        <w:lastRenderedPageBreak/>
        <w:t xml:space="preserve">scheduling as a motivational resource, while Social Exchange Theory views fair scheduling as supportive treatment that can elicit reciprocation. </w:t>
      </w:r>
    </w:p>
    <w:p w14:paraId="2D116D27" w14:textId="77777777" w:rsidR="00D71CCF" w:rsidRPr="002332F8" w:rsidRDefault="00D71CCF" w:rsidP="00D71CCF">
      <w:pPr>
        <w:pStyle w:val="Heading2"/>
        <w:rPr>
          <w:rFonts w:ascii="Arial" w:hAnsi="Arial" w:cs="Arial"/>
          <w:color w:val="auto"/>
        </w:rPr>
      </w:pPr>
      <w:bookmarkStart w:id="57" w:name="_Toc236591109"/>
      <w:bookmarkStart w:id="58" w:name="h010"/>
      <w:bookmarkStart w:id="59" w:name="_Toc241093456"/>
      <w:bookmarkStart w:id="60" w:name="_Toc241113276"/>
      <w:r w:rsidRPr="002332F8">
        <w:rPr>
          <w:rFonts w:ascii="Arial" w:hAnsi="Arial" w:cs="Arial"/>
          <w:color w:val="auto"/>
        </w:rPr>
        <w:t>1.5 Significance and Contribution of the Study</w:t>
      </w:r>
      <w:bookmarkEnd w:id="57"/>
      <w:bookmarkEnd w:id="58"/>
      <w:bookmarkEnd w:id="59"/>
      <w:bookmarkEnd w:id="60"/>
    </w:p>
    <w:p w14:paraId="10953342" w14:textId="77777777" w:rsidR="00D71CCF" w:rsidRPr="002332F8" w:rsidRDefault="00D71CCF" w:rsidP="00D71CCF">
      <w:pPr>
        <w:rPr>
          <w:rFonts w:ascii="Arial" w:hAnsi="Arial" w:cs="Arial"/>
        </w:rPr>
      </w:pPr>
      <w:r w:rsidRPr="00CD34DB">
        <w:rPr>
          <w:rFonts w:ascii="Arial" w:hAnsi="Arial" w:cs="Arial"/>
        </w:rPr>
        <w:t>The study contributes by identifying the three employee perceptions of flexible scheduling and the three separate relationships between these perceptions and engagement.</w:t>
      </w:r>
      <w:r>
        <w:rPr>
          <w:rFonts w:ascii="Arial" w:hAnsi="Arial" w:cs="Arial"/>
        </w:rPr>
        <w:t xml:space="preserve"> </w:t>
      </w:r>
      <w:r w:rsidRPr="002332F8">
        <w:rPr>
          <w:rFonts w:ascii="Arial" w:hAnsi="Arial" w:cs="Arial"/>
        </w:rPr>
        <w:t>This approach aligns with the need for more focus on implementation, boundary control and varied impacts of flexibility (Kossek et al., 2023; Boccoli et al., 2024). It brings engagement studies into factory-based RMG work, where there is less evidence than in professional and hybrid contexts.</w:t>
      </w:r>
    </w:p>
    <w:p w14:paraId="46DC2665" w14:textId="77777777" w:rsidR="00D71CCF" w:rsidRPr="002332F8" w:rsidRDefault="00D71CCF" w:rsidP="00D71CCF">
      <w:pPr>
        <w:rPr>
          <w:rFonts w:ascii="Arial" w:hAnsi="Arial" w:cs="Arial"/>
        </w:rPr>
      </w:pPr>
      <w:r w:rsidRPr="002332F8">
        <w:rPr>
          <w:rFonts w:ascii="Arial" w:hAnsi="Arial" w:cs="Arial"/>
        </w:rPr>
        <w:t>Practically, the findings may identify scheduling practices that management can address without redesigning the production model. Evidence from responsible scheduling research suggests that greater stability and employee consideration can support both worker outcomes and operational performance (Lambert et al., 2019; Kesavan et al., 2022). However, the design with only one organisation and with non-probability sampling restricts statistical generalisation. The contribution thus deals with analytically founded evidence of a particular organisation context and not with a broader causal claim.</w:t>
      </w:r>
    </w:p>
    <w:p w14:paraId="06B9CC1C" w14:textId="77777777" w:rsidR="00D71CCF" w:rsidRPr="002332F8" w:rsidRDefault="00D71CCF" w:rsidP="00D71CCF">
      <w:pPr>
        <w:pStyle w:val="Heading2"/>
        <w:rPr>
          <w:rFonts w:ascii="Arial" w:hAnsi="Arial" w:cs="Arial"/>
          <w:color w:val="auto"/>
        </w:rPr>
      </w:pPr>
      <w:bookmarkStart w:id="61" w:name="_Toc236591110"/>
      <w:bookmarkStart w:id="62" w:name="h011"/>
      <w:bookmarkStart w:id="63" w:name="_Toc241093457"/>
      <w:bookmarkStart w:id="64" w:name="_Toc241113277"/>
      <w:r w:rsidRPr="002332F8">
        <w:rPr>
          <w:rFonts w:ascii="Arial" w:hAnsi="Arial" w:cs="Arial"/>
          <w:color w:val="auto"/>
        </w:rPr>
        <w:t>1.6 Scope and Delimitations</w:t>
      </w:r>
      <w:bookmarkEnd w:id="61"/>
      <w:bookmarkEnd w:id="62"/>
      <w:bookmarkEnd w:id="63"/>
      <w:bookmarkEnd w:id="64"/>
    </w:p>
    <w:p w14:paraId="20D7F25D" w14:textId="77777777" w:rsidR="00D71CCF" w:rsidRPr="002332F8" w:rsidRDefault="00D71CCF" w:rsidP="00D71CCF">
      <w:pPr>
        <w:rPr>
          <w:rFonts w:ascii="Arial" w:hAnsi="Arial" w:cs="Arial"/>
        </w:rPr>
      </w:pPr>
      <w:r w:rsidRPr="002332F8">
        <w:rPr>
          <w:rFonts w:ascii="Arial" w:hAnsi="Arial" w:cs="Arial"/>
        </w:rPr>
        <w:t>The study focuses on adult production and operational employees of Natural Group Bangladesh with at least three months of continuous employment under scheduled hours. Administrative, merchandising and corporate employees are excluded because their arrangements differ. The cross-sectional study tests associations through multiple linear regression and does not assess policy compliance, establish causality or represent all Bangladesh RMG organisations.</w:t>
      </w:r>
    </w:p>
    <w:p w14:paraId="1779A95D" w14:textId="77777777" w:rsidR="00D71CCF" w:rsidRPr="002332F8" w:rsidRDefault="00D71CCF" w:rsidP="00D71CCF">
      <w:pPr>
        <w:pStyle w:val="Heading2"/>
        <w:rPr>
          <w:rFonts w:ascii="Arial" w:hAnsi="Arial" w:cs="Arial"/>
          <w:color w:val="auto"/>
        </w:rPr>
      </w:pPr>
      <w:bookmarkStart w:id="65" w:name="_Toc236591111"/>
      <w:bookmarkStart w:id="66" w:name="h012"/>
      <w:bookmarkStart w:id="67" w:name="_Toc241093458"/>
      <w:bookmarkStart w:id="68" w:name="_Toc241113278"/>
      <w:r w:rsidRPr="002332F8">
        <w:rPr>
          <w:rFonts w:ascii="Arial" w:hAnsi="Arial" w:cs="Arial"/>
          <w:color w:val="auto"/>
        </w:rPr>
        <w:t>1.7 Structure of the Dissertation</w:t>
      </w:r>
      <w:bookmarkEnd w:id="65"/>
      <w:bookmarkEnd w:id="66"/>
      <w:bookmarkEnd w:id="67"/>
      <w:bookmarkEnd w:id="68"/>
    </w:p>
    <w:p w14:paraId="31630484" w14:textId="77777777" w:rsidR="00D71CCF" w:rsidRPr="002332F8" w:rsidRDefault="00D71CCF" w:rsidP="00D71CCF">
      <w:pPr>
        <w:rPr>
          <w:rFonts w:ascii="Arial" w:hAnsi="Arial" w:cs="Arial"/>
        </w:rPr>
      </w:pPr>
      <w:r w:rsidRPr="002332F8">
        <w:rPr>
          <w:rFonts w:ascii="Arial" w:hAnsi="Arial" w:cs="Arial"/>
        </w:rPr>
        <w:t>Chapter Two reviews relevant literature and theory. Chapter Three explains the methodology. Chapter Four presents the findings, Chapter Five discusses them against theory and prior evidence, and Chapter Six concludes with implications, limitations and future research.</w:t>
      </w:r>
    </w:p>
    <w:p w14:paraId="3EB10A7A" w14:textId="77777777" w:rsidR="00D71CCF" w:rsidRPr="002332F8" w:rsidRDefault="00D71CCF" w:rsidP="00D71CCF">
      <w:pPr>
        <w:suppressAutoHyphens w:val="0"/>
        <w:spacing w:after="160" w:line="256" w:lineRule="auto"/>
        <w:jc w:val="left"/>
        <w:rPr>
          <w:rFonts w:ascii="Arial" w:hAnsi="Arial" w:cs="Arial"/>
          <w:sz w:val="40"/>
          <w:szCs w:val="40"/>
        </w:rPr>
      </w:pPr>
      <w:bookmarkStart w:id="69" w:name="_Toc236589189"/>
      <w:bookmarkStart w:id="70" w:name="_Toc236591112"/>
      <w:bookmarkStart w:id="71" w:name="h013"/>
      <w:r w:rsidRPr="002332F8">
        <w:rPr>
          <w:rFonts w:ascii="Arial" w:hAnsi="Arial" w:cs="Arial"/>
        </w:rPr>
        <w:br w:type="page"/>
      </w:r>
    </w:p>
    <w:p w14:paraId="28EBD1F3" w14:textId="77777777" w:rsidR="00D71CCF" w:rsidRPr="002332F8" w:rsidRDefault="00D71CCF" w:rsidP="00D71CCF">
      <w:pPr>
        <w:pStyle w:val="Heading1"/>
        <w:rPr>
          <w:rFonts w:ascii="Arial" w:hAnsi="Arial" w:cs="Arial"/>
          <w:color w:val="auto"/>
        </w:rPr>
      </w:pPr>
      <w:bookmarkStart w:id="72" w:name="_Toc241093459"/>
      <w:bookmarkStart w:id="73" w:name="_Toc241113279"/>
      <w:r w:rsidRPr="002332F8">
        <w:rPr>
          <w:rFonts w:ascii="Arial" w:hAnsi="Arial" w:cs="Arial"/>
          <w:color w:val="auto"/>
        </w:rPr>
        <w:lastRenderedPageBreak/>
        <w:t>2. Literature Review</w:t>
      </w:r>
      <w:bookmarkEnd w:id="69"/>
      <w:bookmarkEnd w:id="70"/>
      <w:bookmarkEnd w:id="71"/>
      <w:bookmarkEnd w:id="72"/>
      <w:bookmarkEnd w:id="73"/>
    </w:p>
    <w:p w14:paraId="79E212C4" w14:textId="77777777" w:rsidR="00D71CCF" w:rsidRPr="002332F8" w:rsidRDefault="00D71CCF" w:rsidP="00D71CCF">
      <w:pPr>
        <w:pStyle w:val="Heading2"/>
        <w:rPr>
          <w:rFonts w:ascii="Arial" w:hAnsi="Arial" w:cs="Arial"/>
          <w:color w:val="auto"/>
        </w:rPr>
      </w:pPr>
      <w:bookmarkStart w:id="74" w:name="_Toc236589190"/>
      <w:bookmarkStart w:id="75" w:name="_Toc236591113"/>
      <w:bookmarkStart w:id="76" w:name="h014"/>
      <w:bookmarkStart w:id="77" w:name="_Toc241093460"/>
      <w:bookmarkStart w:id="78" w:name="_Toc241113280"/>
      <w:r w:rsidRPr="002332F8">
        <w:rPr>
          <w:rFonts w:ascii="Arial" w:hAnsi="Arial" w:cs="Arial"/>
          <w:color w:val="auto"/>
        </w:rPr>
        <w:t>2.1 Introduction</w:t>
      </w:r>
      <w:bookmarkEnd w:id="74"/>
      <w:bookmarkEnd w:id="75"/>
      <w:bookmarkEnd w:id="76"/>
      <w:bookmarkEnd w:id="77"/>
      <w:bookmarkEnd w:id="78"/>
    </w:p>
    <w:p w14:paraId="70F6F1F2" w14:textId="77777777" w:rsidR="00D71CCF" w:rsidRPr="002332F8" w:rsidRDefault="00D71CCF" w:rsidP="00D71CCF">
      <w:pPr>
        <w:rPr>
          <w:rFonts w:ascii="Arial" w:hAnsi="Arial" w:cs="Arial"/>
        </w:rPr>
      </w:pPr>
      <w:r w:rsidRPr="002332F8">
        <w:rPr>
          <w:rFonts w:ascii="Arial" w:hAnsi="Arial" w:cs="Arial"/>
        </w:rPr>
        <w:t>This chapter reviews literature on flexible work arrangements, scheduling and employee engagement to inform the proposed relationships between schedule control, predictability, accommodation and engagement. It evaluates these dimensions in labour-intensive manufacturing, considers the Bangladesh RMG context, develops the Job Demands-Resources and Social Exchange theoretical framework, identifies the research gap, and presents the conceptual framework and hypotheses.</w:t>
      </w:r>
    </w:p>
    <w:p w14:paraId="4CACBDC9" w14:textId="77777777" w:rsidR="00D71CCF" w:rsidRPr="002332F8" w:rsidRDefault="00D71CCF" w:rsidP="00D71CCF">
      <w:pPr>
        <w:pStyle w:val="Heading2"/>
        <w:rPr>
          <w:rFonts w:ascii="Arial" w:hAnsi="Arial" w:cs="Arial"/>
          <w:color w:val="auto"/>
        </w:rPr>
      </w:pPr>
      <w:bookmarkStart w:id="79" w:name="_Toc236589191"/>
      <w:bookmarkStart w:id="80" w:name="_Toc236591114"/>
      <w:bookmarkStart w:id="81" w:name="h015"/>
      <w:bookmarkStart w:id="82" w:name="_Toc241093461"/>
      <w:bookmarkStart w:id="83" w:name="_Toc241113281"/>
      <w:r w:rsidRPr="002332F8">
        <w:rPr>
          <w:rFonts w:ascii="Arial" w:hAnsi="Arial" w:cs="Arial"/>
          <w:color w:val="auto"/>
        </w:rPr>
        <w:t>2.2 Flexible Work Arrangements in Labour-Intensive Manufacturing</w:t>
      </w:r>
      <w:bookmarkEnd w:id="79"/>
      <w:bookmarkEnd w:id="80"/>
      <w:bookmarkEnd w:id="81"/>
      <w:bookmarkEnd w:id="82"/>
      <w:bookmarkEnd w:id="83"/>
    </w:p>
    <w:p w14:paraId="19F99F04" w14:textId="77777777" w:rsidR="00D71CCF" w:rsidRPr="002332F8" w:rsidRDefault="00D71CCF" w:rsidP="00D71CCF">
      <w:pPr>
        <w:rPr>
          <w:rFonts w:ascii="Arial" w:hAnsi="Arial" w:cs="Arial"/>
        </w:rPr>
      </w:pPr>
      <w:r w:rsidRPr="002332F8">
        <w:rPr>
          <w:rFonts w:ascii="Arial" w:hAnsi="Arial" w:cs="Arial"/>
        </w:rPr>
        <w:t>Flexible working arrangements typically involve changing the timing, place, and the way in which work is completed. These are typically flexitime, compressed working weeks, remote work, or hybrid work (Allen et al., 2013; Chartered Institute of Personnel and Development, 2024; Kossek et al., 2023). The garment industry requires coordinated workers, machines, line balancing, and delivery time. Spatial flexibility is thus limited, and temporal flexibility is limited by collective workflow. Due to the significant differences between the underlying job design of the remote and on-site environments, a direct transfer of remote-work evidence would result in a context error (Soga et al., 2022; Bloom et al., 2024; Çivilidağ and Durmaz, 2024). Factory workers do not have to work everywhere, what is important is that there is a degree of influence to be had, a reasonable notice, and fair accommodation in working limits.</w:t>
      </w:r>
    </w:p>
    <w:p w14:paraId="18560B83" w14:textId="77777777" w:rsidR="00D71CCF" w:rsidRPr="002332F8" w:rsidRDefault="00D71CCF" w:rsidP="00D71CCF">
      <w:pPr>
        <w:rPr>
          <w:rFonts w:ascii="Arial" w:hAnsi="Arial" w:cs="Arial"/>
        </w:rPr>
      </w:pPr>
      <w:r w:rsidRPr="002332F8">
        <w:rPr>
          <w:rFonts w:ascii="Arial" w:hAnsi="Arial" w:cs="Arial"/>
        </w:rPr>
        <w:t xml:space="preserve">Access might be subject to supervisory approval, occupational status, production pressure, and yet, there may be formal policies in place. Employee attitudes to formal and informal arrangements have been explored in research, and the literature indicates that implementation of arrangements influences employees' attitudes, not necessarily the label given to them (de Menezes and Kelliher, 2017). In addition, boundary-control research also suggests that flexibility is a positive feature only when employees have actual control and they can apply that control without any hidden costs (Kossek et al., 2023; Boccoli et al., 2024). Employer driven variability is when </w:t>
      </w:r>
      <w:r w:rsidRPr="002332F8">
        <w:rPr>
          <w:rFonts w:ascii="Arial" w:hAnsi="Arial" w:cs="Arial"/>
        </w:rPr>
        <w:lastRenderedPageBreak/>
        <w:t>there is flexibility in exchange for the uncertainty being passed on to workers, especially in the case of hours being changed at short notice. They show if a practice is a resource or another demand.</w:t>
      </w:r>
    </w:p>
    <w:p w14:paraId="380456C4" w14:textId="77777777" w:rsidR="00D71CCF" w:rsidRPr="002332F8" w:rsidRDefault="00D71CCF" w:rsidP="00D71CCF">
      <w:pPr>
        <w:rPr>
          <w:rFonts w:ascii="Arial" w:hAnsi="Arial" w:cs="Arial"/>
        </w:rPr>
      </w:pPr>
      <w:r w:rsidRPr="002332F8">
        <w:rPr>
          <w:rFonts w:ascii="Arial" w:hAnsi="Arial" w:cs="Arial"/>
        </w:rPr>
        <w:t>There is a need to differentiate between employee and employer flexibility. Arrangements that are oriented to the employee give the employee options that enhance control or compatibility between work and non-work responsibilities. Employer flexibility will enable the management to adjust labour inputs according to the demand. Labour intensive industries also tend to have this tension as production can be volatile and can be brought to them through overtime or short notice changes (Soga et al., 2022; Anner, 2020). The asymmetry can be obscured in studies reporting an overall flexibility benefit if the availability of policies is coded rather than their control. The present review therefore considers perceived control, predictability and accommodation as measures of the quality of employee-oriented scheduling instead of the employer's classification of a practice.</w:t>
      </w:r>
    </w:p>
    <w:p w14:paraId="19815D32" w14:textId="77777777" w:rsidR="00D71CCF" w:rsidRPr="002332F8" w:rsidRDefault="00D71CCF" w:rsidP="00D71CCF">
      <w:pPr>
        <w:keepNext/>
        <w:spacing w:before="120" w:after="40"/>
        <w:jc w:val="center"/>
        <w:rPr>
          <w:rFonts w:ascii="Arial" w:hAnsi="Arial" w:cs="Arial"/>
        </w:rPr>
      </w:pPr>
      <w:r w:rsidRPr="002332F8">
        <w:rPr>
          <w:rFonts w:ascii="Arial" w:hAnsi="Arial" w:cs="Arial"/>
          <w:noProof/>
        </w:rPr>
        <w:drawing>
          <wp:inline distT="0" distB="0" distL="0" distR="0" wp14:anchorId="0B22604A" wp14:editId="40D4AAF5">
            <wp:extent cx="5528725" cy="2057400"/>
            <wp:effectExtent l="0" t="0" r="0" b="0"/>
            <wp:docPr id="83374910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607257" cy="2086624"/>
                    </a:xfrm>
                    <a:prstGeom prst="rect">
                      <a:avLst/>
                    </a:prstGeom>
                    <a:noFill/>
                    <a:ln>
                      <a:noFill/>
                      <a:prstDash/>
                    </a:ln>
                  </pic:spPr>
                </pic:pic>
              </a:graphicData>
            </a:graphic>
          </wp:inline>
        </w:drawing>
      </w:r>
    </w:p>
    <w:p w14:paraId="12E0FF4A" w14:textId="77777777" w:rsidR="00D71CCF" w:rsidRPr="002332F8" w:rsidRDefault="00D71CCF" w:rsidP="00D71CCF">
      <w:pPr>
        <w:pStyle w:val="FigureCaption"/>
        <w:rPr>
          <w:rFonts w:ascii="Arial" w:hAnsi="Arial" w:cs="Arial"/>
        </w:rPr>
      </w:pPr>
      <w:bookmarkStart w:id="84" w:name="fig2_1"/>
      <w:r>
        <w:rPr>
          <w:noProof/>
        </w:rPr>
        <w:drawing>
          <wp:inline distT="0" distB="0" distL="0" distR="0" wp14:anchorId="39AF5C0F" wp14:editId="176B8A3C">
            <wp:extent cx="5638800" cy="8096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38800" cy="809625"/>
                    </a:xfrm>
                    <a:prstGeom prst="rect">
                      <a:avLst/>
                    </a:prstGeom>
                  </pic:spPr>
                </pic:pic>
              </a:graphicData>
            </a:graphic>
          </wp:inline>
        </w:drawing>
      </w:r>
      <w:bookmarkStart w:id="85" w:name="_Hlk241161679"/>
      <w:bookmarkEnd w:id="84"/>
    </w:p>
    <w:bookmarkEnd w:id="85"/>
    <w:p w14:paraId="5CAE6F3B" w14:textId="77777777" w:rsidR="00D71CCF" w:rsidRPr="002332F8" w:rsidRDefault="00D71CCF" w:rsidP="00D71CCF">
      <w:pPr>
        <w:rPr>
          <w:rFonts w:ascii="Arial" w:hAnsi="Arial" w:cs="Arial"/>
        </w:rPr>
      </w:pPr>
      <w:r>
        <w:rPr>
          <w:rFonts w:ascii="Arial" w:hAnsi="Arial" w:cs="Arial"/>
        </w:rPr>
        <w:t xml:space="preserve">The figure 2.1 presents the framework </w:t>
      </w:r>
      <w:r w:rsidRPr="002332F8">
        <w:rPr>
          <w:rFonts w:ascii="Arial" w:hAnsi="Arial" w:cs="Arial"/>
        </w:rPr>
        <w:t xml:space="preserve">through which flexible work arrangements may relate to engagement. Its strength lies in recognising that effects may pass through work-life conflict, well-being, trust, commitment and organisational support rather than through a single direct pathway. However, the model is too expansive for the present study. It combines flexible-work types, mediating attitudes and organisational outcomes without establishing temporal order, and several constructs overlap conceptually. For example, job satisfaction, commitment and engagement are related </w:t>
      </w:r>
      <w:r w:rsidRPr="002332F8">
        <w:rPr>
          <w:rFonts w:ascii="Arial" w:hAnsi="Arial" w:cs="Arial"/>
        </w:rPr>
        <w:lastRenderedPageBreak/>
        <w:t xml:space="preserve">but not interchangeable. The figure also centres flexitime, flexplace and compressed weeks, which are not equally feasible for garment production. Its analytical value is therefore diagnostic rather than prescriptive. </w:t>
      </w:r>
    </w:p>
    <w:p w14:paraId="2AEE10DD" w14:textId="77777777" w:rsidR="00D71CCF" w:rsidRPr="002332F8" w:rsidRDefault="00D71CCF" w:rsidP="00D71CCF">
      <w:pPr>
        <w:pStyle w:val="Heading2"/>
        <w:rPr>
          <w:rFonts w:ascii="Arial" w:hAnsi="Arial" w:cs="Arial"/>
          <w:color w:val="auto"/>
        </w:rPr>
      </w:pPr>
      <w:bookmarkStart w:id="86" w:name="_Toc236589192"/>
      <w:bookmarkStart w:id="87" w:name="_Toc236591115"/>
      <w:bookmarkStart w:id="88" w:name="h016"/>
      <w:bookmarkStart w:id="89" w:name="_Toc241093462"/>
      <w:bookmarkStart w:id="90" w:name="_Toc241113282"/>
      <w:r w:rsidRPr="002332F8">
        <w:rPr>
          <w:rFonts w:ascii="Arial" w:hAnsi="Arial" w:cs="Arial"/>
          <w:color w:val="auto"/>
        </w:rPr>
        <w:t>2.3 Employee Engagement: Concept, Measurement and Consequences</w:t>
      </w:r>
      <w:bookmarkEnd w:id="86"/>
      <w:bookmarkEnd w:id="87"/>
      <w:bookmarkEnd w:id="88"/>
      <w:bookmarkEnd w:id="89"/>
      <w:bookmarkEnd w:id="90"/>
    </w:p>
    <w:p w14:paraId="0A09AD61" w14:textId="77777777" w:rsidR="00D71CCF" w:rsidRPr="002332F8" w:rsidRDefault="00D71CCF" w:rsidP="00D71CCF">
      <w:pPr>
        <w:rPr>
          <w:rFonts w:ascii="Arial" w:hAnsi="Arial" w:cs="Arial"/>
        </w:rPr>
      </w:pPr>
      <w:r w:rsidRPr="002332F8">
        <w:rPr>
          <w:rFonts w:ascii="Arial" w:hAnsi="Arial" w:cs="Arial"/>
        </w:rPr>
        <w:t xml:space="preserve">In the literature, employee engagement is typically defined as a positive state of work-related experience defined by vigour, dedication and absorption (Schaufeli et al., 2019). This definition is different from job satisfaction, which is about the evaluation of the job, and organisational commitment, that is, attachment to the organisation. However, Bailey et al. (2017) demonstrates that there are competing definitions in the engagement literature, such as psychological presence, discretionary effort and managerial prescriptions. The definition of work-engagement </w:t>
      </w:r>
      <w:r>
        <w:rPr>
          <w:rFonts w:ascii="Arial" w:hAnsi="Arial" w:cs="Arial"/>
        </w:rPr>
        <w:t xml:space="preserve">that the studies provide </w:t>
      </w:r>
      <w:r w:rsidRPr="002332F8">
        <w:rPr>
          <w:rFonts w:ascii="Arial" w:hAnsi="Arial" w:cs="Arial"/>
        </w:rPr>
        <w:t>is suitable for the theoretical framework of Job Demands-Resources Theory and can be measured using the UWES-3 (Schaufeli et al., 2019). This selection makes for clearer constructs, but a very short scale will necessarily convey less nuance than longer scales will.</w:t>
      </w:r>
    </w:p>
    <w:p w14:paraId="304D1378" w14:textId="77777777" w:rsidR="00D71CCF" w:rsidRPr="002332F8" w:rsidRDefault="00D71CCF" w:rsidP="00D71CCF">
      <w:pPr>
        <w:rPr>
          <w:rFonts w:ascii="Arial" w:hAnsi="Arial" w:cs="Arial"/>
        </w:rPr>
      </w:pPr>
      <w:r w:rsidRPr="002332F8">
        <w:rPr>
          <w:rFonts w:ascii="Arial" w:hAnsi="Arial" w:cs="Arial"/>
        </w:rPr>
        <w:t>Engagement matters because it is associated with performance, lower absenteeism and constructive behaviour, but causality should not be overstated. Meta-analyses report generally favourable relationships, yet many primary studies are cross-sectional and depend on self-reported engagement and outcomes (Borst et al., 2020; Neuber et al., 2022; Mazzetti et al., 2023). Longitudinal evidence supports job resources as antecedents, although reciprocal effects remain plausible because engaged employees may also obtain or create more resources (Lesener et al., 2019; Lesener et al., 2020). In manufacturing, engagement may support quality, persistence and improvement behaviour, but excessive intensity can resemble compelled effort rather than sustainable engagement. The construct must therefore be interpreted as energetic and meaningful involvement, not unquestioned compliance with production demands (Bailey et al., 2017; Saks, 2022).</w:t>
      </w:r>
    </w:p>
    <w:p w14:paraId="17F0A309" w14:textId="77777777" w:rsidR="00D71CCF" w:rsidRPr="002332F8" w:rsidRDefault="00D71CCF" w:rsidP="00D71CCF">
      <w:pPr>
        <w:rPr>
          <w:rFonts w:ascii="Arial" w:hAnsi="Arial" w:cs="Arial"/>
        </w:rPr>
      </w:pPr>
      <w:r w:rsidRPr="002332F8">
        <w:rPr>
          <w:rFonts w:ascii="Arial" w:hAnsi="Arial" w:cs="Arial"/>
        </w:rPr>
        <w:t xml:space="preserve">The UWES-3 offers efficiency and has demonstrated cross-national validity, which is valuable when questionnaire length must remain manageable for production employees (Schaufeli et al., 2019). </w:t>
      </w:r>
      <w:r>
        <w:rPr>
          <w:rFonts w:ascii="Arial" w:hAnsi="Arial" w:cs="Arial"/>
        </w:rPr>
        <w:t>But, t</w:t>
      </w:r>
      <w:r w:rsidRPr="00CD34DB">
        <w:rPr>
          <w:rFonts w:ascii="Arial" w:hAnsi="Arial" w:cs="Arial"/>
        </w:rPr>
        <w:t>hree items</w:t>
      </w:r>
      <w:r>
        <w:rPr>
          <w:rFonts w:ascii="Arial" w:hAnsi="Arial" w:cs="Arial"/>
        </w:rPr>
        <w:t xml:space="preserve"> </w:t>
      </w:r>
      <w:r w:rsidRPr="00CD34DB">
        <w:rPr>
          <w:rFonts w:ascii="Arial" w:hAnsi="Arial" w:cs="Arial"/>
        </w:rPr>
        <w:t>provide very little diagnostic information and may be response style and/or translation sensitive.</w:t>
      </w:r>
      <w:r>
        <w:rPr>
          <w:rFonts w:ascii="Arial" w:hAnsi="Arial" w:cs="Arial"/>
        </w:rPr>
        <w:t xml:space="preserve"> </w:t>
      </w:r>
      <w:r w:rsidRPr="002332F8">
        <w:rPr>
          <w:rFonts w:ascii="Arial" w:hAnsi="Arial" w:cs="Arial"/>
        </w:rPr>
        <w:t xml:space="preserve">A high mean score </w:t>
      </w:r>
      <w:r w:rsidRPr="002332F8">
        <w:rPr>
          <w:rFonts w:ascii="Arial" w:hAnsi="Arial" w:cs="Arial"/>
        </w:rPr>
        <w:lastRenderedPageBreak/>
        <w:t>may be a sign of good effort and commitment, social desirability or lack of desire to criticise the employer. These risks can be minimized, but not eliminated, by the use of anonymous administration and careful language adaptation. The analysis of engagement should therefore be considered a reliable, short perceptual evaluation rather than an overall judgement of students' motivation or performance.</w:t>
      </w:r>
    </w:p>
    <w:p w14:paraId="05AB4BD7" w14:textId="77777777" w:rsidR="00D71CCF" w:rsidRPr="002332F8" w:rsidRDefault="00D71CCF" w:rsidP="00D71CCF">
      <w:pPr>
        <w:pStyle w:val="Heading2"/>
        <w:rPr>
          <w:rFonts w:ascii="Arial" w:hAnsi="Arial" w:cs="Arial"/>
          <w:color w:val="auto"/>
        </w:rPr>
      </w:pPr>
      <w:bookmarkStart w:id="91" w:name="_Toc236589193"/>
      <w:bookmarkStart w:id="92" w:name="_Toc236591116"/>
      <w:bookmarkStart w:id="93" w:name="h017"/>
      <w:bookmarkStart w:id="94" w:name="_Toc241093463"/>
      <w:bookmarkStart w:id="95" w:name="_Toc241113283"/>
      <w:r w:rsidRPr="002332F8">
        <w:rPr>
          <w:rFonts w:ascii="Arial" w:hAnsi="Arial" w:cs="Arial"/>
          <w:color w:val="auto"/>
        </w:rPr>
        <w:t>2.4 Scheduling Resources and Employee Engagement</w:t>
      </w:r>
      <w:bookmarkEnd w:id="91"/>
      <w:bookmarkEnd w:id="92"/>
      <w:bookmarkEnd w:id="93"/>
      <w:bookmarkEnd w:id="94"/>
      <w:bookmarkEnd w:id="95"/>
    </w:p>
    <w:p w14:paraId="17893A18" w14:textId="77777777" w:rsidR="00D71CCF" w:rsidRPr="002332F8" w:rsidRDefault="00D71CCF" w:rsidP="00D71CCF">
      <w:pPr>
        <w:rPr>
          <w:rFonts w:ascii="Arial" w:hAnsi="Arial" w:cs="Arial"/>
        </w:rPr>
      </w:pPr>
      <w:r w:rsidRPr="002332F8">
        <w:rPr>
          <w:rFonts w:ascii="Arial" w:hAnsi="Arial" w:cs="Arial"/>
        </w:rPr>
        <w:t>Existing empirical studies tend to support the positive perceptions of the employees toward flexible work arrangements, yet the findings are not without controversy. Research has indicated increased levels of engagement with flexibility, but samples have tended to include highly educated, service sector or hybrid employees (Bal and De Lange, 2015; Weideman and Hofmeyr, 2020; Gašić and Berber, 2023; Lee et al., 2024). While these designs provide helpful evidence of the importance of autonomy and support, they do not focus on the autonomy and predictability and accommodation of hourly production workers. Each dimension is assessed individually in the following themes as their nature and management impact vary.</w:t>
      </w:r>
    </w:p>
    <w:p w14:paraId="06866D09" w14:textId="77777777" w:rsidR="00D71CCF" w:rsidRPr="002332F8" w:rsidRDefault="00D71CCF" w:rsidP="00D71CCF">
      <w:pPr>
        <w:pStyle w:val="Heading3"/>
        <w:rPr>
          <w:rFonts w:ascii="Arial" w:hAnsi="Arial" w:cs="Arial"/>
          <w:color w:val="auto"/>
        </w:rPr>
      </w:pPr>
      <w:bookmarkStart w:id="96" w:name="_Toc236589194"/>
      <w:bookmarkStart w:id="97" w:name="_Toc236591117"/>
      <w:bookmarkStart w:id="98" w:name="h018"/>
      <w:bookmarkStart w:id="99" w:name="_Toc241093464"/>
      <w:bookmarkStart w:id="100" w:name="_Toc241113284"/>
      <w:r w:rsidRPr="002332F8">
        <w:rPr>
          <w:rFonts w:ascii="Arial" w:hAnsi="Arial" w:cs="Arial"/>
          <w:color w:val="auto"/>
        </w:rPr>
        <w:t>2.4.1 Perceived Schedule Control</w:t>
      </w:r>
      <w:bookmarkEnd w:id="96"/>
      <w:bookmarkEnd w:id="97"/>
      <w:bookmarkEnd w:id="98"/>
      <w:bookmarkEnd w:id="99"/>
      <w:bookmarkEnd w:id="100"/>
    </w:p>
    <w:p w14:paraId="6E119C3A" w14:textId="77777777" w:rsidR="00D71CCF" w:rsidRPr="002332F8" w:rsidRDefault="00D71CCF" w:rsidP="00D71CCF">
      <w:pPr>
        <w:rPr>
          <w:rFonts w:ascii="Arial" w:hAnsi="Arial" w:cs="Arial"/>
        </w:rPr>
      </w:pPr>
      <w:r w:rsidRPr="002332F8">
        <w:rPr>
          <w:rFonts w:ascii="Arial" w:hAnsi="Arial" w:cs="Arial"/>
        </w:rPr>
        <w:t>Perceived schedule control relates to the degree to which employees have the opportunity to affect the start or end time, the shifts, or the change in their schedule. Theoretically, controlling is simple, as it can minimize work-family conflict and increase autonomy, which are linked to better work attitudes (Allen et al., 2013; Bal and De Lange, 2015).</w:t>
      </w:r>
    </w:p>
    <w:p w14:paraId="34A3527C" w14:textId="77777777" w:rsidR="00D71CCF" w:rsidRPr="002332F8" w:rsidRDefault="00D71CCF" w:rsidP="00D71CCF">
      <w:pPr>
        <w:rPr>
          <w:rFonts w:ascii="Arial" w:hAnsi="Arial" w:cs="Arial"/>
        </w:rPr>
      </w:pPr>
      <w:r w:rsidRPr="002332F8">
        <w:rPr>
          <w:rFonts w:ascii="Arial" w:hAnsi="Arial" w:cs="Arial"/>
        </w:rPr>
        <w:t>The research findings on psychological flexibility also suggest that control over the boundaries of work matters more than having nominal flexibility about flexible practices (Kossek et al., 2023; Boccoli et al., 2024). But there is a predominance of jobs that already have a level of discretion in the job. Control will be more limited in garment production, and will be agreed on within the constraint of the lines. In that case, the potential benefit might be more subtle, like stating preferences for the types of shifts, rather than having complete autonomy in self-scheduling.</w:t>
      </w:r>
    </w:p>
    <w:p w14:paraId="78A02ACC" w14:textId="77777777" w:rsidR="00D71CCF" w:rsidRPr="002332F8" w:rsidRDefault="00D71CCF" w:rsidP="00D71CCF">
      <w:pPr>
        <w:rPr>
          <w:rFonts w:ascii="Arial" w:hAnsi="Arial" w:cs="Arial"/>
        </w:rPr>
      </w:pPr>
      <w:r w:rsidRPr="002332F8">
        <w:rPr>
          <w:rFonts w:ascii="Arial" w:hAnsi="Arial" w:cs="Arial"/>
        </w:rPr>
        <w:t xml:space="preserve">However, there is a serious problem with this; the level of schedule control may be confused with seniority, occupational grade and supervisory support. Flexibility may be more impactful than it actually is because higher status employees have more </w:t>
      </w:r>
      <w:r w:rsidRPr="002332F8">
        <w:rPr>
          <w:rFonts w:ascii="Arial" w:hAnsi="Arial" w:cs="Arial"/>
        </w:rPr>
        <w:lastRenderedPageBreak/>
        <w:t>control, and may also have more interesting work. These effects cannot be completely distinguished in cross-sectional self-report designs (Weideman and Hofmeyr, 2020; Lee et al., 2024). Also, flexibility could be more demanding to work when workers trade regular working times for more availability or working load (Soga et al., 2022; Yeves et al., 2022). These are not schedule control weaknesses, but rather a tempered hypothesis. The most defensible expectation is not that there will be a universal causal effect, but a positive association, after accounting for the other scheduling dimensions.</w:t>
      </w:r>
    </w:p>
    <w:p w14:paraId="3396C673" w14:textId="77777777" w:rsidR="00D71CCF" w:rsidRPr="002332F8" w:rsidRDefault="00D71CCF" w:rsidP="00D71CCF">
      <w:pPr>
        <w:rPr>
          <w:rFonts w:ascii="Arial" w:hAnsi="Arial" w:cs="Arial"/>
        </w:rPr>
      </w:pPr>
      <w:r w:rsidRPr="002332F8">
        <w:rPr>
          <w:rFonts w:ascii="Arial" w:hAnsi="Arial" w:cs="Arial"/>
        </w:rPr>
        <w:t>2.4.2 Perceived Schedule Predictability</w:t>
      </w:r>
    </w:p>
    <w:p w14:paraId="3A480ACF" w14:textId="77777777" w:rsidR="00D71CCF" w:rsidRPr="002332F8" w:rsidRDefault="00D71CCF" w:rsidP="00D71CCF">
      <w:pPr>
        <w:rPr>
          <w:rFonts w:ascii="Arial" w:hAnsi="Arial" w:cs="Arial"/>
        </w:rPr>
      </w:pPr>
      <w:r w:rsidRPr="002332F8">
        <w:rPr>
          <w:rFonts w:ascii="Arial" w:hAnsi="Arial" w:cs="Arial"/>
        </w:rPr>
        <w:t>Schedule predictability issues are related to advance notice, consistency and the ability to know in advance what days and hours will be needed. This dimension is analytically separate from control because employees might not have any control over a schedule but they add value from having it beforehand. Poor sleep, psychological stress and material hardships, are seen to be linked to unstable schedules among hourly service workers (Schneider and Harknett, 2019; Harknett et al., 2020; Schneider and Harknett, 2021). These findings support the methodological approach of the flexibility research over other studies, in that they look at specific circumstances of scheduling rather than at the general availability of flexibility in policy. However, their focus on the retail and service industry poses a problem in directly generalizing results to the manufacturing subsector in Bangladesh, where overtime, transportation, household work, and labour regulation are different.</w:t>
      </w:r>
    </w:p>
    <w:p w14:paraId="78D389A7" w14:textId="77777777" w:rsidR="00D71CCF" w:rsidRPr="002332F8" w:rsidRDefault="00D71CCF" w:rsidP="00D71CCF">
      <w:pPr>
        <w:rPr>
          <w:rFonts w:ascii="Arial" w:hAnsi="Arial" w:cs="Arial"/>
        </w:rPr>
      </w:pPr>
      <w:r w:rsidRPr="002332F8">
        <w:rPr>
          <w:rFonts w:ascii="Arial" w:hAnsi="Arial" w:cs="Arial"/>
        </w:rPr>
        <w:t>The evidence of intervention highlights the value of predictability more than it is just an employee preference. Lambert et al. (2019) showed that an intervention led to greater advance posting of retail schedules, but did not result in an increase in the employees' ability to anticipate their working time, while Kesavan et al. (2022) found that a more comprehensive responsible-scheduling intervention led to improvements in performance at Gap stores. Harknett et al. (2021) found that a scheduling-law intervention in Seattle resulted in health and economic benefits. However, such research focuses on a set of scheduling changes, limiting the ability to separate the effects of advance notice from increased hours, stability of the shifts or managerial attention. Not all times engagement was the primary goal. Predictability is thus a resource identified in the literature, but not as being unique to work engagement in factory production.</w:t>
      </w:r>
    </w:p>
    <w:p w14:paraId="6654BF6E" w14:textId="77777777" w:rsidR="00D71CCF" w:rsidRPr="002332F8" w:rsidRDefault="00D71CCF" w:rsidP="00D71CCF">
      <w:pPr>
        <w:rPr>
          <w:rFonts w:ascii="Arial" w:hAnsi="Arial" w:cs="Arial"/>
        </w:rPr>
      </w:pPr>
      <w:r w:rsidRPr="002332F8">
        <w:rPr>
          <w:rFonts w:ascii="Arial" w:hAnsi="Arial" w:cs="Arial"/>
        </w:rPr>
        <w:lastRenderedPageBreak/>
        <w:t>2.4.3 Perceived Shift Accommodation</w:t>
      </w:r>
    </w:p>
    <w:p w14:paraId="5C40D13A" w14:textId="77777777" w:rsidR="00D71CCF" w:rsidRPr="002332F8" w:rsidRDefault="00D71CCF" w:rsidP="00D71CCF">
      <w:pPr>
        <w:rPr>
          <w:rFonts w:ascii="Arial" w:hAnsi="Arial" w:cs="Arial"/>
        </w:rPr>
      </w:pPr>
      <w:r w:rsidRPr="002332F8">
        <w:rPr>
          <w:rFonts w:ascii="Arial" w:hAnsi="Arial" w:cs="Arial"/>
        </w:rPr>
        <w:t>Perceived shift accommodation is whether there is a reasonable request for exchanges, leave adjustments or changes to schedules heard and dealt with fairly. This concept has been less directly measured as compared to control and predictability. Focusing on existing flexibility studies, there are several ways in which the concept of ‘accommodation' is integrated into flexible access, supervisor support or organisational care (de Menezes and Kelliher, 2017; Kossek et al., 2023). This may cause conceptual confusion since accommodation is different from general support. It relates to a particular managerial response in the context of operational constraints. A refusal may be justified in production terms and be seen as a valid consideration. The construct is thus more about process of treatment and not about guaranteed approval.</w:t>
      </w:r>
    </w:p>
    <w:p w14:paraId="3DA777FC" w14:textId="77777777" w:rsidR="00D71CCF" w:rsidRPr="002332F8" w:rsidRDefault="00D71CCF" w:rsidP="00D71CCF">
      <w:pPr>
        <w:rPr>
          <w:rFonts w:ascii="Arial" w:hAnsi="Arial" w:cs="Arial"/>
        </w:rPr>
      </w:pPr>
      <w:r w:rsidRPr="002332F8">
        <w:rPr>
          <w:rFonts w:ascii="Arial" w:hAnsi="Arial" w:cs="Arial"/>
        </w:rPr>
        <w:t>Focusing on fair consideration conveys that employee needs are a legitimate part of organizational decisions, which can foster a greater sense of support and motivate employees to engage in return (Eisenberger et al., 2020; Saks, 2022). The results from cross-national research indicate that the perceived organisational support has generally positive effects, but the strength of these effects depends on institutional and cultural context (Rockstuhl et al., 2020). In Bangladesh HRM research, the supervisory behaviour is crucial as it can determine the engagement effects of formal practices (Alam et al., 2024). But sometimes accommodation can be a form of favouritism when there is the inability to make consistent decisions or in situations where personal relationships influence decisions. This is because being expected to be associated with engagement relies on the perception of it being fair and respectful, not just managerial discretion.</w:t>
      </w:r>
    </w:p>
    <w:p w14:paraId="5CB2D730" w14:textId="77777777" w:rsidR="00D71CCF" w:rsidRPr="002332F8" w:rsidRDefault="00D71CCF" w:rsidP="00D71CCF">
      <w:pPr>
        <w:rPr>
          <w:rFonts w:ascii="Arial" w:hAnsi="Arial" w:cs="Arial"/>
        </w:rPr>
      </w:pPr>
      <w:r w:rsidRPr="002332F8">
        <w:rPr>
          <w:rFonts w:ascii="Arial" w:hAnsi="Arial" w:cs="Arial"/>
        </w:rPr>
        <w:t>2.5 Bangladesh Ready-Made Garment Context</w:t>
      </w:r>
    </w:p>
    <w:p w14:paraId="53F621B4" w14:textId="77777777" w:rsidR="00D71CCF" w:rsidRPr="002332F8" w:rsidRDefault="00D71CCF" w:rsidP="00D71CCF">
      <w:pPr>
        <w:rPr>
          <w:rFonts w:ascii="Arial" w:hAnsi="Arial" w:cs="Arial"/>
        </w:rPr>
      </w:pPr>
      <w:r w:rsidRPr="002332F8">
        <w:rPr>
          <w:rFonts w:ascii="Arial" w:hAnsi="Arial" w:cs="Arial"/>
        </w:rPr>
        <w:t xml:space="preserve">The context of the Bangladesh RMG sector is a challenging one to assess scheduling resources. Imported products are significant in economic terms and have a high labour requirement; the global purchasing practices, delivery pressure and compliance requirements impact the employment conditions at the factory level (Islam, 2021; Anner, 2020; Bangladesh Garment Manufacturers and Exporters Association, n.d.). There is on-going research interest in labour standard concerns, welfare implementation, and labour voice in spite of regulatory and compliance developments (International Labour Organization, 2020; Syed, 2024; Syed, 2025). These conditions </w:t>
      </w:r>
      <w:r w:rsidRPr="002332F8">
        <w:rPr>
          <w:rFonts w:ascii="Arial" w:hAnsi="Arial" w:cs="Arial"/>
        </w:rPr>
        <w:lastRenderedPageBreak/>
        <w:t>accentuate the importance of scheduling since production differences are frequently smoothed out by overtime or additional coordination or shift change. But it is not appropriate to turn criticism on a sector basis into a belief about each individual factory or each individual worker's experience. The case study proposed in this document thus explores perceptions within Natural Group, not industry as a whole.</w:t>
      </w:r>
    </w:p>
    <w:p w14:paraId="2477EB5B" w14:textId="77777777" w:rsidR="00D71CCF" w:rsidRPr="002332F8" w:rsidRDefault="00D71CCF" w:rsidP="00D71CCF">
      <w:pPr>
        <w:rPr>
          <w:rFonts w:ascii="Arial" w:hAnsi="Arial" w:cs="Arial"/>
        </w:rPr>
      </w:pPr>
      <w:r w:rsidRPr="002332F8">
        <w:rPr>
          <w:rFonts w:ascii="Arial" w:hAnsi="Arial" w:cs="Arial"/>
        </w:rPr>
        <w:t>Few studies have been conducted in Bangladesh on work satisfaction, labour welfare, quality of work life, gendered employment and worker vulnerability (Menzel and Woodruff, 2021; Syed and Mahmud, 2022; Syed et al., 2024; Gazi et al., 2024). There are other studies on workplace violence, climate risks and long-term impacts of industrial disaster events (Naved et al., 2021; Nabi et al., 2023; Kabir et al., 2019). However, scheduling is not usually broken down in terms of perceived control, predictability and accommodation. In recent years, RMG evidence has indicated a relationship between engagement and innovative work behaviour; however, engagement has been conceptualised as a pre-condition and not as a consequence of scheduling practice (Nishat and Haque, 2025). The contextual literature thus focuses on serious employment quality issues but does not address the particular relationships examined in this study.</w:t>
      </w:r>
    </w:p>
    <w:p w14:paraId="278CCA4B" w14:textId="77777777" w:rsidR="00D71CCF" w:rsidRPr="002332F8" w:rsidRDefault="00D71CCF" w:rsidP="00D71CCF">
      <w:pPr>
        <w:rPr>
          <w:rFonts w:ascii="Arial" w:hAnsi="Arial" w:cs="Arial"/>
        </w:rPr>
      </w:pPr>
      <w:r w:rsidRPr="002332F8">
        <w:rPr>
          <w:rFonts w:ascii="Arial" w:hAnsi="Arial" w:cs="Arial"/>
        </w:rPr>
        <w:t>The social distribution of scheduling consequences also needs to be considered. Women are also an integral component of the labor force in the garment sector and the burden of labour performed at home might make sudden shifts more problematic for them, while seniority in the job might mean that certain arguments are more likely to be accepted (Menzel and Woodruff, 2021; Naved et al., 2021). Relationships with supervisors and informal adjustments may also be influenced by education and job position and tenure. None of these factors warrants assuming that different perceptions are the case for specific groups, but they suggest that perceptions of scheduling are part of the power dynamics of the workplace. Relevant background characteristics should therefore be included in the descriptive and control analyses without necessarily over-specifying a small sample.</w:t>
      </w:r>
    </w:p>
    <w:p w14:paraId="5F39569E" w14:textId="77777777" w:rsidR="00D71CCF" w:rsidRPr="002332F8" w:rsidRDefault="00D71CCF" w:rsidP="00D71CCF">
      <w:pPr>
        <w:pStyle w:val="Heading2"/>
        <w:rPr>
          <w:rFonts w:ascii="Arial" w:hAnsi="Arial" w:cs="Arial"/>
          <w:color w:val="auto"/>
        </w:rPr>
      </w:pPr>
      <w:bookmarkStart w:id="101" w:name="_Toc236589198"/>
      <w:bookmarkStart w:id="102" w:name="_Toc236591121"/>
      <w:bookmarkStart w:id="103" w:name="h022"/>
      <w:bookmarkStart w:id="104" w:name="_Toc241093465"/>
      <w:bookmarkStart w:id="105" w:name="_Toc241113285"/>
      <w:r w:rsidRPr="002332F8">
        <w:rPr>
          <w:rFonts w:ascii="Arial" w:hAnsi="Arial" w:cs="Arial"/>
          <w:color w:val="auto"/>
        </w:rPr>
        <w:t>2.6 Theoretical Frameworks</w:t>
      </w:r>
      <w:bookmarkEnd w:id="101"/>
      <w:bookmarkEnd w:id="102"/>
      <w:bookmarkEnd w:id="103"/>
      <w:bookmarkEnd w:id="104"/>
      <w:bookmarkEnd w:id="105"/>
    </w:p>
    <w:p w14:paraId="35BCCE28" w14:textId="77777777" w:rsidR="00D71CCF" w:rsidRPr="002332F8" w:rsidRDefault="00D71CCF" w:rsidP="00D71CCF">
      <w:pPr>
        <w:pStyle w:val="Heading3"/>
        <w:rPr>
          <w:rFonts w:ascii="Arial" w:hAnsi="Arial" w:cs="Arial"/>
          <w:color w:val="auto"/>
        </w:rPr>
      </w:pPr>
      <w:bookmarkStart w:id="106" w:name="_Toc236589199"/>
      <w:bookmarkStart w:id="107" w:name="_Toc236591122"/>
      <w:bookmarkStart w:id="108" w:name="h023"/>
      <w:bookmarkStart w:id="109" w:name="_Toc241093466"/>
      <w:bookmarkStart w:id="110" w:name="_Toc241113286"/>
      <w:r w:rsidRPr="002332F8">
        <w:rPr>
          <w:rFonts w:ascii="Arial" w:hAnsi="Arial" w:cs="Arial"/>
          <w:color w:val="auto"/>
        </w:rPr>
        <w:t>2.6.1 Job Demands-Resources Theory</w:t>
      </w:r>
      <w:bookmarkEnd w:id="106"/>
      <w:bookmarkEnd w:id="107"/>
      <w:bookmarkEnd w:id="108"/>
      <w:bookmarkEnd w:id="109"/>
      <w:bookmarkEnd w:id="110"/>
    </w:p>
    <w:p w14:paraId="273D9772" w14:textId="77777777" w:rsidR="00D71CCF" w:rsidRPr="002332F8" w:rsidRDefault="00D71CCF" w:rsidP="00D71CCF">
      <w:pPr>
        <w:rPr>
          <w:rFonts w:ascii="Arial" w:hAnsi="Arial" w:cs="Arial"/>
        </w:rPr>
      </w:pPr>
      <w:r w:rsidRPr="002332F8">
        <w:rPr>
          <w:rFonts w:ascii="Arial" w:hAnsi="Arial" w:cs="Arial"/>
        </w:rPr>
        <w:t xml:space="preserve">According to Job Demands-Resources Theory, the work environment can be divided into demands and resources. Demands are required to be sustained and can lead to </w:t>
      </w:r>
      <w:r w:rsidRPr="002332F8">
        <w:rPr>
          <w:rFonts w:ascii="Arial" w:hAnsi="Arial" w:cs="Arial"/>
        </w:rPr>
        <w:lastRenderedPageBreak/>
        <w:t xml:space="preserve">strain, while resources can be used to achieve goals, to lower demands or to stimulate development and motivation (Bakker and Demerouti, 2017; Bakker et al., 2023). The model contains two broad processes. A health-impairment process links excessive demands with exhaustion, whereas a motivational process links resources with engagement and favourable outcomes. Longitudinal and meta-analytic reviews provide substantial support for these pathways, although effects vary across occupations and resources (Lesener et al., 2019; Lesener et al., 2020; Mazzetti et al., 2023). </w:t>
      </w:r>
    </w:p>
    <w:p w14:paraId="00E7ABC3" w14:textId="77777777" w:rsidR="00D71CCF" w:rsidRPr="002332F8" w:rsidRDefault="00D71CCF" w:rsidP="00D71CCF">
      <w:pPr>
        <w:keepNext/>
        <w:spacing w:before="120" w:after="40"/>
        <w:jc w:val="center"/>
        <w:rPr>
          <w:rFonts w:ascii="Arial" w:hAnsi="Arial" w:cs="Arial"/>
        </w:rPr>
      </w:pPr>
      <w:r w:rsidRPr="002332F8">
        <w:rPr>
          <w:rFonts w:ascii="Arial" w:hAnsi="Arial" w:cs="Arial"/>
          <w:noProof/>
        </w:rPr>
        <w:drawing>
          <wp:inline distT="0" distB="0" distL="0" distR="0" wp14:anchorId="13A2F106" wp14:editId="6D0522C2">
            <wp:extent cx="5541273" cy="3216173"/>
            <wp:effectExtent l="0" t="0" r="2277" b="3277"/>
            <wp:docPr id="1377319206"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541273" cy="3216173"/>
                    </a:xfrm>
                    <a:prstGeom prst="rect">
                      <a:avLst/>
                    </a:prstGeom>
                    <a:noFill/>
                    <a:ln>
                      <a:noFill/>
                      <a:prstDash/>
                    </a:ln>
                  </pic:spPr>
                </pic:pic>
              </a:graphicData>
            </a:graphic>
          </wp:inline>
        </w:drawing>
      </w:r>
    </w:p>
    <w:p w14:paraId="52B505EC" w14:textId="77777777" w:rsidR="00D71CCF" w:rsidRPr="002332F8" w:rsidRDefault="00D71CCF" w:rsidP="00D71CCF">
      <w:pPr>
        <w:pStyle w:val="FigureCaption"/>
        <w:rPr>
          <w:rFonts w:ascii="Arial" w:hAnsi="Arial" w:cs="Arial"/>
        </w:rPr>
      </w:pPr>
      <w:bookmarkStart w:id="111" w:name="fig2_2"/>
      <w:r w:rsidRPr="002332F8">
        <w:rPr>
          <w:rFonts w:ascii="Arial" w:hAnsi="Arial" w:cs="Arial"/>
        </w:rPr>
        <w:t>Figure 2.2. The Job Demands-Resources model</w:t>
      </w:r>
      <w:bookmarkEnd w:id="111"/>
    </w:p>
    <w:p w14:paraId="05B0FD6A" w14:textId="77777777" w:rsidR="00D71CCF" w:rsidRPr="002332F8" w:rsidRDefault="00D71CCF" w:rsidP="00D71CCF">
      <w:pPr>
        <w:pStyle w:val="FigureSource"/>
        <w:rPr>
          <w:rFonts w:ascii="Arial" w:hAnsi="Arial" w:cs="Arial"/>
        </w:rPr>
      </w:pPr>
      <w:r w:rsidRPr="002332F8">
        <w:rPr>
          <w:rFonts w:ascii="Arial" w:hAnsi="Arial" w:cs="Arial"/>
        </w:rPr>
        <w:t>Source: Adapted from Bakker and Demerouti (2017) and Bakker, Demerouti and Sanz-Vergel (2023).</w:t>
      </w:r>
    </w:p>
    <w:p w14:paraId="71F67FCE" w14:textId="77777777" w:rsidR="00D71CCF" w:rsidRPr="002332F8" w:rsidRDefault="00D71CCF" w:rsidP="00D71CCF">
      <w:pPr>
        <w:rPr>
          <w:rFonts w:ascii="Arial" w:hAnsi="Arial" w:cs="Arial"/>
        </w:rPr>
      </w:pPr>
      <w:r w:rsidRPr="002332F8">
        <w:rPr>
          <w:rFonts w:ascii="Arial" w:hAnsi="Arial" w:cs="Arial"/>
        </w:rPr>
        <w:t xml:space="preserve">As seen in Figure 2.2, demands can decrease health and energy, and resources can increase motivation and organisational outcomes. The relevant demand environment for the present study is tight targets, overtime, and changing production requirements, which are not directly measured. Autonomy can be achieved through the use of schedule control, uncertainty can be minimised with predictability, and practical and social support can be achieved through accommodation. Theoretically, treating these perceptions as resources is logical, since each could be useful for employees' work needs and personal responsibilities. The design only examines the motivational aspect of the model, however. It is unable to determine if scheduling resources buffers specific demands or prevents exhaustion or causes engagement. JD-R Theory thus </w:t>
      </w:r>
      <w:r w:rsidRPr="002332F8">
        <w:rPr>
          <w:rFonts w:ascii="Arial" w:hAnsi="Arial" w:cs="Arial"/>
        </w:rPr>
        <w:lastRenderedPageBreak/>
        <w:t>provides a disciplined explanation for the anticipated associations but the cross-sectional model is only a partial test of the theory.</w:t>
      </w:r>
    </w:p>
    <w:p w14:paraId="1891F9CD" w14:textId="77777777" w:rsidR="00D71CCF" w:rsidRPr="002332F8" w:rsidRDefault="00D71CCF" w:rsidP="00D71CCF">
      <w:pPr>
        <w:pStyle w:val="Heading3"/>
        <w:rPr>
          <w:rFonts w:ascii="Arial" w:hAnsi="Arial" w:cs="Arial"/>
          <w:color w:val="auto"/>
        </w:rPr>
      </w:pPr>
      <w:bookmarkStart w:id="112" w:name="_Toc236589200"/>
      <w:bookmarkStart w:id="113" w:name="_Toc236591123"/>
      <w:bookmarkStart w:id="114" w:name="h024"/>
      <w:bookmarkStart w:id="115" w:name="_Toc241093467"/>
      <w:bookmarkStart w:id="116" w:name="_Toc241113287"/>
      <w:r w:rsidRPr="002332F8">
        <w:rPr>
          <w:rFonts w:ascii="Arial" w:hAnsi="Arial" w:cs="Arial"/>
          <w:color w:val="auto"/>
        </w:rPr>
        <w:t>2.6.2 Social Exchange Theory</w:t>
      </w:r>
      <w:bookmarkEnd w:id="112"/>
      <w:bookmarkEnd w:id="113"/>
      <w:bookmarkEnd w:id="114"/>
      <w:bookmarkEnd w:id="115"/>
      <w:bookmarkEnd w:id="116"/>
    </w:p>
    <w:p w14:paraId="3328D99B" w14:textId="77777777" w:rsidR="00D71CCF" w:rsidRPr="002332F8" w:rsidRDefault="00D71CCF" w:rsidP="00D71CCF">
      <w:pPr>
        <w:rPr>
          <w:rFonts w:ascii="Arial" w:hAnsi="Arial" w:cs="Arial"/>
        </w:rPr>
      </w:pPr>
      <w:r w:rsidRPr="002332F8">
        <w:rPr>
          <w:rFonts w:ascii="Arial" w:hAnsi="Arial" w:cs="Arial"/>
        </w:rPr>
        <w:t>Social Exchange Theory is a theory about employment relationships that relies on the idea of reciprocal exchanges that occur over time. The employee who feels it was treated well and willingly may feel obligated to return positive attitudes and/or actions (Cropanzano et al., 2017; Ahmad et al., 2023). Communication, consideration and respect in scheduling can indicate that the organisation values its employees, rather than using them as a variable resource. A similar mechanism is perceived organisation support, as organisational care is linked to commitment, performance and engagement (Eisenberger et al., 2020; Rockstuhl et al., 2020; Inam et al., 2021). The theory is especially applicable to the case of shift accommodation, as the managerial treatment might be important even if it is impossible to comply with all demands.</w:t>
      </w:r>
    </w:p>
    <w:p w14:paraId="4130E8A0" w14:textId="77777777" w:rsidR="00D71CCF" w:rsidRPr="002332F8" w:rsidRDefault="00D71CCF" w:rsidP="00D71CCF">
      <w:pPr>
        <w:keepNext/>
        <w:spacing w:before="120" w:after="40"/>
        <w:jc w:val="center"/>
        <w:rPr>
          <w:rFonts w:ascii="Arial" w:hAnsi="Arial" w:cs="Arial"/>
        </w:rPr>
      </w:pPr>
      <w:r w:rsidRPr="002332F8">
        <w:rPr>
          <w:rFonts w:ascii="Arial" w:hAnsi="Arial" w:cs="Arial"/>
          <w:noProof/>
        </w:rPr>
        <w:drawing>
          <wp:inline distT="0" distB="0" distL="0" distR="0" wp14:anchorId="7913536D" wp14:editId="75746C9D">
            <wp:extent cx="5532120" cy="4203387"/>
            <wp:effectExtent l="0" t="0" r="0" b="6663"/>
            <wp:docPr id="2001265236"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532120" cy="4203387"/>
                    </a:xfrm>
                    <a:prstGeom prst="rect">
                      <a:avLst/>
                    </a:prstGeom>
                    <a:noFill/>
                    <a:ln>
                      <a:noFill/>
                      <a:prstDash/>
                    </a:ln>
                  </pic:spPr>
                </pic:pic>
              </a:graphicData>
            </a:graphic>
          </wp:inline>
        </w:drawing>
      </w:r>
    </w:p>
    <w:p w14:paraId="0C590963" w14:textId="77777777" w:rsidR="00D71CCF" w:rsidRPr="002332F8" w:rsidRDefault="00D71CCF" w:rsidP="00D71CCF">
      <w:pPr>
        <w:pStyle w:val="FigureCaption"/>
        <w:rPr>
          <w:rFonts w:ascii="Arial" w:hAnsi="Arial" w:cs="Arial"/>
        </w:rPr>
      </w:pPr>
      <w:bookmarkStart w:id="117" w:name="fig2_3"/>
      <w:r w:rsidRPr="002332F8">
        <w:rPr>
          <w:rFonts w:ascii="Arial" w:hAnsi="Arial" w:cs="Arial"/>
        </w:rPr>
        <w:t>Figure 2.3. Illustrative social exchange pathways through trust and relationship satisfaction</w:t>
      </w:r>
      <w:bookmarkEnd w:id="117"/>
    </w:p>
    <w:p w14:paraId="4EC9C479" w14:textId="77777777" w:rsidR="00D71CCF" w:rsidRPr="002332F8" w:rsidRDefault="00D71CCF" w:rsidP="00D71CCF">
      <w:pPr>
        <w:pStyle w:val="FigureSource"/>
        <w:rPr>
          <w:rFonts w:ascii="Arial" w:hAnsi="Arial" w:cs="Arial"/>
        </w:rPr>
      </w:pPr>
      <w:r w:rsidRPr="002332F8">
        <w:rPr>
          <w:rFonts w:ascii="Arial" w:hAnsi="Arial" w:cs="Arial"/>
        </w:rPr>
        <w:t>Source: Adapted from Cropanzano et al. (2017), Ahmad et al. (2023) and Eisenberger et al. (2020).</w:t>
      </w:r>
    </w:p>
    <w:p w14:paraId="2D8347ED" w14:textId="77777777" w:rsidR="00D71CCF" w:rsidRPr="002332F8" w:rsidRDefault="00D71CCF" w:rsidP="00D71CCF">
      <w:pPr>
        <w:rPr>
          <w:rFonts w:ascii="Arial" w:hAnsi="Arial" w:cs="Arial"/>
        </w:rPr>
      </w:pPr>
      <w:r w:rsidRPr="002332F8">
        <w:rPr>
          <w:rFonts w:ascii="Arial" w:hAnsi="Arial" w:cs="Arial"/>
        </w:rPr>
        <w:lastRenderedPageBreak/>
        <w:t>Trust and relationship satisfaction are presented as mechanisms linking the exchange conditions and relationship outcomes in Figure 2.3. From general logic it has merits, but the following variables of this dissertation are not listed as displayed antecedents: financial dependence, opportunistic behaviour. The figure therefore should not be considered as being part of the study model, but as an illustration of reciprocity. Consistent and fair communication and accommodation can foster trust in scheduling; inconsistent and selective communication and accommodation can erode trust in scheduling. However, SET has its limitations. The principle of reciprocity does not apply when power is imbalanced, there are fewer options or the favorability is seen as a right of being, rather than a privilege of being (Cropanzano et al., 2017). In the factory environment, engagement can be seen as the reciprocation as well as economic dependence. The theory is to be complementary to the resource-based explanation, rather than supplanting it.</w:t>
      </w:r>
    </w:p>
    <w:p w14:paraId="206B0D24" w14:textId="77777777" w:rsidR="00D71CCF" w:rsidRPr="002332F8" w:rsidRDefault="00D71CCF" w:rsidP="00D71CCF">
      <w:pPr>
        <w:pStyle w:val="Heading3"/>
        <w:rPr>
          <w:rFonts w:ascii="Arial" w:hAnsi="Arial" w:cs="Arial"/>
          <w:color w:val="auto"/>
        </w:rPr>
      </w:pPr>
      <w:bookmarkStart w:id="118" w:name="_Toc236589201"/>
      <w:bookmarkStart w:id="119" w:name="_Toc236591124"/>
      <w:bookmarkStart w:id="120" w:name="h025"/>
      <w:bookmarkStart w:id="121" w:name="_Toc241093468"/>
      <w:bookmarkStart w:id="122" w:name="_Toc241113288"/>
      <w:r w:rsidRPr="002332F8">
        <w:rPr>
          <w:rFonts w:ascii="Arial" w:hAnsi="Arial" w:cs="Arial"/>
          <w:color w:val="auto"/>
        </w:rPr>
        <w:t>2.6.3 Integration of the Theoretical Frameworks</w:t>
      </w:r>
      <w:bookmarkEnd w:id="118"/>
      <w:bookmarkEnd w:id="119"/>
      <w:bookmarkEnd w:id="120"/>
      <w:bookmarkEnd w:id="121"/>
      <w:bookmarkEnd w:id="122"/>
    </w:p>
    <w:p w14:paraId="45E3E0D7" w14:textId="77777777" w:rsidR="00D71CCF" w:rsidRPr="002332F8" w:rsidRDefault="00D71CCF" w:rsidP="00D71CCF">
      <w:pPr>
        <w:rPr>
          <w:rFonts w:ascii="Arial" w:hAnsi="Arial" w:cs="Arial"/>
        </w:rPr>
      </w:pPr>
      <w:r w:rsidRPr="002332F8">
        <w:rPr>
          <w:rFonts w:ascii="Arial" w:hAnsi="Arial" w:cs="Arial"/>
        </w:rPr>
        <w:t xml:space="preserve">JD-R Theory and Social Exchange Theory explain different aspects of the same proposed relationships. The purpose of JD-R Theory is to examine the importance of scheduling behaviors. When control, predictability and accommodation are maintained, energy is conserved, uncertainty is minimized and goal achievement is facilitated. SET deals with their relational meaning. The same practices can send a message of fairness, care and respect, and the employees' response to such messages may be to be more involved (Bakker et al., 2023; Saks, 2019; Eisenberger et al., 2020). Theoretical substitution may not be as good as integration because it can be predictive and thus get workers to engage even if they feel no sense of organisational benevolence, whereas accommodation can affect engagement through perceived support. The overarching framework also avoids an overly mechanical interpretation of job resources, as it takes consideration of social meaning of implementation. </w:t>
      </w:r>
    </w:p>
    <w:p w14:paraId="52356BE0" w14:textId="77777777" w:rsidR="00D71CCF" w:rsidRPr="002332F8" w:rsidRDefault="00D71CCF" w:rsidP="00D71CCF">
      <w:pPr>
        <w:pStyle w:val="Heading2"/>
        <w:rPr>
          <w:rFonts w:ascii="Arial" w:hAnsi="Arial" w:cs="Arial"/>
          <w:color w:val="auto"/>
        </w:rPr>
      </w:pPr>
      <w:bookmarkStart w:id="123" w:name="_Toc236589202"/>
      <w:bookmarkStart w:id="124" w:name="_Toc236591125"/>
      <w:bookmarkStart w:id="125" w:name="h026"/>
      <w:bookmarkStart w:id="126" w:name="_Toc241093469"/>
      <w:bookmarkStart w:id="127" w:name="_Toc241113289"/>
      <w:r w:rsidRPr="002332F8">
        <w:rPr>
          <w:rFonts w:ascii="Arial" w:hAnsi="Arial" w:cs="Arial"/>
          <w:color w:val="auto"/>
        </w:rPr>
        <w:t>2.7 Research Gap</w:t>
      </w:r>
      <w:bookmarkEnd w:id="123"/>
      <w:bookmarkEnd w:id="124"/>
      <w:bookmarkEnd w:id="125"/>
      <w:bookmarkEnd w:id="126"/>
      <w:bookmarkEnd w:id="127"/>
    </w:p>
    <w:p w14:paraId="66784D0F" w14:textId="77777777" w:rsidR="00D71CCF" w:rsidRPr="002332F8" w:rsidRDefault="00D71CCF" w:rsidP="00D71CCF">
      <w:pPr>
        <w:rPr>
          <w:rFonts w:ascii="Arial" w:hAnsi="Arial" w:cs="Arial"/>
        </w:rPr>
      </w:pPr>
      <w:r>
        <w:rPr>
          <w:rFonts w:ascii="Arial" w:hAnsi="Arial" w:cs="Arial"/>
        </w:rPr>
        <w:t xml:space="preserve">Four inter-related Gaps have been identified from the literatures discussed above. </w:t>
      </w:r>
      <w:r w:rsidRPr="00AA11DA">
        <w:rPr>
          <w:rFonts w:ascii="Arial" w:hAnsi="Arial" w:cs="Arial"/>
          <w:b/>
          <w:bCs/>
        </w:rPr>
        <w:t>Firstly,</w:t>
      </w:r>
      <w:r>
        <w:rPr>
          <w:rFonts w:ascii="Arial" w:hAnsi="Arial" w:cs="Arial"/>
        </w:rPr>
        <w:t xml:space="preserve"> the research on flexible work focuses on the </w:t>
      </w:r>
      <w:r w:rsidRPr="002332F8">
        <w:rPr>
          <w:rFonts w:ascii="Arial" w:hAnsi="Arial" w:cs="Arial"/>
        </w:rPr>
        <w:t>remote, hybrid, professional and service settings, limiting</w:t>
      </w:r>
      <w:r>
        <w:rPr>
          <w:rFonts w:ascii="Arial" w:hAnsi="Arial" w:cs="Arial"/>
        </w:rPr>
        <w:t xml:space="preserve"> the focus on factory production where the employees may need to work together at the same time </w:t>
      </w:r>
      <w:r w:rsidRPr="002332F8">
        <w:rPr>
          <w:rFonts w:ascii="Arial" w:hAnsi="Arial" w:cs="Arial"/>
        </w:rPr>
        <w:t xml:space="preserve">(Bloom et al., 2024). </w:t>
      </w:r>
      <w:r w:rsidRPr="00AA11DA">
        <w:rPr>
          <w:rFonts w:ascii="Arial" w:hAnsi="Arial" w:cs="Arial"/>
          <w:b/>
          <w:bCs/>
        </w:rPr>
        <w:t>Secondly,</w:t>
      </w:r>
      <w:r w:rsidRPr="002332F8">
        <w:rPr>
          <w:rFonts w:ascii="Arial" w:hAnsi="Arial" w:cs="Arial"/>
        </w:rPr>
        <w:t xml:space="preserve"> broad </w:t>
      </w:r>
      <w:r w:rsidRPr="002332F8">
        <w:rPr>
          <w:rFonts w:ascii="Arial" w:hAnsi="Arial" w:cs="Arial"/>
        </w:rPr>
        <w:lastRenderedPageBreak/>
        <w:t xml:space="preserve">measures combine policy availability, temporal control and spatial flexibility, obscuring which scheduling experience is associated with engagement (Allen et al., 2013; de Menezes and Kelliher, 2017; Kossek et al., 2023). </w:t>
      </w:r>
      <w:r w:rsidRPr="00A85BEE">
        <w:rPr>
          <w:rFonts w:ascii="Arial" w:hAnsi="Arial" w:cs="Arial"/>
          <w:b/>
          <w:bCs/>
        </w:rPr>
        <w:t>Thirdly,</w:t>
      </w:r>
      <w:r w:rsidRPr="002332F8">
        <w:rPr>
          <w:rFonts w:ascii="Arial" w:hAnsi="Arial" w:cs="Arial"/>
        </w:rPr>
        <w:t xml:space="preserve"> schedule-instability studies provide strong evidence concerning health and hardship, but rarely test employee engagement or separate predictability from control and accommodation (Lambert et al., 2019; Schneider and Harknett, 2019; Harknett et al., 2021). </w:t>
      </w:r>
      <w:r w:rsidRPr="00A85BEE">
        <w:rPr>
          <w:rFonts w:ascii="Arial" w:hAnsi="Arial" w:cs="Arial"/>
          <w:b/>
          <w:bCs/>
        </w:rPr>
        <w:t>Fourthly,</w:t>
      </w:r>
      <w:r w:rsidRPr="002332F8">
        <w:rPr>
          <w:rFonts w:ascii="Arial" w:hAnsi="Arial" w:cs="Arial"/>
        </w:rPr>
        <w:t xml:space="preserve"> Bangladesh RMG research has prioritised labour standards, welfare, satisfaction and vulnerability, while the scheduling antecedents of engagement remain underexamined (Syed and Mahmud, 2022; Syed et al., 2024; Nishat and Haque, 2025). The study addresses this gap by measuring schedule control, predictability and accommodation separately and estimating their unique associations with UWES-3 engagement within Natural Group Bangladesh. The design does not enable the determination of causation or industry-wide generalisability, but it can yield a more context-valid test than broader measures of flexible work from different occupations.</w:t>
      </w:r>
    </w:p>
    <w:p w14:paraId="30312CBD" w14:textId="77777777" w:rsidR="00D71CCF" w:rsidRPr="002332F8" w:rsidRDefault="00D71CCF" w:rsidP="00D71CCF">
      <w:pPr>
        <w:pStyle w:val="Heading2"/>
        <w:rPr>
          <w:rFonts w:ascii="Arial" w:hAnsi="Arial" w:cs="Arial"/>
          <w:color w:val="auto"/>
        </w:rPr>
      </w:pPr>
      <w:bookmarkStart w:id="128" w:name="_Toc236589203"/>
      <w:bookmarkStart w:id="129" w:name="_Toc236591126"/>
      <w:bookmarkStart w:id="130" w:name="h027"/>
      <w:bookmarkStart w:id="131" w:name="_Toc241093470"/>
      <w:bookmarkStart w:id="132" w:name="_Toc241113290"/>
      <w:r w:rsidRPr="002332F8">
        <w:rPr>
          <w:rFonts w:ascii="Arial" w:hAnsi="Arial" w:cs="Arial"/>
          <w:color w:val="auto"/>
        </w:rPr>
        <w:t>2.8 Conceptual Framework and Hypothesis Development</w:t>
      </w:r>
      <w:bookmarkEnd w:id="128"/>
      <w:bookmarkEnd w:id="129"/>
      <w:bookmarkEnd w:id="130"/>
      <w:bookmarkEnd w:id="131"/>
      <w:bookmarkEnd w:id="132"/>
    </w:p>
    <w:p w14:paraId="698E24E7" w14:textId="77777777" w:rsidR="00D71CCF" w:rsidRPr="002332F8" w:rsidRDefault="00D71CCF" w:rsidP="00D71CCF">
      <w:pPr>
        <w:rPr>
          <w:rFonts w:ascii="Arial" w:hAnsi="Arial" w:cs="Arial"/>
        </w:rPr>
      </w:pPr>
      <w:r w:rsidRPr="002332F8">
        <w:rPr>
          <w:rFonts w:ascii="Arial" w:hAnsi="Arial" w:cs="Arial"/>
        </w:rPr>
        <w:t xml:space="preserve">The conceptual framework illustrates the proposed relationships between employees' perceptions of flexible work arrangements with employee engagement among staff at Natural Group Bangladesh. It uses the perceived schedule control, perceived schedule predictability, and perceived shift accommodation as independent variables and employee engagement as the dependent variable (Allen et al., 2013; Kossek, Perrigino and Lautsch, 2023; Soga et al., 2022). </w:t>
      </w:r>
    </w:p>
    <w:p w14:paraId="0D2A8E62" w14:textId="77777777" w:rsidR="00D71CCF" w:rsidRPr="002332F8" w:rsidRDefault="00D71CCF" w:rsidP="00D71CCF">
      <w:pPr>
        <w:rPr>
          <w:rFonts w:ascii="Arial" w:hAnsi="Arial" w:cs="Arial"/>
        </w:rPr>
      </w:pPr>
      <w:r w:rsidRPr="002332F8">
        <w:rPr>
          <w:rFonts w:ascii="Arial" w:hAnsi="Arial" w:cs="Arial"/>
        </w:rPr>
        <w:t xml:space="preserve">Perceived schedule control refers to the extent to which employees believe that they can influence the timing, duration, or adjustment of their working hours. Such control can take the form of job autonomy and allow workers to better manage work and non-work demands, but its effects are contingent upon whether flexibility is truly employee-oriented, or mostly aimed at meeting organisational needs (Allen et al., 2013; Boccoli et al., 2024). Perceived schedule predictability concerns the extent to which employees receive sufficient advance notice and experience consistency in their scheduled working days and hours. Predictable scheduling may reduce uncertainty, support personal planning, and protect employee well-being, whereas unstable schedules have been associated with sleep disruption, material hardship, and poorer health outcomes in hourly work settings (Lambert et al., 2019; Schneider and Harknett, </w:t>
      </w:r>
      <w:r w:rsidRPr="002332F8">
        <w:rPr>
          <w:rFonts w:ascii="Arial" w:hAnsi="Arial" w:cs="Arial"/>
        </w:rPr>
        <w:lastRenderedPageBreak/>
        <w:t>2019; Harknett, Schneider and Wolfe, 2020; Harknett, Schneider and Irwin, 2021). Perceived shift accommodation refers to employees’ perceptions that supervisors and the organisation fairly consider reasonable requests for shift changes, leave adjustments, or schedule modifications. Such accommodation can indicate managerial care, fairness, and support, but it can also be interpreted inconsistently, and may result in differential access to flexibility, thus diminishing this impact (de Menezes and Kelliher, 2017; Eisenberger, Rhoades Shanock and Wen, 2020; Kossek, Perrigino and Lautsch, 2023).</w:t>
      </w:r>
    </w:p>
    <w:p w14:paraId="34A4FE9F" w14:textId="77777777" w:rsidR="00D71CCF" w:rsidRPr="002332F8" w:rsidRDefault="00D71CCF" w:rsidP="00D71CCF">
      <w:pPr>
        <w:keepNext/>
        <w:spacing w:before="120" w:after="40"/>
        <w:jc w:val="center"/>
        <w:rPr>
          <w:rFonts w:ascii="Arial" w:hAnsi="Arial" w:cs="Arial"/>
        </w:rPr>
      </w:pPr>
      <w:r w:rsidRPr="002332F8">
        <w:rPr>
          <w:rFonts w:ascii="Arial" w:hAnsi="Arial" w:cs="Arial"/>
          <w:noProof/>
        </w:rPr>
        <w:drawing>
          <wp:inline distT="0" distB="0" distL="0" distR="0" wp14:anchorId="0E77B228" wp14:editId="20FA6A65">
            <wp:extent cx="5532120" cy="2801849"/>
            <wp:effectExtent l="0" t="0" r="0" b="0"/>
            <wp:docPr id="1699289389"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532120" cy="2801849"/>
                    </a:xfrm>
                    <a:prstGeom prst="rect">
                      <a:avLst/>
                    </a:prstGeom>
                    <a:noFill/>
                    <a:ln>
                      <a:noFill/>
                      <a:prstDash/>
                    </a:ln>
                  </pic:spPr>
                </pic:pic>
              </a:graphicData>
            </a:graphic>
          </wp:inline>
        </w:drawing>
      </w:r>
    </w:p>
    <w:p w14:paraId="38C8FC5E" w14:textId="77777777" w:rsidR="00D71CCF" w:rsidRPr="002332F8" w:rsidRDefault="00D71CCF" w:rsidP="00D71CCF">
      <w:pPr>
        <w:pStyle w:val="FigureCaption"/>
        <w:rPr>
          <w:rFonts w:ascii="Arial" w:hAnsi="Arial" w:cs="Arial"/>
        </w:rPr>
      </w:pPr>
      <w:bookmarkStart w:id="133" w:name="fig2_4"/>
      <w:r w:rsidRPr="002332F8">
        <w:rPr>
          <w:rFonts w:ascii="Arial" w:hAnsi="Arial" w:cs="Arial"/>
        </w:rPr>
        <w:t>Figure 2.4. Conceptual framework for perceived scheduling practices and employee engagement</w:t>
      </w:r>
      <w:bookmarkEnd w:id="133"/>
    </w:p>
    <w:p w14:paraId="11867D7D" w14:textId="77777777" w:rsidR="00D71CCF" w:rsidRPr="002332F8" w:rsidRDefault="00D71CCF" w:rsidP="00D71CCF">
      <w:pPr>
        <w:pStyle w:val="FigureSource"/>
        <w:rPr>
          <w:rFonts w:ascii="Arial" w:hAnsi="Arial" w:cs="Arial"/>
        </w:rPr>
      </w:pPr>
      <w:r w:rsidRPr="002332F8">
        <w:rPr>
          <w:rFonts w:ascii="Arial" w:hAnsi="Arial" w:cs="Arial"/>
        </w:rPr>
        <w:t>Source: Author's conceptual framework based on Bakker and Demerouti (2017), Cropanzano et al. (2017), Schaufeli et al. (2019) and the reviewed scheduling literature.</w:t>
      </w:r>
    </w:p>
    <w:p w14:paraId="6F88E7FE" w14:textId="77777777" w:rsidR="00D71CCF" w:rsidRPr="002332F8" w:rsidRDefault="00D71CCF" w:rsidP="00D71CCF">
      <w:pPr>
        <w:rPr>
          <w:rFonts w:ascii="Arial" w:hAnsi="Arial" w:cs="Arial"/>
        </w:rPr>
      </w:pPr>
      <w:r w:rsidRPr="002332F8">
        <w:rPr>
          <w:rFonts w:ascii="Arial" w:hAnsi="Arial" w:cs="Arial"/>
        </w:rPr>
        <w:t xml:space="preserve">The framework is theoretically grounded in Job Demands–Resources Theory and Social Exchange Theory. From a Job Demands–Resources perspective, schedule control, predictability, and accommodation can be treated as job resources because they may reduce scheduling uncertainty, strengthen autonomy, support work-life management, and sustain motivational energy (Bakker and Demerouti, 2017; Bakker, Demerouti and Sanz-Vergel, 2023; Mazzetti et al., 2023). Social Exchange Theory complements this explanation by proposing that employees who perceive fair, supportive, and considerate treatment are more likely to reciprocate through stronger commitment, involvement, and engagement (Cropanzano et al., 2017; Ahmad et al., 2023; Saks, 2019). However, this reciprocal response depends on employees interpreting scheduling practices as genuine organisational support rather than as </w:t>
      </w:r>
      <w:r w:rsidRPr="002332F8">
        <w:rPr>
          <w:rFonts w:ascii="Arial" w:hAnsi="Arial" w:cs="Arial"/>
        </w:rPr>
        <w:lastRenderedPageBreak/>
        <w:t>symbolic or inconsistently implemented policies (Eisenberger, Rhoades Shanock and Wen, 2020; Rockstuhl et al., 2020).</w:t>
      </w:r>
    </w:p>
    <w:p w14:paraId="7238F554" w14:textId="77777777" w:rsidR="00D71CCF" w:rsidRPr="002332F8" w:rsidRDefault="00D71CCF" w:rsidP="00D71CCF">
      <w:pPr>
        <w:rPr>
          <w:rFonts w:ascii="Arial" w:hAnsi="Arial" w:cs="Arial"/>
        </w:rPr>
      </w:pPr>
      <w:r w:rsidRPr="002332F8">
        <w:rPr>
          <w:rFonts w:ascii="Arial" w:hAnsi="Arial" w:cs="Arial"/>
        </w:rPr>
        <w:t>In Figure 2.4, the three predictors have been separated and each is directly connected to engagement. This adds flexibility to the broad model in Fig. 2.1 without the introduction of mediators that are not measured or flexible forms that are not related to the study problem. The model still has an associational quality. Positive coefficients do not prove that scheduling perceptions led to engagement, but would be consistent with JD-R and SET. Nevertheless, reverse interpretation and common-method effects could still occur as all constructs are self-reported at a single time point.</w:t>
      </w:r>
    </w:p>
    <w:p w14:paraId="0E2893AD" w14:textId="77777777" w:rsidR="00D71CCF" w:rsidRPr="002332F8" w:rsidRDefault="00D71CCF" w:rsidP="00D71CCF">
      <w:pPr>
        <w:pStyle w:val="Heading3"/>
        <w:rPr>
          <w:rFonts w:ascii="Arial" w:hAnsi="Arial" w:cs="Arial"/>
          <w:color w:val="auto"/>
        </w:rPr>
      </w:pPr>
      <w:bookmarkStart w:id="134" w:name="_Toc236589204"/>
      <w:bookmarkStart w:id="135" w:name="_Toc236591127"/>
      <w:bookmarkStart w:id="136" w:name="h028"/>
      <w:bookmarkStart w:id="137" w:name="_Toc241093471"/>
      <w:bookmarkStart w:id="138" w:name="_Toc241113291"/>
      <w:r w:rsidRPr="002332F8">
        <w:rPr>
          <w:rFonts w:ascii="Arial" w:hAnsi="Arial" w:cs="Arial"/>
          <w:color w:val="auto"/>
        </w:rPr>
        <w:t>2.8.1 Perceived Schedule Control and Employee Engagement</w:t>
      </w:r>
      <w:bookmarkEnd w:id="134"/>
      <w:bookmarkEnd w:id="135"/>
      <w:bookmarkEnd w:id="136"/>
      <w:bookmarkEnd w:id="137"/>
      <w:bookmarkEnd w:id="138"/>
    </w:p>
    <w:p w14:paraId="45B60693" w14:textId="77777777" w:rsidR="00D71CCF" w:rsidRPr="002332F8" w:rsidRDefault="00D71CCF" w:rsidP="00D71CCF">
      <w:pPr>
        <w:rPr>
          <w:rFonts w:ascii="Arial" w:hAnsi="Arial" w:cs="Arial"/>
        </w:rPr>
      </w:pPr>
      <w:r w:rsidRPr="002332F8">
        <w:rPr>
          <w:rFonts w:ascii="Arial" w:hAnsi="Arial" w:cs="Arial"/>
        </w:rPr>
        <w:t>Engagement should be reinforced through schedule control as it gives some influence over working time, which can enhance autonomy and make demands more manageable. There is general evidence that supports this expectation of flexibility, boundary control and engagement, though these aspects are fraught with occupational and methodological limitations (Allen et al., 2013; Bal and De Lange, 2015; Weideman and Hofmeyr, 2020; Boccoli et al., 2024). Even bounded influence can become a valuable resource in factory production.</w:t>
      </w:r>
    </w:p>
    <w:p w14:paraId="73270E1D" w14:textId="77777777" w:rsidR="00D71CCF" w:rsidRPr="002332F8" w:rsidRDefault="00D71CCF" w:rsidP="00D71CCF">
      <w:pPr>
        <w:keepLines/>
        <w:ind w:left="360" w:right="360"/>
        <w:rPr>
          <w:rFonts w:ascii="Arial" w:hAnsi="Arial" w:cs="Arial"/>
        </w:rPr>
      </w:pPr>
      <w:r w:rsidRPr="002332F8">
        <w:rPr>
          <w:rFonts w:ascii="Arial" w:hAnsi="Arial" w:cs="Arial"/>
          <w:b/>
        </w:rPr>
        <w:t xml:space="preserve">H1: </w:t>
      </w:r>
      <w:r w:rsidRPr="002332F8">
        <w:rPr>
          <w:rFonts w:ascii="Arial" w:hAnsi="Arial" w:cs="Arial"/>
          <w:i/>
        </w:rPr>
        <w:t>Perceived schedule control is positively and significantly associated with employee engagement.</w:t>
      </w:r>
    </w:p>
    <w:p w14:paraId="3C557123" w14:textId="77777777" w:rsidR="00D71CCF" w:rsidRPr="002332F8" w:rsidRDefault="00D71CCF" w:rsidP="00D71CCF">
      <w:pPr>
        <w:pStyle w:val="Heading3"/>
        <w:rPr>
          <w:rFonts w:ascii="Arial" w:hAnsi="Arial" w:cs="Arial"/>
          <w:color w:val="auto"/>
        </w:rPr>
      </w:pPr>
      <w:bookmarkStart w:id="139" w:name="_Toc236589205"/>
      <w:bookmarkStart w:id="140" w:name="_Toc236591128"/>
      <w:bookmarkStart w:id="141" w:name="h029"/>
      <w:bookmarkStart w:id="142" w:name="_Toc241093472"/>
      <w:bookmarkStart w:id="143" w:name="_Toc241113292"/>
      <w:r w:rsidRPr="002332F8">
        <w:rPr>
          <w:rFonts w:ascii="Arial" w:hAnsi="Arial" w:cs="Arial"/>
          <w:color w:val="auto"/>
        </w:rPr>
        <w:t>2.8.2 Perceived Schedule Predictability and Employee Engagement</w:t>
      </w:r>
      <w:bookmarkEnd w:id="139"/>
      <w:bookmarkEnd w:id="140"/>
      <w:bookmarkEnd w:id="141"/>
      <w:bookmarkEnd w:id="142"/>
      <w:bookmarkEnd w:id="143"/>
    </w:p>
    <w:p w14:paraId="34E21645" w14:textId="77777777" w:rsidR="00D71CCF" w:rsidRPr="002332F8" w:rsidRDefault="00D71CCF" w:rsidP="00D71CCF">
      <w:pPr>
        <w:rPr>
          <w:rFonts w:ascii="Arial" w:hAnsi="Arial" w:cs="Arial"/>
        </w:rPr>
      </w:pPr>
      <w:r w:rsidRPr="002332F8">
        <w:rPr>
          <w:rFonts w:ascii="Arial" w:hAnsi="Arial" w:cs="Arial"/>
        </w:rPr>
        <w:t>Predictability should enhance engagement by removing uncertainty and help to allow employees to plan other aspects of their lives. There is evidence that stable advance notice is associated with better employee experiences but not always with increased engagement (Lambert et al., 2019; Harknett et al., 2020; Harknett et al., 2021; Kesavan et al., 2022). The relationship should be positive as less uncertainty will mean more energy for work involvement. The relationship between H2: Perceived schedule predictability and employee engagement is positive and significant.</w:t>
      </w:r>
    </w:p>
    <w:p w14:paraId="607D24A3" w14:textId="77777777" w:rsidR="00D71CCF" w:rsidRPr="002332F8" w:rsidRDefault="00D71CCF" w:rsidP="00D71CCF">
      <w:pPr>
        <w:keepLines/>
        <w:ind w:left="360" w:right="360"/>
        <w:rPr>
          <w:rFonts w:ascii="Arial" w:hAnsi="Arial" w:cs="Arial"/>
        </w:rPr>
      </w:pPr>
      <w:r w:rsidRPr="002332F8">
        <w:rPr>
          <w:rFonts w:ascii="Arial" w:hAnsi="Arial" w:cs="Arial"/>
          <w:b/>
        </w:rPr>
        <w:t xml:space="preserve">H2: </w:t>
      </w:r>
      <w:r w:rsidRPr="002332F8">
        <w:rPr>
          <w:rFonts w:ascii="Arial" w:hAnsi="Arial" w:cs="Arial"/>
          <w:i/>
        </w:rPr>
        <w:t>Perceived schedule predictability is positively and significantly associated with employee engagement.</w:t>
      </w:r>
    </w:p>
    <w:p w14:paraId="3BF37DAC" w14:textId="77777777" w:rsidR="00D71CCF" w:rsidRPr="002332F8" w:rsidRDefault="00D71CCF" w:rsidP="00D71CCF">
      <w:pPr>
        <w:pStyle w:val="Heading3"/>
        <w:rPr>
          <w:rFonts w:ascii="Arial" w:hAnsi="Arial" w:cs="Arial"/>
          <w:color w:val="auto"/>
        </w:rPr>
      </w:pPr>
      <w:bookmarkStart w:id="144" w:name="_Toc236589206"/>
      <w:bookmarkStart w:id="145" w:name="_Toc236591129"/>
      <w:bookmarkStart w:id="146" w:name="h030"/>
      <w:bookmarkStart w:id="147" w:name="_Toc241093473"/>
      <w:bookmarkStart w:id="148" w:name="_Toc241113293"/>
      <w:r w:rsidRPr="002332F8">
        <w:rPr>
          <w:rFonts w:ascii="Arial" w:hAnsi="Arial" w:cs="Arial"/>
          <w:color w:val="auto"/>
        </w:rPr>
        <w:lastRenderedPageBreak/>
        <w:t>2.8.3 Perceived Shift Accommodation and Employee Engagement</w:t>
      </w:r>
      <w:bookmarkEnd w:id="144"/>
      <w:bookmarkEnd w:id="145"/>
      <w:bookmarkEnd w:id="146"/>
      <w:bookmarkEnd w:id="147"/>
      <w:bookmarkEnd w:id="148"/>
    </w:p>
    <w:p w14:paraId="0728FE03" w14:textId="77777777" w:rsidR="00D71CCF" w:rsidRPr="002332F8" w:rsidRDefault="00D71CCF" w:rsidP="00D71CCF">
      <w:pPr>
        <w:rPr>
          <w:rFonts w:ascii="Arial" w:hAnsi="Arial" w:cs="Arial"/>
        </w:rPr>
      </w:pPr>
      <w:r w:rsidRPr="002332F8">
        <w:rPr>
          <w:rFonts w:ascii="Arial" w:hAnsi="Arial" w:cs="Arial"/>
        </w:rPr>
        <w:t xml:space="preserve">Engagement should be a positive response to shift-accommodation when staff feel requests are taken into account, evaluated fairly and treated with dignity. Such treatment can provide practical support, and also communicate organisational care, yielding both a job-resource and exchange-based explanation (Eisenberger et al., 2020; Rockstuhl et al., 2020; Saks, 2022; Alam et al., 2024). </w:t>
      </w:r>
    </w:p>
    <w:p w14:paraId="4AA57A5A" w14:textId="77777777" w:rsidR="00D71CCF" w:rsidRPr="002332F8" w:rsidRDefault="00D71CCF" w:rsidP="00D71CCF">
      <w:pPr>
        <w:keepLines/>
        <w:ind w:left="360" w:right="360"/>
        <w:rPr>
          <w:rFonts w:ascii="Arial" w:hAnsi="Arial" w:cs="Arial"/>
        </w:rPr>
      </w:pPr>
      <w:r w:rsidRPr="002332F8">
        <w:rPr>
          <w:rFonts w:ascii="Arial" w:hAnsi="Arial" w:cs="Arial"/>
          <w:b/>
        </w:rPr>
        <w:t xml:space="preserve">H3: </w:t>
      </w:r>
      <w:r w:rsidRPr="002332F8">
        <w:rPr>
          <w:rFonts w:ascii="Arial" w:hAnsi="Arial" w:cs="Arial"/>
          <w:i/>
        </w:rPr>
        <w:t>Perceived shift accommodation is positively and significantly associated with employee engagement.</w:t>
      </w:r>
    </w:p>
    <w:p w14:paraId="4953B08D" w14:textId="77777777" w:rsidR="00D71CCF" w:rsidRPr="002332F8" w:rsidRDefault="00D71CCF" w:rsidP="00D71CCF">
      <w:pPr>
        <w:suppressAutoHyphens w:val="0"/>
        <w:spacing w:after="160" w:line="256" w:lineRule="auto"/>
        <w:jc w:val="left"/>
        <w:rPr>
          <w:rFonts w:ascii="Arial" w:hAnsi="Arial" w:cs="Arial"/>
          <w:sz w:val="40"/>
          <w:szCs w:val="40"/>
        </w:rPr>
      </w:pPr>
      <w:bookmarkStart w:id="149" w:name="_Toc236590719"/>
      <w:bookmarkStart w:id="150" w:name="_Toc236591131"/>
      <w:bookmarkStart w:id="151" w:name="h032"/>
      <w:r w:rsidRPr="002332F8">
        <w:rPr>
          <w:rFonts w:ascii="Arial" w:hAnsi="Arial" w:cs="Arial"/>
        </w:rPr>
        <w:br w:type="page"/>
      </w:r>
    </w:p>
    <w:p w14:paraId="2AA8F39B" w14:textId="77777777" w:rsidR="00D71CCF" w:rsidRPr="002332F8" w:rsidRDefault="00D71CCF" w:rsidP="00D71CCF">
      <w:pPr>
        <w:pStyle w:val="Heading1"/>
        <w:rPr>
          <w:rFonts w:ascii="Arial" w:hAnsi="Arial" w:cs="Arial"/>
          <w:color w:val="auto"/>
        </w:rPr>
      </w:pPr>
      <w:bookmarkStart w:id="152" w:name="_Toc241093474"/>
      <w:bookmarkStart w:id="153" w:name="_Toc241113294"/>
      <w:r w:rsidRPr="002332F8">
        <w:rPr>
          <w:rFonts w:ascii="Arial" w:hAnsi="Arial" w:cs="Arial"/>
          <w:color w:val="auto"/>
        </w:rPr>
        <w:lastRenderedPageBreak/>
        <w:t>3. Research Methodology</w:t>
      </w:r>
      <w:bookmarkEnd w:id="149"/>
      <w:bookmarkEnd w:id="150"/>
      <w:bookmarkEnd w:id="151"/>
      <w:bookmarkEnd w:id="152"/>
      <w:bookmarkEnd w:id="153"/>
    </w:p>
    <w:p w14:paraId="2E9647BE" w14:textId="77777777" w:rsidR="00D71CCF" w:rsidRPr="002332F8" w:rsidRDefault="00D71CCF" w:rsidP="00D71CCF">
      <w:pPr>
        <w:pStyle w:val="Heading2"/>
        <w:rPr>
          <w:rFonts w:ascii="Arial" w:hAnsi="Arial" w:cs="Arial"/>
          <w:color w:val="auto"/>
        </w:rPr>
      </w:pPr>
      <w:bookmarkStart w:id="154" w:name="_Toc236590720"/>
      <w:bookmarkStart w:id="155" w:name="_Toc236591132"/>
      <w:bookmarkStart w:id="156" w:name="_Toc241093475"/>
      <w:bookmarkStart w:id="157" w:name="_Toc241113295"/>
      <w:bookmarkStart w:id="158" w:name="h033"/>
      <w:r w:rsidRPr="002332F8">
        <w:rPr>
          <w:rFonts w:ascii="Arial" w:hAnsi="Arial" w:cs="Arial"/>
          <w:color w:val="auto"/>
        </w:rPr>
        <w:t>3.1 Introduction</w:t>
      </w:r>
      <w:bookmarkEnd w:id="154"/>
      <w:bookmarkEnd w:id="155"/>
      <w:bookmarkEnd w:id="156"/>
      <w:bookmarkEnd w:id="157"/>
      <w:r w:rsidRPr="002332F8">
        <w:rPr>
          <w:rFonts w:ascii="Arial" w:hAnsi="Arial" w:cs="Arial"/>
          <w:color w:val="auto"/>
        </w:rPr>
        <w:t xml:space="preserve"> </w:t>
      </w:r>
      <w:bookmarkEnd w:id="158"/>
    </w:p>
    <w:p w14:paraId="564B13F9" w14:textId="77777777" w:rsidR="00D71CCF" w:rsidRPr="002332F8" w:rsidRDefault="00D71CCF" w:rsidP="00D71CCF">
      <w:pPr>
        <w:rPr>
          <w:rFonts w:ascii="Arial" w:hAnsi="Arial" w:cs="Arial"/>
        </w:rPr>
      </w:pPr>
      <w:r w:rsidRPr="002332F8">
        <w:rPr>
          <w:rFonts w:ascii="Arial" w:hAnsi="Arial" w:cs="Arial"/>
        </w:rPr>
        <w:t>This chapter explains and justifies the methodology used to examine relationships between employees' perceptions of flexible work arrangements and employee engagement at Natural Group Bangladesh.</w:t>
      </w:r>
    </w:p>
    <w:p w14:paraId="194A0A08" w14:textId="77777777" w:rsidR="00D71CCF" w:rsidRPr="002332F8" w:rsidRDefault="00D71CCF" w:rsidP="00D71CCF">
      <w:pPr>
        <w:keepNext/>
        <w:spacing w:before="120" w:after="40"/>
        <w:jc w:val="center"/>
        <w:rPr>
          <w:rFonts w:ascii="Arial" w:hAnsi="Arial" w:cs="Arial"/>
        </w:rPr>
      </w:pPr>
      <w:r w:rsidRPr="002332F8">
        <w:rPr>
          <w:rFonts w:ascii="Arial" w:hAnsi="Arial" w:cs="Arial"/>
          <w:noProof/>
        </w:rPr>
        <w:drawing>
          <wp:inline distT="0" distB="0" distL="0" distR="0" wp14:anchorId="41D07191" wp14:editId="74A1AF73">
            <wp:extent cx="5577840" cy="3985933"/>
            <wp:effectExtent l="0" t="0" r="3810" b="0"/>
            <wp:docPr id="419356399" name="Picture 633745290" descr="Research onion showing layers of research philosophy, approach, strategy, methodological choice, time horizon, and data collection and analysis." title="Research onion and the methodological positioning of the stud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577840" cy="3985933"/>
                    </a:xfrm>
                    <a:prstGeom prst="rect">
                      <a:avLst/>
                    </a:prstGeom>
                    <a:noFill/>
                    <a:ln>
                      <a:noFill/>
                      <a:prstDash/>
                    </a:ln>
                  </pic:spPr>
                </pic:pic>
              </a:graphicData>
            </a:graphic>
          </wp:inline>
        </w:drawing>
      </w:r>
    </w:p>
    <w:p w14:paraId="486F8ED3" w14:textId="77777777" w:rsidR="00D71CCF" w:rsidRPr="002332F8" w:rsidRDefault="00D71CCF" w:rsidP="00D71CCF">
      <w:pPr>
        <w:pStyle w:val="FigureCaption"/>
        <w:rPr>
          <w:rFonts w:ascii="Arial" w:hAnsi="Arial" w:cs="Arial"/>
        </w:rPr>
      </w:pPr>
      <w:bookmarkStart w:id="159" w:name="fig3_1"/>
      <w:r w:rsidRPr="002332F8">
        <w:rPr>
          <w:rFonts w:ascii="Arial" w:hAnsi="Arial" w:cs="Arial"/>
        </w:rPr>
        <w:t>Figure 3.1. Research onion and the methodological positioning of the study</w:t>
      </w:r>
      <w:bookmarkEnd w:id="159"/>
    </w:p>
    <w:p w14:paraId="7AC71E26" w14:textId="77777777" w:rsidR="00D71CCF" w:rsidRPr="002332F8" w:rsidRDefault="00D71CCF" w:rsidP="00D71CCF">
      <w:pPr>
        <w:pStyle w:val="FigureSource"/>
        <w:rPr>
          <w:rFonts w:ascii="Arial" w:hAnsi="Arial" w:cs="Arial"/>
        </w:rPr>
      </w:pPr>
      <w:r w:rsidRPr="002332F8">
        <w:rPr>
          <w:rFonts w:ascii="Arial" w:hAnsi="Arial" w:cs="Arial"/>
        </w:rPr>
        <w:t>Source: adapted from Saunders, Lewis and Thornhill (2019).</w:t>
      </w:r>
    </w:p>
    <w:p w14:paraId="43DC8E6B" w14:textId="77777777" w:rsidR="00D71CCF" w:rsidRPr="002332F8" w:rsidRDefault="00D71CCF" w:rsidP="00D71CCF">
      <w:pPr>
        <w:pStyle w:val="Heading2"/>
        <w:rPr>
          <w:rFonts w:ascii="Arial" w:hAnsi="Arial" w:cs="Arial"/>
          <w:color w:val="auto"/>
        </w:rPr>
      </w:pPr>
      <w:bookmarkStart w:id="160" w:name="_Toc236590721"/>
      <w:bookmarkStart w:id="161" w:name="_Toc236591133"/>
      <w:bookmarkStart w:id="162" w:name="h034"/>
      <w:bookmarkStart w:id="163" w:name="_Toc241093476"/>
      <w:bookmarkStart w:id="164" w:name="_Toc241113296"/>
      <w:r w:rsidRPr="002332F8">
        <w:rPr>
          <w:rFonts w:ascii="Arial" w:hAnsi="Arial" w:cs="Arial"/>
          <w:color w:val="auto"/>
        </w:rPr>
        <w:t>3.2 Research Philosophy and Approach</w:t>
      </w:r>
      <w:bookmarkEnd w:id="160"/>
      <w:bookmarkEnd w:id="161"/>
      <w:bookmarkEnd w:id="162"/>
      <w:bookmarkEnd w:id="163"/>
      <w:bookmarkEnd w:id="164"/>
    </w:p>
    <w:p w14:paraId="7F506706" w14:textId="77777777" w:rsidR="00D71CCF" w:rsidRPr="002332F8" w:rsidRDefault="00D71CCF" w:rsidP="00D71CCF">
      <w:pPr>
        <w:pStyle w:val="Heading3"/>
        <w:rPr>
          <w:rFonts w:ascii="Arial" w:hAnsi="Arial" w:cs="Arial"/>
          <w:color w:val="auto"/>
        </w:rPr>
      </w:pPr>
      <w:bookmarkStart w:id="165" w:name="_Toc236590722"/>
      <w:bookmarkStart w:id="166" w:name="_Toc236591134"/>
      <w:bookmarkStart w:id="167" w:name="h035"/>
      <w:bookmarkStart w:id="168" w:name="_Toc241093477"/>
      <w:bookmarkStart w:id="169" w:name="_Toc241113297"/>
      <w:r w:rsidRPr="002332F8">
        <w:rPr>
          <w:rFonts w:ascii="Arial" w:hAnsi="Arial" w:cs="Arial"/>
          <w:color w:val="auto"/>
        </w:rPr>
        <w:t>3.2.1 Research Philosophy</w:t>
      </w:r>
      <w:bookmarkEnd w:id="165"/>
      <w:bookmarkEnd w:id="166"/>
      <w:bookmarkEnd w:id="167"/>
      <w:bookmarkEnd w:id="168"/>
      <w:bookmarkEnd w:id="169"/>
    </w:p>
    <w:p w14:paraId="4A8D4E4F" w14:textId="77777777" w:rsidR="00D71CCF" w:rsidRPr="002332F8" w:rsidRDefault="00D71CCF" w:rsidP="00D71CCF">
      <w:pPr>
        <w:rPr>
          <w:rFonts w:ascii="Arial" w:hAnsi="Arial" w:cs="Arial"/>
        </w:rPr>
      </w:pPr>
      <w:r w:rsidRPr="002332F8">
        <w:rPr>
          <w:rFonts w:ascii="Arial" w:hAnsi="Arial" w:cs="Arial"/>
        </w:rPr>
        <w:t xml:space="preserve">The study used positivism which assumes specified constructs can be operationalized consistently and relationships can be measured using observable data and statistics (Collis and Hussey, 2014; Saunders et al., 2019). The designed variables and hypotheses were appropriate for this position as it involved the use of standardised item responses for perceptions of schedule and engagement. Positivism does not assume that perceptions are necessarily accurate descriptions of an organization's </w:t>
      </w:r>
      <w:r w:rsidRPr="002332F8">
        <w:rPr>
          <w:rFonts w:ascii="Arial" w:hAnsi="Arial" w:cs="Arial"/>
        </w:rPr>
        <w:lastRenderedPageBreak/>
        <w:t>behaviours. It views them as measurable employee assessments that can be analyzed statistically over the sample.</w:t>
      </w:r>
    </w:p>
    <w:p w14:paraId="2A0213BA" w14:textId="77777777" w:rsidR="00D71CCF" w:rsidRPr="002332F8" w:rsidRDefault="00D71CCF" w:rsidP="00D71CCF">
      <w:pPr>
        <w:pStyle w:val="Heading3"/>
        <w:rPr>
          <w:rFonts w:ascii="Arial" w:hAnsi="Arial" w:cs="Arial"/>
          <w:color w:val="auto"/>
        </w:rPr>
      </w:pPr>
      <w:bookmarkStart w:id="170" w:name="h036"/>
      <w:bookmarkStart w:id="171" w:name="_Toc241093478"/>
      <w:bookmarkStart w:id="172" w:name="_Toc241113298"/>
      <w:r w:rsidRPr="002332F8">
        <w:rPr>
          <w:rFonts w:ascii="Arial" w:hAnsi="Arial" w:cs="Arial"/>
          <w:color w:val="auto"/>
        </w:rPr>
        <w:t>3.2.2 Research Approach</w:t>
      </w:r>
      <w:bookmarkEnd w:id="170"/>
      <w:bookmarkEnd w:id="171"/>
      <w:bookmarkEnd w:id="172"/>
    </w:p>
    <w:p w14:paraId="2CBB970B" w14:textId="77777777" w:rsidR="00D71CCF" w:rsidRPr="002332F8" w:rsidRDefault="00D71CCF" w:rsidP="00D71CCF">
      <w:pPr>
        <w:rPr>
          <w:rFonts w:ascii="Arial" w:hAnsi="Arial" w:cs="Arial"/>
        </w:rPr>
      </w:pPr>
      <w:r w:rsidRPr="002332F8">
        <w:rPr>
          <w:rFonts w:ascii="Arial" w:hAnsi="Arial" w:cs="Arial"/>
        </w:rPr>
        <w:t>The deductive approach was used because Job Demands-Resources Theory and Social Exchange Theory guided the hypotheses prior to data collection. Clear operational definitions, predetermined measures and tests that can invalidate unsupported expectations are required for deduction (Bryman and Bell, 2015).</w:t>
      </w:r>
    </w:p>
    <w:p w14:paraId="339E5DFC" w14:textId="77777777" w:rsidR="00D71CCF" w:rsidRPr="002332F8" w:rsidRDefault="00D71CCF" w:rsidP="00D71CCF">
      <w:pPr>
        <w:pStyle w:val="Heading2"/>
        <w:rPr>
          <w:rFonts w:ascii="Arial" w:hAnsi="Arial" w:cs="Arial"/>
          <w:color w:val="auto"/>
        </w:rPr>
      </w:pPr>
      <w:bookmarkStart w:id="173" w:name="_Toc236590724"/>
      <w:bookmarkStart w:id="174" w:name="_Toc236591136"/>
      <w:bookmarkStart w:id="175" w:name="h037"/>
      <w:bookmarkStart w:id="176" w:name="_Toc241093479"/>
      <w:bookmarkStart w:id="177" w:name="_Toc241113299"/>
      <w:r w:rsidRPr="002332F8">
        <w:rPr>
          <w:rFonts w:ascii="Arial" w:hAnsi="Arial" w:cs="Arial"/>
          <w:color w:val="auto"/>
        </w:rPr>
        <w:t>3.3 Methodological Choice, Research Strategy and Time Horizon</w:t>
      </w:r>
      <w:bookmarkEnd w:id="173"/>
      <w:bookmarkEnd w:id="174"/>
      <w:bookmarkEnd w:id="175"/>
      <w:bookmarkEnd w:id="176"/>
      <w:bookmarkEnd w:id="177"/>
    </w:p>
    <w:p w14:paraId="5D884FFB" w14:textId="77777777" w:rsidR="00D71CCF" w:rsidRPr="002332F8" w:rsidRDefault="00D71CCF" w:rsidP="00D71CCF">
      <w:pPr>
        <w:pStyle w:val="Heading3"/>
        <w:rPr>
          <w:rFonts w:ascii="Arial" w:hAnsi="Arial" w:cs="Arial"/>
          <w:color w:val="auto"/>
        </w:rPr>
      </w:pPr>
      <w:bookmarkStart w:id="178" w:name="_Toc236590725"/>
      <w:bookmarkStart w:id="179" w:name="_Toc236591137"/>
      <w:bookmarkStart w:id="180" w:name="h038"/>
      <w:bookmarkStart w:id="181" w:name="_Toc241093480"/>
      <w:bookmarkStart w:id="182" w:name="_Toc241113300"/>
      <w:r w:rsidRPr="002332F8">
        <w:rPr>
          <w:rFonts w:ascii="Arial" w:hAnsi="Arial" w:cs="Arial"/>
          <w:color w:val="auto"/>
        </w:rPr>
        <w:t>3.3.1 Methodological Choice</w:t>
      </w:r>
      <w:bookmarkEnd w:id="178"/>
      <w:bookmarkEnd w:id="179"/>
      <w:bookmarkEnd w:id="180"/>
      <w:bookmarkEnd w:id="181"/>
      <w:bookmarkEnd w:id="182"/>
    </w:p>
    <w:p w14:paraId="51713C4E" w14:textId="77777777" w:rsidR="00D71CCF" w:rsidRPr="002332F8" w:rsidRDefault="00D71CCF" w:rsidP="00D71CCF">
      <w:pPr>
        <w:rPr>
          <w:rFonts w:ascii="Arial" w:hAnsi="Arial" w:cs="Arial"/>
        </w:rPr>
      </w:pPr>
      <w:r w:rsidRPr="002332F8">
        <w:rPr>
          <w:rFonts w:ascii="Arial" w:hAnsi="Arial" w:cs="Arial"/>
        </w:rPr>
        <w:t>The study employed a mono-method quantitative design because the study aimed at measuring the relationship between the clearly defined variables and testing three hypotheses that were derived from the theory. Where constructs can be measured in a structured way and analysed statistically to identify patterns, associations and predictability, quantitative methods are suitable (Bryman and Bell, 2015; Saunders, Lewis and Thornhill, 2019). Given the purpose, a qualitative design was not chosen because the purpose was not to elicit detailed personal narratives or theory building from participants. Therefore, the mono-method option provided methodological, analytical, and practical viability.</w:t>
      </w:r>
    </w:p>
    <w:p w14:paraId="00235A4D" w14:textId="77777777" w:rsidR="00D71CCF" w:rsidRPr="002332F8" w:rsidRDefault="00D71CCF" w:rsidP="00D71CCF">
      <w:pPr>
        <w:pStyle w:val="Heading3"/>
        <w:rPr>
          <w:rFonts w:ascii="Arial" w:hAnsi="Arial" w:cs="Arial"/>
          <w:color w:val="auto"/>
        </w:rPr>
      </w:pPr>
      <w:bookmarkStart w:id="183" w:name="_Toc236590726"/>
      <w:bookmarkStart w:id="184" w:name="_Toc236591138"/>
      <w:bookmarkStart w:id="185" w:name="h039"/>
      <w:bookmarkStart w:id="186" w:name="_Toc241093481"/>
      <w:bookmarkStart w:id="187" w:name="_Toc241113301"/>
      <w:r w:rsidRPr="002332F8">
        <w:rPr>
          <w:rFonts w:ascii="Arial" w:hAnsi="Arial" w:cs="Arial"/>
          <w:color w:val="auto"/>
        </w:rPr>
        <w:t>3.3.2 Research Strategy</w:t>
      </w:r>
      <w:bookmarkEnd w:id="183"/>
      <w:bookmarkEnd w:id="184"/>
      <w:bookmarkEnd w:id="185"/>
      <w:bookmarkEnd w:id="186"/>
      <w:bookmarkEnd w:id="187"/>
    </w:p>
    <w:p w14:paraId="674BE6E8" w14:textId="77777777" w:rsidR="00D71CCF" w:rsidRPr="002332F8" w:rsidRDefault="00D71CCF" w:rsidP="00D71CCF">
      <w:pPr>
        <w:rPr>
          <w:rFonts w:ascii="Arial" w:hAnsi="Arial" w:cs="Arial"/>
        </w:rPr>
      </w:pPr>
      <w:r w:rsidRPr="002332F8">
        <w:rPr>
          <w:rFonts w:ascii="Arial" w:hAnsi="Arial" w:cs="Arial"/>
        </w:rPr>
        <w:t xml:space="preserve">A single organisation case study with a survey strategy was employed for the study of Bangladesh's Natural Group. The survey allowed the standardisation of data collected from the production and operational staff using a structured questionnaire, which allowed data collected to be compared across respondents and statistically tested for hypothesis testing (Saunders, Lewis and Thornhill, 2019). The case study boundary was chosen to offer an organizational and industrial setting, and to focus on employees facing similar production systems and scheduling practices. When studying a phenomenon in its current context, case studies are suitable, as suggested by Yin (2018). The one organisation approach however resulted in a lack of broad generalisation beyond the Natural Group. Its value was, on the other hand, in providing </w:t>
      </w:r>
      <w:r w:rsidRPr="002332F8">
        <w:rPr>
          <w:rFonts w:ascii="Arial" w:hAnsi="Arial" w:cs="Arial"/>
        </w:rPr>
        <w:lastRenderedPageBreak/>
        <w:t>contextually relevant evidence which can help to make careful analysis comparisons with other similar RMG organisations in Bangladesh.</w:t>
      </w:r>
    </w:p>
    <w:p w14:paraId="65E62F31" w14:textId="77777777" w:rsidR="00D71CCF" w:rsidRPr="002332F8" w:rsidRDefault="00D71CCF" w:rsidP="00D71CCF">
      <w:pPr>
        <w:pStyle w:val="Heading3"/>
        <w:rPr>
          <w:rFonts w:ascii="Arial" w:hAnsi="Arial" w:cs="Arial"/>
          <w:color w:val="auto"/>
        </w:rPr>
      </w:pPr>
      <w:bookmarkStart w:id="188" w:name="_Toc236590727"/>
      <w:bookmarkStart w:id="189" w:name="_Toc236591139"/>
      <w:bookmarkStart w:id="190" w:name="h040"/>
      <w:bookmarkStart w:id="191" w:name="_Toc241093482"/>
      <w:bookmarkStart w:id="192" w:name="_Toc241113302"/>
      <w:r w:rsidRPr="002332F8">
        <w:rPr>
          <w:rFonts w:ascii="Arial" w:hAnsi="Arial" w:cs="Arial"/>
          <w:color w:val="auto"/>
        </w:rPr>
        <w:t>3.3.3 Time Horizon</w:t>
      </w:r>
      <w:bookmarkEnd w:id="188"/>
      <w:bookmarkEnd w:id="189"/>
      <w:bookmarkEnd w:id="190"/>
      <w:bookmarkEnd w:id="191"/>
      <w:bookmarkEnd w:id="192"/>
    </w:p>
    <w:p w14:paraId="4AAD5C04" w14:textId="77777777" w:rsidR="00D71CCF" w:rsidRPr="002332F8" w:rsidRDefault="00D71CCF" w:rsidP="00D71CCF">
      <w:pPr>
        <w:rPr>
          <w:rFonts w:ascii="Arial" w:hAnsi="Arial" w:cs="Arial"/>
        </w:rPr>
      </w:pPr>
      <w:r w:rsidRPr="002332F8">
        <w:rPr>
          <w:rFonts w:ascii="Arial" w:hAnsi="Arial" w:cs="Arial"/>
        </w:rPr>
        <w:t>A cross-sectional time horizon was used in the study as data was gathered from the respondents at a single time point. This design was found to be adequate for investigating the perceptions of schedule control, schedule predictability, shift accommodation and employee engagement during the dissertation period (Collis and Hussey, 2014). The longitudinal design would have been a better way of gaining evidence of change over time and temporal ordering, but repeated access to employees and a much longer research period would have been required.</w:t>
      </w:r>
    </w:p>
    <w:p w14:paraId="77AFF0E6" w14:textId="77777777" w:rsidR="00D71CCF" w:rsidRPr="002332F8" w:rsidRDefault="00D71CCF" w:rsidP="00D71CCF">
      <w:pPr>
        <w:pStyle w:val="Heading2"/>
        <w:rPr>
          <w:rFonts w:ascii="Arial" w:hAnsi="Arial" w:cs="Arial"/>
          <w:color w:val="auto"/>
        </w:rPr>
      </w:pPr>
      <w:bookmarkStart w:id="193" w:name="_Toc236590728"/>
      <w:bookmarkStart w:id="194" w:name="_Toc236591140"/>
      <w:bookmarkStart w:id="195" w:name="h041"/>
      <w:bookmarkStart w:id="196" w:name="_Toc241093483"/>
      <w:bookmarkStart w:id="197" w:name="_Toc241113303"/>
      <w:r w:rsidRPr="002332F8">
        <w:rPr>
          <w:rFonts w:ascii="Arial" w:hAnsi="Arial" w:cs="Arial"/>
          <w:color w:val="auto"/>
        </w:rPr>
        <w:t>3.4 Target Population, Sampling and Sample Size</w:t>
      </w:r>
      <w:bookmarkEnd w:id="193"/>
      <w:bookmarkEnd w:id="194"/>
      <w:bookmarkEnd w:id="195"/>
      <w:bookmarkEnd w:id="196"/>
      <w:bookmarkEnd w:id="197"/>
    </w:p>
    <w:p w14:paraId="33B99387" w14:textId="77777777" w:rsidR="00D71CCF" w:rsidRPr="002332F8" w:rsidRDefault="00D71CCF" w:rsidP="00D71CCF">
      <w:pPr>
        <w:rPr>
          <w:rFonts w:ascii="Arial" w:hAnsi="Arial" w:cs="Arial"/>
        </w:rPr>
      </w:pPr>
      <w:r w:rsidRPr="002332F8">
        <w:rPr>
          <w:rFonts w:ascii="Arial" w:hAnsi="Arial" w:cs="Arial"/>
        </w:rPr>
        <w:t>The target population comprised factory-based production and operational employees of Natural Group Bangladesh, including sewing, cutting and finishing operators, quality inspectors, line supervisors and production supervisors. Subjects selected were 18 years old or older, with three months of continuous work, working on a fixed, rotating or production work schedule, and who gave informed consent. Employees of the administrative, merchandising and corporate functions are not included as their jobs differed significantly on location, discretion and scheduling. The three-month period was a compromise between establishing a familiar timeframe for figuring out how to schedule employees at the workplace and excluding too many new hires.</w:t>
      </w:r>
    </w:p>
    <w:p w14:paraId="715D7223" w14:textId="77777777" w:rsidR="00D71CCF" w:rsidRPr="002332F8" w:rsidRDefault="00D71CCF" w:rsidP="00D71CCF">
      <w:pPr>
        <w:rPr>
          <w:rFonts w:ascii="Arial" w:hAnsi="Arial" w:cs="Arial"/>
        </w:rPr>
      </w:pPr>
      <w:r w:rsidRPr="002332F8">
        <w:rPr>
          <w:rFonts w:ascii="Arial" w:hAnsi="Arial" w:cs="Arial"/>
        </w:rPr>
        <w:t>Purposive convenience sampling was used since a complete employee sampling frame was unlikely to be available and access would be linked to permission from the organisation. To ensure the respondents had first-hand experience of the phenomenon, they were subjected to purposive screening, and the participation was extended through the available production units and shifts (Pajo, 2018). This was a practical method, but did not allow calculation of selection probabilities. Employees who were more opinionated, or who had access to technology or were more confident, may have been overrepresented. To minimize, but not eliminate, selection bias, recruitment was conducted across accessible units, and neutral invitations and separation from line-managers' evaluations were used.</w:t>
      </w:r>
    </w:p>
    <w:p w14:paraId="28F0AF96" w14:textId="77777777" w:rsidR="00D71CCF" w:rsidRPr="002332F8" w:rsidRDefault="00D71CCF" w:rsidP="00D71CCF">
      <w:pPr>
        <w:rPr>
          <w:rFonts w:ascii="Arial" w:hAnsi="Arial" w:cs="Arial"/>
        </w:rPr>
      </w:pPr>
      <w:r w:rsidRPr="002332F8">
        <w:rPr>
          <w:rFonts w:ascii="Arial" w:hAnsi="Arial" w:cs="Arial"/>
        </w:rPr>
        <w:lastRenderedPageBreak/>
        <w:t>The statistical power was used to determine sample adequacy, not a general statement that 50 responses were adequate. The f² effect size for a medium effect (0.15) is estimated to require about 77 usable cases for a multiple regression with three predictors when α is set at 0.05 and power is set at 80 per cent (Faul et al., 2009). To ensure that there were enough complete questionnaires to exclude some and complete the results, the recruitment focused on about 90 to 100 completed eligible questionnaires. The approximate sample size of 77 cases was determined by the power calculation and the achieved sample size of 105 was over that level. In the initial model, no demographic controls were used due to the limited size of the sample which could have been overfitted by adding too many covariates.</w:t>
      </w:r>
    </w:p>
    <w:p w14:paraId="348CE589" w14:textId="77777777" w:rsidR="00D71CCF" w:rsidRPr="002332F8" w:rsidRDefault="00D71CCF" w:rsidP="00D71CCF">
      <w:pPr>
        <w:pStyle w:val="Heading2"/>
        <w:rPr>
          <w:rFonts w:ascii="Arial" w:hAnsi="Arial" w:cs="Arial"/>
          <w:color w:val="auto"/>
        </w:rPr>
      </w:pPr>
      <w:bookmarkStart w:id="198" w:name="_Toc241093484"/>
      <w:bookmarkStart w:id="199" w:name="_Toc241113304"/>
      <w:r w:rsidRPr="002332F8">
        <w:rPr>
          <w:rFonts w:ascii="Arial" w:hAnsi="Arial" w:cs="Arial"/>
          <w:color w:val="auto"/>
        </w:rPr>
        <w:t>3.5 Data Collection Instrument and Procedure</w:t>
      </w:r>
      <w:bookmarkEnd w:id="198"/>
      <w:bookmarkEnd w:id="199"/>
    </w:p>
    <w:p w14:paraId="1C4E7CA8" w14:textId="77777777" w:rsidR="00D71CCF" w:rsidRPr="002332F8" w:rsidRDefault="00D71CCF" w:rsidP="00D71CCF">
      <w:pPr>
        <w:rPr>
          <w:rFonts w:ascii="Arial" w:hAnsi="Arial" w:cs="Arial"/>
        </w:rPr>
      </w:pPr>
      <w:r w:rsidRPr="002332F8">
        <w:rPr>
          <w:rFonts w:ascii="Arial" w:hAnsi="Arial" w:cs="Arial"/>
        </w:rPr>
        <w:t xml:space="preserve">A structured, self-administered online questionnaire was administered to gather data, and was expected to take about 8-10 minutes. The questionnaire included consent and eligibility screening, background items (demographic and work schedule), 12 items on flexible scheduling and the three-item Utrecht Work Engagement Scale. Online administration allowed for anonymous participation across shifts, and eliminated manual data-entry error, as described in Appendix C, the complete instrument. It was limited by unequal access to devices and the potential for digital literacy and completion while working with colleagues or supervisors. </w:t>
      </w:r>
    </w:p>
    <w:p w14:paraId="0A11023D" w14:textId="77777777" w:rsidR="00D71CCF" w:rsidRPr="002332F8" w:rsidRDefault="00D71CCF" w:rsidP="00D71CCF">
      <w:pPr>
        <w:rPr>
          <w:rFonts w:ascii="Arial" w:hAnsi="Arial" w:cs="Arial"/>
        </w:rPr>
      </w:pPr>
      <w:r w:rsidRPr="002332F8">
        <w:rPr>
          <w:rFonts w:ascii="Arial" w:hAnsi="Arial" w:cs="Arial"/>
        </w:rPr>
        <w:t>The perceived schedule control, predictability and shift accommodation were assessed separately by four researcher adapted items on a five-point agreement scale. Items were developed based on flexibility and boundary-control and scheduling research, but are not validated scales (Allen et al., 2013; Lambert et al., 2019; Kossek et al., 2023). UWES-3 was used to assess employee engagement, with the responses ranging from 0 (never) to 6 (always or every day). UWES-3 is a brief aggregation of vigour, dedication and absorption and has been shown to have cross-national validity, but cross-national validation does not negate the need for validation of performance in the specific workforce (Schaufeli et al., 2019). The operational definitions and the rules and evidence sources are provided in Appendix E.</w:t>
      </w:r>
    </w:p>
    <w:p w14:paraId="498FA365" w14:textId="77777777" w:rsidR="00D71CCF" w:rsidRPr="002332F8" w:rsidRDefault="00D71CCF" w:rsidP="00D71CCF">
      <w:pPr>
        <w:rPr>
          <w:rFonts w:ascii="Arial" w:hAnsi="Arial" w:cs="Arial"/>
        </w:rPr>
      </w:pPr>
      <w:r w:rsidRPr="002332F8">
        <w:rPr>
          <w:rFonts w:ascii="Arial" w:hAnsi="Arial" w:cs="Arial"/>
        </w:rPr>
        <w:t xml:space="preserve">The questionnaire was designed for academic expert review and an initial small pilot with eligible workers that were not part of the final analysis. The planned review was guided by content coverage, wording, response options and construct alignment, and </w:t>
      </w:r>
      <w:r w:rsidRPr="002332F8">
        <w:rPr>
          <w:rFonts w:ascii="Arial" w:hAnsi="Arial" w:cs="Arial"/>
        </w:rPr>
        <w:lastRenderedPageBreak/>
        <w:t>the pilot procedure was guided by comprehension, completion time, technical routing and culturally ambiguous language. A small convenience group is not enough to yield full construct validity, although pilot testing can improve content validity and usability (Saunders et al., 2019). The survey link/QR code was distributed via neutral channels, as per the ethical and organisational guidelines outlined in the study. No individual responses or participation lists were given to supervisors through the procedure.</w:t>
      </w:r>
    </w:p>
    <w:p w14:paraId="267C2D3D" w14:textId="77777777" w:rsidR="00D71CCF" w:rsidRPr="002332F8" w:rsidRDefault="00D71CCF" w:rsidP="00D71CCF">
      <w:pPr>
        <w:pStyle w:val="Heading2"/>
        <w:rPr>
          <w:rFonts w:ascii="Arial" w:hAnsi="Arial" w:cs="Arial"/>
          <w:color w:val="auto"/>
        </w:rPr>
      </w:pPr>
      <w:bookmarkStart w:id="200" w:name="_Toc241093485"/>
      <w:bookmarkStart w:id="201" w:name="_Toc241113305"/>
      <w:r w:rsidRPr="002332F8">
        <w:rPr>
          <w:rFonts w:ascii="Arial" w:hAnsi="Arial" w:cs="Arial"/>
          <w:color w:val="auto"/>
        </w:rPr>
        <w:t>3.6 Operationalisation, Reliability and Data Quality</w:t>
      </w:r>
      <w:bookmarkEnd w:id="200"/>
      <w:bookmarkEnd w:id="201"/>
    </w:p>
    <w:p w14:paraId="04E044F2" w14:textId="77777777" w:rsidR="00D71CCF" w:rsidRPr="002332F8" w:rsidRDefault="00D71CCF" w:rsidP="00D71CCF">
      <w:pPr>
        <w:rPr>
          <w:rFonts w:ascii="Arial" w:hAnsi="Arial" w:cs="Arial"/>
        </w:rPr>
      </w:pPr>
      <w:r w:rsidRPr="002332F8">
        <w:rPr>
          <w:rFonts w:ascii="Arial" w:hAnsi="Arial" w:cs="Arial"/>
        </w:rPr>
        <w:t>Scores for each composite were computed as the mean of the corresponding items, using the same point scale as the original items. Scores were higher in perceived control, predictability, accommodation/engagement. A score was computed for each of the four item scheduling scales when three or more of the items were answered. UWES-3 had a need for all three as each is an engagement dimension and the scale is already ultra-short. Reporting of missingness, no simple mean was substituted across respondents.</w:t>
      </w:r>
    </w:p>
    <w:p w14:paraId="2AC1ABD7" w14:textId="77777777" w:rsidR="00D71CCF" w:rsidRPr="002332F8" w:rsidRDefault="00D71CCF" w:rsidP="00D71CCF">
      <w:pPr>
        <w:rPr>
          <w:rFonts w:ascii="Arial" w:hAnsi="Arial" w:cs="Arial"/>
        </w:rPr>
      </w:pPr>
      <w:r w:rsidRPr="002332F8">
        <w:rPr>
          <w:rFonts w:ascii="Arial" w:hAnsi="Arial" w:cs="Arial"/>
        </w:rPr>
        <w:t>Cronbach's alpha and corrected item-total correlation were conducted to determine the internal consistency. Alpha values were not understood mechanistically, but in light of the number of items and conceptual breadth. This is especially important for UWES-3 as both scales may result in lower alpha values even though they have coherent content. No measures of validity (such as Cronbach's alpha) were used to label adapted scheduling measures. The procedures outlined above in developing the instrument and the internal-consistency analysis were the only evidence used for the quality of measurement. To minimize common-method risk, anonymity and neutral wording were used, as well as separate instructions on each section and a different set of response options, although the same-source measurement at one point in time was a limitation.</w:t>
      </w:r>
    </w:p>
    <w:p w14:paraId="62EA2C39" w14:textId="77777777" w:rsidR="00D71CCF" w:rsidRPr="002332F8" w:rsidRDefault="00D71CCF" w:rsidP="00D71CCF">
      <w:pPr>
        <w:pStyle w:val="Heading2"/>
        <w:rPr>
          <w:rFonts w:ascii="Arial" w:hAnsi="Arial" w:cs="Arial"/>
          <w:color w:val="auto"/>
        </w:rPr>
      </w:pPr>
      <w:bookmarkStart w:id="202" w:name="_Toc241093486"/>
      <w:bookmarkStart w:id="203" w:name="_Toc241113306"/>
      <w:r w:rsidRPr="002332F8">
        <w:rPr>
          <w:rFonts w:ascii="Arial" w:hAnsi="Arial" w:cs="Arial"/>
          <w:color w:val="auto"/>
        </w:rPr>
        <w:t>3.7 Data Analysis</w:t>
      </w:r>
      <w:bookmarkEnd w:id="202"/>
      <w:bookmarkEnd w:id="203"/>
    </w:p>
    <w:p w14:paraId="4CAF6DBC" w14:textId="77777777" w:rsidR="00D71CCF" w:rsidRPr="002332F8" w:rsidRDefault="00D71CCF" w:rsidP="00D71CCF">
      <w:pPr>
        <w:rPr>
          <w:rFonts w:ascii="Arial" w:hAnsi="Arial" w:cs="Arial"/>
        </w:rPr>
      </w:pPr>
      <w:r w:rsidRPr="002332F8">
        <w:rPr>
          <w:rFonts w:ascii="Arial" w:hAnsi="Arial" w:cs="Arial"/>
        </w:rPr>
        <w:t xml:space="preserve">Responses to the survey were coded for consistency, composites scored, and tabulated and charted in Microsoft Excel. The quantitative techniques included descriptive statistics, reliability tests, Pearson correlation and multiple regression which conformed to the analytical methods recommended by Saunders et al. (2019). Screening verified eligibility, duplicate response patterns, missing data and invariant </w:t>
      </w:r>
      <w:r w:rsidRPr="002332F8">
        <w:rPr>
          <w:rFonts w:ascii="Arial" w:hAnsi="Arial" w:cs="Arial"/>
        </w:rPr>
        <w:lastRenderedPageBreak/>
        <w:t xml:space="preserve">response patterns. Survey start times were not included in the response and implausible completion times would be difficult to determine directly. Rather than automatically removing the outliers, the potential outliers and influential observations were explored. Demographic data was summarized as frequencies and percentages and scale data was reported as means, standard deviations, ranges and confidence intervals. Pearson correlations provided preliminary estimates of bivariate association. The hypotheses were then tested simultaneously through multiple linear regression. The model was: </w:t>
      </w:r>
    </w:p>
    <w:p w14:paraId="011195C6" w14:textId="77777777" w:rsidR="00D71CCF" w:rsidRPr="002332F8" w:rsidRDefault="00D71CCF" w:rsidP="00D71CCF">
      <w:pPr>
        <w:jc w:val="center"/>
        <w:rPr>
          <w:rFonts w:ascii="Arial" w:hAnsi="Arial" w:cs="Arial"/>
        </w:rPr>
      </w:pPr>
      <w:r w:rsidRPr="002332F8">
        <w:rPr>
          <w:rFonts w:ascii="Arial" w:hAnsi="Arial" w:cs="Arial"/>
          <w:b/>
          <w:bCs/>
        </w:rPr>
        <w:t>EEᵢ = β</w:t>
      </w:r>
      <w:r w:rsidRPr="002332F8">
        <w:rPr>
          <w:rFonts w:ascii="Cambria Math" w:hAnsi="Cambria Math" w:cs="Cambria Math"/>
          <w:b/>
          <w:bCs/>
        </w:rPr>
        <w:t>₀</w:t>
      </w:r>
      <w:r w:rsidRPr="002332F8">
        <w:rPr>
          <w:rFonts w:ascii="Arial" w:hAnsi="Arial" w:cs="Arial"/>
          <w:b/>
          <w:bCs/>
        </w:rPr>
        <w:t xml:space="preserve"> + β</w:t>
      </w:r>
      <w:r w:rsidRPr="002332F8">
        <w:rPr>
          <w:rFonts w:ascii="Cambria Math" w:hAnsi="Cambria Math" w:cs="Cambria Math"/>
          <w:b/>
          <w:bCs/>
        </w:rPr>
        <w:t>₁</w:t>
      </w:r>
      <w:r w:rsidRPr="002332F8">
        <w:rPr>
          <w:rFonts w:ascii="Arial" w:hAnsi="Arial" w:cs="Arial"/>
          <w:b/>
          <w:bCs/>
        </w:rPr>
        <w:t>PSCᵢ + β</w:t>
      </w:r>
      <w:r w:rsidRPr="002332F8">
        <w:rPr>
          <w:rFonts w:ascii="Cambria Math" w:hAnsi="Cambria Math" w:cs="Cambria Math"/>
          <w:b/>
          <w:bCs/>
        </w:rPr>
        <w:t>₂</w:t>
      </w:r>
      <w:r w:rsidRPr="002332F8">
        <w:rPr>
          <w:rFonts w:ascii="Arial" w:hAnsi="Arial" w:cs="Arial"/>
          <w:b/>
          <w:bCs/>
        </w:rPr>
        <w:t>PSPᵢ + β</w:t>
      </w:r>
      <w:r w:rsidRPr="002332F8">
        <w:rPr>
          <w:rFonts w:ascii="Cambria Math" w:hAnsi="Cambria Math" w:cs="Cambria Math"/>
          <w:b/>
          <w:bCs/>
        </w:rPr>
        <w:t>₃</w:t>
      </w:r>
      <w:r w:rsidRPr="002332F8">
        <w:rPr>
          <w:rFonts w:ascii="Arial" w:hAnsi="Arial" w:cs="Arial"/>
          <w:b/>
          <w:bCs/>
        </w:rPr>
        <w:t>PSAᵢ + εᵢ,</w:t>
      </w:r>
    </w:p>
    <w:p w14:paraId="1AAB838E" w14:textId="77777777" w:rsidR="00D71CCF" w:rsidRPr="002332F8" w:rsidRDefault="00D71CCF" w:rsidP="00D71CCF">
      <w:pPr>
        <w:rPr>
          <w:rFonts w:ascii="Arial" w:hAnsi="Arial" w:cs="Arial"/>
        </w:rPr>
      </w:pPr>
      <w:r w:rsidRPr="002332F8">
        <w:rPr>
          <w:rFonts w:ascii="Arial" w:hAnsi="Arial" w:cs="Arial"/>
        </w:rPr>
        <w:t>where EE is engagement and PSC, PSP and PSA are the three perceived scheduling scores. The primary model contained only these predictors, matching the conceptual framework. Results were reported using unstandardised and standardised coefficients, 95 per cent confidence intervals, p-values, R-squared, adjusted R-squared and the overall F-test. Two-tailed tests at α = 0.05 were used because they offered a conservative assessment even though the hypotheses were directional.</w:t>
      </w:r>
    </w:p>
    <w:p w14:paraId="40E2A206" w14:textId="77777777" w:rsidR="00D71CCF" w:rsidRPr="002332F8" w:rsidRDefault="00D71CCF" w:rsidP="00D71CCF">
      <w:pPr>
        <w:rPr>
          <w:rFonts w:ascii="Arial" w:hAnsi="Arial" w:cs="Arial"/>
        </w:rPr>
      </w:pPr>
      <w:r w:rsidRPr="002332F8">
        <w:rPr>
          <w:rFonts w:ascii="Arial" w:hAnsi="Arial" w:cs="Arial"/>
        </w:rPr>
        <w:t>Regression interpretation followed diagnostic assessment of linearity, residual normality, homoscedasticity, independence, multicollinearity and influential observations. Scatterplots and residual plots were used to assess functional form and variance, while tolerance and variance inflation factors were used to assess overlap among predictors. Standardised residuals, leverage and Cook's distance were used to identify influential cases. Where assumptions required further examination, HC3 robust inference and a clearly reported sensitivity analysis were used. Statistical significance was not treated as substantive importance, and cross-sectional coefficients were not presented as proof of causation.</w:t>
      </w:r>
    </w:p>
    <w:p w14:paraId="516E9170" w14:textId="77777777" w:rsidR="00D71CCF" w:rsidRPr="002332F8" w:rsidRDefault="00D71CCF" w:rsidP="00D71CCF">
      <w:pPr>
        <w:pStyle w:val="Heading2"/>
        <w:rPr>
          <w:rFonts w:ascii="Arial" w:hAnsi="Arial" w:cs="Arial"/>
          <w:color w:val="auto"/>
        </w:rPr>
      </w:pPr>
      <w:bookmarkStart w:id="204" w:name="_Toc236590732"/>
      <w:bookmarkStart w:id="205" w:name="_Toc236591144"/>
      <w:bookmarkStart w:id="206" w:name="h045"/>
      <w:bookmarkStart w:id="207" w:name="_Toc241093487"/>
      <w:bookmarkStart w:id="208" w:name="_Toc241113307"/>
      <w:r w:rsidRPr="002332F8">
        <w:rPr>
          <w:rFonts w:ascii="Arial" w:hAnsi="Arial" w:cs="Arial"/>
          <w:color w:val="auto"/>
        </w:rPr>
        <w:t>3.8 Ethical Considerations</w:t>
      </w:r>
      <w:bookmarkEnd w:id="204"/>
      <w:bookmarkEnd w:id="205"/>
      <w:bookmarkEnd w:id="206"/>
      <w:bookmarkEnd w:id="207"/>
      <w:bookmarkEnd w:id="208"/>
    </w:p>
    <w:p w14:paraId="19CE6256" w14:textId="77777777" w:rsidR="00D71CCF" w:rsidRPr="002332F8" w:rsidRDefault="00D71CCF" w:rsidP="00D71CCF">
      <w:pPr>
        <w:rPr>
          <w:rFonts w:ascii="Arial" w:hAnsi="Arial" w:cs="Arial"/>
        </w:rPr>
      </w:pPr>
      <w:r w:rsidRPr="002332F8">
        <w:rPr>
          <w:rFonts w:ascii="Arial" w:hAnsi="Arial" w:cs="Arial"/>
        </w:rPr>
        <w:t xml:space="preserve">The study was conducted within the ethical procedures specified for research at the University of Wales Trinity Saint David, consistent with responsible business research practice (Polonsky and Waller, 2015). Participation was voluntary and based on an information and consent page. No names, employee numbers, personal contact details or precise workplace locations were requested. Respondents were informed that participation or refusal would not affect employment, pay, shifts or relationships </w:t>
      </w:r>
      <w:r w:rsidRPr="002332F8">
        <w:rPr>
          <w:rFonts w:ascii="Arial" w:hAnsi="Arial" w:cs="Arial"/>
        </w:rPr>
        <w:lastRenderedPageBreak/>
        <w:t>with management. Gatekeepers could distribute the invitation but were not given access to individual-level data.</w:t>
      </w:r>
    </w:p>
    <w:p w14:paraId="1D9F3F42" w14:textId="77777777" w:rsidR="00D71CCF" w:rsidRPr="002332F8" w:rsidRDefault="00D71CCF" w:rsidP="00D71CCF">
      <w:pPr>
        <w:rPr>
          <w:rFonts w:ascii="Arial" w:hAnsi="Arial" w:cs="Arial"/>
        </w:rPr>
      </w:pPr>
      <w:r w:rsidRPr="002332F8">
        <w:rPr>
          <w:rFonts w:ascii="Arial" w:hAnsi="Arial" w:cs="Arial"/>
        </w:rPr>
        <w:t>The named organisational setting and small occupational groups create residual identification risk even without direct identifiers. Reporting avoided unnecessarily specific combinations of characteristics that could increase identification risk. Participants were permitted to withdraw prior to submission. Withdrawal of a specific record was not possible after anonymous submission, since there were no identifiers that could be used to identify a respondent to a response. The study protocol outlined in this document stated that the data will be stored securely at the University, and that these will be accessible only to the researcher and authorized University personnel and will be retained for periods as defined by university policy and will be deleted as per university policy.</w:t>
      </w:r>
    </w:p>
    <w:p w14:paraId="014A7B6E" w14:textId="77777777" w:rsidR="00D71CCF" w:rsidRPr="002332F8" w:rsidRDefault="00D71CCF" w:rsidP="00D71CCF">
      <w:pPr>
        <w:pStyle w:val="Heading2"/>
        <w:rPr>
          <w:rFonts w:ascii="Arial" w:hAnsi="Arial" w:cs="Arial"/>
          <w:color w:val="auto"/>
        </w:rPr>
      </w:pPr>
      <w:bookmarkStart w:id="209" w:name="_Toc241093488"/>
      <w:bookmarkStart w:id="210" w:name="_Toc241113308"/>
      <w:r w:rsidRPr="002332F8">
        <w:rPr>
          <w:rFonts w:ascii="Arial" w:hAnsi="Arial" w:cs="Arial"/>
          <w:color w:val="auto"/>
        </w:rPr>
        <w:t>3.9 Methodological Limitation and Mitigation</w:t>
      </w:r>
      <w:bookmarkEnd w:id="209"/>
      <w:bookmarkEnd w:id="210"/>
    </w:p>
    <w:p w14:paraId="216DE422" w14:textId="77777777" w:rsidR="00D71CCF" w:rsidRPr="002332F8" w:rsidRDefault="00D71CCF" w:rsidP="00D71CCF">
      <w:pPr>
        <w:rPr>
          <w:rFonts w:ascii="Arial" w:hAnsi="Arial" w:cs="Arial"/>
        </w:rPr>
      </w:pPr>
      <w:r w:rsidRPr="002332F8">
        <w:rPr>
          <w:rFonts w:ascii="Arial" w:hAnsi="Arial" w:cs="Arial"/>
        </w:rPr>
        <w:t>There are several methodological limitations related to this study. First, the cross-sectional design is used to measure employee perceptions at a single time point and so cannot establish the direction of causality between flexible work arrangements and employee engagement. Second, purposive convenience sampling may introduce selection bias as there could be differences between those who participate and do not. To reduce this risk, the study targeted participants from various production/operational units and used standardized eligibility criteria. The results are however limited to Natural Group Bangladesh and cannot be statistically extrapolated to the entire Bangladesh RMG industry. Third, all of the constructs were assessed using a self-administered questionnaire, which introduces potential common method bias, socially desirable responding, and self-reports bias. These risks were minimized by using anonymity, neutral wording, voluntary participation and separating the predictor and outcome sections.  Lastly, the adopted scheduling measures in the context of the RMG sector in Bangladesh are yet to be fully validated.</w:t>
      </w:r>
    </w:p>
    <w:p w14:paraId="0FD5B689" w14:textId="77777777" w:rsidR="00D71CCF" w:rsidRPr="002332F8" w:rsidRDefault="00D71CCF" w:rsidP="00D71CCF">
      <w:pPr>
        <w:rPr>
          <w:rFonts w:ascii="Arial" w:hAnsi="Arial" w:cs="Arial"/>
        </w:rPr>
      </w:pPr>
      <w:r w:rsidRPr="002332F8">
        <w:rPr>
          <w:rFonts w:ascii="Arial" w:hAnsi="Arial" w:cs="Arial"/>
        </w:rPr>
        <w:t>.</w:t>
      </w:r>
    </w:p>
    <w:p w14:paraId="14C85E02" w14:textId="77777777" w:rsidR="00D71CCF" w:rsidRPr="002332F8" w:rsidRDefault="00D71CCF" w:rsidP="00D71CCF">
      <w:pPr>
        <w:rPr>
          <w:rFonts w:ascii="Arial" w:hAnsi="Arial" w:cs="Arial"/>
        </w:rPr>
      </w:pPr>
    </w:p>
    <w:p w14:paraId="65CB1F58" w14:textId="77777777" w:rsidR="00D71CCF" w:rsidRPr="002332F8" w:rsidRDefault="00D71CCF" w:rsidP="00D71CCF">
      <w:pPr>
        <w:suppressAutoHyphens w:val="0"/>
        <w:spacing w:after="160" w:line="256" w:lineRule="auto"/>
        <w:jc w:val="left"/>
        <w:rPr>
          <w:rFonts w:ascii="Arial" w:hAnsi="Arial" w:cs="Arial"/>
          <w:sz w:val="40"/>
          <w:szCs w:val="40"/>
        </w:rPr>
      </w:pPr>
      <w:bookmarkStart w:id="211" w:name="h048"/>
      <w:r w:rsidRPr="002332F8">
        <w:rPr>
          <w:rFonts w:ascii="Arial" w:hAnsi="Arial" w:cs="Arial"/>
        </w:rPr>
        <w:br w:type="page"/>
      </w:r>
    </w:p>
    <w:p w14:paraId="3C7E6665" w14:textId="77777777" w:rsidR="00D71CCF" w:rsidRPr="002332F8" w:rsidRDefault="00D71CCF" w:rsidP="00D71CCF">
      <w:pPr>
        <w:pStyle w:val="Heading1"/>
        <w:rPr>
          <w:rFonts w:ascii="Arial" w:hAnsi="Arial" w:cs="Arial"/>
          <w:color w:val="auto"/>
        </w:rPr>
      </w:pPr>
      <w:bookmarkStart w:id="212" w:name="_Toc241093489"/>
      <w:bookmarkStart w:id="213" w:name="_Toc241113309"/>
      <w:r w:rsidRPr="002332F8">
        <w:rPr>
          <w:rFonts w:ascii="Arial" w:hAnsi="Arial" w:cs="Arial"/>
          <w:color w:val="auto"/>
        </w:rPr>
        <w:lastRenderedPageBreak/>
        <w:t>4. Data Analysis</w:t>
      </w:r>
      <w:bookmarkEnd w:id="211"/>
      <w:bookmarkEnd w:id="212"/>
      <w:bookmarkEnd w:id="213"/>
    </w:p>
    <w:p w14:paraId="582B16BE" w14:textId="77777777" w:rsidR="00D71CCF" w:rsidRPr="002332F8" w:rsidRDefault="00D71CCF" w:rsidP="00D71CCF">
      <w:pPr>
        <w:pStyle w:val="Heading2"/>
        <w:rPr>
          <w:rFonts w:ascii="Arial" w:hAnsi="Arial" w:cs="Arial"/>
          <w:color w:val="auto"/>
        </w:rPr>
      </w:pPr>
      <w:bookmarkStart w:id="214" w:name="h049"/>
      <w:bookmarkStart w:id="215" w:name="_Toc241093490"/>
      <w:bookmarkStart w:id="216" w:name="_Toc241113310"/>
      <w:r w:rsidRPr="002332F8">
        <w:rPr>
          <w:rFonts w:ascii="Arial" w:hAnsi="Arial" w:cs="Arial"/>
          <w:color w:val="auto"/>
        </w:rPr>
        <w:t>4.1 Introduction</w:t>
      </w:r>
      <w:bookmarkEnd w:id="214"/>
      <w:bookmarkEnd w:id="215"/>
      <w:bookmarkEnd w:id="216"/>
    </w:p>
    <w:p w14:paraId="08146000" w14:textId="77777777" w:rsidR="00D71CCF" w:rsidRPr="002332F8" w:rsidRDefault="00D71CCF" w:rsidP="00D71CCF">
      <w:pPr>
        <w:rPr>
          <w:rFonts w:ascii="Arial" w:hAnsi="Arial" w:cs="Arial"/>
        </w:rPr>
      </w:pPr>
      <w:r w:rsidRPr="002332F8">
        <w:rPr>
          <w:rFonts w:ascii="Arial" w:hAnsi="Arial" w:cs="Arial"/>
        </w:rPr>
        <w:t>The chapter provides quantitative results of factory-based production and operational workers of Natural Group Bangladesh. It reports data screening, respondent characteristics, descriptive statistics, reliability, correlations, regression, diagnostics and hypothesis tests for perceived schedule control, predictability, shift accommodation and employee engagement.</w:t>
      </w:r>
    </w:p>
    <w:p w14:paraId="10B3A5D6" w14:textId="77777777" w:rsidR="00D71CCF" w:rsidRPr="002332F8" w:rsidRDefault="00D71CCF" w:rsidP="00D71CCF">
      <w:pPr>
        <w:pStyle w:val="Heading2"/>
        <w:rPr>
          <w:rFonts w:ascii="Arial" w:hAnsi="Arial" w:cs="Arial"/>
          <w:color w:val="auto"/>
        </w:rPr>
      </w:pPr>
      <w:bookmarkStart w:id="217" w:name="h050"/>
      <w:bookmarkStart w:id="218" w:name="_Toc241093491"/>
      <w:bookmarkStart w:id="219" w:name="_Toc241113311"/>
      <w:r w:rsidRPr="002332F8">
        <w:rPr>
          <w:rFonts w:ascii="Arial" w:hAnsi="Arial" w:cs="Arial"/>
          <w:color w:val="auto"/>
        </w:rPr>
        <w:t>4.2 Data Screening and Final Analytical Sample</w:t>
      </w:r>
      <w:bookmarkEnd w:id="217"/>
      <w:bookmarkEnd w:id="218"/>
      <w:bookmarkEnd w:id="219"/>
    </w:p>
    <w:p w14:paraId="56EDC14E" w14:textId="77777777" w:rsidR="00D71CCF" w:rsidRPr="002332F8" w:rsidRDefault="00D71CCF" w:rsidP="00D71CCF">
      <w:pPr>
        <w:rPr>
          <w:rFonts w:ascii="Arial" w:hAnsi="Arial" w:cs="Arial"/>
        </w:rPr>
      </w:pPr>
      <w:r w:rsidRPr="002332F8">
        <w:rPr>
          <w:rFonts w:ascii="Arial" w:hAnsi="Arial" w:cs="Arial"/>
        </w:rPr>
        <w:t>The survey export contained 108 submitted responses. Eligibility was checked against the criteria specified in Chapter Three. Three submissions did not satisfy the required employment and minimum-service conditions and were excluded. This produced a final analytical sample of 105 respondents. All retained respondents were aged at least 18 years, worked in a factory-based production or operational role, had at least three months of continuous service, and worked according to a scheduled arrangement. The final sample exceeded the approximate 77 usable cases identified in the earlier power calculation for a three-predictor regression model (Faul et al., 2009).</w:t>
      </w:r>
    </w:p>
    <w:p w14:paraId="7A1DC0DF" w14:textId="77777777" w:rsidR="00D71CCF" w:rsidRPr="002332F8" w:rsidRDefault="00D71CCF" w:rsidP="00D71CCF">
      <w:pPr>
        <w:rPr>
          <w:rFonts w:ascii="Arial" w:hAnsi="Arial" w:cs="Arial"/>
        </w:rPr>
      </w:pPr>
      <w:r w:rsidRPr="002332F8">
        <w:rPr>
          <w:rFonts w:ascii="Arial" w:hAnsi="Arial" w:cs="Arial"/>
        </w:rPr>
        <w:t>No missing values were found across the 15 scale items used in the main analysis. Screening also examined repeated response patterns and invariant answers. No eligible respondent gave the same score across all 15 items. One pair of eligible records had an identical response pattern, but the dataset contained no respondent identifier that could confirm a duplicate submission. Both records were therefore retained. The export recorded submission timestamps but not survey start times, so unusually rapid completion could not be assessed directly.</w:t>
      </w:r>
    </w:p>
    <w:p w14:paraId="627D2EA9" w14:textId="77777777" w:rsidR="00D71CCF" w:rsidRPr="002332F8" w:rsidRDefault="00D71CCF" w:rsidP="00D71CCF">
      <w:pPr>
        <w:keepNext/>
        <w:pageBreakBefore/>
        <w:spacing w:after="60" w:line="240" w:lineRule="auto"/>
        <w:jc w:val="center"/>
        <w:rPr>
          <w:rFonts w:ascii="Arial" w:hAnsi="Arial" w:cs="Arial"/>
        </w:rPr>
      </w:pPr>
      <w:bookmarkStart w:id="220" w:name="tbl4_1"/>
      <w:r w:rsidRPr="002332F8">
        <w:rPr>
          <w:rFonts w:ascii="Arial" w:hAnsi="Arial" w:cs="Arial"/>
          <w:i/>
          <w:sz w:val="18"/>
        </w:rPr>
        <w:lastRenderedPageBreak/>
        <w:t>Table 4.1: Data Screening and Final Analytical Sample</w:t>
      </w:r>
      <w:bookmarkEnd w:id="220"/>
    </w:p>
    <w:tbl>
      <w:tblPr>
        <w:tblW w:w="5000" w:type="pct"/>
        <w:jc w:val="center"/>
        <w:tblCellMar>
          <w:left w:w="10" w:type="dxa"/>
          <w:right w:w="10" w:type="dxa"/>
        </w:tblCellMar>
        <w:tblLook w:val="04A0" w:firstRow="1" w:lastRow="0" w:firstColumn="1" w:lastColumn="0" w:noHBand="0" w:noVBand="1"/>
      </w:tblPr>
      <w:tblGrid>
        <w:gridCol w:w="4508"/>
        <w:gridCol w:w="4508"/>
      </w:tblGrid>
      <w:tr w:rsidR="00D71CCF" w:rsidRPr="002332F8" w14:paraId="44B3DEE4" w14:textId="77777777" w:rsidTr="002D2DAA">
        <w:trPr>
          <w:cantSplit/>
          <w:tblHeader/>
          <w:jc w:val="center"/>
        </w:trPr>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7773E8C6"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t>Screening stage</w:t>
            </w:r>
          </w:p>
        </w:tc>
        <w:tc>
          <w:tcPr>
            <w:tcW w:w="4508"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34B5FCE6"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t>Number</w:t>
            </w:r>
          </w:p>
        </w:tc>
      </w:tr>
      <w:tr w:rsidR="00D71CCF" w:rsidRPr="002332F8" w14:paraId="2ADCBAA1" w14:textId="77777777" w:rsidTr="002D2DAA">
        <w:trPr>
          <w:cantSplit/>
          <w:jc w:val="center"/>
        </w:trPr>
        <w:tc>
          <w:tcPr>
            <w:tcW w:w="450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37ABAC7" w14:textId="77777777" w:rsidR="00D71CCF" w:rsidRPr="002332F8" w:rsidRDefault="00D71CCF" w:rsidP="002D2DAA">
            <w:pPr>
              <w:spacing w:after="0" w:line="240" w:lineRule="auto"/>
              <w:jc w:val="left"/>
              <w:rPr>
                <w:rFonts w:ascii="Arial" w:hAnsi="Arial" w:cs="Arial"/>
              </w:rPr>
            </w:pPr>
            <w:r w:rsidRPr="002332F8">
              <w:rPr>
                <w:rFonts w:ascii="Arial" w:hAnsi="Arial" w:cs="Arial"/>
                <w:sz w:val="19"/>
              </w:rPr>
              <w:t>Survey responses received</w:t>
            </w:r>
          </w:p>
        </w:tc>
        <w:tc>
          <w:tcPr>
            <w:tcW w:w="450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65C37FD" w14:textId="77777777" w:rsidR="00D71CCF" w:rsidRPr="002332F8" w:rsidRDefault="00D71CCF" w:rsidP="002D2DAA">
            <w:pPr>
              <w:spacing w:after="0" w:line="240" w:lineRule="auto"/>
              <w:jc w:val="center"/>
              <w:rPr>
                <w:rFonts w:ascii="Arial" w:hAnsi="Arial" w:cs="Arial"/>
              </w:rPr>
            </w:pPr>
            <w:r w:rsidRPr="002332F8">
              <w:rPr>
                <w:rFonts w:ascii="Arial" w:hAnsi="Arial" w:cs="Arial"/>
                <w:sz w:val="19"/>
              </w:rPr>
              <w:t>108</w:t>
            </w:r>
          </w:p>
        </w:tc>
      </w:tr>
      <w:tr w:rsidR="00D71CCF" w:rsidRPr="002332F8" w14:paraId="245DBA5A" w14:textId="77777777" w:rsidTr="002D2DAA">
        <w:trPr>
          <w:cantSplit/>
          <w:jc w:val="center"/>
        </w:trPr>
        <w:tc>
          <w:tcPr>
            <w:tcW w:w="450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0F08488" w14:textId="77777777" w:rsidR="00D71CCF" w:rsidRPr="002332F8" w:rsidRDefault="00D71CCF" w:rsidP="002D2DAA">
            <w:pPr>
              <w:spacing w:after="0" w:line="240" w:lineRule="auto"/>
              <w:jc w:val="left"/>
              <w:rPr>
                <w:rFonts w:ascii="Arial" w:hAnsi="Arial" w:cs="Arial"/>
              </w:rPr>
            </w:pPr>
            <w:r w:rsidRPr="002332F8">
              <w:rPr>
                <w:rFonts w:ascii="Arial" w:hAnsi="Arial" w:cs="Arial"/>
                <w:sz w:val="19"/>
              </w:rPr>
              <w:t>Ineligible responses excluded</w:t>
            </w:r>
          </w:p>
        </w:tc>
        <w:tc>
          <w:tcPr>
            <w:tcW w:w="450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61951A3" w14:textId="77777777" w:rsidR="00D71CCF" w:rsidRPr="002332F8" w:rsidRDefault="00D71CCF" w:rsidP="002D2DAA">
            <w:pPr>
              <w:spacing w:after="0" w:line="240" w:lineRule="auto"/>
              <w:jc w:val="center"/>
              <w:rPr>
                <w:rFonts w:ascii="Arial" w:hAnsi="Arial" w:cs="Arial"/>
              </w:rPr>
            </w:pPr>
            <w:r w:rsidRPr="002332F8">
              <w:rPr>
                <w:rFonts w:ascii="Arial" w:hAnsi="Arial" w:cs="Arial"/>
                <w:sz w:val="19"/>
              </w:rPr>
              <w:t>3</w:t>
            </w:r>
          </w:p>
        </w:tc>
      </w:tr>
      <w:tr w:rsidR="00D71CCF" w:rsidRPr="002332F8" w14:paraId="654100E7" w14:textId="77777777" w:rsidTr="002D2DAA">
        <w:trPr>
          <w:cantSplit/>
          <w:jc w:val="center"/>
        </w:trPr>
        <w:tc>
          <w:tcPr>
            <w:tcW w:w="450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AC2C3E5" w14:textId="77777777" w:rsidR="00D71CCF" w:rsidRPr="002332F8" w:rsidRDefault="00D71CCF" w:rsidP="002D2DAA">
            <w:pPr>
              <w:spacing w:after="0" w:line="240" w:lineRule="auto"/>
              <w:jc w:val="left"/>
              <w:rPr>
                <w:rFonts w:ascii="Arial" w:hAnsi="Arial" w:cs="Arial"/>
              </w:rPr>
            </w:pPr>
            <w:r w:rsidRPr="002332F8">
              <w:rPr>
                <w:rFonts w:ascii="Arial" w:hAnsi="Arial" w:cs="Arial"/>
                <w:sz w:val="19"/>
              </w:rPr>
              <w:t>Eligible responses retained</w:t>
            </w:r>
          </w:p>
        </w:tc>
        <w:tc>
          <w:tcPr>
            <w:tcW w:w="450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CE200AE" w14:textId="77777777" w:rsidR="00D71CCF" w:rsidRPr="002332F8" w:rsidRDefault="00D71CCF" w:rsidP="002D2DAA">
            <w:pPr>
              <w:spacing w:after="0" w:line="240" w:lineRule="auto"/>
              <w:jc w:val="center"/>
              <w:rPr>
                <w:rFonts w:ascii="Arial" w:hAnsi="Arial" w:cs="Arial"/>
              </w:rPr>
            </w:pPr>
            <w:r w:rsidRPr="002332F8">
              <w:rPr>
                <w:rFonts w:ascii="Arial" w:hAnsi="Arial" w:cs="Arial"/>
                <w:sz w:val="19"/>
              </w:rPr>
              <w:t>105</w:t>
            </w:r>
          </w:p>
        </w:tc>
      </w:tr>
      <w:tr w:rsidR="00D71CCF" w:rsidRPr="002332F8" w14:paraId="715A0A96" w14:textId="77777777" w:rsidTr="002D2DAA">
        <w:trPr>
          <w:cantSplit/>
          <w:jc w:val="center"/>
        </w:trPr>
        <w:tc>
          <w:tcPr>
            <w:tcW w:w="450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9CC9B20" w14:textId="77777777" w:rsidR="00D71CCF" w:rsidRPr="002332F8" w:rsidRDefault="00D71CCF" w:rsidP="002D2DAA">
            <w:pPr>
              <w:spacing w:after="0" w:line="240" w:lineRule="auto"/>
              <w:jc w:val="left"/>
              <w:rPr>
                <w:rFonts w:ascii="Arial" w:hAnsi="Arial" w:cs="Arial"/>
              </w:rPr>
            </w:pPr>
            <w:r w:rsidRPr="002332F8">
              <w:rPr>
                <w:rFonts w:ascii="Arial" w:hAnsi="Arial" w:cs="Arial"/>
                <w:sz w:val="19"/>
              </w:rPr>
              <w:t>Final regression sample</w:t>
            </w:r>
          </w:p>
        </w:tc>
        <w:tc>
          <w:tcPr>
            <w:tcW w:w="450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967E21C" w14:textId="77777777" w:rsidR="00D71CCF" w:rsidRPr="002332F8" w:rsidRDefault="00D71CCF" w:rsidP="002D2DAA">
            <w:pPr>
              <w:spacing w:after="0" w:line="240" w:lineRule="auto"/>
              <w:jc w:val="center"/>
              <w:rPr>
                <w:rFonts w:ascii="Arial" w:hAnsi="Arial" w:cs="Arial"/>
              </w:rPr>
            </w:pPr>
            <w:r w:rsidRPr="002332F8">
              <w:rPr>
                <w:rFonts w:ascii="Arial" w:hAnsi="Arial" w:cs="Arial"/>
                <w:sz w:val="19"/>
              </w:rPr>
              <w:t>105</w:t>
            </w:r>
          </w:p>
        </w:tc>
      </w:tr>
      <w:tr w:rsidR="00D71CCF" w:rsidRPr="002332F8" w14:paraId="3C00A772" w14:textId="77777777" w:rsidTr="002D2DAA">
        <w:trPr>
          <w:cantSplit/>
          <w:jc w:val="center"/>
        </w:trPr>
        <w:tc>
          <w:tcPr>
            <w:tcW w:w="450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6550219" w14:textId="77777777" w:rsidR="00D71CCF" w:rsidRPr="002332F8" w:rsidRDefault="00D71CCF" w:rsidP="002D2DAA">
            <w:pPr>
              <w:spacing w:after="0" w:line="240" w:lineRule="auto"/>
              <w:jc w:val="left"/>
              <w:rPr>
                <w:rFonts w:ascii="Arial" w:hAnsi="Arial" w:cs="Arial"/>
              </w:rPr>
            </w:pPr>
            <w:r w:rsidRPr="002332F8">
              <w:rPr>
                <w:rFonts w:ascii="Arial" w:hAnsi="Arial" w:cs="Arial"/>
                <w:sz w:val="19"/>
              </w:rPr>
              <w:t>Missing scale-item responses in retained sample</w:t>
            </w:r>
          </w:p>
        </w:tc>
        <w:tc>
          <w:tcPr>
            <w:tcW w:w="450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63E3840" w14:textId="77777777" w:rsidR="00D71CCF" w:rsidRPr="002332F8" w:rsidRDefault="00D71CCF" w:rsidP="002D2DAA">
            <w:pPr>
              <w:spacing w:after="0" w:line="240" w:lineRule="auto"/>
              <w:jc w:val="center"/>
              <w:rPr>
                <w:rFonts w:ascii="Arial" w:hAnsi="Arial" w:cs="Arial"/>
              </w:rPr>
            </w:pPr>
            <w:r w:rsidRPr="002332F8">
              <w:rPr>
                <w:rFonts w:ascii="Arial" w:hAnsi="Arial" w:cs="Arial"/>
                <w:sz w:val="19"/>
              </w:rPr>
              <w:t>0</w:t>
            </w:r>
          </w:p>
        </w:tc>
      </w:tr>
    </w:tbl>
    <w:p w14:paraId="0024A319" w14:textId="77777777" w:rsidR="00D71CCF" w:rsidRPr="002332F8" w:rsidRDefault="00D71CCF" w:rsidP="00D71CCF">
      <w:pPr>
        <w:spacing w:before="40" w:line="240" w:lineRule="auto"/>
        <w:jc w:val="center"/>
        <w:rPr>
          <w:rFonts w:ascii="Arial" w:hAnsi="Arial" w:cs="Arial"/>
        </w:rPr>
      </w:pPr>
      <w:r w:rsidRPr="002332F8">
        <w:rPr>
          <w:rFonts w:ascii="Arial" w:hAnsi="Arial" w:cs="Arial"/>
          <w:i/>
          <w:sz w:val="18"/>
        </w:rPr>
        <w:t>Source: Author's analysis of survey data (2026).</w:t>
      </w:r>
    </w:p>
    <w:p w14:paraId="1891B207" w14:textId="77777777" w:rsidR="00D71CCF" w:rsidRPr="002332F8" w:rsidRDefault="00D71CCF" w:rsidP="00D71CCF">
      <w:pPr>
        <w:pStyle w:val="Heading2"/>
        <w:rPr>
          <w:rFonts w:ascii="Arial" w:hAnsi="Arial" w:cs="Arial"/>
          <w:color w:val="auto"/>
        </w:rPr>
      </w:pPr>
      <w:bookmarkStart w:id="221" w:name="h051"/>
      <w:bookmarkStart w:id="222" w:name="_Toc241093492"/>
      <w:bookmarkStart w:id="223" w:name="_Toc241113312"/>
      <w:r w:rsidRPr="002332F8">
        <w:rPr>
          <w:rFonts w:ascii="Arial" w:hAnsi="Arial" w:cs="Arial"/>
          <w:color w:val="auto"/>
        </w:rPr>
        <w:t>4.3 Demographic and Work-Arrangement Profile</w:t>
      </w:r>
      <w:bookmarkEnd w:id="221"/>
      <w:bookmarkEnd w:id="222"/>
      <w:bookmarkEnd w:id="223"/>
    </w:p>
    <w:p w14:paraId="28677603" w14:textId="77777777" w:rsidR="00D71CCF" w:rsidRPr="002332F8" w:rsidRDefault="00D71CCF" w:rsidP="00D71CCF">
      <w:pPr>
        <w:rPr>
          <w:rFonts w:ascii="Arial" w:hAnsi="Arial" w:cs="Arial"/>
        </w:rPr>
      </w:pPr>
      <w:r w:rsidRPr="002332F8">
        <w:rPr>
          <w:rFonts w:ascii="Arial" w:hAnsi="Arial" w:cs="Arial"/>
        </w:rPr>
        <w:t xml:space="preserve">The demographics of those who were eligible for the study (n = 105) are summarised in Table 4.2. The sample was fairly young. The largest group of employees was in the 25-34 age bracket, closely followed by a group of 18-24 employees, at 41.9%. The remaining 13.3% were aged 35-44. Of all the respondents, 60.0% were male and 40.0% were female. The respondents who have Higher Secondary Certificate or equivalent education 64.8% of the sample size. The largest occupational group was sewing 51.4%, followed by cutting operators, 17.1%, and finishing operators, 11.4%. Eighty percent of quality inspectors, seven percent of line supervisors, two percent of production supervisors and one respondent reported holding another supervisory production role. Work-arrangement responses revealed a very production dependent environment. All but 2.7% of the 105 eligible respondents indicated that their schedule changed based on production needs. There was also a large number of people who worked overtime, 81.0% worked overtime 3 or more times per week. But 81.9 reported that they typically were given at least one week ahead of time to have their work schedules. 105 (76%) of the eligible respondents reported they had requested some type of shift, leave or schedule adjustment in the last three months. </w:t>
      </w:r>
    </w:p>
    <w:p w14:paraId="24270D2A" w14:textId="77777777" w:rsidR="00D71CCF" w:rsidRPr="002332F8" w:rsidRDefault="00D71CCF" w:rsidP="00D71CCF">
      <w:pPr>
        <w:keepNext/>
        <w:spacing w:after="60" w:line="240" w:lineRule="auto"/>
        <w:jc w:val="center"/>
        <w:rPr>
          <w:rFonts w:ascii="Arial" w:hAnsi="Arial" w:cs="Arial"/>
        </w:rPr>
      </w:pPr>
      <w:bookmarkStart w:id="224" w:name="tbl4_2"/>
      <w:r w:rsidRPr="002332F8">
        <w:rPr>
          <w:rFonts w:ascii="Arial" w:hAnsi="Arial" w:cs="Arial"/>
          <w:i/>
          <w:sz w:val="18"/>
        </w:rPr>
        <w:t>Table 4.2: Demographic and Work-Arrangement Characteristics</w:t>
      </w:r>
      <w:bookmarkEnd w:id="224"/>
    </w:p>
    <w:tbl>
      <w:tblPr>
        <w:tblW w:w="5000" w:type="pct"/>
        <w:jc w:val="center"/>
        <w:tblCellMar>
          <w:left w:w="10" w:type="dxa"/>
          <w:right w:w="10" w:type="dxa"/>
        </w:tblCellMar>
        <w:tblLook w:val="04A0" w:firstRow="1" w:lastRow="0" w:firstColumn="1" w:lastColumn="0" w:noHBand="0" w:noVBand="1"/>
      </w:tblPr>
      <w:tblGrid>
        <w:gridCol w:w="2254"/>
        <w:gridCol w:w="2254"/>
        <w:gridCol w:w="2254"/>
        <w:gridCol w:w="2254"/>
      </w:tblGrid>
      <w:tr w:rsidR="00D71CCF" w:rsidRPr="002332F8" w14:paraId="5DE25E99" w14:textId="77777777" w:rsidTr="002D2DAA">
        <w:trPr>
          <w:cantSplit/>
          <w:tblHeader/>
          <w:jc w:val="center"/>
        </w:trPr>
        <w:tc>
          <w:tcPr>
            <w:tcW w:w="2254"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0930D988"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Variable</w:t>
            </w:r>
          </w:p>
        </w:tc>
        <w:tc>
          <w:tcPr>
            <w:tcW w:w="2254"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3215DEA5"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Category</w:t>
            </w:r>
          </w:p>
        </w:tc>
        <w:tc>
          <w:tcPr>
            <w:tcW w:w="2254"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0C0B282D"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n</w:t>
            </w:r>
          </w:p>
        </w:tc>
        <w:tc>
          <w:tcPr>
            <w:tcW w:w="2254"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2310FDB9"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w:t>
            </w:r>
          </w:p>
        </w:tc>
      </w:tr>
      <w:tr w:rsidR="00D71CCF" w:rsidRPr="002332F8" w14:paraId="524CE5E2"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053FCDB"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Age group</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1183F44"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18-24 years</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A3FE825"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44</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0B9C87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41.9</w:t>
            </w:r>
          </w:p>
        </w:tc>
      </w:tr>
      <w:tr w:rsidR="00D71CCF" w:rsidRPr="002332F8" w14:paraId="55DA563C"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B1BE8B7"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8BB979D"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25-34 years</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FB42180"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47</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C75FF91"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44.8</w:t>
            </w:r>
          </w:p>
        </w:tc>
      </w:tr>
      <w:tr w:rsidR="00D71CCF" w:rsidRPr="002332F8" w14:paraId="53492916"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42B1FAD"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56B0E8E"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35-44 years</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71A4E34"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14</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736FB08"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13.3</w:t>
            </w:r>
          </w:p>
        </w:tc>
      </w:tr>
      <w:tr w:rsidR="00D71CCF" w:rsidRPr="002332F8" w14:paraId="6F63751F"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8BA2043"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Gender</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7747A10"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Male</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A7B9BD8"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63</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31673C0"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60.0</w:t>
            </w:r>
          </w:p>
        </w:tc>
      </w:tr>
      <w:tr w:rsidR="00D71CCF" w:rsidRPr="002332F8" w14:paraId="6AD986A5"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5912770"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CA2D339"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Female</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D8DFBE3"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42</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B05068F"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40.0</w:t>
            </w:r>
          </w:p>
        </w:tc>
      </w:tr>
      <w:tr w:rsidR="00D71CCF" w:rsidRPr="002332F8" w14:paraId="79A77729"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60F5AF5"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Education</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6213BF4"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SSC or equivalent</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405B60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17</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A257287"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16.2</w:t>
            </w:r>
          </w:p>
        </w:tc>
      </w:tr>
      <w:tr w:rsidR="00D71CCF" w:rsidRPr="002332F8" w14:paraId="005DC913"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8936319"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94D6BA8"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HSC or equivalent</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A27E0FF"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68</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6EF9618"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64.8</w:t>
            </w:r>
          </w:p>
        </w:tc>
      </w:tr>
      <w:tr w:rsidR="00D71CCF" w:rsidRPr="002332F8" w14:paraId="2B7A5CB5"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8F793C7"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CED03C6"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Diploma / vocational</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BB699EB"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5</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73BC827"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4.8</w:t>
            </w:r>
          </w:p>
        </w:tc>
      </w:tr>
      <w:tr w:rsidR="00D71CCF" w:rsidRPr="002332F8" w14:paraId="557834FC"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0434BBF"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0BD9683"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Bachelor's degree or above</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443D4F1"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15</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94CE19E"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14.3</w:t>
            </w:r>
          </w:p>
        </w:tc>
      </w:tr>
      <w:tr w:rsidR="00D71CCF" w:rsidRPr="002332F8" w14:paraId="1B147112"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F95862E"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Job position</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6497C5D"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Sewing Operator</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C34B3C1"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54</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CE0E741"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51.4</w:t>
            </w:r>
          </w:p>
        </w:tc>
      </w:tr>
      <w:tr w:rsidR="00D71CCF" w:rsidRPr="002332F8" w14:paraId="6F97B1FD"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A428BD0"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5FAA751"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Cutting Operator</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BF1B8E6"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18</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34F2DA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17.1</w:t>
            </w:r>
          </w:p>
        </w:tc>
      </w:tr>
      <w:tr w:rsidR="00D71CCF" w:rsidRPr="002332F8" w14:paraId="1BE08C52"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99431F2"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54CCE48"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Finishing Operator</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E9270ED"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12</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3032CF5"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11.4</w:t>
            </w:r>
          </w:p>
        </w:tc>
      </w:tr>
      <w:tr w:rsidR="00D71CCF" w:rsidRPr="002332F8" w14:paraId="2BB124A1"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073ED0D"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A59B53C"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Quality Inspector</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E8A8A66"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9</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3EC4F75"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8.6</w:t>
            </w:r>
          </w:p>
        </w:tc>
      </w:tr>
      <w:tr w:rsidR="00D71CCF" w:rsidRPr="002332F8" w14:paraId="6746A863"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5D70842"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564A8A9"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Line Supervisor</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1A74FAE"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8</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AA8C2D0"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7.6</w:t>
            </w:r>
          </w:p>
        </w:tc>
      </w:tr>
      <w:tr w:rsidR="00D71CCF" w:rsidRPr="002332F8" w14:paraId="30B2812F"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CB6BD5A"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98AE1F0"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Production Supervisor</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00A8F86"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3</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030F1A1"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2.9</w:t>
            </w:r>
          </w:p>
        </w:tc>
      </w:tr>
      <w:tr w:rsidR="00D71CCF" w:rsidRPr="002332F8" w14:paraId="2C5B7F72"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B12BDCB"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907E6CB"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Other supervisory production role</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F2DCF9E"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B829A06"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1.0</w:t>
            </w:r>
          </w:p>
        </w:tc>
      </w:tr>
      <w:tr w:rsidR="00D71CCF" w:rsidRPr="002332F8" w14:paraId="23BF1CCB"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D34F2C8"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Length of service</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352CF9B"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3-11 months</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AF324D5"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33</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CD8C9B5"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31.4</w:t>
            </w:r>
          </w:p>
        </w:tc>
      </w:tr>
      <w:tr w:rsidR="00D71CCF" w:rsidRPr="002332F8" w14:paraId="3E41FD69"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5C04AEB"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D071BE5"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1-2 years</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4C60A37"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43</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C82BAB7"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41.0</w:t>
            </w:r>
          </w:p>
        </w:tc>
      </w:tr>
      <w:tr w:rsidR="00D71CCF" w:rsidRPr="002332F8" w14:paraId="3FE67E58"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4A37399"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D966EE1"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3-5 years</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F286D5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23</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CF7F7B4"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21.9</w:t>
            </w:r>
          </w:p>
        </w:tc>
      </w:tr>
      <w:tr w:rsidR="00D71CCF" w:rsidRPr="002332F8" w14:paraId="08AB8D8A"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889DA87"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B911761"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6-10 years</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83AAFC3"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6</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E75CFA3"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5.7</w:t>
            </w:r>
          </w:p>
        </w:tc>
      </w:tr>
      <w:tr w:rsidR="00D71CCF" w:rsidRPr="002332F8" w14:paraId="63BF0702"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8619B35"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Usual work schedule</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38C2350"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Varies according to production needs</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2336C7D"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102</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9D5A246"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97.1</w:t>
            </w:r>
          </w:p>
        </w:tc>
      </w:tr>
      <w:tr w:rsidR="00D71CCF" w:rsidRPr="002332F8" w14:paraId="3EFA43E2"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27CD5AC"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A1DFEFF"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Rotating shifts</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BCC82D5"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2</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FC40B82"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1.9</w:t>
            </w:r>
          </w:p>
        </w:tc>
      </w:tr>
      <w:tr w:rsidR="00D71CCF" w:rsidRPr="002332F8" w14:paraId="5F1DD106"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20AFDC9"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AB6C2D7"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Fixed day shift</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05D7C22"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D700FE0"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1.0</w:t>
            </w:r>
          </w:p>
        </w:tc>
      </w:tr>
      <w:tr w:rsidR="00D71CCF" w:rsidRPr="002332F8" w14:paraId="15471278"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5E8CC6B"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Overtime frequency</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EF6D44E"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1-3 times a month</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E3B66FC"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7EAC9A8"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3.8</w:t>
            </w:r>
          </w:p>
        </w:tc>
      </w:tr>
      <w:tr w:rsidR="00D71CCF" w:rsidRPr="002332F8" w14:paraId="5092B638"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29C304D"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CF5E858"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1-2 times a week</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0DF40CD"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16</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FC5C13B"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15.2</w:t>
            </w:r>
          </w:p>
        </w:tc>
      </w:tr>
      <w:tr w:rsidR="00D71CCF" w:rsidRPr="002332F8" w14:paraId="761D4EB6"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7656E9E"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95168EE"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3 or more times a week</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33361E1"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85</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53ED27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81.0</w:t>
            </w:r>
          </w:p>
        </w:tc>
      </w:tr>
      <w:tr w:rsidR="00D71CCF" w:rsidRPr="002332F8" w14:paraId="1D34D870"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D618564"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Schedule notice</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1472F1D"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1-2 days</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2E72096"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7D9E50D"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1.0</w:t>
            </w:r>
          </w:p>
        </w:tc>
      </w:tr>
      <w:tr w:rsidR="00D71CCF" w:rsidRPr="002332F8" w14:paraId="179642FC"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F5FFF12"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0C8FE1C"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3-6 days</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9C972F1"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7</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04B6608"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6.7</w:t>
            </w:r>
          </w:p>
        </w:tc>
      </w:tr>
      <w:tr w:rsidR="00D71CCF" w:rsidRPr="002332F8" w14:paraId="56D82885"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A947D9B"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DA3AF20"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1 week</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B82365D"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11</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D6C8286"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10.5</w:t>
            </w:r>
          </w:p>
        </w:tc>
      </w:tr>
      <w:tr w:rsidR="00D71CCF" w:rsidRPr="002332F8" w14:paraId="50A12422"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D9747FD" w14:textId="77777777" w:rsidR="00D71CCF" w:rsidRPr="002332F8" w:rsidRDefault="00D71CCF" w:rsidP="002D2DAA">
            <w:pPr>
              <w:spacing w:after="0" w:line="240" w:lineRule="auto"/>
              <w:jc w:val="left"/>
              <w:rPr>
                <w:rFonts w:ascii="Arial" w:hAnsi="Arial" w:cs="Arial"/>
              </w:rPr>
            </w:pP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FB18E4C"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More than 1 week</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9ACEE34"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86</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A3AE648"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81.9</w:t>
            </w:r>
          </w:p>
        </w:tc>
      </w:tr>
      <w:tr w:rsidR="00D71CCF" w:rsidRPr="002332F8" w14:paraId="4BBA2863"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0F40D3C"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Adjustment request in past 3 months</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DAC8B51"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Yes</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F697812"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105</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C30159E"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100.0</w:t>
            </w:r>
          </w:p>
        </w:tc>
      </w:tr>
    </w:tbl>
    <w:p w14:paraId="3FAC3D93" w14:textId="77777777" w:rsidR="00D71CCF" w:rsidRPr="002332F8" w:rsidRDefault="00D71CCF" w:rsidP="00D71CCF">
      <w:pPr>
        <w:spacing w:before="40" w:line="240" w:lineRule="auto"/>
        <w:jc w:val="center"/>
        <w:rPr>
          <w:rFonts w:ascii="Arial" w:hAnsi="Arial" w:cs="Arial"/>
        </w:rPr>
      </w:pPr>
      <w:r w:rsidRPr="002332F8">
        <w:rPr>
          <w:rFonts w:ascii="Arial" w:hAnsi="Arial" w:cs="Arial"/>
          <w:i/>
          <w:sz w:val="18"/>
        </w:rPr>
        <w:t>Source: Author's analysis of survey data (2026).</w:t>
      </w:r>
    </w:p>
    <w:p w14:paraId="4DC3018D" w14:textId="77777777" w:rsidR="00D71CCF" w:rsidRPr="002332F8" w:rsidRDefault="00D71CCF" w:rsidP="00D71CCF">
      <w:pPr>
        <w:keepNext/>
        <w:spacing w:after="40"/>
        <w:jc w:val="center"/>
        <w:rPr>
          <w:rFonts w:ascii="Arial" w:hAnsi="Arial" w:cs="Arial"/>
        </w:rPr>
      </w:pPr>
      <w:r w:rsidRPr="002332F8">
        <w:rPr>
          <w:rFonts w:ascii="Arial" w:hAnsi="Arial" w:cs="Arial"/>
          <w:noProof/>
        </w:rPr>
        <w:lastRenderedPageBreak/>
        <w:drawing>
          <wp:inline distT="0" distB="0" distL="0" distR="0" wp14:anchorId="79D4BE91" wp14:editId="719FC12D">
            <wp:extent cx="5755575" cy="3356811"/>
            <wp:effectExtent l="0" t="0" r="0" b="0"/>
            <wp:docPr id="174496466" name="Picture 85752000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820195" cy="3394499"/>
                    </a:xfrm>
                    <a:prstGeom prst="rect">
                      <a:avLst/>
                    </a:prstGeom>
                    <a:noFill/>
                    <a:ln>
                      <a:noFill/>
                      <a:prstDash/>
                    </a:ln>
                  </pic:spPr>
                </pic:pic>
              </a:graphicData>
            </a:graphic>
          </wp:inline>
        </w:drawing>
      </w:r>
    </w:p>
    <w:p w14:paraId="4D1F4D32" w14:textId="77777777" w:rsidR="00D71CCF" w:rsidRPr="002332F8" w:rsidRDefault="00D71CCF" w:rsidP="00D71CCF">
      <w:pPr>
        <w:pStyle w:val="FigureCaption"/>
        <w:rPr>
          <w:rFonts w:ascii="Arial" w:hAnsi="Arial" w:cs="Arial"/>
        </w:rPr>
      </w:pPr>
      <w:bookmarkStart w:id="225" w:name="fig4_1"/>
      <w:r w:rsidRPr="002332F8">
        <w:rPr>
          <w:rFonts w:ascii="Arial" w:hAnsi="Arial" w:cs="Arial"/>
        </w:rPr>
        <w:t>Figure 4.1. Age distribution of respondents</w:t>
      </w:r>
      <w:bookmarkEnd w:id="225"/>
    </w:p>
    <w:p w14:paraId="44E1623D" w14:textId="77777777" w:rsidR="00D71CCF" w:rsidRPr="002332F8" w:rsidRDefault="00D71CCF" w:rsidP="00D71CCF">
      <w:pPr>
        <w:spacing w:before="40" w:line="240" w:lineRule="auto"/>
        <w:jc w:val="center"/>
        <w:rPr>
          <w:rFonts w:ascii="Arial" w:hAnsi="Arial" w:cs="Arial"/>
        </w:rPr>
      </w:pPr>
    </w:p>
    <w:p w14:paraId="1582874B" w14:textId="77777777" w:rsidR="00D71CCF" w:rsidRPr="002332F8" w:rsidRDefault="00D71CCF" w:rsidP="00D71CCF">
      <w:pPr>
        <w:keepNext/>
        <w:spacing w:after="40"/>
        <w:jc w:val="center"/>
        <w:rPr>
          <w:rFonts w:ascii="Arial" w:hAnsi="Arial" w:cs="Arial"/>
        </w:rPr>
      </w:pPr>
      <w:r w:rsidRPr="002332F8">
        <w:rPr>
          <w:rFonts w:ascii="Arial" w:hAnsi="Arial" w:cs="Arial"/>
          <w:noProof/>
        </w:rPr>
        <w:drawing>
          <wp:inline distT="0" distB="0" distL="0" distR="0" wp14:anchorId="18C2C8F8" wp14:editId="03A4A20C">
            <wp:extent cx="5709285" cy="3717758"/>
            <wp:effectExtent l="0" t="0" r="0" b="3810"/>
            <wp:docPr id="1108636472" name="Picture 74490817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68021" cy="3756006"/>
                    </a:xfrm>
                    <a:prstGeom prst="rect">
                      <a:avLst/>
                    </a:prstGeom>
                    <a:noFill/>
                    <a:ln>
                      <a:noFill/>
                      <a:prstDash/>
                    </a:ln>
                  </pic:spPr>
                </pic:pic>
              </a:graphicData>
            </a:graphic>
          </wp:inline>
        </w:drawing>
      </w:r>
    </w:p>
    <w:p w14:paraId="4B8D0683" w14:textId="77777777" w:rsidR="00D71CCF" w:rsidRPr="002332F8" w:rsidRDefault="00D71CCF" w:rsidP="00D71CCF">
      <w:pPr>
        <w:pStyle w:val="FigureCaption"/>
        <w:rPr>
          <w:rFonts w:ascii="Arial" w:hAnsi="Arial" w:cs="Arial"/>
        </w:rPr>
      </w:pPr>
      <w:bookmarkStart w:id="226" w:name="fig4_2"/>
      <w:r w:rsidRPr="002332F8">
        <w:rPr>
          <w:rFonts w:ascii="Arial" w:hAnsi="Arial" w:cs="Arial"/>
        </w:rPr>
        <w:t>Figure 4.2. Job position distribution of respondents</w:t>
      </w:r>
      <w:bookmarkEnd w:id="226"/>
    </w:p>
    <w:p w14:paraId="7C3FA741" w14:textId="77777777" w:rsidR="00D71CCF" w:rsidRPr="002332F8" w:rsidRDefault="00D71CCF" w:rsidP="00D71CCF">
      <w:pPr>
        <w:spacing w:before="40" w:line="240" w:lineRule="auto"/>
        <w:jc w:val="center"/>
        <w:rPr>
          <w:rFonts w:ascii="Arial" w:hAnsi="Arial" w:cs="Arial"/>
        </w:rPr>
      </w:pPr>
    </w:p>
    <w:p w14:paraId="31005662" w14:textId="77777777" w:rsidR="00D71CCF" w:rsidRPr="002332F8" w:rsidRDefault="00D71CCF" w:rsidP="00D71CCF">
      <w:pPr>
        <w:keepNext/>
        <w:spacing w:after="40"/>
        <w:jc w:val="center"/>
        <w:rPr>
          <w:rFonts w:ascii="Arial" w:hAnsi="Arial" w:cs="Arial"/>
        </w:rPr>
      </w:pPr>
      <w:r w:rsidRPr="002332F8">
        <w:rPr>
          <w:rFonts w:ascii="Arial" w:hAnsi="Arial" w:cs="Arial"/>
          <w:noProof/>
        </w:rPr>
        <w:lastRenderedPageBreak/>
        <w:drawing>
          <wp:inline distT="0" distB="0" distL="0" distR="0" wp14:anchorId="5DE95291" wp14:editId="5B1164F5">
            <wp:extent cx="5788968" cy="2983230"/>
            <wp:effectExtent l="0" t="0" r="2540" b="1270"/>
            <wp:docPr id="1428123531" name="Picture 16119466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857377" cy="3018483"/>
                    </a:xfrm>
                    <a:prstGeom prst="rect">
                      <a:avLst/>
                    </a:prstGeom>
                    <a:noFill/>
                    <a:ln>
                      <a:noFill/>
                      <a:prstDash/>
                    </a:ln>
                  </pic:spPr>
                </pic:pic>
              </a:graphicData>
            </a:graphic>
          </wp:inline>
        </w:drawing>
      </w:r>
    </w:p>
    <w:p w14:paraId="74FECB7C" w14:textId="77777777" w:rsidR="00D71CCF" w:rsidRPr="002332F8" w:rsidRDefault="00D71CCF" w:rsidP="00D71CCF">
      <w:pPr>
        <w:pStyle w:val="FigureCaption"/>
        <w:rPr>
          <w:rFonts w:ascii="Arial" w:hAnsi="Arial" w:cs="Arial"/>
        </w:rPr>
      </w:pPr>
      <w:bookmarkStart w:id="227" w:name="fig4_3"/>
      <w:r w:rsidRPr="002332F8">
        <w:rPr>
          <w:rFonts w:ascii="Arial" w:hAnsi="Arial" w:cs="Arial"/>
        </w:rPr>
        <w:t>Figure 4.3. Overtime frequency of respondents</w:t>
      </w:r>
      <w:bookmarkEnd w:id="227"/>
    </w:p>
    <w:p w14:paraId="6DD144BD" w14:textId="77777777" w:rsidR="00D71CCF" w:rsidRPr="002332F8" w:rsidRDefault="00D71CCF" w:rsidP="00D71CCF">
      <w:pPr>
        <w:pageBreakBefore/>
        <w:rPr>
          <w:rFonts w:ascii="Arial" w:hAnsi="Arial" w:cs="Arial"/>
        </w:rPr>
      </w:pPr>
      <w:r w:rsidRPr="002332F8">
        <w:rPr>
          <w:rFonts w:ascii="Arial" w:hAnsi="Arial" w:cs="Arial"/>
          <w:b/>
          <w:i/>
        </w:rPr>
        <w:lastRenderedPageBreak/>
        <w:t>4.3.1 Question-by-Question Survey Response Analysis</w:t>
      </w:r>
    </w:p>
    <w:p w14:paraId="1046E7B2" w14:textId="77777777" w:rsidR="00D71CCF" w:rsidRPr="002332F8" w:rsidRDefault="00D71CCF" w:rsidP="00D71CCF">
      <w:pPr>
        <w:keepNext/>
        <w:spacing w:after="60"/>
        <w:jc w:val="center"/>
        <w:rPr>
          <w:rFonts w:ascii="Arial" w:hAnsi="Arial" w:cs="Arial"/>
        </w:rPr>
      </w:pPr>
      <w:r w:rsidRPr="002332F8">
        <w:rPr>
          <w:rFonts w:ascii="Arial" w:hAnsi="Arial" w:cs="Arial"/>
          <w:noProof/>
        </w:rPr>
        <w:drawing>
          <wp:inline distT="0" distB="0" distL="0" distR="0" wp14:anchorId="455AF481" wp14:editId="4D62C91C">
            <wp:extent cx="4709160" cy="1980549"/>
            <wp:effectExtent l="0" t="0" r="0" b="0"/>
            <wp:docPr id="1763331171" name="Picture 1763331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25"/>
                    <a:stretch>
                      <a:fillRect/>
                    </a:stretch>
                  </pic:blipFill>
                  <pic:spPr>
                    <a:xfrm>
                      <a:off x="0" y="0"/>
                      <a:ext cx="4709160" cy="1980549"/>
                    </a:xfrm>
                    <a:prstGeom prst="rect">
                      <a:avLst/>
                    </a:prstGeom>
                  </pic:spPr>
                </pic:pic>
              </a:graphicData>
            </a:graphic>
          </wp:inline>
        </w:drawing>
      </w:r>
    </w:p>
    <w:p w14:paraId="0B3353D6" w14:textId="77777777" w:rsidR="00D71CCF" w:rsidRPr="002332F8" w:rsidRDefault="00D71CCF" w:rsidP="00D71CCF">
      <w:pPr>
        <w:pStyle w:val="FigureCaption"/>
        <w:rPr>
          <w:rFonts w:ascii="Arial" w:hAnsi="Arial" w:cs="Arial"/>
        </w:rPr>
      </w:pPr>
      <w:bookmarkStart w:id="228" w:name="fig4_4"/>
      <w:r w:rsidRPr="002332F8">
        <w:rPr>
          <w:rFonts w:ascii="Arial" w:hAnsi="Arial" w:cs="Arial"/>
        </w:rPr>
        <w:t>Figure 4.4. Responses to Q3: Have you worked continuously at Natural Group Bangladesh for at least three months?</w:t>
      </w:r>
      <w:bookmarkEnd w:id="228"/>
    </w:p>
    <w:p w14:paraId="4B23E6BF" w14:textId="77777777" w:rsidR="00D71CCF" w:rsidRPr="002332F8" w:rsidRDefault="00D71CCF" w:rsidP="00D71CCF">
      <w:pPr>
        <w:keepLines/>
        <w:rPr>
          <w:rFonts w:ascii="Arial" w:hAnsi="Arial" w:cs="Arial"/>
        </w:rPr>
      </w:pPr>
      <w:r w:rsidRPr="002332F8">
        <w:rPr>
          <w:rFonts w:ascii="Arial" w:hAnsi="Arial" w:cs="Arial"/>
        </w:rPr>
        <w:t>In Q3, respondents were asked if they had worked at Natural Group Bangladesh for at least three months. 105 participants (97.2%) responded with Yes and 3 participants (2.8%) responded with No out of the 108 responses submitted. The majority who responded to the question (Yes) are those who have had sufficient organisational experience to comment on their scheduling arrangements and engagement. The three respondents who did not meet the minimum service requirement were not included in the final analytical sample.</w:t>
      </w:r>
    </w:p>
    <w:p w14:paraId="3B581B75" w14:textId="77777777" w:rsidR="00D71CCF" w:rsidRPr="002332F8" w:rsidRDefault="00D71CCF" w:rsidP="00D71CCF">
      <w:pPr>
        <w:keepNext/>
        <w:spacing w:after="60"/>
        <w:jc w:val="center"/>
        <w:rPr>
          <w:rFonts w:ascii="Arial" w:hAnsi="Arial" w:cs="Arial"/>
        </w:rPr>
      </w:pPr>
      <w:r w:rsidRPr="002332F8">
        <w:rPr>
          <w:rFonts w:ascii="Arial" w:hAnsi="Arial" w:cs="Arial"/>
          <w:noProof/>
        </w:rPr>
        <w:drawing>
          <wp:inline distT="0" distB="0" distL="0" distR="0" wp14:anchorId="61CA259D" wp14:editId="2311EE33">
            <wp:extent cx="4709160" cy="1980549"/>
            <wp:effectExtent l="0" t="0" r="0" b="0"/>
            <wp:docPr id="1763331172" name="Picture 1763331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pic:nvPicPr>
                  <pic:blipFill>
                    <a:blip r:embed="rId26"/>
                    <a:stretch>
                      <a:fillRect/>
                    </a:stretch>
                  </pic:blipFill>
                  <pic:spPr>
                    <a:xfrm>
                      <a:off x="0" y="0"/>
                      <a:ext cx="4709160" cy="1980549"/>
                    </a:xfrm>
                    <a:prstGeom prst="rect">
                      <a:avLst/>
                    </a:prstGeom>
                  </pic:spPr>
                </pic:pic>
              </a:graphicData>
            </a:graphic>
          </wp:inline>
        </w:drawing>
      </w:r>
    </w:p>
    <w:p w14:paraId="3E222AD3" w14:textId="77777777" w:rsidR="00D71CCF" w:rsidRPr="002332F8" w:rsidRDefault="00D71CCF" w:rsidP="00D71CCF">
      <w:pPr>
        <w:pStyle w:val="FigureCaption"/>
        <w:rPr>
          <w:rFonts w:ascii="Arial" w:hAnsi="Arial" w:cs="Arial"/>
        </w:rPr>
      </w:pPr>
      <w:bookmarkStart w:id="229" w:name="fig4_5"/>
      <w:r w:rsidRPr="002332F8">
        <w:rPr>
          <w:rFonts w:ascii="Arial" w:hAnsi="Arial" w:cs="Arial"/>
        </w:rPr>
        <w:t>Figure 4.5. Responses to Q4: Do you work according to a fixed, rotating, or production-based work schedule?</w:t>
      </w:r>
      <w:bookmarkEnd w:id="229"/>
    </w:p>
    <w:p w14:paraId="3FD1B9E4" w14:textId="77777777" w:rsidR="00D71CCF" w:rsidRPr="002332F8" w:rsidRDefault="00D71CCF" w:rsidP="00D71CCF">
      <w:pPr>
        <w:keepLines/>
        <w:rPr>
          <w:rFonts w:ascii="Arial" w:hAnsi="Arial" w:cs="Arial"/>
        </w:rPr>
      </w:pPr>
      <w:r w:rsidRPr="002332F8">
        <w:rPr>
          <w:rFonts w:ascii="Arial" w:hAnsi="Arial" w:cs="Arial"/>
        </w:rPr>
        <w:t>The responses to Q4 of the survey address the three types of schedules used: fixed, rotating, and production. 100.0% (108/108) of respondents answered Yes and none answered No. The result confirms that all the respondents had been subjected to a structured work schedule similar to the one related to the study. Thus, the following set of scheduling questions applied to the entire set of submitted survey responses.</w:t>
      </w:r>
    </w:p>
    <w:p w14:paraId="6BD5467A"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01EBDF2A" wp14:editId="50DD106B">
            <wp:extent cx="4709160" cy="1980549"/>
            <wp:effectExtent l="0" t="0" r="0" b="0"/>
            <wp:docPr id="1763331173" name="Picture 1763331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7"/>
                    <a:stretch>
                      <a:fillRect/>
                    </a:stretch>
                  </pic:blipFill>
                  <pic:spPr>
                    <a:xfrm>
                      <a:off x="0" y="0"/>
                      <a:ext cx="4709160" cy="1980549"/>
                    </a:xfrm>
                    <a:prstGeom prst="rect">
                      <a:avLst/>
                    </a:prstGeom>
                  </pic:spPr>
                </pic:pic>
              </a:graphicData>
            </a:graphic>
          </wp:inline>
        </w:drawing>
      </w:r>
    </w:p>
    <w:p w14:paraId="6FFDB0AD" w14:textId="77777777" w:rsidR="00D71CCF" w:rsidRPr="002332F8" w:rsidRDefault="00D71CCF" w:rsidP="00D71CCF">
      <w:pPr>
        <w:pStyle w:val="FigureCaption"/>
        <w:rPr>
          <w:rFonts w:ascii="Arial" w:hAnsi="Arial" w:cs="Arial"/>
        </w:rPr>
      </w:pPr>
      <w:bookmarkStart w:id="230" w:name="fig4_6"/>
      <w:r w:rsidRPr="002332F8">
        <w:rPr>
          <w:rFonts w:ascii="Arial" w:hAnsi="Arial" w:cs="Arial"/>
        </w:rPr>
        <w:t>Figure 4.6. Responses to Q5: What is your age group?</w:t>
      </w:r>
      <w:bookmarkEnd w:id="230"/>
    </w:p>
    <w:p w14:paraId="726FCE83" w14:textId="77777777" w:rsidR="00D71CCF" w:rsidRPr="002332F8" w:rsidRDefault="00D71CCF" w:rsidP="00D71CCF">
      <w:pPr>
        <w:keepLines/>
        <w:rPr>
          <w:rFonts w:ascii="Arial" w:hAnsi="Arial" w:cs="Arial"/>
        </w:rPr>
      </w:pPr>
      <w:r w:rsidRPr="002332F8">
        <w:rPr>
          <w:rFonts w:ascii="Arial" w:hAnsi="Arial" w:cs="Arial"/>
        </w:rPr>
        <w:t>The answers to Q5 give an overview of the age composition of the participants. The 18-24 age group had the same number of participants as the 25-34 age group (43.5% each). Another 14 (13.0%) were aged 35-44 and none were aged 55 years and above or 45-54. So, 87.0% of the sample sent in was under the age of 35, indicating a very high focus on younger employees. The age distribution should be taken into account in the interpretation of the broader applicability of the findings.</w:t>
      </w:r>
    </w:p>
    <w:p w14:paraId="4652668F" w14:textId="77777777" w:rsidR="00D71CCF" w:rsidRPr="002332F8" w:rsidRDefault="00D71CCF" w:rsidP="00D71CCF">
      <w:pPr>
        <w:keepNext/>
        <w:spacing w:after="60"/>
        <w:jc w:val="center"/>
        <w:rPr>
          <w:rFonts w:ascii="Arial" w:hAnsi="Arial" w:cs="Arial"/>
        </w:rPr>
      </w:pPr>
      <w:r w:rsidRPr="002332F8">
        <w:rPr>
          <w:rFonts w:ascii="Arial" w:hAnsi="Arial" w:cs="Arial"/>
          <w:noProof/>
        </w:rPr>
        <w:drawing>
          <wp:inline distT="0" distB="0" distL="0" distR="0" wp14:anchorId="4BCBC19F" wp14:editId="62CFDF0E">
            <wp:extent cx="4709160" cy="1980549"/>
            <wp:effectExtent l="0" t="0" r="0" b="0"/>
            <wp:docPr id="1763331174" name="Picture 1763331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pic:nvPicPr>
                  <pic:blipFill>
                    <a:blip r:embed="rId28"/>
                    <a:stretch>
                      <a:fillRect/>
                    </a:stretch>
                  </pic:blipFill>
                  <pic:spPr>
                    <a:xfrm>
                      <a:off x="0" y="0"/>
                      <a:ext cx="4709160" cy="1980549"/>
                    </a:xfrm>
                    <a:prstGeom prst="rect">
                      <a:avLst/>
                    </a:prstGeom>
                  </pic:spPr>
                </pic:pic>
              </a:graphicData>
            </a:graphic>
          </wp:inline>
        </w:drawing>
      </w:r>
    </w:p>
    <w:p w14:paraId="6235563C" w14:textId="77777777" w:rsidR="00D71CCF" w:rsidRPr="002332F8" w:rsidRDefault="00D71CCF" w:rsidP="00D71CCF">
      <w:pPr>
        <w:pStyle w:val="FigureCaption"/>
        <w:rPr>
          <w:rFonts w:ascii="Arial" w:hAnsi="Arial" w:cs="Arial"/>
        </w:rPr>
      </w:pPr>
      <w:bookmarkStart w:id="231" w:name="fig4_7"/>
      <w:r w:rsidRPr="002332F8">
        <w:rPr>
          <w:rFonts w:ascii="Arial" w:hAnsi="Arial" w:cs="Arial"/>
        </w:rPr>
        <w:t>Figure 4.7. Responses to Q6: What is your gender?</w:t>
      </w:r>
      <w:bookmarkEnd w:id="231"/>
    </w:p>
    <w:p w14:paraId="333A3748" w14:textId="77777777" w:rsidR="00D71CCF" w:rsidRPr="002332F8" w:rsidRDefault="00D71CCF" w:rsidP="00D71CCF">
      <w:pPr>
        <w:keepLines/>
        <w:rPr>
          <w:rFonts w:ascii="Arial" w:hAnsi="Arial" w:cs="Arial"/>
        </w:rPr>
      </w:pPr>
      <w:r w:rsidRPr="002332F8">
        <w:rPr>
          <w:rFonts w:ascii="Arial" w:hAnsi="Arial" w:cs="Arial"/>
        </w:rPr>
        <w:t>Q6 explored gender profile of the respondents in the survey. Among the 108 respondents, 63 respondents or 58.3% identified as being male, and 45 respondents or 41.7% identified as female. None of the participants chose any other gender description or prefer not to say. For this reason, the results indicate a relatively higher proportion of male employees, but there was still a significant proportion of female employees. This gives context for the following analysis of perceptions of scheduling and employee engagement.</w:t>
      </w:r>
    </w:p>
    <w:p w14:paraId="5B6785D1"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5BAD044F" wp14:editId="178B3DF1">
            <wp:extent cx="4709160" cy="1980549"/>
            <wp:effectExtent l="0" t="0" r="0" b="0"/>
            <wp:docPr id="1763331175" name="Picture 1763331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pic:nvPicPr>
                  <pic:blipFill>
                    <a:blip r:embed="rId29"/>
                    <a:stretch>
                      <a:fillRect/>
                    </a:stretch>
                  </pic:blipFill>
                  <pic:spPr>
                    <a:xfrm>
                      <a:off x="0" y="0"/>
                      <a:ext cx="4709160" cy="1980549"/>
                    </a:xfrm>
                    <a:prstGeom prst="rect">
                      <a:avLst/>
                    </a:prstGeom>
                  </pic:spPr>
                </pic:pic>
              </a:graphicData>
            </a:graphic>
          </wp:inline>
        </w:drawing>
      </w:r>
    </w:p>
    <w:p w14:paraId="2D8599C3" w14:textId="77777777" w:rsidR="00D71CCF" w:rsidRPr="002332F8" w:rsidRDefault="00D71CCF" w:rsidP="00D71CCF">
      <w:pPr>
        <w:pStyle w:val="FigureCaption"/>
        <w:rPr>
          <w:rFonts w:ascii="Arial" w:hAnsi="Arial" w:cs="Arial"/>
        </w:rPr>
      </w:pPr>
      <w:bookmarkStart w:id="232" w:name="fig4_8"/>
      <w:r w:rsidRPr="002332F8">
        <w:rPr>
          <w:rFonts w:ascii="Arial" w:hAnsi="Arial" w:cs="Arial"/>
        </w:rPr>
        <w:t>Figure 4.8. Responses to Q7: What is your highest educational level completed?</w:t>
      </w:r>
      <w:bookmarkEnd w:id="232"/>
    </w:p>
    <w:p w14:paraId="7968AAD3" w14:textId="77777777" w:rsidR="00D71CCF" w:rsidRPr="002332F8" w:rsidRDefault="00D71CCF" w:rsidP="00D71CCF">
      <w:pPr>
        <w:keepLines/>
        <w:rPr>
          <w:rFonts w:ascii="Arial" w:hAnsi="Arial" w:cs="Arial"/>
        </w:rPr>
      </w:pPr>
      <w:r w:rsidRPr="002332F8">
        <w:rPr>
          <w:rFonts w:ascii="Arial" w:hAnsi="Arial" w:cs="Arial"/>
        </w:rPr>
        <w:t>The answers to Q7 indicate the highest level of education completed by respondents. Higher Secondary Certificate or equivalent was the largest group with 68 respondents (or 63.0%). Twenty participants (18.5%) reported having a Secondary School Certificate or equivalent, and 15 (13.9%) reported having a bachelor's degree or higher. There were also 5 participants (4.6%) who said they have a diploma or a vocational qualification. None of the respondents chose not to have any formal qualification or first level of education. Overall, the sample was skewed towards secondary and higher secondary education levels, typical of the operational workforce profile.</w:t>
      </w:r>
    </w:p>
    <w:p w14:paraId="3F6E4A74" w14:textId="77777777" w:rsidR="00D71CCF" w:rsidRPr="002332F8" w:rsidRDefault="00D71CCF" w:rsidP="00D71CCF">
      <w:pPr>
        <w:keepNext/>
        <w:spacing w:after="60"/>
        <w:jc w:val="center"/>
        <w:rPr>
          <w:rFonts w:ascii="Arial" w:hAnsi="Arial" w:cs="Arial"/>
        </w:rPr>
      </w:pPr>
      <w:r w:rsidRPr="002332F8">
        <w:rPr>
          <w:rFonts w:ascii="Arial" w:hAnsi="Arial" w:cs="Arial"/>
          <w:noProof/>
        </w:rPr>
        <w:drawing>
          <wp:inline distT="0" distB="0" distL="0" distR="0" wp14:anchorId="53D407F6" wp14:editId="0842582A">
            <wp:extent cx="4709160" cy="1980549"/>
            <wp:effectExtent l="0" t="0" r="0" b="0"/>
            <wp:docPr id="1763331176" name="Picture 1763331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pic:nvPicPr>
                  <pic:blipFill>
                    <a:blip r:embed="rId30"/>
                    <a:stretch>
                      <a:fillRect/>
                    </a:stretch>
                  </pic:blipFill>
                  <pic:spPr>
                    <a:xfrm>
                      <a:off x="0" y="0"/>
                      <a:ext cx="4709160" cy="1980549"/>
                    </a:xfrm>
                    <a:prstGeom prst="rect">
                      <a:avLst/>
                    </a:prstGeom>
                  </pic:spPr>
                </pic:pic>
              </a:graphicData>
            </a:graphic>
          </wp:inline>
        </w:drawing>
      </w:r>
    </w:p>
    <w:p w14:paraId="052B09E7" w14:textId="77777777" w:rsidR="00D71CCF" w:rsidRPr="002332F8" w:rsidRDefault="00D71CCF" w:rsidP="00D71CCF">
      <w:pPr>
        <w:pStyle w:val="FigureCaption"/>
        <w:rPr>
          <w:rFonts w:ascii="Arial" w:hAnsi="Arial" w:cs="Arial"/>
        </w:rPr>
      </w:pPr>
      <w:bookmarkStart w:id="233" w:name="fig4_9"/>
      <w:r w:rsidRPr="002332F8">
        <w:rPr>
          <w:rFonts w:ascii="Arial" w:hAnsi="Arial" w:cs="Arial"/>
        </w:rPr>
        <w:t>Figure 4.9. Responses to Q8: What is your current job position?</w:t>
      </w:r>
      <w:bookmarkEnd w:id="233"/>
    </w:p>
    <w:p w14:paraId="5F279A83" w14:textId="77777777" w:rsidR="00D71CCF" w:rsidRPr="002332F8" w:rsidRDefault="00D71CCF" w:rsidP="00D71CCF">
      <w:pPr>
        <w:keepLines/>
        <w:rPr>
          <w:rFonts w:ascii="Arial" w:hAnsi="Arial" w:cs="Arial"/>
        </w:rPr>
      </w:pPr>
      <w:r w:rsidRPr="002332F8">
        <w:rPr>
          <w:rFonts w:ascii="Arial" w:hAnsi="Arial" w:cs="Arial"/>
        </w:rPr>
        <w:t>In the survey, Q8 defined the current job roles in the industry. The largest number of operators (57) or 52.8% of the respondents were sewing operators. 18 people (16.7%) were cutting operators and 12 people (11.1%) were completing operators. The other participants were 9 quality inspectors (8.3%), 8-line supervisors (7.4%), 3 production supervisors (2.8%) and 1 supervisor (0.9%). As seen in the distribution, the survey was skewed towards the frontline production roles, especially sewing operators, but also contained a few positions pertaining to supervision and quality.</w:t>
      </w:r>
    </w:p>
    <w:p w14:paraId="0D5F8B41"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743CF708" wp14:editId="61DDDB73">
            <wp:extent cx="4709160" cy="1980549"/>
            <wp:effectExtent l="0" t="0" r="0" b="0"/>
            <wp:docPr id="1763331177" name="Picture 1763331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pic:nvPicPr>
                  <pic:blipFill>
                    <a:blip r:embed="rId31"/>
                    <a:stretch>
                      <a:fillRect/>
                    </a:stretch>
                  </pic:blipFill>
                  <pic:spPr>
                    <a:xfrm>
                      <a:off x="0" y="0"/>
                      <a:ext cx="4709160" cy="1980549"/>
                    </a:xfrm>
                    <a:prstGeom prst="rect">
                      <a:avLst/>
                    </a:prstGeom>
                  </pic:spPr>
                </pic:pic>
              </a:graphicData>
            </a:graphic>
          </wp:inline>
        </w:drawing>
      </w:r>
    </w:p>
    <w:p w14:paraId="256DF32A" w14:textId="77777777" w:rsidR="00D71CCF" w:rsidRPr="002332F8" w:rsidRDefault="00D71CCF" w:rsidP="00D71CCF">
      <w:pPr>
        <w:pStyle w:val="FigureCaption"/>
        <w:rPr>
          <w:rFonts w:ascii="Arial" w:hAnsi="Arial" w:cs="Arial"/>
        </w:rPr>
      </w:pPr>
      <w:bookmarkStart w:id="234" w:name="fig4_10"/>
      <w:r w:rsidRPr="002332F8">
        <w:rPr>
          <w:rFonts w:ascii="Arial" w:hAnsi="Arial" w:cs="Arial"/>
        </w:rPr>
        <w:t>Figure 4.10. Responses to Q9: What is your length of service at Natural Group Bangladesh?</w:t>
      </w:r>
      <w:bookmarkEnd w:id="234"/>
    </w:p>
    <w:p w14:paraId="06164EBB" w14:textId="77777777" w:rsidR="00D71CCF" w:rsidRPr="002332F8" w:rsidRDefault="00D71CCF" w:rsidP="00D71CCF">
      <w:pPr>
        <w:keepLines/>
        <w:rPr>
          <w:rFonts w:ascii="Arial" w:hAnsi="Arial" w:cs="Arial"/>
        </w:rPr>
      </w:pPr>
      <w:r w:rsidRPr="002332F8">
        <w:rPr>
          <w:rFonts w:ascii="Arial" w:hAnsi="Arial" w:cs="Arial"/>
        </w:rPr>
        <w:t>The answers to Q9 indicate the duration of employment with Natural Group Bangladesh. The greatest percentage (39.8%) was employees 1-2 years of service with 43 employees. Thirty-six more (33.3%) worked for three to eleven months, and 23 (21.3%) had served for three to five years. Six participants (5.6%) indicated that they had served between six and ten years and none of the participants reported more than ten years of service. The results suggest that the majority of respondents had either a short or medium time of service in their organisation, but most had enough experience to assess how work is scheduled in the workplace.</w:t>
      </w:r>
    </w:p>
    <w:p w14:paraId="20D6FF74"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1738BA33" wp14:editId="764BEDD2">
            <wp:extent cx="4709160" cy="1980549"/>
            <wp:effectExtent l="0" t="0" r="0" b="0"/>
            <wp:docPr id="1763331178" name="Picture 1763331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pic:nvPicPr>
                  <pic:blipFill>
                    <a:blip r:embed="rId32"/>
                    <a:stretch>
                      <a:fillRect/>
                    </a:stretch>
                  </pic:blipFill>
                  <pic:spPr>
                    <a:xfrm>
                      <a:off x="0" y="0"/>
                      <a:ext cx="4709160" cy="1980549"/>
                    </a:xfrm>
                    <a:prstGeom prst="rect">
                      <a:avLst/>
                    </a:prstGeom>
                  </pic:spPr>
                </pic:pic>
              </a:graphicData>
            </a:graphic>
          </wp:inline>
        </w:drawing>
      </w:r>
    </w:p>
    <w:p w14:paraId="7312BC5C" w14:textId="77777777" w:rsidR="00D71CCF" w:rsidRPr="002332F8" w:rsidRDefault="00D71CCF" w:rsidP="00D71CCF">
      <w:pPr>
        <w:pStyle w:val="FigureCaption"/>
        <w:rPr>
          <w:rFonts w:ascii="Arial" w:hAnsi="Arial" w:cs="Arial"/>
        </w:rPr>
      </w:pPr>
      <w:bookmarkStart w:id="235" w:name="fig4_11"/>
      <w:r w:rsidRPr="002332F8">
        <w:rPr>
          <w:rFonts w:ascii="Arial" w:hAnsi="Arial" w:cs="Arial"/>
        </w:rPr>
        <w:t>Figure 4.11. Responses to Q10: What is your usual work schedule?</w:t>
      </w:r>
      <w:bookmarkEnd w:id="235"/>
    </w:p>
    <w:p w14:paraId="30D1109B" w14:textId="77777777" w:rsidR="00D71CCF" w:rsidRPr="002332F8" w:rsidRDefault="00D71CCF" w:rsidP="00D71CCF">
      <w:pPr>
        <w:keepLines/>
        <w:rPr>
          <w:rFonts w:ascii="Arial" w:hAnsi="Arial" w:cs="Arial"/>
        </w:rPr>
      </w:pPr>
      <w:r w:rsidRPr="002332F8">
        <w:rPr>
          <w:rFonts w:ascii="Arial" w:hAnsi="Arial" w:cs="Arial"/>
        </w:rPr>
        <w:t>Q10 analysed the type of work schedule typically experienced by participants. The majority of the respondents (94.4%, or a very large majority of 102) indicated that their schedule changed depending on the production requirements. Fewer than 15% (4 participants) indicated having a fixed day shift and 2 participants (1.9%) indicated having rotating shifts. None of the respondents opted for a fixed evening/night shift. It shows that production requirements were the most important basis for scheduling among the respondents, which makes the role of accommodation, predictability and control of the schedule very important issues in this work environment.</w:t>
      </w:r>
    </w:p>
    <w:p w14:paraId="5F76D576" w14:textId="77777777" w:rsidR="00D71CCF" w:rsidRPr="002332F8" w:rsidRDefault="00D71CCF" w:rsidP="00D71CCF">
      <w:pPr>
        <w:keepNext/>
        <w:spacing w:after="60"/>
        <w:jc w:val="center"/>
        <w:rPr>
          <w:rFonts w:ascii="Arial" w:hAnsi="Arial" w:cs="Arial"/>
        </w:rPr>
      </w:pPr>
      <w:r w:rsidRPr="002332F8">
        <w:rPr>
          <w:rFonts w:ascii="Arial" w:hAnsi="Arial" w:cs="Arial"/>
          <w:noProof/>
        </w:rPr>
        <w:drawing>
          <wp:inline distT="0" distB="0" distL="0" distR="0" wp14:anchorId="59EF9370" wp14:editId="56F81D28">
            <wp:extent cx="4709160" cy="1980549"/>
            <wp:effectExtent l="0" t="0" r="0" b="0"/>
            <wp:docPr id="1763331179" name="Picture 1763331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pic:cNvPicPr/>
                  </pic:nvPicPr>
                  <pic:blipFill>
                    <a:blip r:embed="rId33"/>
                    <a:stretch>
                      <a:fillRect/>
                    </a:stretch>
                  </pic:blipFill>
                  <pic:spPr>
                    <a:xfrm>
                      <a:off x="0" y="0"/>
                      <a:ext cx="4709160" cy="1980549"/>
                    </a:xfrm>
                    <a:prstGeom prst="rect">
                      <a:avLst/>
                    </a:prstGeom>
                  </pic:spPr>
                </pic:pic>
              </a:graphicData>
            </a:graphic>
          </wp:inline>
        </w:drawing>
      </w:r>
    </w:p>
    <w:p w14:paraId="6CE7F0D2" w14:textId="77777777" w:rsidR="00D71CCF" w:rsidRPr="002332F8" w:rsidRDefault="00D71CCF" w:rsidP="00D71CCF">
      <w:pPr>
        <w:pStyle w:val="FigureCaption"/>
        <w:rPr>
          <w:rFonts w:ascii="Arial" w:hAnsi="Arial" w:cs="Arial"/>
        </w:rPr>
      </w:pPr>
      <w:bookmarkStart w:id="236" w:name="fig4_12"/>
      <w:r w:rsidRPr="002332F8">
        <w:rPr>
          <w:rFonts w:ascii="Arial" w:hAnsi="Arial" w:cs="Arial"/>
        </w:rPr>
        <w:t>Figure 4.12. Responses to Q11: How often do you normally work overtime?</w:t>
      </w:r>
      <w:bookmarkEnd w:id="236"/>
    </w:p>
    <w:p w14:paraId="190EAA24" w14:textId="77777777" w:rsidR="00D71CCF" w:rsidRPr="002332F8" w:rsidRDefault="00D71CCF" w:rsidP="00D71CCF">
      <w:pPr>
        <w:keepLines/>
        <w:rPr>
          <w:rFonts w:ascii="Arial" w:hAnsi="Arial" w:cs="Arial"/>
        </w:rPr>
      </w:pPr>
      <w:r w:rsidRPr="002332F8">
        <w:rPr>
          <w:rFonts w:ascii="Arial" w:hAnsi="Arial" w:cs="Arial"/>
        </w:rPr>
        <w:t>The answers to Q11 give a good indication of the frequency of overtime worked by the respondents. Of those who responded (85), 78.7% worked overtime 3 or more times per week. An additional 16 (14.8%) worked overtime 1–2 times per week and 4 (3.7%) worked overtime 1–3 times per month. 3 (2.8%) respondents never worked overtime and none selected less than once monthly. The overall results showed that 93.5% of the participants worked overtime at least once or twice a week, meaning that for most respondents, overtime was a regular part of their work.</w:t>
      </w:r>
    </w:p>
    <w:p w14:paraId="62A1F8AC"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07836FD6" wp14:editId="58661239">
            <wp:extent cx="4709160" cy="2105775"/>
            <wp:effectExtent l="0" t="0" r="0" b="0"/>
            <wp:docPr id="1763331180" name="Picture 1763331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pic:cNvPicPr/>
                  </pic:nvPicPr>
                  <pic:blipFill>
                    <a:blip r:embed="rId34"/>
                    <a:stretch>
                      <a:fillRect/>
                    </a:stretch>
                  </pic:blipFill>
                  <pic:spPr>
                    <a:xfrm>
                      <a:off x="0" y="0"/>
                      <a:ext cx="4709160" cy="2105775"/>
                    </a:xfrm>
                    <a:prstGeom prst="rect">
                      <a:avLst/>
                    </a:prstGeom>
                  </pic:spPr>
                </pic:pic>
              </a:graphicData>
            </a:graphic>
          </wp:inline>
        </w:drawing>
      </w:r>
    </w:p>
    <w:p w14:paraId="7ACDD744" w14:textId="77777777" w:rsidR="00D71CCF" w:rsidRPr="002332F8" w:rsidRDefault="00D71CCF" w:rsidP="00D71CCF">
      <w:pPr>
        <w:pStyle w:val="FigureCaption"/>
        <w:rPr>
          <w:rFonts w:ascii="Arial" w:hAnsi="Arial" w:cs="Arial"/>
        </w:rPr>
      </w:pPr>
      <w:bookmarkStart w:id="237" w:name="fig4_13"/>
      <w:r w:rsidRPr="002332F8">
        <w:rPr>
          <w:rFonts w:ascii="Arial" w:hAnsi="Arial" w:cs="Arial"/>
        </w:rPr>
        <w:t>Figure 4.13. Responses to Q12: How far in advance do you usually receive your work schedule?</w:t>
      </w:r>
      <w:bookmarkEnd w:id="237"/>
    </w:p>
    <w:p w14:paraId="45C8446A" w14:textId="77777777" w:rsidR="00D71CCF" w:rsidRPr="002332F8" w:rsidRDefault="00D71CCF" w:rsidP="00D71CCF">
      <w:pPr>
        <w:keepLines/>
        <w:rPr>
          <w:rFonts w:ascii="Arial" w:hAnsi="Arial" w:cs="Arial"/>
        </w:rPr>
      </w:pPr>
      <w:r w:rsidRPr="002332F8">
        <w:rPr>
          <w:rFonts w:ascii="Arial" w:hAnsi="Arial" w:cs="Arial"/>
        </w:rPr>
        <w:t>Participants were asked by Q12 if their work schedule is typically given to them ahead of time. 86 (79.6%) indicated that they were supplied with their schedule more than a week before. It was distributed one week prior for another 11 participants (10.2%) and 7 (6.5%) had three to six days’ notice. Only 1 participant, or 0.9% chose between 1 and 2 days and 3 participants, or 2.8% chose less than 24 hours. Advance scheduling, therefore, was found to be common for most participants as 89.8% were scheduled for at least one week prior to the date of the survey.</w:t>
      </w:r>
    </w:p>
    <w:p w14:paraId="2EF561F6"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5ED5F85C" wp14:editId="51A5D197">
            <wp:extent cx="4709160" cy="2135434"/>
            <wp:effectExtent l="0" t="0" r="0" b="0"/>
            <wp:docPr id="1763331181" name="Picture 1763331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3.png"/>
                    <pic:cNvPicPr/>
                  </pic:nvPicPr>
                  <pic:blipFill>
                    <a:blip r:embed="rId35"/>
                    <a:stretch>
                      <a:fillRect/>
                    </a:stretch>
                  </pic:blipFill>
                  <pic:spPr>
                    <a:xfrm>
                      <a:off x="0" y="0"/>
                      <a:ext cx="4709160" cy="2135434"/>
                    </a:xfrm>
                    <a:prstGeom prst="rect">
                      <a:avLst/>
                    </a:prstGeom>
                  </pic:spPr>
                </pic:pic>
              </a:graphicData>
            </a:graphic>
          </wp:inline>
        </w:drawing>
      </w:r>
    </w:p>
    <w:p w14:paraId="16BBF0D6" w14:textId="77777777" w:rsidR="00D71CCF" w:rsidRPr="002332F8" w:rsidRDefault="00D71CCF" w:rsidP="00D71CCF">
      <w:pPr>
        <w:pStyle w:val="FigureCaption"/>
        <w:rPr>
          <w:rFonts w:ascii="Arial" w:hAnsi="Arial" w:cs="Arial"/>
        </w:rPr>
      </w:pPr>
      <w:bookmarkStart w:id="238" w:name="fig4_14"/>
      <w:r w:rsidRPr="002332F8">
        <w:rPr>
          <w:rFonts w:ascii="Arial" w:hAnsi="Arial" w:cs="Arial"/>
        </w:rPr>
        <w:t>Figure 4.14. Responses to Q13: During the past three months, have you requested a shift change, shift exchange, leave adjustment or schedule adjustment?</w:t>
      </w:r>
      <w:bookmarkEnd w:id="238"/>
    </w:p>
    <w:p w14:paraId="43130CBF" w14:textId="77777777" w:rsidR="00D71CCF" w:rsidRPr="002332F8" w:rsidRDefault="00D71CCF" w:rsidP="00D71CCF">
      <w:pPr>
        <w:keepLines/>
        <w:rPr>
          <w:rFonts w:ascii="Arial" w:hAnsi="Arial" w:cs="Arial"/>
        </w:rPr>
      </w:pPr>
      <w:r w:rsidRPr="002332F8">
        <w:rPr>
          <w:rFonts w:ascii="Arial" w:hAnsi="Arial" w:cs="Arial"/>
        </w:rPr>
        <w:t>The responses to Q13 show whether participants had requested a shift change, shift exchange, leave adjustment, or schedule adjustment during the previous three months. 105 respondents (97.2%) answered Yes and 3 respondents (2.8%) answered No. None of the participants responded with a preference for 'Prefer not to say'. This is a very high percentage reflecting that the employees surveyed had a frequent experience of requests for schedule related adjustments. The discovery also highlights the significance of looking at the practical implications of supervisors' and organisation's responses to requests for changes or accommodation.</w:t>
      </w:r>
    </w:p>
    <w:p w14:paraId="4CDCCE68"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61666479" wp14:editId="30294EE6">
            <wp:extent cx="4709160" cy="1980549"/>
            <wp:effectExtent l="0" t="0" r="0" b="0"/>
            <wp:docPr id="1763331182" name="Picture 1763331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4.png"/>
                    <pic:cNvPicPr/>
                  </pic:nvPicPr>
                  <pic:blipFill>
                    <a:blip r:embed="rId36"/>
                    <a:stretch>
                      <a:fillRect/>
                    </a:stretch>
                  </pic:blipFill>
                  <pic:spPr>
                    <a:xfrm>
                      <a:off x="0" y="0"/>
                      <a:ext cx="4709160" cy="1980549"/>
                    </a:xfrm>
                    <a:prstGeom prst="rect">
                      <a:avLst/>
                    </a:prstGeom>
                  </pic:spPr>
                </pic:pic>
              </a:graphicData>
            </a:graphic>
          </wp:inline>
        </w:drawing>
      </w:r>
    </w:p>
    <w:p w14:paraId="4DE74F83" w14:textId="77777777" w:rsidR="00D71CCF" w:rsidRPr="002332F8" w:rsidRDefault="00D71CCF" w:rsidP="00D71CCF">
      <w:pPr>
        <w:pStyle w:val="FigureCaption"/>
        <w:rPr>
          <w:rFonts w:ascii="Arial" w:hAnsi="Arial" w:cs="Arial"/>
        </w:rPr>
      </w:pPr>
      <w:bookmarkStart w:id="239" w:name="fig4_15"/>
      <w:r w:rsidRPr="002332F8">
        <w:rPr>
          <w:rFonts w:ascii="Arial" w:hAnsi="Arial" w:cs="Arial"/>
        </w:rPr>
        <w:t>Figure 4.15. Responses to Q14: I have some control over when my scheduled work begins and ends.</w:t>
      </w:r>
      <w:bookmarkEnd w:id="239"/>
    </w:p>
    <w:p w14:paraId="3DE2255D" w14:textId="77777777" w:rsidR="00D71CCF" w:rsidRPr="009F4AEC" w:rsidRDefault="00D71CCF" w:rsidP="00D71CCF">
      <w:pPr>
        <w:keepLines/>
        <w:rPr>
          <w:rFonts w:ascii="Arial" w:hAnsi="Arial" w:cs="Arial"/>
        </w:rPr>
      </w:pPr>
      <w:r w:rsidRPr="002332F8">
        <w:rPr>
          <w:rFonts w:ascii="Arial" w:hAnsi="Arial" w:cs="Arial"/>
        </w:rPr>
        <w:t>Q14 evaluated the level of perceived control over the start and end of planned work. Of these 108 responses, 77 (71.3%) respondents chose Agree and 31 (28.7%) respondents chose Strongly agree. No respondent responded to Neither agree nor disagree, Disagree or Strongly disagree. As a result, all participants made positive comments about this facet of schedule control. Analysis indicates that, overall, respondents felt that they had some control over the timing of the start and end of their scheduled work, but the descriptive pattern does not allow for inferring a link between schedule control and engagement.</w:t>
      </w:r>
    </w:p>
    <w:p w14:paraId="27C03348"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3BC49855" wp14:editId="0014D95D">
            <wp:extent cx="4709160" cy="1980549"/>
            <wp:effectExtent l="0" t="0" r="0" b="0"/>
            <wp:docPr id="1763331183" name="Picture 1763331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pic:cNvPicPr/>
                  </pic:nvPicPr>
                  <pic:blipFill>
                    <a:blip r:embed="rId37"/>
                    <a:stretch>
                      <a:fillRect/>
                    </a:stretch>
                  </pic:blipFill>
                  <pic:spPr>
                    <a:xfrm>
                      <a:off x="0" y="0"/>
                      <a:ext cx="4709160" cy="1980549"/>
                    </a:xfrm>
                    <a:prstGeom prst="rect">
                      <a:avLst/>
                    </a:prstGeom>
                  </pic:spPr>
                </pic:pic>
              </a:graphicData>
            </a:graphic>
          </wp:inline>
        </w:drawing>
      </w:r>
    </w:p>
    <w:p w14:paraId="137C2A79" w14:textId="77777777" w:rsidR="00D71CCF" w:rsidRPr="002332F8" w:rsidRDefault="00D71CCF" w:rsidP="00D71CCF">
      <w:pPr>
        <w:pStyle w:val="FigureCaption"/>
        <w:rPr>
          <w:rFonts w:ascii="Arial" w:hAnsi="Arial" w:cs="Arial"/>
        </w:rPr>
      </w:pPr>
      <w:bookmarkStart w:id="240" w:name="fig4_16"/>
      <w:r w:rsidRPr="002332F8">
        <w:rPr>
          <w:rFonts w:ascii="Arial" w:hAnsi="Arial" w:cs="Arial"/>
        </w:rPr>
        <w:t>Figure 4.16. Responses to Q15: When operationally possible, I can express a preference about my shift or working time.</w:t>
      </w:r>
      <w:bookmarkEnd w:id="240"/>
    </w:p>
    <w:p w14:paraId="1D762B37" w14:textId="77777777" w:rsidR="00D71CCF" w:rsidRPr="002332F8" w:rsidRDefault="00D71CCF" w:rsidP="00D71CCF">
      <w:pPr>
        <w:keepLines/>
        <w:rPr>
          <w:rFonts w:ascii="Arial" w:hAnsi="Arial" w:cs="Arial"/>
        </w:rPr>
      </w:pPr>
      <w:r w:rsidRPr="002332F8">
        <w:rPr>
          <w:rFonts w:ascii="Arial" w:hAnsi="Arial" w:cs="Arial"/>
        </w:rPr>
        <w:t>Answers to Q15 show whether staff felt they could express a preference regarding their shift or working time when it was operationally possible. Of the 71 that answered Strongly agree, 65.7% did and 37 answered Agree (34.3%). All participants chose positive or neutral answers. All 108 responses were either positive or negative, with a majority of them in the positive category, suggesting a high level of awareness regarding how employers can communicate employees' preference for scheduling needs. This applies to perceived schedule control, as a degree of influence in the scheduling process can be interpreted as a degree of practical influence even when the employees cannot have full influence over scheduling.</w:t>
      </w:r>
    </w:p>
    <w:p w14:paraId="5964ACDA"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3AE36827" wp14:editId="411F6FD2">
            <wp:extent cx="4709160" cy="1980549"/>
            <wp:effectExtent l="0" t="0" r="0" b="0"/>
            <wp:docPr id="1763331184" name="Picture 1763331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pic:cNvPicPr/>
                  </pic:nvPicPr>
                  <pic:blipFill>
                    <a:blip r:embed="rId38"/>
                    <a:stretch>
                      <a:fillRect/>
                    </a:stretch>
                  </pic:blipFill>
                  <pic:spPr>
                    <a:xfrm>
                      <a:off x="0" y="0"/>
                      <a:ext cx="4709160" cy="1980549"/>
                    </a:xfrm>
                    <a:prstGeom prst="rect">
                      <a:avLst/>
                    </a:prstGeom>
                  </pic:spPr>
                </pic:pic>
              </a:graphicData>
            </a:graphic>
          </wp:inline>
        </w:drawing>
      </w:r>
    </w:p>
    <w:p w14:paraId="0648192A" w14:textId="77777777" w:rsidR="00D71CCF" w:rsidRPr="002332F8" w:rsidRDefault="00D71CCF" w:rsidP="00D71CCF">
      <w:pPr>
        <w:pStyle w:val="FigureCaption"/>
        <w:rPr>
          <w:rFonts w:ascii="Arial" w:hAnsi="Arial" w:cs="Arial"/>
        </w:rPr>
      </w:pPr>
      <w:bookmarkStart w:id="241" w:name="fig4_17"/>
      <w:r w:rsidRPr="002332F8">
        <w:rPr>
          <w:rFonts w:ascii="Arial" w:hAnsi="Arial" w:cs="Arial"/>
        </w:rPr>
        <w:t>Figure 4.17. Responses to Q16: I have reasonable influence over changes to my work schedule.</w:t>
      </w:r>
      <w:bookmarkEnd w:id="241"/>
    </w:p>
    <w:p w14:paraId="16FA1E4D" w14:textId="77777777" w:rsidR="00D71CCF" w:rsidRPr="002332F8" w:rsidRDefault="00D71CCF" w:rsidP="00D71CCF">
      <w:pPr>
        <w:keepLines/>
        <w:rPr>
          <w:rFonts w:ascii="Arial" w:hAnsi="Arial" w:cs="Arial"/>
        </w:rPr>
      </w:pPr>
      <w:r w:rsidRPr="002332F8">
        <w:rPr>
          <w:rFonts w:ascii="Arial" w:hAnsi="Arial" w:cs="Arial"/>
        </w:rPr>
        <w:t>Q16 asked if participants felt they had an acceptable influence on change in their work schedule. The majority with 60 respondents (55.6%) chose Agree and 47 respondents (43.5%) chose Strongly agree. 0.9% of the participants chose Strongly disagree; 0% chose Disagree or Neither agree nor disagree. As a result, 99.1% (107 of the 108) had a positive opinion. The responses reflect an overall positive attitude regarding the influence on schedule changes, with one strong negative response reflecting some lack of uniformity in this experience.</w:t>
      </w:r>
    </w:p>
    <w:p w14:paraId="146932BD"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6E118F9F" wp14:editId="32BFB9C7">
            <wp:extent cx="5721508" cy="2406316"/>
            <wp:effectExtent l="0" t="0" r="0" b="0"/>
            <wp:docPr id="1763331185" name="Picture 1763331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7.png"/>
                    <pic:cNvPicPr/>
                  </pic:nvPicPr>
                  <pic:blipFill>
                    <a:blip r:embed="rId39"/>
                    <a:stretch>
                      <a:fillRect/>
                    </a:stretch>
                  </pic:blipFill>
                  <pic:spPr>
                    <a:xfrm>
                      <a:off x="0" y="0"/>
                      <a:ext cx="5761007" cy="2422928"/>
                    </a:xfrm>
                    <a:prstGeom prst="rect">
                      <a:avLst/>
                    </a:prstGeom>
                  </pic:spPr>
                </pic:pic>
              </a:graphicData>
            </a:graphic>
          </wp:inline>
        </w:drawing>
      </w:r>
    </w:p>
    <w:p w14:paraId="22CC2A12" w14:textId="77777777" w:rsidR="00D71CCF" w:rsidRPr="002332F8" w:rsidRDefault="00D71CCF" w:rsidP="00D71CCF">
      <w:pPr>
        <w:pStyle w:val="FigureCaption"/>
        <w:rPr>
          <w:rFonts w:ascii="Arial" w:hAnsi="Arial" w:cs="Arial"/>
        </w:rPr>
      </w:pPr>
      <w:bookmarkStart w:id="242" w:name="fig4_18"/>
      <w:r w:rsidRPr="002332F8">
        <w:rPr>
          <w:rFonts w:ascii="Arial" w:hAnsi="Arial" w:cs="Arial"/>
        </w:rPr>
        <w:t>Figure 4.18. Responses to Q17: I can make choices about my work schedule when personal needs arise.</w:t>
      </w:r>
      <w:bookmarkEnd w:id="242"/>
    </w:p>
    <w:p w14:paraId="0D76AADE" w14:textId="77777777" w:rsidR="00D71CCF" w:rsidRPr="002332F8" w:rsidRDefault="00D71CCF" w:rsidP="00D71CCF">
      <w:pPr>
        <w:keepLines/>
        <w:rPr>
          <w:rFonts w:ascii="Arial" w:hAnsi="Arial" w:cs="Arial"/>
        </w:rPr>
      </w:pPr>
      <w:r w:rsidRPr="002332F8">
        <w:rPr>
          <w:rFonts w:ascii="Arial" w:hAnsi="Arial" w:cs="Arial"/>
        </w:rPr>
        <w:t>Q17 inquired about freedom of choice in setting work schedule when personal needs arose. Sixty-two percent (67 respondents) responded Strongly agree and 38 percent (41 respondents) responded Agree. None of the participants chose neutral or negative options. All 108 respondents indicated some degree of perceived choice in scheduling when they had personal needs. The finding implies that, in general, those surveyed felt that the scheduling system offered them flexibility, a key element in their perceived schedule control in this study.</w:t>
      </w:r>
    </w:p>
    <w:p w14:paraId="1C85AE37"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0046DA3E" wp14:editId="392F32EC">
            <wp:extent cx="5721508" cy="2406316"/>
            <wp:effectExtent l="0" t="0" r="0" b="0"/>
            <wp:docPr id="1763331186" name="Picture 1763331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8.png"/>
                    <pic:cNvPicPr/>
                  </pic:nvPicPr>
                  <pic:blipFill>
                    <a:blip r:embed="rId40"/>
                    <a:stretch>
                      <a:fillRect/>
                    </a:stretch>
                  </pic:blipFill>
                  <pic:spPr>
                    <a:xfrm>
                      <a:off x="0" y="0"/>
                      <a:ext cx="5751271" cy="2418834"/>
                    </a:xfrm>
                    <a:prstGeom prst="rect">
                      <a:avLst/>
                    </a:prstGeom>
                  </pic:spPr>
                </pic:pic>
              </a:graphicData>
            </a:graphic>
          </wp:inline>
        </w:drawing>
      </w:r>
    </w:p>
    <w:p w14:paraId="4F7923DC" w14:textId="77777777" w:rsidR="00D71CCF" w:rsidRPr="002332F8" w:rsidRDefault="00D71CCF" w:rsidP="00D71CCF">
      <w:pPr>
        <w:pStyle w:val="FigureCaption"/>
        <w:rPr>
          <w:rFonts w:ascii="Arial" w:hAnsi="Arial" w:cs="Arial"/>
        </w:rPr>
      </w:pPr>
      <w:bookmarkStart w:id="243" w:name="fig4_19"/>
      <w:r w:rsidRPr="002332F8">
        <w:rPr>
          <w:rFonts w:ascii="Arial" w:hAnsi="Arial" w:cs="Arial"/>
        </w:rPr>
        <w:t>Figure 4.19. Responses to Q18: I usually receive my work schedule far enough in advance to plan my personal responsibilities.</w:t>
      </w:r>
      <w:bookmarkEnd w:id="243"/>
    </w:p>
    <w:p w14:paraId="75618B61" w14:textId="77777777" w:rsidR="00D71CCF" w:rsidRPr="002332F8" w:rsidRDefault="00D71CCF" w:rsidP="00D71CCF">
      <w:pPr>
        <w:keepLines/>
        <w:rPr>
          <w:rFonts w:ascii="Arial" w:hAnsi="Arial" w:cs="Arial"/>
        </w:rPr>
      </w:pPr>
      <w:r w:rsidRPr="002332F8">
        <w:rPr>
          <w:rFonts w:ascii="Arial" w:hAnsi="Arial" w:cs="Arial"/>
        </w:rPr>
        <w:t>Answers to Q18 indicate how many participants usually had their work schedule far enough ahead to plan their personal responsibilities. 54.6% (59 respondents) agreed and 45.4% (49 respondents) strongly agreed. None of the respondents chose a neutral option or a negative option. The score indicates then full agreement with this statement for the submitted sample. This pattern indicates that majority of respondents viewed schedule notice as sufficient for personal planning, and gave direct descriptive evidence for high level of perceived schedule predictability.</w:t>
      </w:r>
    </w:p>
    <w:p w14:paraId="3A2D0DFC"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62C15CA1" wp14:editId="2F0B6CFF">
            <wp:extent cx="4709160" cy="1980549"/>
            <wp:effectExtent l="0" t="0" r="0" b="0"/>
            <wp:docPr id="1763331187" name="Picture 1763331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9.png"/>
                    <pic:cNvPicPr/>
                  </pic:nvPicPr>
                  <pic:blipFill>
                    <a:blip r:embed="rId41"/>
                    <a:stretch>
                      <a:fillRect/>
                    </a:stretch>
                  </pic:blipFill>
                  <pic:spPr>
                    <a:xfrm>
                      <a:off x="0" y="0"/>
                      <a:ext cx="4709160" cy="1980549"/>
                    </a:xfrm>
                    <a:prstGeom prst="rect">
                      <a:avLst/>
                    </a:prstGeom>
                  </pic:spPr>
                </pic:pic>
              </a:graphicData>
            </a:graphic>
          </wp:inline>
        </w:drawing>
      </w:r>
    </w:p>
    <w:p w14:paraId="6D7E5F3A" w14:textId="77777777" w:rsidR="00D71CCF" w:rsidRPr="002332F8" w:rsidRDefault="00D71CCF" w:rsidP="00D71CCF">
      <w:pPr>
        <w:pStyle w:val="FigureCaption"/>
        <w:rPr>
          <w:rFonts w:ascii="Arial" w:hAnsi="Arial" w:cs="Arial"/>
        </w:rPr>
      </w:pPr>
      <w:bookmarkStart w:id="244" w:name="fig4_20"/>
      <w:r w:rsidRPr="002332F8">
        <w:rPr>
          <w:rFonts w:ascii="Arial" w:hAnsi="Arial" w:cs="Arial"/>
        </w:rPr>
        <w:t>Figure 4.20. Responses to Q19: My scheduled working hours are generally consistent from week to week.</w:t>
      </w:r>
      <w:bookmarkEnd w:id="244"/>
    </w:p>
    <w:p w14:paraId="24181661" w14:textId="77777777" w:rsidR="00D71CCF" w:rsidRPr="002332F8" w:rsidRDefault="00D71CCF" w:rsidP="00D71CCF">
      <w:pPr>
        <w:keepLines/>
        <w:rPr>
          <w:rFonts w:ascii="Arial" w:hAnsi="Arial" w:cs="Arial"/>
        </w:rPr>
      </w:pPr>
      <w:r w:rsidRPr="002332F8">
        <w:rPr>
          <w:rFonts w:ascii="Arial" w:hAnsi="Arial" w:cs="Arial"/>
        </w:rPr>
        <w:t>Q19 explored if working hours were generally the same each week. Of the 108 respondents, 70 respondents (64.8%) indicated that they Strongly agree, and 38 respondents (35.2%) indicated that they Agree. None of the participants had a neutral or negative response. This consistency of positive responses suggests a general consistency over weeks in the number of hours spent working. This consistency is important as it helps to minimise uncertainty and helps to better manage workers' personal and family lives in relation to their working hours.</w:t>
      </w:r>
    </w:p>
    <w:p w14:paraId="4B1F46B4" w14:textId="77777777" w:rsidR="00D71CCF" w:rsidRPr="002332F8" w:rsidRDefault="00D71CCF" w:rsidP="00D71CCF">
      <w:pPr>
        <w:keepNext/>
        <w:spacing w:after="60"/>
        <w:jc w:val="center"/>
        <w:rPr>
          <w:rFonts w:ascii="Arial" w:hAnsi="Arial" w:cs="Arial"/>
        </w:rPr>
      </w:pPr>
      <w:r w:rsidRPr="002332F8">
        <w:rPr>
          <w:rFonts w:ascii="Arial" w:hAnsi="Arial" w:cs="Arial"/>
          <w:noProof/>
        </w:rPr>
        <w:drawing>
          <wp:inline distT="0" distB="0" distL="0" distR="0" wp14:anchorId="64614AAD" wp14:editId="037AB91A">
            <wp:extent cx="4709160" cy="1980549"/>
            <wp:effectExtent l="0" t="0" r="0" b="0"/>
            <wp:docPr id="1763331188" name="Picture 1763331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png"/>
                    <pic:cNvPicPr/>
                  </pic:nvPicPr>
                  <pic:blipFill>
                    <a:blip r:embed="rId42"/>
                    <a:stretch>
                      <a:fillRect/>
                    </a:stretch>
                  </pic:blipFill>
                  <pic:spPr>
                    <a:xfrm>
                      <a:off x="0" y="0"/>
                      <a:ext cx="4709160" cy="1980549"/>
                    </a:xfrm>
                    <a:prstGeom prst="rect">
                      <a:avLst/>
                    </a:prstGeom>
                  </pic:spPr>
                </pic:pic>
              </a:graphicData>
            </a:graphic>
          </wp:inline>
        </w:drawing>
      </w:r>
    </w:p>
    <w:p w14:paraId="09E83B77" w14:textId="77777777" w:rsidR="00D71CCF" w:rsidRPr="002332F8" w:rsidRDefault="00D71CCF" w:rsidP="00D71CCF">
      <w:pPr>
        <w:pStyle w:val="FigureCaption"/>
        <w:rPr>
          <w:rFonts w:ascii="Arial" w:hAnsi="Arial" w:cs="Arial"/>
        </w:rPr>
      </w:pPr>
      <w:bookmarkStart w:id="245" w:name="fig4_21"/>
      <w:r w:rsidRPr="002332F8">
        <w:rPr>
          <w:rFonts w:ascii="Arial" w:hAnsi="Arial" w:cs="Arial"/>
        </w:rPr>
        <w:t>Figure 4.21. Responses to Q20: Unexpected changes to my work schedule are kept to a minimum.</w:t>
      </w:r>
      <w:bookmarkEnd w:id="245"/>
    </w:p>
    <w:p w14:paraId="2D3DF011" w14:textId="77777777" w:rsidR="00D71CCF" w:rsidRPr="002332F8" w:rsidRDefault="00D71CCF" w:rsidP="00D71CCF">
      <w:pPr>
        <w:keepLines/>
        <w:rPr>
          <w:rFonts w:ascii="Arial" w:hAnsi="Arial" w:cs="Arial"/>
        </w:rPr>
      </w:pPr>
      <w:r w:rsidRPr="002332F8">
        <w:rPr>
          <w:rFonts w:ascii="Arial" w:hAnsi="Arial" w:cs="Arial"/>
        </w:rPr>
        <w:t>In the responses to Q20, participants are asked about their perceptions of unexpected changes in their work schedule. Overall, 51.8% (57 of 110) agreed and 47.2% (51 of 110) strongly agreed that unexpected schedule changes were kept to a minimum. None of the participants chose neutral or negative answers. The results are thus revealing that all the respondents viewed unplanned changes as relatively limited. This helps maintain the overall trend of positive schedule predictability, as working time can be easier to anticipate and manage without unexpected changes.</w:t>
      </w:r>
    </w:p>
    <w:p w14:paraId="3C2F799E"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161BBD4A" wp14:editId="4139851E">
            <wp:extent cx="4709160" cy="1980549"/>
            <wp:effectExtent l="0" t="0" r="0" b="0"/>
            <wp:docPr id="1763331189" name="Picture 1763331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1.png"/>
                    <pic:cNvPicPr/>
                  </pic:nvPicPr>
                  <pic:blipFill>
                    <a:blip r:embed="rId43"/>
                    <a:stretch>
                      <a:fillRect/>
                    </a:stretch>
                  </pic:blipFill>
                  <pic:spPr>
                    <a:xfrm>
                      <a:off x="0" y="0"/>
                      <a:ext cx="4709160" cy="1980549"/>
                    </a:xfrm>
                    <a:prstGeom prst="rect">
                      <a:avLst/>
                    </a:prstGeom>
                  </pic:spPr>
                </pic:pic>
              </a:graphicData>
            </a:graphic>
          </wp:inline>
        </w:drawing>
      </w:r>
    </w:p>
    <w:p w14:paraId="04597A25" w14:textId="77777777" w:rsidR="00D71CCF" w:rsidRPr="002332F8" w:rsidRDefault="00D71CCF" w:rsidP="00D71CCF">
      <w:pPr>
        <w:pStyle w:val="FigureCaption"/>
        <w:rPr>
          <w:rFonts w:ascii="Arial" w:hAnsi="Arial" w:cs="Arial"/>
        </w:rPr>
      </w:pPr>
      <w:bookmarkStart w:id="246" w:name="fig4_22"/>
      <w:r w:rsidRPr="002332F8">
        <w:rPr>
          <w:rFonts w:ascii="Arial" w:hAnsi="Arial" w:cs="Arial"/>
        </w:rPr>
        <w:t>Figure 4.22. Responses to Q21: I can normally predict the days and hours that I will be required to work.</w:t>
      </w:r>
      <w:bookmarkEnd w:id="246"/>
    </w:p>
    <w:p w14:paraId="77AF8573" w14:textId="77777777" w:rsidR="00D71CCF" w:rsidRPr="002332F8" w:rsidRDefault="00D71CCF" w:rsidP="00D71CCF">
      <w:pPr>
        <w:keepLines/>
        <w:rPr>
          <w:rFonts w:ascii="Arial" w:hAnsi="Arial" w:cs="Arial"/>
        </w:rPr>
      </w:pPr>
      <w:r w:rsidRPr="002332F8">
        <w:rPr>
          <w:rFonts w:ascii="Arial" w:hAnsi="Arial" w:cs="Arial"/>
        </w:rPr>
        <w:t>Q21 determined whether the participant was able to reasonably foresee the days and hours they would have to work. 73 (67.6%) respondents selected Strongly agree and 34 (31.5%) respondents selected Agree. None of the respondents chose Disagree or Strongly disagree; one participant (0.9%) selected Neither agree nor disagree. Overall, 107 participants, or 99.1%, gave a positive response. This result suggests that for nearly all its responses, the work timing was predictable, with one respondent stating that the work timing was a neutral experience instead of an agreeable experience.</w:t>
      </w:r>
    </w:p>
    <w:p w14:paraId="239F8CD5"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56B4A371" wp14:editId="6AEF1431">
            <wp:extent cx="5678805" cy="2153285"/>
            <wp:effectExtent l="0" t="0" r="0" b="5715"/>
            <wp:docPr id="1763331190" name="Picture 1763331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2.png"/>
                    <pic:cNvPicPr/>
                  </pic:nvPicPr>
                  <pic:blipFill>
                    <a:blip r:embed="rId44"/>
                    <a:stretch>
                      <a:fillRect/>
                    </a:stretch>
                  </pic:blipFill>
                  <pic:spPr>
                    <a:xfrm>
                      <a:off x="0" y="0"/>
                      <a:ext cx="5753851" cy="2181741"/>
                    </a:xfrm>
                    <a:prstGeom prst="rect">
                      <a:avLst/>
                    </a:prstGeom>
                  </pic:spPr>
                </pic:pic>
              </a:graphicData>
            </a:graphic>
          </wp:inline>
        </w:drawing>
      </w:r>
    </w:p>
    <w:p w14:paraId="3AEA8B31" w14:textId="77777777" w:rsidR="00D71CCF" w:rsidRPr="002332F8" w:rsidRDefault="00D71CCF" w:rsidP="00D71CCF">
      <w:pPr>
        <w:pStyle w:val="FigureCaption"/>
        <w:rPr>
          <w:rFonts w:ascii="Arial" w:hAnsi="Arial" w:cs="Arial"/>
        </w:rPr>
      </w:pPr>
      <w:bookmarkStart w:id="247" w:name="fig4_23"/>
      <w:r w:rsidRPr="002332F8">
        <w:rPr>
          <w:rFonts w:ascii="Arial" w:hAnsi="Arial" w:cs="Arial"/>
        </w:rPr>
        <w:t>Figure 4.23. Responses to Q22: My supervisor listens when I request a reasonable change to my shift or schedule.</w:t>
      </w:r>
      <w:bookmarkEnd w:id="247"/>
    </w:p>
    <w:p w14:paraId="52EA9909" w14:textId="77777777" w:rsidR="00D71CCF" w:rsidRPr="002332F8" w:rsidRDefault="00D71CCF" w:rsidP="00D71CCF">
      <w:pPr>
        <w:keepLines/>
        <w:rPr>
          <w:rFonts w:ascii="Arial" w:hAnsi="Arial" w:cs="Arial"/>
        </w:rPr>
      </w:pPr>
      <w:r w:rsidRPr="002332F8">
        <w:rPr>
          <w:rFonts w:ascii="Arial" w:hAnsi="Arial" w:cs="Arial"/>
        </w:rPr>
        <w:t>The survey responses to Q22 show whether supervisors listened when employees requested a reasonable change to their shift or schedule. 51.9% (56) of the individuals indicated Agree, and 48.1% (52) indicated Strongly agree. Neutral/negative answers were not selected by a respondent. As a result, all 108 participants saw their supervisor as being open to reasonable scheduling requests. This outcome is significant for perceived shift accommodation as it is important to listen to employee requests in order to offer fair and supportive shift adjustments.</w:t>
      </w:r>
    </w:p>
    <w:p w14:paraId="0CFDDDFE" w14:textId="77777777" w:rsidR="00D71CCF" w:rsidRPr="002332F8" w:rsidRDefault="00D71CCF" w:rsidP="00D71CCF">
      <w:pPr>
        <w:keepNext/>
        <w:spacing w:after="60"/>
        <w:jc w:val="center"/>
        <w:rPr>
          <w:rFonts w:ascii="Arial" w:hAnsi="Arial" w:cs="Arial"/>
        </w:rPr>
      </w:pPr>
      <w:r w:rsidRPr="002332F8">
        <w:rPr>
          <w:rFonts w:ascii="Arial" w:hAnsi="Arial" w:cs="Arial"/>
          <w:noProof/>
        </w:rPr>
        <w:drawing>
          <wp:inline distT="0" distB="0" distL="0" distR="0" wp14:anchorId="70E69C73" wp14:editId="5A0CE355">
            <wp:extent cx="4709160" cy="1980549"/>
            <wp:effectExtent l="0" t="0" r="0" b="0"/>
            <wp:docPr id="1763331191" name="Picture 1763331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3.png"/>
                    <pic:cNvPicPr/>
                  </pic:nvPicPr>
                  <pic:blipFill>
                    <a:blip r:embed="rId45"/>
                    <a:stretch>
                      <a:fillRect/>
                    </a:stretch>
                  </pic:blipFill>
                  <pic:spPr>
                    <a:xfrm>
                      <a:off x="0" y="0"/>
                      <a:ext cx="4709160" cy="1980549"/>
                    </a:xfrm>
                    <a:prstGeom prst="rect">
                      <a:avLst/>
                    </a:prstGeom>
                  </pic:spPr>
                </pic:pic>
              </a:graphicData>
            </a:graphic>
          </wp:inline>
        </w:drawing>
      </w:r>
    </w:p>
    <w:p w14:paraId="023A0616" w14:textId="77777777" w:rsidR="00D71CCF" w:rsidRPr="002332F8" w:rsidRDefault="00D71CCF" w:rsidP="00D71CCF">
      <w:pPr>
        <w:pStyle w:val="FigureCaption"/>
        <w:rPr>
          <w:rFonts w:ascii="Arial" w:hAnsi="Arial" w:cs="Arial"/>
        </w:rPr>
      </w:pPr>
      <w:bookmarkStart w:id="248" w:name="fig4_24"/>
      <w:r w:rsidRPr="002332F8">
        <w:rPr>
          <w:rFonts w:ascii="Arial" w:hAnsi="Arial" w:cs="Arial"/>
        </w:rPr>
        <w:t>Figure 4.24. Responses to Q23: Reasonable requests to exchange shifts or adjust working time are considered fairly.</w:t>
      </w:r>
      <w:bookmarkEnd w:id="248"/>
    </w:p>
    <w:p w14:paraId="07081EF0" w14:textId="77777777" w:rsidR="00D71CCF" w:rsidRPr="002332F8" w:rsidRDefault="00D71CCF" w:rsidP="00D71CCF">
      <w:pPr>
        <w:keepLines/>
        <w:rPr>
          <w:rFonts w:ascii="Arial" w:hAnsi="Arial" w:cs="Arial"/>
        </w:rPr>
      </w:pPr>
      <w:r w:rsidRPr="002332F8">
        <w:rPr>
          <w:rFonts w:ascii="Arial" w:hAnsi="Arial" w:cs="Arial"/>
        </w:rPr>
        <w:t>Q23 was focused on whether reasonable requests to swap shifts and/or adjust working time were fairly made. 72 (66.7%) respondents chose Strongly agree and 36 (33.3%) chose Agree. None of the participants chose neutral or negative option. Responses focused entirely on the positive suggest good perceptions of how well schedule adjustment requests are dealt with. This indicates that generally requests were not rejected without consideration, but rather were considered on a reasonable basis.</w:t>
      </w:r>
    </w:p>
    <w:p w14:paraId="5D977F5B"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3B7A21F3" wp14:editId="57753A99">
            <wp:extent cx="5651446" cy="2562727"/>
            <wp:effectExtent l="0" t="0" r="635" b="3175"/>
            <wp:docPr id="1763331192" name="Picture 1763331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4.png"/>
                    <pic:cNvPicPr/>
                  </pic:nvPicPr>
                  <pic:blipFill>
                    <a:blip r:embed="rId46"/>
                    <a:stretch>
                      <a:fillRect/>
                    </a:stretch>
                  </pic:blipFill>
                  <pic:spPr>
                    <a:xfrm>
                      <a:off x="0" y="0"/>
                      <a:ext cx="5684238" cy="2577597"/>
                    </a:xfrm>
                    <a:prstGeom prst="rect">
                      <a:avLst/>
                    </a:prstGeom>
                  </pic:spPr>
                </pic:pic>
              </a:graphicData>
            </a:graphic>
          </wp:inline>
        </w:drawing>
      </w:r>
    </w:p>
    <w:p w14:paraId="17FDB04D" w14:textId="77777777" w:rsidR="00D71CCF" w:rsidRPr="002332F8" w:rsidRDefault="00D71CCF" w:rsidP="00D71CCF">
      <w:pPr>
        <w:pStyle w:val="FigureCaption"/>
        <w:rPr>
          <w:rFonts w:ascii="Arial" w:hAnsi="Arial" w:cs="Arial"/>
        </w:rPr>
      </w:pPr>
      <w:bookmarkStart w:id="249" w:name="fig4_25"/>
      <w:r w:rsidRPr="002332F8">
        <w:rPr>
          <w:rFonts w:ascii="Arial" w:hAnsi="Arial" w:cs="Arial"/>
        </w:rPr>
        <w:t>Figure 4.25. Responses to Q24: When I have an important personal need, the organisation tries to accommodate my schedule where operationally possible.</w:t>
      </w:r>
      <w:bookmarkEnd w:id="249"/>
    </w:p>
    <w:p w14:paraId="7A6133E4" w14:textId="77777777" w:rsidR="00D71CCF" w:rsidRPr="002332F8" w:rsidRDefault="00D71CCF" w:rsidP="00D71CCF">
      <w:pPr>
        <w:keepLines/>
        <w:rPr>
          <w:rFonts w:ascii="Arial" w:hAnsi="Arial" w:cs="Arial"/>
        </w:rPr>
      </w:pPr>
      <w:r w:rsidRPr="002332F8">
        <w:rPr>
          <w:rFonts w:ascii="Arial" w:hAnsi="Arial" w:cs="Arial"/>
        </w:rPr>
        <w:t>The answers to Q24 indicate whether the organisation tried to make a workplace suitable for employees in the event of key personal needs and operational circumstances. 63 (58.3%) respondents agreed and 45 (41.7%) strongly agreed. None of the participants chose a neutral or negative answer. The pattern of the responses was positive and unanimous, which suggests that overall, the organisation was seen as being open to taking into account individual needs if practical within its operational constraints. This is a response that is directly relevant to the perceived shift accommodation because it is an indication of the practical support employees feel when work demands and personal demands clash.</w:t>
      </w:r>
    </w:p>
    <w:p w14:paraId="7E109B53"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4755D8D2" wp14:editId="436BD6F1">
            <wp:extent cx="4709160" cy="1980549"/>
            <wp:effectExtent l="0" t="0" r="0" b="0"/>
            <wp:docPr id="1763331193" name="Picture 1763331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5.png"/>
                    <pic:cNvPicPr/>
                  </pic:nvPicPr>
                  <pic:blipFill>
                    <a:blip r:embed="rId47"/>
                    <a:stretch>
                      <a:fillRect/>
                    </a:stretch>
                  </pic:blipFill>
                  <pic:spPr>
                    <a:xfrm>
                      <a:off x="0" y="0"/>
                      <a:ext cx="4709160" cy="1980549"/>
                    </a:xfrm>
                    <a:prstGeom prst="rect">
                      <a:avLst/>
                    </a:prstGeom>
                  </pic:spPr>
                </pic:pic>
              </a:graphicData>
            </a:graphic>
          </wp:inline>
        </w:drawing>
      </w:r>
    </w:p>
    <w:p w14:paraId="5E23B5C3" w14:textId="77777777" w:rsidR="00D71CCF" w:rsidRPr="002332F8" w:rsidRDefault="00D71CCF" w:rsidP="00D71CCF">
      <w:pPr>
        <w:pStyle w:val="FigureCaption"/>
        <w:rPr>
          <w:rFonts w:ascii="Arial" w:hAnsi="Arial" w:cs="Arial"/>
        </w:rPr>
      </w:pPr>
      <w:bookmarkStart w:id="250" w:name="fig4_26"/>
      <w:r w:rsidRPr="002332F8">
        <w:rPr>
          <w:rFonts w:ascii="Arial" w:hAnsi="Arial" w:cs="Arial"/>
        </w:rPr>
        <w:t>Figure 4.26. Responses to Q25: Schedule-related decisions are handled consistently and respectfully.</w:t>
      </w:r>
      <w:bookmarkEnd w:id="250"/>
    </w:p>
    <w:p w14:paraId="1B00E85D" w14:textId="77777777" w:rsidR="00D71CCF" w:rsidRPr="002332F8" w:rsidRDefault="00D71CCF" w:rsidP="00D71CCF">
      <w:pPr>
        <w:keepLines/>
        <w:rPr>
          <w:rFonts w:ascii="Arial" w:hAnsi="Arial" w:cs="Arial"/>
        </w:rPr>
      </w:pPr>
      <w:r w:rsidRPr="002332F8">
        <w:rPr>
          <w:rFonts w:ascii="Arial" w:hAnsi="Arial" w:cs="Arial"/>
        </w:rPr>
        <w:t>Q25 evaluated the consistency and respect of making decisions related to the schedule. Of the 108 respondents, 69 (63.9%) chose Strongly agree and 39 (36.1%) chose Agree. None of the participants chose neutral or negative answers. The overall impression from the result is, therefore, a very positive one regarding the management of scheduling decisions. This is important because employees will consider the accommodation decision based on both the outcome of the request and the process of making the decision, and may judge this based on consistency and treatment given.</w:t>
      </w:r>
    </w:p>
    <w:p w14:paraId="0CDEE831" w14:textId="77777777" w:rsidR="00D71CCF" w:rsidRPr="002332F8" w:rsidRDefault="00D71CCF" w:rsidP="00D71CCF">
      <w:pPr>
        <w:keepNext/>
        <w:spacing w:after="60"/>
        <w:jc w:val="center"/>
        <w:rPr>
          <w:rFonts w:ascii="Arial" w:hAnsi="Arial" w:cs="Arial"/>
        </w:rPr>
      </w:pPr>
      <w:r w:rsidRPr="002332F8">
        <w:rPr>
          <w:rFonts w:ascii="Arial" w:hAnsi="Arial" w:cs="Arial"/>
          <w:noProof/>
        </w:rPr>
        <w:drawing>
          <wp:inline distT="0" distB="0" distL="0" distR="0" wp14:anchorId="1B21AF8C" wp14:editId="76585916">
            <wp:extent cx="4709160" cy="1980549"/>
            <wp:effectExtent l="0" t="0" r="0" b="0"/>
            <wp:docPr id="1763331194" name="Picture 1763331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6.png"/>
                    <pic:cNvPicPr/>
                  </pic:nvPicPr>
                  <pic:blipFill>
                    <a:blip r:embed="rId48"/>
                    <a:stretch>
                      <a:fillRect/>
                    </a:stretch>
                  </pic:blipFill>
                  <pic:spPr>
                    <a:xfrm>
                      <a:off x="0" y="0"/>
                      <a:ext cx="4709160" cy="1980549"/>
                    </a:xfrm>
                    <a:prstGeom prst="rect">
                      <a:avLst/>
                    </a:prstGeom>
                  </pic:spPr>
                </pic:pic>
              </a:graphicData>
            </a:graphic>
          </wp:inline>
        </w:drawing>
      </w:r>
    </w:p>
    <w:p w14:paraId="5E7E6050" w14:textId="77777777" w:rsidR="00D71CCF" w:rsidRPr="002332F8" w:rsidRDefault="00D71CCF" w:rsidP="00D71CCF">
      <w:pPr>
        <w:pStyle w:val="FigureCaption"/>
        <w:rPr>
          <w:rFonts w:ascii="Arial" w:hAnsi="Arial" w:cs="Arial"/>
        </w:rPr>
      </w:pPr>
      <w:bookmarkStart w:id="251" w:name="fig4_27"/>
      <w:r w:rsidRPr="002332F8">
        <w:rPr>
          <w:rFonts w:ascii="Arial" w:hAnsi="Arial" w:cs="Arial"/>
        </w:rPr>
        <w:t>Figure 4.27. Responses to Q26: At my work, I feel full of energy.</w:t>
      </w:r>
      <w:bookmarkEnd w:id="251"/>
    </w:p>
    <w:p w14:paraId="3141C5F7" w14:textId="77777777" w:rsidR="00D71CCF" w:rsidRPr="002332F8" w:rsidRDefault="00D71CCF" w:rsidP="00D71CCF">
      <w:pPr>
        <w:keepLines/>
        <w:rPr>
          <w:rFonts w:ascii="Arial" w:hAnsi="Arial" w:cs="Arial"/>
        </w:rPr>
      </w:pPr>
      <w:r w:rsidRPr="002332F8">
        <w:rPr>
          <w:rFonts w:ascii="Arial" w:hAnsi="Arial" w:cs="Arial"/>
        </w:rPr>
        <w:t>Q26 measured one aspect of employee engagement by asking how often participants felt full of energy at work. The top choice, with 51 respondents (47.2%), was Very often, and a high 29 respondents (26.9%) selected Always/every day. Twenty-two additional respondents (or 20.4%) marked their responses as Often and five (or 4.6%) marked their response as Sometimes, while one (or 0.9%) marked their response as Rarely. None of the respondents chose Never or Almost never. In general, 102 of the 106 (94.4%) felt full of energy at least often, and the range of responses was greater than for the scheduling items.</w:t>
      </w:r>
    </w:p>
    <w:p w14:paraId="43545398"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365E88EB" wp14:editId="63B776D0">
            <wp:extent cx="5692902" cy="2394285"/>
            <wp:effectExtent l="0" t="0" r="0" b="6350"/>
            <wp:docPr id="1763331195" name="Picture 1763331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7.png"/>
                    <pic:cNvPicPr/>
                  </pic:nvPicPr>
                  <pic:blipFill>
                    <a:blip r:embed="rId49"/>
                    <a:stretch>
                      <a:fillRect/>
                    </a:stretch>
                  </pic:blipFill>
                  <pic:spPr>
                    <a:xfrm>
                      <a:off x="0" y="0"/>
                      <a:ext cx="5735481" cy="2412193"/>
                    </a:xfrm>
                    <a:prstGeom prst="rect">
                      <a:avLst/>
                    </a:prstGeom>
                  </pic:spPr>
                </pic:pic>
              </a:graphicData>
            </a:graphic>
          </wp:inline>
        </w:drawing>
      </w:r>
    </w:p>
    <w:p w14:paraId="1517D745" w14:textId="77777777" w:rsidR="00D71CCF" w:rsidRPr="002332F8" w:rsidRDefault="00D71CCF" w:rsidP="00D71CCF">
      <w:pPr>
        <w:pStyle w:val="FigureCaption"/>
        <w:rPr>
          <w:rFonts w:ascii="Arial" w:hAnsi="Arial" w:cs="Arial"/>
        </w:rPr>
      </w:pPr>
      <w:bookmarkStart w:id="252" w:name="fig4_28"/>
      <w:r w:rsidRPr="002332F8">
        <w:rPr>
          <w:rFonts w:ascii="Arial" w:hAnsi="Arial" w:cs="Arial"/>
        </w:rPr>
        <w:t>Figure 4.28. Responses to Q27: I am enthusiastic about my job.</w:t>
      </w:r>
      <w:bookmarkEnd w:id="252"/>
    </w:p>
    <w:p w14:paraId="4EAA3EDE" w14:textId="77777777" w:rsidR="00D71CCF" w:rsidRPr="002332F8" w:rsidRDefault="00D71CCF" w:rsidP="00D71CCF">
      <w:pPr>
        <w:keepLines/>
        <w:rPr>
          <w:rFonts w:ascii="Arial" w:hAnsi="Arial" w:cs="Arial"/>
        </w:rPr>
      </w:pPr>
      <w:r w:rsidRPr="002332F8">
        <w:rPr>
          <w:rFonts w:ascii="Arial" w:hAnsi="Arial" w:cs="Arial"/>
        </w:rPr>
        <w:t>The responses to Q27 provide evidence about enthusiasm for the job, another element of employee engagement. 43.5% of the 47 respondents chose Very often and 24.1% of the 26 respondents opted for Always/every day. 22.2% (24) of the participants checked “Often”, 8.3% (9) checked “Sometimes”, and 1.9% (2) checked “Rarely”. None of the respondents chose the answers Never or Almost never. A higher proportion of respondents were positive, reporting being enthusiastic at least often: 97 (89.8%) exhibited the positive pattern of engagement, with more variation than was seen for the scheduling perceptions.</w:t>
      </w:r>
    </w:p>
    <w:p w14:paraId="743AAB74" w14:textId="77777777" w:rsidR="00D71CCF" w:rsidRPr="002332F8" w:rsidRDefault="00D71CCF" w:rsidP="00D71CCF">
      <w:pPr>
        <w:keepNext/>
        <w:spacing w:after="60"/>
        <w:jc w:val="center"/>
        <w:rPr>
          <w:rFonts w:ascii="Arial" w:hAnsi="Arial" w:cs="Arial"/>
        </w:rPr>
      </w:pPr>
      <w:r w:rsidRPr="002332F8">
        <w:rPr>
          <w:rFonts w:ascii="Arial" w:hAnsi="Arial" w:cs="Arial"/>
          <w:noProof/>
        </w:rPr>
        <w:lastRenderedPageBreak/>
        <w:drawing>
          <wp:inline distT="0" distB="0" distL="0" distR="0" wp14:anchorId="1055E26E" wp14:editId="49DC59C5">
            <wp:extent cx="5558589" cy="2337796"/>
            <wp:effectExtent l="0" t="0" r="4445" b="0"/>
            <wp:docPr id="1763331196" name="Picture 1763331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8.png"/>
                    <pic:cNvPicPr/>
                  </pic:nvPicPr>
                  <pic:blipFill>
                    <a:blip r:embed="rId50"/>
                    <a:stretch>
                      <a:fillRect/>
                    </a:stretch>
                  </pic:blipFill>
                  <pic:spPr>
                    <a:xfrm>
                      <a:off x="0" y="0"/>
                      <a:ext cx="5613380" cy="2360840"/>
                    </a:xfrm>
                    <a:prstGeom prst="rect">
                      <a:avLst/>
                    </a:prstGeom>
                  </pic:spPr>
                </pic:pic>
              </a:graphicData>
            </a:graphic>
          </wp:inline>
        </w:drawing>
      </w:r>
    </w:p>
    <w:p w14:paraId="09D0750F" w14:textId="77777777" w:rsidR="00D71CCF" w:rsidRPr="002332F8" w:rsidRDefault="00D71CCF" w:rsidP="00D71CCF">
      <w:pPr>
        <w:pStyle w:val="FigureCaption"/>
        <w:rPr>
          <w:rFonts w:ascii="Arial" w:hAnsi="Arial" w:cs="Arial"/>
        </w:rPr>
      </w:pPr>
      <w:bookmarkStart w:id="253" w:name="fig4_29"/>
      <w:r w:rsidRPr="002332F8">
        <w:rPr>
          <w:rFonts w:ascii="Arial" w:hAnsi="Arial" w:cs="Arial"/>
        </w:rPr>
        <w:t>Figure 4.29. Responses to Q28: I feel happy when I am working intensely.</w:t>
      </w:r>
      <w:bookmarkEnd w:id="253"/>
    </w:p>
    <w:p w14:paraId="1D2773ED" w14:textId="77777777" w:rsidR="00D71CCF" w:rsidRPr="002332F8" w:rsidRDefault="00D71CCF" w:rsidP="00D71CCF">
      <w:pPr>
        <w:keepLines/>
        <w:rPr>
          <w:rFonts w:ascii="Arial" w:hAnsi="Arial" w:cs="Arial"/>
        </w:rPr>
      </w:pPr>
      <w:r w:rsidRPr="002332F8">
        <w:rPr>
          <w:rFonts w:ascii="Arial" w:hAnsi="Arial" w:cs="Arial"/>
        </w:rPr>
        <w:t>Q28 asked participants about how often they felt happy when they worked very hard. 47 people (43.5%) answered Very often, the largest group. Then, 24.1% (a further 26) of participants marked Always/every day and 22.2% (24) of respondents marked Often, and 10.2% (11) marked Sometimes. None of the participants chose Rarely, almost never or never. Overall, 97 participants (89.8%) reported this feeling at least often. The distribution shows a generally high level of absorption and positive experience with challenging work, with the group of respondents who experience challenging work Sometimes being 10.2%, indicating that for some this experience was weaker.</w:t>
      </w:r>
    </w:p>
    <w:p w14:paraId="0D971CC6" w14:textId="77777777" w:rsidR="00D71CCF" w:rsidRPr="002332F8" w:rsidRDefault="00D71CCF" w:rsidP="00D71CCF">
      <w:pPr>
        <w:pStyle w:val="Heading2"/>
        <w:rPr>
          <w:rFonts w:ascii="Arial" w:hAnsi="Arial" w:cs="Arial"/>
          <w:color w:val="auto"/>
        </w:rPr>
      </w:pPr>
      <w:bookmarkStart w:id="254" w:name="h052"/>
      <w:bookmarkStart w:id="255" w:name="_Toc241093493"/>
      <w:bookmarkStart w:id="256" w:name="_Toc241113313"/>
      <w:r w:rsidRPr="002332F8">
        <w:rPr>
          <w:rFonts w:ascii="Arial" w:hAnsi="Arial" w:cs="Arial"/>
          <w:color w:val="auto"/>
        </w:rPr>
        <w:t>4.4 Analytical Approach</w:t>
      </w:r>
      <w:bookmarkEnd w:id="254"/>
      <w:bookmarkEnd w:id="255"/>
      <w:bookmarkEnd w:id="256"/>
    </w:p>
    <w:p w14:paraId="79378AF4" w14:textId="77777777" w:rsidR="00D71CCF" w:rsidRPr="002332F8" w:rsidRDefault="00D71CCF" w:rsidP="00D71CCF">
      <w:pPr>
        <w:rPr>
          <w:rFonts w:ascii="Arial" w:hAnsi="Arial" w:cs="Arial"/>
        </w:rPr>
      </w:pPr>
      <w:r w:rsidRPr="002332F8">
        <w:rPr>
          <w:rFonts w:ascii="Arial" w:hAnsi="Arial" w:cs="Arial"/>
        </w:rPr>
        <w:t>Data analysis was carried out according to the procedure stated in Chapter Three. Frequencies and percentages were used to summarize categorical variables and means, standard deviations, ranges and confidence intervals were used to summarise the study scales. Cronbach alpha and corrected item-total correlations were used to determine internal consistency. Bivariate associations were obtained using Pearson correlation for the four composite variables. Then, the three hypotheses were tested simultaneously through ordinary least squares multiple regression analysis, with the dependent variable being employee engagement. The two-tailed tests were performed at the .05 level of significance. The procedures follow the quantitative analysis approach detailed by Saunders et al. (2019).</w:t>
      </w:r>
    </w:p>
    <w:p w14:paraId="62DAA73A" w14:textId="77777777" w:rsidR="00D71CCF" w:rsidRPr="002332F8" w:rsidRDefault="00D71CCF" w:rsidP="00D71CCF">
      <w:pPr>
        <w:pStyle w:val="Heading2"/>
        <w:rPr>
          <w:rFonts w:ascii="Arial" w:hAnsi="Arial" w:cs="Arial"/>
          <w:color w:val="auto"/>
        </w:rPr>
      </w:pPr>
      <w:bookmarkStart w:id="257" w:name="h053"/>
      <w:bookmarkStart w:id="258" w:name="_Toc241093494"/>
      <w:bookmarkStart w:id="259" w:name="_Toc241113314"/>
      <w:r w:rsidRPr="002332F8">
        <w:rPr>
          <w:rFonts w:ascii="Arial" w:hAnsi="Arial" w:cs="Arial"/>
          <w:color w:val="auto"/>
        </w:rPr>
        <w:lastRenderedPageBreak/>
        <w:t>4.5 Descriptive Statistics</w:t>
      </w:r>
      <w:bookmarkEnd w:id="257"/>
      <w:bookmarkEnd w:id="258"/>
      <w:bookmarkEnd w:id="259"/>
    </w:p>
    <w:p w14:paraId="794E4E2F" w14:textId="77777777" w:rsidR="00D71CCF" w:rsidRPr="002332F8" w:rsidRDefault="00D71CCF" w:rsidP="00D71CCF">
      <w:pPr>
        <w:rPr>
          <w:rFonts w:ascii="Arial" w:hAnsi="Arial" w:cs="Arial"/>
        </w:rPr>
      </w:pPr>
      <w:r w:rsidRPr="002332F8">
        <w:rPr>
          <w:rFonts w:ascii="Arial" w:hAnsi="Arial" w:cs="Arial"/>
        </w:rPr>
        <w:t xml:space="preserve">The descriptive statistics of the four composite variables are displayed in Table 4.3. The mean score for the perceived schedule control was 4.507 with a standard deviation of 0.249 on the five-point agreement scale. The mean scores for perceived schedule predictability and perceived shift accommodation were almost the same, at 4.576 and 4.567, respectively. The standard deviations of these were 0.260 and 0.246 respectively. There is a very slight variation between the responses of these three variables which indicates that the responses were grouped around the top end of the scale. Employee engagement was measured using the three-item UWES-3 response format, which ranges from 0 to 6 (Schaufeli et al., 2019). Its mean was 4.819 with a standard deviation of 0.758. The scheduling variables, therefore, were less variable than was the engagement. The range of engagement scores observed was from 2.667 to 6.000. The 95% confidence intervals were quite small for all three measures of scheduling due to the very small number of scores. Schedule control was 4.459 to 4.555 with predictability ranging from 4.526 to 4.626 and accommodation from 4.519 to 4.614. The period of engagement was broader with a range of 4.672 to 4.966. The means for the three scheduling constructs are presented on a common 5-point scale for each in figure 4.28. </w:t>
      </w:r>
    </w:p>
    <w:p w14:paraId="4C1A536A" w14:textId="77777777" w:rsidR="00D71CCF" w:rsidRPr="002332F8" w:rsidRDefault="00D71CCF" w:rsidP="00D71CCF">
      <w:pPr>
        <w:keepNext/>
        <w:spacing w:after="60" w:line="240" w:lineRule="auto"/>
        <w:jc w:val="center"/>
        <w:rPr>
          <w:rFonts w:ascii="Arial" w:hAnsi="Arial" w:cs="Arial"/>
        </w:rPr>
      </w:pPr>
      <w:bookmarkStart w:id="260" w:name="tbl4_3"/>
      <w:r w:rsidRPr="002332F8">
        <w:rPr>
          <w:rFonts w:ascii="Arial" w:hAnsi="Arial" w:cs="Arial"/>
          <w:i/>
          <w:sz w:val="18"/>
        </w:rPr>
        <w:t>Table 4.3: Descriptive Statistics for Main Study Variables</w:t>
      </w:r>
      <w:bookmarkEnd w:id="260"/>
    </w:p>
    <w:tbl>
      <w:tblPr>
        <w:tblW w:w="5000" w:type="pct"/>
        <w:jc w:val="center"/>
        <w:tblCellMar>
          <w:left w:w="10" w:type="dxa"/>
          <w:right w:w="10" w:type="dxa"/>
        </w:tblCellMar>
        <w:tblLook w:val="04A0" w:firstRow="1" w:lastRow="0" w:firstColumn="1" w:lastColumn="0" w:noHBand="0" w:noVBand="1"/>
      </w:tblPr>
      <w:tblGrid>
        <w:gridCol w:w="1349"/>
        <w:gridCol w:w="1276"/>
        <w:gridCol w:w="1278"/>
        <w:gridCol w:w="1278"/>
        <w:gridCol w:w="1278"/>
        <w:gridCol w:w="1278"/>
        <w:gridCol w:w="1279"/>
      </w:tblGrid>
      <w:tr w:rsidR="00D71CCF" w:rsidRPr="002332F8" w14:paraId="72622352" w14:textId="77777777" w:rsidTr="002D2DAA">
        <w:trPr>
          <w:cantSplit/>
          <w:tblHeader/>
          <w:jc w:val="center"/>
        </w:trPr>
        <w:tc>
          <w:tcPr>
            <w:tcW w:w="1349"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28FEEA8B"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Variable</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56789296"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N</w:t>
            </w:r>
          </w:p>
        </w:tc>
        <w:tc>
          <w:tcPr>
            <w:tcW w:w="1278"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6A9C7841"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Mean</w:t>
            </w:r>
          </w:p>
        </w:tc>
        <w:tc>
          <w:tcPr>
            <w:tcW w:w="1278"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0FBE47CF"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SD</w:t>
            </w:r>
          </w:p>
        </w:tc>
        <w:tc>
          <w:tcPr>
            <w:tcW w:w="1278"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11D57CC9"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Min</w:t>
            </w:r>
          </w:p>
        </w:tc>
        <w:tc>
          <w:tcPr>
            <w:tcW w:w="1278"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4620E16B"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Max</w:t>
            </w:r>
          </w:p>
        </w:tc>
        <w:tc>
          <w:tcPr>
            <w:tcW w:w="1279"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76749AC3"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95% CI</w:t>
            </w:r>
          </w:p>
        </w:tc>
      </w:tr>
      <w:tr w:rsidR="00D71CCF" w:rsidRPr="002332F8" w14:paraId="2EECB986" w14:textId="77777777" w:rsidTr="002D2DAA">
        <w:trPr>
          <w:cantSplit/>
          <w:jc w:val="center"/>
        </w:trPr>
        <w:tc>
          <w:tcPr>
            <w:tcW w:w="1349"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9F203FD"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Perceived Schedule Control (PSC)</w:t>
            </w:r>
          </w:p>
        </w:tc>
        <w:tc>
          <w:tcPr>
            <w:tcW w:w="1276"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48FDCD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105</w:t>
            </w:r>
          </w:p>
        </w:tc>
        <w:tc>
          <w:tcPr>
            <w:tcW w:w="12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E1845CC"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4.507</w:t>
            </w:r>
          </w:p>
        </w:tc>
        <w:tc>
          <w:tcPr>
            <w:tcW w:w="12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43AA290"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0.249</w:t>
            </w:r>
          </w:p>
        </w:tc>
        <w:tc>
          <w:tcPr>
            <w:tcW w:w="12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87B471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3.500</w:t>
            </w:r>
          </w:p>
        </w:tc>
        <w:tc>
          <w:tcPr>
            <w:tcW w:w="12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C6393A7"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5.000</w:t>
            </w:r>
          </w:p>
        </w:tc>
        <w:tc>
          <w:tcPr>
            <w:tcW w:w="1279"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3243406"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4.459-4.555</w:t>
            </w:r>
          </w:p>
        </w:tc>
      </w:tr>
      <w:tr w:rsidR="00D71CCF" w:rsidRPr="002332F8" w14:paraId="12C5B1EC" w14:textId="77777777" w:rsidTr="002D2DAA">
        <w:trPr>
          <w:cantSplit/>
          <w:jc w:val="center"/>
        </w:trPr>
        <w:tc>
          <w:tcPr>
            <w:tcW w:w="1349"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A96205F"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Perceived Schedule Predictability (PSP)</w:t>
            </w:r>
          </w:p>
        </w:tc>
        <w:tc>
          <w:tcPr>
            <w:tcW w:w="1276"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C64BC6B"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105</w:t>
            </w:r>
          </w:p>
        </w:tc>
        <w:tc>
          <w:tcPr>
            <w:tcW w:w="12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F9D41E4"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4.576</w:t>
            </w:r>
          </w:p>
        </w:tc>
        <w:tc>
          <w:tcPr>
            <w:tcW w:w="12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EF5ACC3"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0.260</w:t>
            </w:r>
          </w:p>
        </w:tc>
        <w:tc>
          <w:tcPr>
            <w:tcW w:w="12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1F15BA8"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4.000</w:t>
            </w:r>
          </w:p>
        </w:tc>
        <w:tc>
          <w:tcPr>
            <w:tcW w:w="12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355F2F5"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5.000</w:t>
            </w:r>
          </w:p>
        </w:tc>
        <w:tc>
          <w:tcPr>
            <w:tcW w:w="1279"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35659F4"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4.526-4.626</w:t>
            </w:r>
          </w:p>
        </w:tc>
      </w:tr>
      <w:tr w:rsidR="00D71CCF" w:rsidRPr="002332F8" w14:paraId="59A51FC7" w14:textId="77777777" w:rsidTr="002D2DAA">
        <w:trPr>
          <w:cantSplit/>
          <w:jc w:val="center"/>
        </w:trPr>
        <w:tc>
          <w:tcPr>
            <w:tcW w:w="1349"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5475AC3"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Perceived Shift Accommodation (PSA)</w:t>
            </w:r>
          </w:p>
        </w:tc>
        <w:tc>
          <w:tcPr>
            <w:tcW w:w="1276"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D71D53D"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105</w:t>
            </w:r>
          </w:p>
        </w:tc>
        <w:tc>
          <w:tcPr>
            <w:tcW w:w="12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30E5C4D"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4.567</w:t>
            </w:r>
          </w:p>
        </w:tc>
        <w:tc>
          <w:tcPr>
            <w:tcW w:w="12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8F7D955"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0.246</w:t>
            </w:r>
          </w:p>
        </w:tc>
        <w:tc>
          <w:tcPr>
            <w:tcW w:w="12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7593FF6"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4.000</w:t>
            </w:r>
          </w:p>
        </w:tc>
        <w:tc>
          <w:tcPr>
            <w:tcW w:w="12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5F78F0B"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5.000</w:t>
            </w:r>
          </w:p>
        </w:tc>
        <w:tc>
          <w:tcPr>
            <w:tcW w:w="1279"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5376832"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4.519-4.614</w:t>
            </w:r>
          </w:p>
        </w:tc>
      </w:tr>
      <w:tr w:rsidR="00D71CCF" w:rsidRPr="002332F8" w14:paraId="18270BAA" w14:textId="77777777" w:rsidTr="002D2DAA">
        <w:trPr>
          <w:cantSplit/>
          <w:jc w:val="center"/>
        </w:trPr>
        <w:tc>
          <w:tcPr>
            <w:tcW w:w="1349"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EC0F86D"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Employee Engagement (EE)</w:t>
            </w:r>
          </w:p>
        </w:tc>
        <w:tc>
          <w:tcPr>
            <w:tcW w:w="1276"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C072CFD"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105</w:t>
            </w:r>
          </w:p>
        </w:tc>
        <w:tc>
          <w:tcPr>
            <w:tcW w:w="12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A55B302"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4.819</w:t>
            </w:r>
          </w:p>
        </w:tc>
        <w:tc>
          <w:tcPr>
            <w:tcW w:w="12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4C15068"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0.758</w:t>
            </w:r>
          </w:p>
        </w:tc>
        <w:tc>
          <w:tcPr>
            <w:tcW w:w="12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7368936"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2.667</w:t>
            </w:r>
          </w:p>
        </w:tc>
        <w:tc>
          <w:tcPr>
            <w:tcW w:w="12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23AB7E2"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6.000</w:t>
            </w:r>
          </w:p>
        </w:tc>
        <w:tc>
          <w:tcPr>
            <w:tcW w:w="1279"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1AD15B7"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4.672-4.966</w:t>
            </w:r>
          </w:p>
        </w:tc>
      </w:tr>
    </w:tbl>
    <w:p w14:paraId="2CF727BD" w14:textId="77777777" w:rsidR="00D71CCF" w:rsidRPr="002332F8" w:rsidRDefault="00D71CCF" w:rsidP="00D71CCF">
      <w:pPr>
        <w:spacing w:before="40" w:line="240" w:lineRule="auto"/>
        <w:jc w:val="center"/>
        <w:rPr>
          <w:rFonts w:ascii="Arial" w:hAnsi="Arial" w:cs="Arial"/>
        </w:rPr>
      </w:pPr>
      <w:r w:rsidRPr="002332F8">
        <w:rPr>
          <w:rFonts w:ascii="Arial" w:hAnsi="Arial" w:cs="Arial"/>
          <w:i/>
          <w:sz w:val="18"/>
        </w:rPr>
        <w:t>Source: Author's analysis of survey data (2026).</w:t>
      </w:r>
    </w:p>
    <w:p w14:paraId="20BC533B" w14:textId="77777777" w:rsidR="00D71CCF" w:rsidRPr="002332F8" w:rsidRDefault="00D71CCF" w:rsidP="00D71CCF">
      <w:pPr>
        <w:keepNext/>
        <w:spacing w:after="40"/>
        <w:jc w:val="center"/>
        <w:rPr>
          <w:rFonts w:ascii="Arial" w:hAnsi="Arial" w:cs="Arial"/>
        </w:rPr>
      </w:pPr>
      <w:r w:rsidRPr="002332F8">
        <w:rPr>
          <w:rFonts w:ascii="Arial" w:hAnsi="Arial" w:cs="Arial"/>
          <w:noProof/>
        </w:rPr>
        <w:lastRenderedPageBreak/>
        <w:drawing>
          <wp:inline distT="0" distB="0" distL="0" distR="0" wp14:anchorId="256CC32B" wp14:editId="588811FA">
            <wp:extent cx="5718776" cy="2500920"/>
            <wp:effectExtent l="0" t="0" r="0" b="0"/>
            <wp:docPr id="1487501811" name="Picture 68228342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stretch>
                      <a:fillRect/>
                    </a:stretch>
                  </pic:blipFill>
                  <pic:spPr>
                    <a:xfrm>
                      <a:off x="0" y="0"/>
                      <a:ext cx="5718776" cy="2500920"/>
                    </a:xfrm>
                    <a:prstGeom prst="rect">
                      <a:avLst/>
                    </a:prstGeom>
                    <a:noFill/>
                    <a:ln>
                      <a:noFill/>
                      <a:prstDash/>
                    </a:ln>
                  </pic:spPr>
                </pic:pic>
              </a:graphicData>
            </a:graphic>
          </wp:inline>
        </w:drawing>
      </w:r>
    </w:p>
    <w:p w14:paraId="73D1C28A" w14:textId="77777777" w:rsidR="00D71CCF" w:rsidRPr="002332F8" w:rsidRDefault="00D71CCF" w:rsidP="00D71CCF">
      <w:pPr>
        <w:pStyle w:val="FigureCaption"/>
        <w:rPr>
          <w:rFonts w:ascii="Arial" w:hAnsi="Arial" w:cs="Arial"/>
        </w:rPr>
      </w:pPr>
      <w:bookmarkStart w:id="261" w:name="fig4_30"/>
      <w:r w:rsidRPr="002332F8">
        <w:rPr>
          <w:rFonts w:ascii="Arial" w:hAnsi="Arial" w:cs="Arial"/>
        </w:rPr>
        <w:t>Figure 4.30. Mean scores for the three scheduling constructs</w:t>
      </w:r>
      <w:bookmarkEnd w:id="261"/>
    </w:p>
    <w:p w14:paraId="51212C9B" w14:textId="77777777" w:rsidR="00D71CCF" w:rsidRPr="002332F8" w:rsidRDefault="00D71CCF" w:rsidP="00D71CCF">
      <w:pPr>
        <w:spacing w:before="40" w:line="240" w:lineRule="auto"/>
        <w:jc w:val="center"/>
        <w:rPr>
          <w:rFonts w:ascii="Arial" w:hAnsi="Arial" w:cs="Arial"/>
        </w:rPr>
      </w:pPr>
    </w:p>
    <w:p w14:paraId="00B9158C" w14:textId="77777777" w:rsidR="00D71CCF" w:rsidRPr="002332F8" w:rsidRDefault="00D71CCF" w:rsidP="00D71CCF">
      <w:pPr>
        <w:pStyle w:val="Heading2"/>
        <w:rPr>
          <w:rFonts w:ascii="Arial" w:hAnsi="Arial" w:cs="Arial"/>
          <w:color w:val="auto"/>
        </w:rPr>
      </w:pPr>
      <w:bookmarkStart w:id="262" w:name="h054"/>
      <w:bookmarkStart w:id="263" w:name="_Toc241093495"/>
      <w:bookmarkStart w:id="264" w:name="_Toc241113315"/>
      <w:r w:rsidRPr="002332F8">
        <w:rPr>
          <w:rFonts w:ascii="Arial" w:hAnsi="Arial" w:cs="Arial"/>
          <w:color w:val="auto"/>
        </w:rPr>
        <w:t>4.6 Reliability Analysis</w:t>
      </w:r>
      <w:bookmarkEnd w:id="262"/>
      <w:bookmarkEnd w:id="263"/>
      <w:bookmarkEnd w:id="264"/>
    </w:p>
    <w:p w14:paraId="577C4A2A" w14:textId="77777777" w:rsidR="00D71CCF" w:rsidRPr="002332F8" w:rsidRDefault="00D71CCF" w:rsidP="00D71CCF">
      <w:pPr>
        <w:rPr>
          <w:rFonts w:ascii="Arial" w:hAnsi="Arial" w:cs="Arial"/>
        </w:rPr>
      </w:pPr>
      <w:r w:rsidRPr="002332F8">
        <w:rPr>
          <w:rFonts w:ascii="Arial" w:hAnsi="Arial" w:cs="Arial"/>
        </w:rPr>
        <w:t>Reliability was checked prior to the correlation and regression results. As shown in Table 4.4, the UWES-3 engagement scale achieved a Cronbach's alpha of .783. This indicates substantially stronger internal consistency than the three researcher-adapted scheduling measures. The corrected item-total correlations for the engagement items ranged from .586 to .652, which also showed that the three items moved together reasonably well in this sample.</w:t>
      </w:r>
    </w:p>
    <w:p w14:paraId="563610D6" w14:textId="77777777" w:rsidR="00D71CCF" w:rsidRPr="002332F8" w:rsidRDefault="00D71CCF" w:rsidP="00D71CCF">
      <w:pPr>
        <w:rPr>
          <w:rFonts w:ascii="Arial" w:hAnsi="Arial" w:cs="Arial"/>
        </w:rPr>
      </w:pPr>
      <w:r w:rsidRPr="002332F8">
        <w:rPr>
          <w:rFonts w:ascii="Arial" w:hAnsi="Arial" w:cs="Arial"/>
        </w:rPr>
        <w:t>The results for the scheduling scales were much weaker. Schedule control produced an alpha of -.048, schedule predictability produced .142, and shift accommodation produced .030. The item-total correlations were low and some were negative. The use of item deletion checks did not help to improve the overall consistency of any of the scales included in the schedule. Items were thus not deleted after observation of the results, but were kept as required as in the pre analysis stage.</w:t>
      </w:r>
    </w:p>
    <w:p w14:paraId="7330D667" w14:textId="77777777" w:rsidR="00D71CCF" w:rsidRPr="002332F8" w:rsidRDefault="00D71CCF" w:rsidP="00D71CCF">
      <w:pPr>
        <w:rPr>
          <w:rFonts w:ascii="Arial" w:hAnsi="Arial" w:cs="Arial"/>
        </w:rPr>
      </w:pPr>
      <w:r w:rsidRPr="002332F8">
        <w:rPr>
          <w:rFonts w:ascii="Arial" w:hAnsi="Arial" w:cs="Arial"/>
        </w:rPr>
        <w:t>Chapter Three already noted that the scheduling items were researcher-adapted measures and were not established validated scales. The composite scores were retained so that the planned hypotheses could be tested consistently with the approved design. However, the low reliability values mean that results involving PSC, PSP and PSA should be treated cautiously. The engagement measure, by contrast, showed acceptable internal consistency for the present sample.</w:t>
      </w:r>
    </w:p>
    <w:p w14:paraId="339E2681" w14:textId="77777777" w:rsidR="00D71CCF" w:rsidRPr="002332F8" w:rsidRDefault="00D71CCF" w:rsidP="00D71CCF">
      <w:pPr>
        <w:keepNext/>
        <w:spacing w:after="60" w:line="240" w:lineRule="auto"/>
        <w:jc w:val="center"/>
        <w:rPr>
          <w:rFonts w:ascii="Arial" w:hAnsi="Arial" w:cs="Arial"/>
        </w:rPr>
      </w:pPr>
      <w:bookmarkStart w:id="265" w:name="tbl4_4"/>
      <w:r w:rsidRPr="002332F8">
        <w:rPr>
          <w:rFonts w:ascii="Arial" w:hAnsi="Arial" w:cs="Arial"/>
          <w:i/>
          <w:sz w:val="18"/>
        </w:rPr>
        <w:lastRenderedPageBreak/>
        <w:t>Table 4.4: Internal Consistency Reliability Results</w:t>
      </w:r>
      <w:bookmarkEnd w:id="265"/>
    </w:p>
    <w:tbl>
      <w:tblPr>
        <w:tblW w:w="5000" w:type="pct"/>
        <w:jc w:val="center"/>
        <w:tblCellMar>
          <w:left w:w="10" w:type="dxa"/>
          <w:right w:w="10" w:type="dxa"/>
        </w:tblCellMar>
        <w:tblLook w:val="04A0" w:firstRow="1" w:lastRow="0" w:firstColumn="1" w:lastColumn="0" w:noHBand="0" w:noVBand="1"/>
      </w:tblPr>
      <w:tblGrid>
        <w:gridCol w:w="2254"/>
        <w:gridCol w:w="2254"/>
        <w:gridCol w:w="2254"/>
        <w:gridCol w:w="2254"/>
      </w:tblGrid>
      <w:tr w:rsidR="00D71CCF" w:rsidRPr="002332F8" w14:paraId="536C2117" w14:textId="77777777" w:rsidTr="002D2DAA">
        <w:trPr>
          <w:cantSplit/>
          <w:tblHeader/>
          <w:jc w:val="center"/>
        </w:trPr>
        <w:tc>
          <w:tcPr>
            <w:tcW w:w="2254"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5537EAB8"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Construct</w:t>
            </w:r>
          </w:p>
        </w:tc>
        <w:tc>
          <w:tcPr>
            <w:tcW w:w="2254"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5D347619"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Items</w:t>
            </w:r>
          </w:p>
        </w:tc>
        <w:tc>
          <w:tcPr>
            <w:tcW w:w="2254"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40A39471"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Cronbach's alpha</w:t>
            </w:r>
          </w:p>
        </w:tc>
        <w:tc>
          <w:tcPr>
            <w:tcW w:w="2254"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5E829A73"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Result</w:t>
            </w:r>
          </w:p>
        </w:tc>
      </w:tr>
      <w:tr w:rsidR="00D71CCF" w:rsidRPr="002332F8" w14:paraId="4F72505C"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63E5E19" w14:textId="77777777" w:rsidR="00D71CCF" w:rsidRPr="002332F8" w:rsidRDefault="00D71CCF" w:rsidP="002D2DAA">
            <w:pPr>
              <w:spacing w:after="0" w:line="240" w:lineRule="auto"/>
              <w:jc w:val="left"/>
              <w:rPr>
                <w:rFonts w:ascii="Arial" w:hAnsi="Arial" w:cs="Arial"/>
              </w:rPr>
            </w:pPr>
            <w:r w:rsidRPr="002332F8">
              <w:rPr>
                <w:rFonts w:ascii="Arial" w:hAnsi="Arial" w:cs="Arial"/>
                <w:sz w:val="18"/>
              </w:rPr>
              <w:t>PSC</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1ACD0C1"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4</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DD156B3"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-0.048</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2F80206" w14:textId="77777777" w:rsidR="00D71CCF" w:rsidRPr="002332F8" w:rsidRDefault="00D71CCF" w:rsidP="002D2DAA">
            <w:pPr>
              <w:spacing w:after="0" w:line="240" w:lineRule="auto"/>
              <w:jc w:val="left"/>
              <w:rPr>
                <w:rFonts w:ascii="Arial" w:hAnsi="Arial" w:cs="Arial"/>
              </w:rPr>
            </w:pPr>
            <w:r w:rsidRPr="002332F8">
              <w:rPr>
                <w:rFonts w:ascii="Arial" w:hAnsi="Arial" w:cs="Arial"/>
                <w:sz w:val="18"/>
              </w:rPr>
              <w:t>Very low</w:t>
            </w:r>
          </w:p>
        </w:tc>
      </w:tr>
      <w:tr w:rsidR="00D71CCF" w:rsidRPr="002332F8" w14:paraId="6085B18B"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F81AB64" w14:textId="77777777" w:rsidR="00D71CCF" w:rsidRPr="002332F8" w:rsidRDefault="00D71CCF" w:rsidP="002D2DAA">
            <w:pPr>
              <w:spacing w:after="0" w:line="240" w:lineRule="auto"/>
              <w:jc w:val="left"/>
              <w:rPr>
                <w:rFonts w:ascii="Arial" w:hAnsi="Arial" w:cs="Arial"/>
              </w:rPr>
            </w:pPr>
            <w:r w:rsidRPr="002332F8">
              <w:rPr>
                <w:rFonts w:ascii="Arial" w:hAnsi="Arial" w:cs="Arial"/>
                <w:sz w:val="18"/>
              </w:rPr>
              <w:t>PSP</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C991097"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4</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71E5508"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0.142</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1B10E7D" w14:textId="77777777" w:rsidR="00D71CCF" w:rsidRPr="002332F8" w:rsidRDefault="00D71CCF" w:rsidP="002D2DAA">
            <w:pPr>
              <w:spacing w:after="0" w:line="240" w:lineRule="auto"/>
              <w:jc w:val="left"/>
              <w:rPr>
                <w:rFonts w:ascii="Arial" w:hAnsi="Arial" w:cs="Arial"/>
              </w:rPr>
            </w:pPr>
            <w:r w:rsidRPr="002332F8">
              <w:rPr>
                <w:rFonts w:ascii="Arial" w:hAnsi="Arial" w:cs="Arial"/>
                <w:sz w:val="18"/>
              </w:rPr>
              <w:t>Very low</w:t>
            </w:r>
          </w:p>
        </w:tc>
      </w:tr>
      <w:tr w:rsidR="00D71CCF" w:rsidRPr="002332F8" w14:paraId="49EC8A66"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3F8FD10" w14:textId="77777777" w:rsidR="00D71CCF" w:rsidRPr="002332F8" w:rsidRDefault="00D71CCF" w:rsidP="002D2DAA">
            <w:pPr>
              <w:spacing w:after="0" w:line="240" w:lineRule="auto"/>
              <w:jc w:val="left"/>
              <w:rPr>
                <w:rFonts w:ascii="Arial" w:hAnsi="Arial" w:cs="Arial"/>
              </w:rPr>
            </w:pPr>
            <w:r w:rsidRPr="002332F8">
              <w:rPr>
                <w:rFonts w:ascii="Arial" w:hAnsi="Arial" w:cs="Arial"/>
                <w:sz w:val="18"/>
              </w:rPr>
              <w:t>PSA</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21100F2"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4</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15DE4E1"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0.030</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A2288F2" w14:textId="77777777" w:rsidR="00D71CCF" w:rsidRPr="002332F8" w:rsidRDefault="00D71CCF" w:rsidP="002D2DAA">
            <w:pPr>
              <w:spacing w:after="0" w:line="240" w:lineRule="auto"/>
              <w:jc w:val="left"/>
              <w:rPr>
                <w:rFonts w:ascii="Arial" w:hAnsi="Arial" w:cs="Arial"/>
              </w:rPr>
            </w:pPr>
            <w:r w:rsidRPr="002332F8">
              <w:rPr>
                <w:rFonts w:ascii="Arial" w:hAnsi="Arial" w:cs="Arial"/>
                <w:sz w:val="18"/>
              </w:rPr>
              <w:t>Very low</w:t>
            </w:r>
          </w:p>
        </w:tc>
      </w:tr>
      <w:tr w:rsidR="00D71CCF" w:rsidRPr="002332F8" w14:paraId="727FB8E1"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28646C5" w14:textId="77777777" w:rsidR="00D71CCF" w:rsidRPr="002332F8" w:rsidRDefault="00D71CCF" w:rsidP="002D2DAA">
            <w:pPr>
              <w:spacing w:after="0" w:line="240" w:lineRule="auto"/>
              <w:jc w:val="left"/>
              <w:rPr>
                <w:rFonts w:ascii="Arial" w:hAnsi="Arial" w:cs="Arial"/>
              </w:rPr>
            </w:pPr>
            <w:r w:rsidRPr="002332F8">
              <w:rPr>
                <w:rFonts w:ascii="Arial" w:hAnsi="Arial" w:cs="Arial"/>
                <w:sz w:val="18"/>
              </w:rPr>
              <w:t>EE (UWES-3)</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455B3A1"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3</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6D90CF1"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0.783</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FD25124" w14:textId="77777777" w:rsidR="00D71CCF" w:rsidRPr="002332F8" w:rsidRDefault="00D71CCF" w:rsidP="002D2DAA">
            <w:pPr>
              <w:spacing w:after="0" w:line="240" w:lineRule="auto"/>
              <w:jc w:val="left"/>
              <w:rPr>
                <w:rFonts w:ascii="Arial" w:hAnsi="Arial" w:cs="Arial"/>
              </w:rPr>
            </w:pPr>
            <w:r w:rsidRPr="002332F8">
              <w:rPr>
                <w:rFonts w:ascii="Arial" w:hAnsi="Arial" w:cs="Arial"/>
                <w:sz w:val="18"/>
              </w:rPr>
              <w:t>Acceptable for this sample</w:t>
            </w:r>
          </w:p>
        </w:tc>
      </w:tr>
    </w:tbl>
    <w:p w14:paraId="28E471AC" w14:textId="77777777" w:rsidR="00D71CCF" w:rsidRPr="002332F8" w:rsidRDefault="00D71CCF" w:rsidP="00D71CCF">
      <w:pPr>
        <w:spacing w:before="40" w:line="240" w:lineRule="auto"/>
        <w:jc w:val="center"/>
        <w:rPr>
          <w:rFonts w:ascii="Arial" w:hAnsi="Arial" w:cs="Arial"/>
        </w:rPr>
      </w:pPr>
      <w:r w:rsidRPr="002332F8">
        <w:rPr>
          <w:rFonts w:ascii="Arial" w:hAnsi="Arial" w:cs="Arial"/>
          <w:i/>
          <w:sz w:val="18"/>
        </w:rPr>
        <w:t>Source: Author's analysis of survey data (2026).</w:t>
      </w:r>
    </w:p>
    <w:p w14:paraId="5EE9968B" w14:textId="77777777" w:rsidR="00D71CCF" w:rsidRPr="002332F8" w:rsidRDefault="00D71CCF" w:rsidP="00D71CCF">
      <w:pPr>
        <w:pStyle w:val="Heading2"/>
        <w:rPr>
          <w:rFonts w:ascii="Arial" w:hAnsi="Arial" w:cs="Arial"/>
          <w:color w:val="auto"/>
        </w:rPr>
      </w:pPr>
      <w:bookmarkStart w:id="266" w:name="h055"/>
      <w:bookmarkStart w:id="267" w:name="_Toc241093496"/>
      <w:bookmarkStart w:id="268" w:name="_Toc241113316"/>
      <w:r w:rsidRPr="002332F8">
        <w:rPr>
          <w:rFonts w:ascii="Arial" w:hAnsi="Arial" w:cs="Arial"/>
          <w:color w:val="auto"/>
        </w:rPr>
        <w:t>4.7 Pearson Correlation Analysis</w:t>
      </w:r>
      <w:bookmarkEnd w:id="266"/>
      <w:bookmarkEnd w:id="267"/>
      <w:bookmarkEnd w:id="268"/>
    </w:p>
    <w:p w14:paraId="42414224" w14:textId="77777777" w:rsidR="00D71CCF" w:rsidRPr="002332F8" w:rsidRDefault="00D71CCF" w:rsidP="00D71CCF">
      <w:pPr>
        <w:rPr>
          <w:rFonts w:ascii="Arial" w:hAnsi="Arial" w:cs="Arial"/>
        </w:rPr>
      </w:pPr>
      <w:r w:rsidRPr="002332F8">
        <w:rPr>
          <w:rFonts w:ascii="Arial" w:hAnsi="Arial" w:cs="Arial"/>
        </w:rPr>
        <w:t>Table 4.5 reports Pearson correlations among perceived schedule control, schedule predictability, shift accommodation and employee engagement. The three scheduling variables were positively related to one another. Schedule control correlated moderately with schedule predictability, r = .438, p &lt; .001. Its correlation with shift accommodation was r = .356, p &lt; .001. The association between predictability and accommodation was smaller but remained statistically significant, r = .268, p = .006. These coefficients indicate that the scheduling dimensions overlap to some extent, but they are not measuring exactly the same response pattern.</w:t>
      </w:r>
    </w:p>
    <w:p w14:paraId="5C932B47" w14:textId="77777777" w:rsidR="00D71CCF" w:rsidRPr="002332F8" w:rsidRDefault="00D71CCF" w:rsidP="00D71CCF">
      <w:pPr>
        <w:rPr>
          <w:rFonts w:ascii="Arial" w:hAnsi="Arial" w:cs="Arial"/>
        </w:rPr>
      </w:pPr>
      <w:r w:rsidRPr="002332F8">
        <w:rPr>
          <w:rFonts w:ascii="Arial" w:hAnsi="Arial" w:cs="Arial"/>
        </w:rPr>
        <w:t>The correlation between schedule control and employee engagement was positive but not statistically significant, r = .156, p = .113. At the bivariate level, the data therefore did not provide evidence of a significant relationship between PSC and engagement. Schedule predictability had a positive and statistically significant correlation with engagement, r = .266, p = .006. Also, shift accommodation was positively correlated with engagement, r = .259, p = .008. Relationships were both quite small.</w:t>
      </w:r>
    </w:p>
    <w:p w14:paraId="14F03895" w14:textId="77777777" w:rsidR="00D71CCF" w:rsidRPr="002332F8" w:rsidRDefault="00D71CCF" w:rsidP="00D71CCF">
      <w:pPr>
        <w:rPr>
          <w:rFonts w:ascii="Arial" w:hAnsi="Arial" w:cs="Arial"/>
        </w:rPr>
      </w:pPr>
      <w:r w:rsidRPr="002332F8">
        <w:rPr>
          <w:rFonts w:ascii="Arial" w:hAnsi="Arial" w:cs="Arial"/>
        </w:rPr>
        <w:t xml:space="preserve">There was no significant bivariate support for RQ1, since the relationship between schedule control and engagement was not found consistently. The correlations at stage RQ2 and RQ3 were significant and positive. But bivariate correlations do not take into account the overlap between predictor variables. Multiple regression analysis was necessary to estimate the unique contribution of each of the scheduling dimensions while constraining the other two dimensions. Also important is the size of the coefficients in describing the pattern. The relationships between PSP and PSA were very similar and were both small. The highest correlation in the matrix was between PSC and PSP, not a scheduling variable and engagement. This pattern again validates the importance of including PSC, PSP and PSA in the regression model simultaneously rather than analyzing each of the bivariate results as a separate hypothesis test. There was also no correlation approaching very high values, which </w:t>
      </w:r>
      <w:r w:rsidRPr="002332F8">
        <w:rPr>
          <w:rFonts w:ascii="Arial" w:hAnsi="Arial" w:cs="Arial"/>
        </w:rPr>
        <w:lastRenderedPageBreak/>
        <w:t>indicated that the predictors were not so closely correlated that they could not be estimated simultaneously.</w:t>
      </w:r>
    </w:p>
    <w:p w14:paraId="5EB77449" w14:textId="77777777" w:rsidR="00D71CCF" w:rsidRPr="002332F8" w:rsidRDefault="00D71CCF" w:rsidP="00D71CCF">
      <w:pPr>
        <w:keepNext/>
        <w:spacing w:after="60" w:line="240" w:lineRule="auto"/>
        <w:jc w:val="center"/>
        <w:rPr>
          <w:rFonts w:ascii="Arial" w:hAnsi="Arial" w:cs="Arial"/>
        </w:rPr>
      </w:pPr>
      <w:bookmarkStart w:id="269" w:name="tbl4_5"/>
      <w:r w:rsidRPr="002332F8">
        <w:rPr>
          <w:rFonts w:ascii="Arial" w:hAnsi="Arial" w:cs="Arial"/>
          <w:i/>
          <w:sz w:val="18"/>
        </w:rPr>
        <w:t>Table 4.5: Pearson Correlation Matrix</w:t>
      </w:r>
      <w:bookmarkEnd w:id="269"/>
    </w:p>
    <w:tbl>
      <w:tblPr>
        <w:tblW w:w="5000" w:type="pct"/>
        <w:jc w:val="center"/>
        <w:tblCellMar>
          <w:left w:w="10" w:type="dxa"/>
          <w:right w:w="10" w:type="dxa"/>
        </w:tblCellMar>
        <w:tblLook w:val="04A0" w:firstRow="1" w:lastRow="0" w:firstColumn="1" w:lastColumn="0" w:noHBand="0" w:noVBand="1"/>
      </w:tblPr>
      <w:tblGrid>
        <w:gridCol w:w="1804"/>
        <w:gridCol w:w="1803"/>
        <w:gridCol w:w="1803"/>
        <w:gridCol w:w="1803"/>
        <w:gridCol w:w="1803"/>
      </w:tblGrid>
      <w:tr w:rsidR="00D71CCF" w:rsidRPr="002332F8" w14:paraId="4B4F7903" w14:textId="77777777" w:rsidTr="002D2DAA">
        <w:trPr>
          <w:cantSplit/>
          <w:tblHeader/>
          <w:jc w:val="center"/>
        </w:trPr>
        <w:tc>
          <w:tcPr>
            <w:tcW w:w="1804"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3EF4EB49"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Variable</w:t>
            </w:r>
          </w:p>
        </w:tc>
        <w:tc>
          <w:tcPr>
            <w:tcW w:w="180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54F33665"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PSC</w:t>
            </w:r>
          </w:p>
        </w:tc>
        <w:tc>
          <w:tcPr>
            <w:tcW w:w="180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117AA998"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PSP</w:t>
            </w:r>
          </w:p>
        </w:tc>
        <w:tc>
          <w:tcPr>
            <w:tcW w:w="180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29C8EB16"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PSA</w:t>
            </w:r>
          </w:p>
        </w:tc>
        <w:tc>
          <w:tcPr>
            <w:tcW w:w="180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1BEF6DAE"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EE</w:t>
            </w:r>
          </w:p>
        </w:tc>
      </w:tr>
      <w:tr w:rsidR="00D71CCF" w:rsidRPr="002332F8" w14:paraId="58B4E86B" w14:textId="77777777" w:rsidTr="002D2DAA">
        <w:trPr>
          <w:cantSplit/>
          <w:jc w:val="center"/>
        </w:trPr>
        <w:tc>
          <w:tcPr>
            <w:tcW w:w="180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2E248E6" w14:textId="77777777" w:rsidR="00D71CCF" w:rsidRPr="002332F8" w:rsidRDefault="00D71CCF" w:rsidP="002D2DAA">
            <w:pPr>
              <w:spacing w:after="0" w:line="240" w:lineRule="auto"/>
              <w:jc w:val="left"/>
              <w:rPr>
                <w:rFonts w:ascii="Arial" w:hAnsi="Arial" w:cs="Arial"/>
              </w:rPr>
            </w:pPr>
            <w:r w:rsidRPr="002332F8">
              <w:rPr>
                <w:rFonts w:ascii="Arial" w:hAnsi="Arial" w:cs="Arial"/>
                <w:sz w:val="18"/>
              </w:rPr>
              <w:t>PSC</w:t>
            </w:r>
          </w:p>
        </w:tc>
        <w:tc>
          <w:tcPr>
            <w:tcW w:w="18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E136D1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1.000</w:t>
            </w:r>
          </w:p>
        </w:tc>
        <w:tc>
          <w:tcPr>
            <w:tcW w:w="18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A4D7E93" w14:textId="77777777" w:rsidR="00D71CCF" w:rsidRPr="002332F8" w:rsidRDefault="00D71CCF" w:rsidP="002D2DAA">
            <w:pPr>
              <w:spacing w:after="0" w:line="240" w:lineRule="auto"/>
              <w:jc w:val="center"/>
              <w:rPr>
                <w:rFonts w:ascii="Arial" w:hAnsi="Arial" w:cs="Arial"/>
              </w:rPr>
            </w:pPr>
          </w:p>
        </w:tc>
        <w:tc>
          <w:tcPr>
            <w:tcW w:w="18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9FD9842" w14:textId="77777777" w:rsidR="00D71CCF" w:rsidRPr="002332F8" w:rsidRDefault="00D71CCF" w:rsidP="002D2DAA">
            <w:pPr>
              <w:spacing w:after="0" w:line="240" w:lineRule="auto"/>
              <w:jc w:val="center"/>
              <w:rPr>
                <w:rFonts w:ascii="Arial" w:hAnsi="Arial" w:cs="Arial"/>
              </w:rPr>
            </w:pPr>
          </w:p>
        </w:tc>
        <w:tc>
          <w:tcPr>
            <w:tcW w:w="18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0C6E110" w14:textId="77777777" w:rsidR="00D71CCF" w:rsidRPr="002332F8" w:rsidRDefault="00D71CCF" w:rsidP="002D2DAA">
            <w:pPr>
              <w:spacing w:after="0" w:line="240" w:lineRule="auto"/>
              <w:jc w:val="center"/>
              <w:rPr>
                <w:rFonts w:ascii="Arial" w:hAnsi="Arial" w:cs="Arial"/>
              </w:rPr>
            </w:pPr>
          </w:p>
        </w:tc>
      </w:tr>
      <w:tr w:rsidR="00D71CCF" w:rsidRPr="002332F8" w14:paraId="69A7BAD9" w14:textId="77777777" w:rsidTr="002D2DAA">
        <w:trPr>
          <w:cantSplit/>
          <w:jc w:val="center"/>
        </w:trPr>
        <w:tc>
          <w:tcPr>
            <w:tcW w:w="180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F454742" w14:textId="77777777" w:rsidR="00D71CCF" w:rsidRPr="002332F8" w:rsidRDefault="00D71CCF" w:rsidP="002D2DAA">
            <w:pPr>
              <w:spacing w:after="0" w:line="240" w:lineRule="auto"/>
              <w:jc w:val="left"/>
              <w:rPr>
                <w:rFonts w:ascii="Arial" w:hAnsi="Arial" w:cs="Arial"/>
              </w:rPr>
            </w:pPr>
            <w:r w:rsidRPr="002332F8">
              <w:rPr>
                <w:rFonts w:ascii="Arial" w:hAnsi="Arial" w:cs="Arial"/>
                <w:sz w:val="18"/>
              </w:rPr>
              <w:t>PSP</w:t>
            </w:r>
          </w:p>
        </w:tc>
        <w:tc>
          <w:tcPr>
            <w:tcW w:w="18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FCB8885"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0.438***</w:t>
            </w:r>
          </w:p>
        </w:tc>
        <w:tc>
          <w:tcPr>
            <w:tcW w:w="18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E410C1E"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1.000</w:t>
            </w:r>
          </w:p>
        </w:tc>
        <w:tc>
          <w:tcPr>
            <w:tcW w:w="18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07A9E68" w14:textId="77777777" w:rsidR="00D71CCF" w:rsidRPr="002332F8" w:rsidRDefault="00D71CCF" w:rsidP="002D2DAA">
            <w:pPr>
              <w:spacing w:after="0" w:line="240" w:lineRule="auto"/>
              <w:jc w:val="center"/>
              <w:rPr>
                <w:rFonts w:ascii="Arial" w:hAnsi="Arial" w:cs="Arial"/>
              </w:rPr>
            </w:pPr>
          </w:p>
        </w:tc>
        <w:tc>
          <w:tcPr>
            <w:tcW w:w="18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B1BEEDF" w14:textId="77777777" w:rsidR="00D71CCF" w:rsidRPr="002332F8" w:rsidRDefault="00D71CCF" w:rsidP="002D2DAA">
            <w:pPr>
              <w:spacing w:after="0" w:line="240" w:lineRule="auto"/>
              <w:jc w:val="center"/>
              <w:rPr>
                <w:rFonts w:ascii="Arial" w:hAnsi="Arial" w:cs="Arial"/>
              </w:rPr>
            </w:pPr>
          </w:p>
        </w:tc>
      </w:tr>
      <w:tr w:rsidR="00D71CCF" w:rsidRPr="002332F8" w14:paraId="1047678A" w14:textId="77777777" w:rsidTr="002D2DAA">
        <w:trPr>
          <w:cantSplit/>
          <w:jc w:val="center"/>
        </w:trPr>
        <w:tc>
          <w:tcPr>
            <w:tcW w:w="180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2B80EDE" w14:textId="77777777" w:rsidR="00D71CCF" w:rsidRPr="002332F8" w:rsidRDefault="00D71CCF" w:rsidP="002D2DAA">
            <w:pPr>
              <w:spacing w:after="0" w:line="240" w:lineRule="auto"/>
              <w:jc w:val="left"/>
              <w:rPr>
                <w:rFonts w:ascii="Arial" w:hAnsi="Arial" w:cs="Arial"/>
              </w:rPr>
            </w:pPr>
            <w:r w:rsidRPr="002332F8">
              <w:rPr>
                <w:rFonts w:ascii="Arial" w:hAnsi="Arial" w:cs="Arial"/>
                <w:sz w:val="18"/>
              </w:rPr>
              <w:t>PSA</w:t>
            </w:r>
          </w:p>
        </w:tc>
        <w:tc>
          <w:tcPr>
            <w:tcW w:w="18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A1F340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0.356***</w:t>
            </w:r>
          </w:p>
        </w:tc>
        <w:tc>
          <w:tcPr>
            <w:tcW w:w="18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A1C31DC"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0.268**</w:t>
            </w:r>
          </w:p>
        </w:tc>
        <w:tc>
          <w:tcPr>
            <w:tcW w:w="18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6B190AD"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1.000</w:t>
            </w:r>
          </w:p>
        </w:tc>
        <w:tc>
          <w:tcPr>
            <w:tcW w:w="18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50808D3" w14:textId="77777777" w:rsidR="00D71CCF" w:rsidRPr="002332F8" w:rsidRDefault="00D71CCF" w:rsidP="002D2DAA">
            <w:pPr>
              <w:spacing w:after="0" w:line="240" w:lineRule="auto"/>
              <w:jc w:val="center"/>
              <w:rPr>
                <w:rFonts w:ascii="Arial" w:hAnsi="Arial" w:cs="Arial"/>
              </w:rPr>
            </w:pPr>
          </w:p>
        </w:tc>
      </w:tr>
      <w:tr w:rsidR="00D71CCF" w:rsidRPr="002332F8" w14:paraId="7C466311" w14:textId="77777777" w:rsidTr="002D2DAA">
        <w:trPr>
          <w:cantSplit/>
          <w:jc w:val="center"/>
        </w:trPr>
        <w:tc>
          <w:tcPr>
            <w:tcW w:w="180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E5BC74B" w14:textId="77777777" w:rsidR="00D71CCF" w:rsidRPr="002332F8" w:rsidRDefault="00D71CCF" w:rsidP="002D2DAA">
            <w:pPr>
              <w:spacing w:after="0" w:line="240" w:lineRule="auto"/>
              <w:jc w:val="left"/>
              <w:rPr>
                <w:rFonts w:ascii="Arial" w:hAnsi="Arial" w:cs="Arial"/>
              </w:rPr>
            </w:pPr>
            <w:r w:rsidRPr="002332F8">
              <w:rPr>
                <w:rFonts w:ascii="Arial" w:hAnsi="Arial" w:cs="Arial"/>
                <w:sz w:val="18"/>
              </w:rPr>
              <w:t>EE</w:t>
            </w:r>
          </w:p>
        </w:tc>
        <w:tc>
          <w:tcPr>
            <w:tcW w:w="18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1F93787"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0.156</w:t>
            </w:r>
          </w:p>
        </w:tc>
        <w:tc>
          <w:tcPr>
            <w:tcW w:w="18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0D40120"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0.266**</w:t>
            </w:r>
          </w:p>
        </w:tc>
        <w:tc>
          <w:tcPr>
            <w:tcW w:w="18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03BDC40"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0.259**</w:t>
            </w:r>
          </w:p>
        </w:tc>
        <w:tc>
          <w:tcPr>
            <w:tcW w:w="18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37D62DD"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1.000</w:t>
            </w:r>
          </w:p>
        </w:tc>
      </w:tr>
    </w:tbl>
    <w:p w14:paraId="33537884" w14:textId="77777777" w:rsidR="00D71CCF" w:rsidRPr="002332F8" w:rsidRDefault="00D71CCF" w:rsidP="00D71CCF">
      <w:pPr>
        <w:ind w:left="173" w:right="72"/>
        <w:rPr>
          <w:rFonts w:ascii="Arial" w:hAnsi="Arial" w:cs="Arial"/>
        </w:rPr>
      </w:pPr>
      <w:r w:rsidRPr="002332F8">
        <w:rPr>
          <w:rFonts w:ascii="Arial" w:hAnsi="Arial" w:cs="Arial"/>
          <w:sz w:val="18"/>
        </w:rPr>
        <w:t>Note: ** p &lt; .01; *** p &lt; .001. Exact engagement p-values: PSC p = .113, PSP p = .006, PSA p = .008. N = 105.</w:t>
      </w:r>
    </w:p>
    <w:p w14:paraId="244324D0" w14:textId="77777777" w:rsidR="00D71CCF" w:rsidRPr="002332F8" w:rsidRDefault="00D71CCF" w:rsidP="00D71CCF">
      <w:pPr>
        <w:spacing w:before="40" w:line="240" w:lineRule="auto"/>
        <w:jc w:val="center"/>
        <w:rPr>
          <w:rFonts w:ascii="Arial" w:hAnsi="Arial" w:cs="Arial"/>
        </w:rPr>
      </w:pPr>
      <w:r w:rsidRPr="002332F8">
        <w:rPr>
          <w:rFonts w:ascii="Arial" w:hAnsi="Arial" w:cs="Arial"/>
          <w:i/>
          <w:sz w:val="18"/>
        </w:rPr>
        <w:t>Source: Author's analysis of survey data (2026).</w:t>
      </w:r>
    </w:p>
    <w:p w14:paraId="3EE816A1" w14:textId="77777777" w:rsidR="00D71CCF" w:rsidRPr="002332F8" w:rsidRDefault="00D71CCF" w:rsidP="00D71CCF">
      <w:pPr>
        <w:pStyle w:val="Heading2"/>
        <w:rPr>
          <w:rFonts w:ascii="Arial" w:hAnsi="Arial" w:cs="Arial"/>
          <w:color w:val="auto"/>
        </w:rPr>
      </w:pPr>
      <w:bookmarkStart w:id="270" w:name="h056"/>
      <w:bookmarkStart w:id="271" w:name="_Toc241093497"/>
      <w:bookmarkStart w:id="272" w:name="_Toc241113317"/>
      <w:r w:rsidRPr="002332F8">
        <w:rPr>
          <w:rFonts w:ascii="Arial" w:hAnsi="Arial" w:cs="Arial"/>
          <w:color w:val="auto"/>
        </w:rPr>
        <w:t>4.8 Regression Analysis</w:t>
      </w:r>
      <w:bookmarkEnd w:id="270"/>
      <w:bookmarkEnd w:id="271"/>
      <w:bookmarkEnd w:id="272"/>
    </w:p>
    <w:p w14:paraId="68B8FADF" w14:textId="77777777" w:rsidR="00D71CCF" w:rsidRPr="002332F8" w:rsidRDefault="00D71CCF" w:rsidP="00D71CCF">
      <w:pPr>
        <w:rPr>
          <w:rFonts w:ascii="Arial" w:hAnsi="Arial" w:cs="Arial"/>
        </w:rPr>
      </w:pPr>
      <w:r w:rsidRPr="002332F8">
        <w:rPr>
          <w:rFonts w:ascii="Arial" w:hAnsi="Arial" w:cs="Arial"/>
        </w:rPr>
        <w:t>Multiple linear regression was used to test whether the three perceived scheduling variables jointly predicted employee engagement.</w:t>
      </w:r>
    </w:p>
    <w:p w14:paraId="1B7D3BCB" w14:textId="77777777" w:rsidR="00D71CCF" w:rsidRPr="002332F8" w:rsidRDefault="00D71CCF" w:rsidP="00D71CCF">
      <w:pPr>
        <w:keepNext/>
        <w:spacing w:after="60" w:line="240" w:lineRule="auto"/>
        <w:jc w:val="center"/>
        <w:rPr>
          <w:rFonts w:ascii="Arial" w:hAnsi="Arial" w:cs="Arial"/>
        </w:rPr>
      </w:pPr>
      <w:bookmarkStart w:id="273" w:name="tbl4_6"/>
      <w:r w:rsidRPr="002332F8">
        <w:rPr>
          <w:rFonts w:ascii="Arial" w:hAnsi="Arial" w:cs="Arial"/>
          <w:i/>
          <w:sz w:val="18"/>
        </w:rPr>
        <w:t>Table 4.6: Variables Entered/Removed - Regression Model</w:t>
      </w:r>
      <w:bookmarkEnd w:id="273"/>
    </w:p>
    <w:tbl>
      <w:tblPr>
        <w:tblW w:w="5000" w:type="pct"/>
        <w:jc w:val="center"/>
        <w:tblCellMar>
          <w:left w:w="10" w:type="dxa"/>
          <w:right w:w="10" w:type="dxa"/>
        </w:tblCellMar>
        <w:tblLook w:val="04A0" w:firstRow="1" w:lastRow="0" w:firstColumn="1" w:lastColumn="0" w:noHBand="0" w:noVBand="1"/>
      </w:tblPr>
      <w:tblGrid>
        <w:gridCol w:w="2254"/>
        <w:gridCol w:w="2254"/>
        <w:gridCol w:w="2254"/>
        <w:gridCol w:w="2254"/>
      </w:tblGrid>
      <w:tr w:rsidR="00D71CCF" w:rsidRPr="002332F8" w14:paraId="7C0FED92" w14:textId="77777777" w:rsidTr="002D2DAA">
        <w:trPr>
          <w:cantSplit/>
          <w:tblHeader/>
          <w:jc w:val="center"/>
        </w:trPr>
        <w:tc>
          <w:tcPr>
            <w:tcW w:w="2254"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2E6B9B1C"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Model</w:t>
            </w:r>
          </w:p>
        </w:tc>
        <w:tc>
          <w:tcPr>
            <w:tcW w:w="2254"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712A5C22"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Variables Entered</w:t>
            </w:r>
          </w:p>
        </w:tc>
        <w:tc>
          <w:tcPr>
            <w:tcW w:w="2254"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011D71D3"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Variables Removed</w:t>
            </w:r>
          </w:p>
        </w:tc>
        <w:tc>
          <w:tcPr>
            <w:tcW w:w="2254"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61A46DAA"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Method</w:t>
            </w:r>
          </w:p>
        </w:tc>
      </w:tr>
      <w:tr w:rsidR="00D71CCF" w:rsidRPr="002332F8" w14:paraId="362A77F7" w14:textId="77777777" w:rsidTr="002D2DAA">
        <w:trPr>
          <w:cantSplit/>
          <w:jc w:val="center"/>
        </w:trPr>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A19E50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1</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E7472CC" w14:textId="77777777" w:rsidR="00D71CCF" w:rsidRPr="002332F8" w:rsidRDefault="00D71CCF" w:rsidP="002D2DAA">
            <w:pPr>
              <w:spacing w:after="0" w:line="240" w:lineRule="auto"/>
              <w:jc w:val="left"/>
              <w:rPr>
                <w:rFonts w:ascii="Arial" w:hAnsi="Arial" w:cs="Arial"/>
              </w:rPr>
            </w:pPr>
            <w:r w:rsidRPr="002332F8">
              <w:rPr>
                <w:rFonts w:ascii="Arial" w:hAnsi="Arial" w:cs="Arial"/>
                <w:sz w:val="18"/>
              </w:rPr>
              <w:t>PSC, PSP, PSA</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464BE7E"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None</w:t>
            </w:r>
          </w:p>
        </w:tc>
        <w:tc>
          <w:tcPr>
            <w:tcW w:w="225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7ECE56D" w14:textId="77777777" w:rsidR="00D71CCF" w:rsidRPr="002332F8" w:rsidRDefault="00D71CCF" w:rsidP="002D2DAA">
            <w:pPr>
              <w:spacing w:after="0" w:line="240" w:lineRule="auto"/>
              <w:jc w:val="center"/>
              <w:rPr>
                <w:rFonts w:ascii="Arial" w:hAnsi="Arial" w:cs="Arial"/>
              </w:rPr>
            </w:pPr>
            <w:r w:rsidRPr="002332F8">
              <w:rPr>
                <w:rFonts w:ascii="Arial" w:hAnsi="Arial" w:cs="Arial"/>
                <w:sz w:val="18"/>
              </w:rPr>
              <w:t>Enter</w:t>
            </w:r>
          </w:p>
        </w:tc>
      </w:tr>
    </w:tbl>
    <w:p w14:paraId="164911C1" w14:textId="77777777" w:rsidR="00D71CCF" w:rsidRPr="002332F8" w:rsidRDefault="00D71CCF" w:rsidP="00D71CCF">
      <w:pPr>
        <w:ind w:left="173" w:right="72"/>
        <w:rPr>
          <w:rFonts w:ascii="Arial" w:hAnsi="Arial" w:cs="Arial"/>
        </w:rPr>
      </w:pPr>
      <w:r w:rsidRPr="002332F8">
        <w:rPr>
          <w:rFonts w:ascii="Arial" w:hAnsi="Arial" w:cs="Arial"/>
          <w:sz w:val="18"/>
        </w:rPr>
        <w:t>a. Dependent Variable: Employee Engagement (EE). b. All requested predictor variables entered simultaneously.</w:t>
      </w:r>
    </w:p>
    <w:p w14:paraId="0C3AD67C" w14:textId="77777777" w:rsidR="00D71CCF" w:rsidRPr="002332F8" w:rsidRDefault="00D71CCF" w:rsidP="00D71CCF">
      <w:pPr>
        <w:spacing w:before="40" w:line="240" w:lineRule="auto"/>
        <w:jc w:val="center"/>
        <w:rPr>
          <w:rFonts w:ascii="Arial" w:hAnsi="Arial" w:cs="Arial"/>
        </w:rPr>
      </w:pPr>
      <w:r w:rsidRPr="002332F8">
        <w:rPr>
          <w:rFonts w:ascii="Arial" w:hAnsi="Arial" w:cs="Arial"/>
          <w:i/>
          <w:sz w:val="18"/>
        </w:rPr>
        <w:t>Source: Author's analysis of survey data (2026).</w:t>
      </w:r>
    </w:p>
    <w:p w14:paraId="4842FD75" w14:textId="77777777" w:rsidR="00D71CCF" w:rsidRPr="002332F8" w:rsidRDefault="00D71CCF" w:rsidP="00D71CCF">
      <w:pPr>
        <w:pStyle w:val="Heading3"/>
        <w:rPr>
          <w:rFonts w:ascii="Arial" w:hAnsi="Arial" w:cs="Arial"/>
          <w:color w:val="auto"/>
        </w:rPr>
      </w:pPr>
      <w:bookmarkStart w:id="274" w:name="h057"/>
      <w:bookmarkStart w:id="275" w:name="_Toc241093498"/>
      <w:bookmarkStart w:id="276" w:name="_Toc241113318"/>
      <w:r w:rsidRPr="002332F8">
        <w:rPr>
          <w:rFonts w:ascii="Arial" w:hAnsi="Arial" w:cs="Arial"/>
          <w:color w:val="auto"/>
        </w:rPr>
        <w:t>4.8.1 Model Summary and Overall Significance</w:t>
      </w:r>
      <w:bookmarkEnd w:id="274"/>
      <w:bookmarkEnd w:id="275"/>
      <w:bookmarkEnd w:id="276"/>
    </w:p>
    <w:p w14:paraId="4D024400" w14:textId="77777777" w:rsidR="00D71CCF" w:rsidRPr="002332F8" w:rsidRDefault="00D71CCF" w:rsidP="00D71CCF">
      <w:pPr>
        <w:rPr>
          <w:rFonts w:ascii="Arial" w:hAnsi="Arial" w:cs="Arial"/>
        </w:rPr>
      </w:pPr>
      <w:r w:rsidRPr="002332F8">
        <w:rPr>
          <w:rFonts w:ascii="Arial" w:hAnsi="Arial" w:cs="Arial"/>
        </w:rPr>
        <w:t>Table 4.7 shows that the regression produced R = .330 and R² = .109. The adjusted R² was .082, while the standard error of the estimate was .726. The three scheduling predictors therefore accounted for 10.9% of the observed variance in employee engagement in the analysed sample. The adjusted value indicates that approximately 8.2% of engagement variance was explained after allowing for the number of predictors and sample size.</w:t>
      </w:r>
    </w:p>
    <w:p w14:paraId="6AF78D50" w14:textId="77777777" w:rsidR="00D71CCF" w:rsidRPr="002332F8" w:rsidRDefault="00D71CCF" w:rsidP="00D71CCF">
      <w:pPr>
        <w:rPr>
          <w:rFonts w:ascii="Arial" w:hAnsi="Arial" w:cs="Arial"/>
        </w:rPr>
      </w:pPr>
      <w:r w:rsidRPr="002332F8">
        <w:rPr>
          <w:rFonts w:ascii="Arial" w:hAnsi="Arial" w:cs="Arial"/>
        </w:rPr>
        <w:t xml:space="preserve">The ANOVA results in Table 4.8 show that the overall regression model was statistically significant, F(3, 101) = 4.109, p = .009. The regression sum of squares was 6.502 and the residual sum of squares was 53.282. The significant F-test indicates that the three predictors, considered together, improved prediction of engagement compared with an intercept-only model. This finding does not establish that scheduling perceptions caused the observed differences in engagement because the data are cross-sectional and self-reported. The difference between R² and adjusted R² was relatively small, which indicates that the model's explanatory value </w:t>
      </w:r>
      <w:r w:rsidRPr="002332F8">
        <w:rPr>
          <w:rFonts w:ascii="Arial" w:hAnsi="Arial" w:cs="Arial"/>
        </w:rPr>
        <w:lastRenderedPageBreak/>
        <w:t>was not created simply by adding three predictors. Nevertheless, most variation in engagement remained outside the model. Approximately 89.1% of observed engagement variance was not accounted for by PSC, PSP and PSA in the primary regression. This percentage is descriptive and is not meant to be understood as implying that one factor omitted will account for the rest of the variance.</w:t>
      </w:r>
    </w:p>
    <w:p w14:paraId="35F523AF" w14:textId="77777777" w:rsidR="00D71CCF" w:rsidRPr="002332F8" w:rsidRDefault="00D71CCF" w:rsidP="00D71CCF">
      <w:pPr>
        <w:keepNext/>
        <w:spacing w:after="60" w:line="240" w:lineRule="auto"/>
        <w:jc w:val="center"/>
        <w:rPr>
          <w:rFonts w:ascii="Arial" w:hAnsi="Arial" w:cs="Arial"/>
        </w:rPr>
      </w:pPr>
      <w:bookmarkStart w:id="277" w:name="tbl4_7"/>
      <w:r w:rsidRPr="002332F8">
        <w:rPr>
          <w:rFonts w:ascii="Arial" w:hAnsi="Arial" w:cs="Arial"/>
          <w:i/>
          <w:sz w:val="18"/>
        </w:rPr>
        <w:t>Table 4.7: Regression Model Summary</w:t>
      </w:r>
      <w:bookmarkEnd w:id="277"/>
    </w:p>
    <w:tbl>
      <w:tblPr>
        <w:tblW w:w="5000" w:type="pct"/>
        <w:jc w:val="center"/>
        <w:tblCellMar>
          <w:left w:w="10" w:type="dxa"/>
          <w:right w:w="10" w:type="dxa"/>
        </w:tblCellMar>
        <w:tblLook w:val="04A0" w:firstRow="1" w:lastRow="0" w:firstColumn="1" w:lastColumn="0" w:noHBand="0" w:noVBand="1"/>
      </w:tblPr>
      <w:tblGrid>
        <w:gridCol w:w="1502"/>
        <w:gridCol w:w="1502"/>
        <w:gridCol w:w="1503"/>
        <w:gridCol w:w="1503"/>
        <w:gridCol w:w="1503"/>
        <w:gridCol w:w="1503"/>
      </w:tblGrid>
      <w:tr w:rsidR="00D71CCF" w:rsidRPr="002332F8" w14:paraId="3CB1D85C" w14:textId="77777777" w:rsidTr="002D2DAA">
        <w:trPr>
          <w:cantSplit/>
          <w:tblHeader/>
          <w:jc w:val="center"/>
        </w:trPr>
        <w:tc>
          <w:tcPr>
            <w:tcW w:w="1502"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1866C087"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Model</w:t>
            </w:r>
          </w:p>
        </w:tc>
        <w:tc>
          <w:tcPr>
            <w:tcW w:w="1502"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38F4A740"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R</w:t>
            </w:r>
          </w:p>
        </w:tc>
        <w:tc>
          <w:tcPr>
            <w:tcW w:w="150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1CC12289"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R Square</w:t>
            </w:r>
          </w:p>
        </w:tc>
        <w:tc>
          <w:tcPr>
            <w:tcW w:w="150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3856A4E8"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Adjusted R Square</w:t>
            </w:r>
          </w:p>
        </w:tc>
        <w:tc>
          <w:tcPr>
            <w:tcW w:w="150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6F012887"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Std. Error of the Estimate</w:t>
            </w:r>
          </w:p>
        </w:tc>
        <w:tc>
          <w:tcPr>
            <w:tcW w:w="150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1A7CB17D"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Durbin-Watson</w:t>
            </w:r>
          </w:p>
        </w:tc>
      </w:tr>
      <w:tr w:rsidR="00D71CCF" w:rsidRPr="002332F8" w14:paraId="23B54F3E" w14:textId="77777777" w:rsidTr="002D2DAA">
        <w:trPr>
          <w:cantSplit/>
          <w:jc w:val="center"/>
        </w:trPr>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DC613FF"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w:t>
            </w:r>
          </w:p>
        </w:tc>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2F9D78F"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0.330</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5CF4C16"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0.109</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CA6B83E"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0.082</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2F7019B"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0.726</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9058468"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1.403</w:t>
            </w:r>
          </w:p>
        </w:tc>
      </w:tr>
    </w:tbl>
    <w:p w14:paraId="7DADBF9B" w14:textId="77777777" w:rsidR="00D71CCF" w:rsidRPr="002332F8" w:rsidRDefault="00D71CCF" w:rsidP="00D71CCF">
      <w:pPr>
        <w:ind w:left="173" w:right="72"/>
        <w:rPr>
          <w:rFonts w:ascii="Arial" w:hAnsi="Arial" w:cs="Arial"/>
        </w:rPr>
      </w:pPr>
      <w:r w:rsidRPr="002332F8">
        <w:rPr>
          <w:rFonts w:ascii="Arial" w:hAnsi="Arial" w:cs="Arial"/>
          <w:sz w:val="18"/>
        </w:rPr>
        <w:t>a. Predictors: (Constant), PSC, PSP, PSA. b. Dependent Variable: Employee Engagement (EE).</w:t>
      </w:r>
    </w:p>
    <w:p w14:paraId="0D9CA575" w14:textId="77777777" w:rsidR="00D71CCF" w:rsidRPr="002332F8" w:rsidRDefault="00D71CCF" w:rsidP="00D71CCF">
      <w:pPr>
        <w:spacing w:before="40" w:line="240" w:lineRule="auto"/>
        <w:jc w:val="center"/>
        <w:rPr>
          <w:rFonts w:ascii="Arial" w:hAnsi="Arial" w:cs="Arial"/>
        </w:rPr>
      </w:pPr>
      <w:r w:rsidRPr="002332F8">
        <w:rPr>
          <w:rFonts w:ascii="Arial" w:hAnsi="Arial" w:cs="Arial"/>
          <w:i/>
          <w:sz w:val="18"/>
        </w:rPr>
        <w:t>Source: Author's analysis of survey data (2026).</w:t>
      </w:r>
    </w:p>
    <w:p w14:paraId="4D842EA1" w14:textId="77777777" w:rsidR="00D71CCF" w:rsidRPr="002332F8" w:rsidRDefault="00D71CCF" w:rsidP="00D71CCF">
      <w:pPr>
        <w:keepNext/>
        <w:spacing w:after="60" w:line="240" w:lineRule="auto"/>
        <w:jc w:val="center"/>
        <w:rPr>
          <w:rFonts w:ascii="Arial" w:hAnsi="Arial" w:cs="Arial"/>
        </w:rPr>
      </w:pPr>
      <w:bookmarkStart w:id="278" w:name="tbl4_8"/>
      <w:r w:rsidRPr="002332F8">
        <w:rPr>
          <w:rFonts w:ascii="Arial" w:hAnsi="Arial" w:cs="Arial"/>
          <w:i/>
          <w:sz w:val="18"/>
        </w:rPr>
        <w:t>Table 4.8: ANOVA - Regression Model</w:t>
      </w:r>
      <w:bookmarkEnd w:id="278"/>
    </w:p>
    <w:tbl>
      <w:tblPr>
        <w:tblW w:w="5000" w:type="pct"/>
        <w:jc w:val="center"/>
        <w:tblCellMar>
          <w:left w:w="10" w:type="dxa"/>
          <w:right w:w="10" w:type="dxa"/>
        </w:tblCellMar>
        <w:tblLook w:val="04A0" w:firstRow="1" w:lastRow="0" w:firstColumn="1" w:lastColumn="0" w:noHBand="0" w:noVBand="1"/>
      </w:tblPr>
      <w:tblGrid>
        <w:gridCol w:w="1504"/>
        <w:gridCol w:w="1503"/>
        <w:gridCol w:w="1502"/>
        <w:gridCol w:w="1503"/>
        <w:gridCol w:w="1502"/>
        <w:gridCol w:w="1502"/>
      </w:tblGrid>
      <w:tr w:rsidR="00D71CCF" w:rsidRPr="002332F8" w14:paraId="23822F4E" w14:textId="77777777" w:rsidTr="002D2DAA">
        <w:trPr>
          <w:cantSplit/>
          <w:tblHeader/>
          <w:jc w:val="center"/>
        </w:trPr>
        <w:tc>
          <w:tcPr>
            <w:tcW w:w="1504"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62FDA802"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Model</w:t>
            </w:r>
          </w:p>
        </w:tc>
        <w:tc>
          <w:tcPr>
            <w:tcW w:w="150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3823468B"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Sum of Squares</w:t>
            </w:r>
          </w:p>
        </w:tc>
        <w:tc>
          <w:tcPr>
            <w:tcW w:w="1502"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3C5618F7"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df</w:t>
            </w:r>
          </w:p>
        </w:tc>
        <w:tc>
          <w:tcPr>
            <w:tcW w:w="150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4E0886BC"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Mean Square</w:t>
            </w:r>
          </w:p>
        </w:tc>
        <w:tc>
          <w:tcPr>
            <w:tcW w:w="1502"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3825AD51"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F</w:t>
            </w:r>
          </w:p>
        </w:tc>
        <w:tc>
          <w:tcPr>
            <w:tcW w:w="1502"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1876E028"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7"/>
              </w:rPr>
              <w:t>Sig.</w:t>
            </w:r>
          </w:p>
        </w:tc>
      </w:tr>
      <w:tr w:rsidR="00D71CCF" w:rsidRPr="002332F8" w14:paraId="5F1B6280" w14:textId="77777777" w:rsidTr="002D2DAA">
        <w:trPr>
          <w:cantSplit/>
          <w:jc w:val="center"/>
        </w:trPr>
        <w:tc>
          <w:tcPr>
            <w:tcW w:w="150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45D95D5"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Regression</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549E5B2"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6.502</w:t>
            </w:r>
          </w:p>
        </w:tc>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EFDA4EC"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3</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3ACC19D"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2.167</w:t>
            </w:r>
          </w:p>
        </w:tc>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58C4947"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4.109</w:t>
            </w:r>
          </w:p>
        </w:tc>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1E3E6D5"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0.009</w:t>
            </w:r>
          </w:p>
        </w:tc>
      </w:tr>
      <w:tr w:rsidR="00D71CCF" w:rsidRPr="002332F8" w14:paraId="7A5A1562" w14:textId="77777777" w:rsidTr="002D2DAA">
        <w:trPr>
          <w:cantSplit/>
          <w:jc w:val="center"/>
        </w:trPr>
        <w:tc>
          <w:tcPr>
            <w:tcW w:w="150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89EC2A2"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Residual</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D9D9D8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53.282</w:t>
            </w:r>
          </w:p>
        </w:tc>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2B1850E"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101</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F4A66B1"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0.528</w:t>
            </w:r>
          </w:p>
        </w:tc>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45270C2" w14:textId="77777777" w:rsidR="00D71CCF" w:rsidRPr="002332F8" w:rsidRDefault="00D71CCF" w:rsidP="002D2DAA">
            <w:pPr>
              <w:spacing w:after="0" w:line="240" w:lineRule="auto"/>
              <w:jc w:val="center"/>
              <w:rPr>
                <w:rFonts w:ascii="Arial" w:hAnsi="Arial" w:cs="Arial"/>
              </w:rPr>
            </w:pPr>
          </w:p>
        </w:tc>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9BCC83A" w14:textId="77777777" w:rsidR="00D71CCF" w:rsidRPr="002332F8" w:rsidRDefault="00D71CCF" w:rsidP="002D2DAA">
            <w:pPr>
              <w:spacing w:after="0" w:line="240" w:lineRule="auto"/>
              <w:jc w:val="center"/>
              <w:rPr>
                <w:rFonts w:ascii="Arial" w:hAnsi="Arial" w:cs="Arial"/>
              </w:rPr>
            </w:pPr>
          </w:p>
        </w:tc>
      </w:tr>
      <w:tr w:rsidR="00D71CCF" w:rsidRPr="002332F8" w14:paraId="0134DC5C" w14:textId="77777777" w:rsidTr="002D2DAA">
        <w:trPr>
          <w:cantSplit/>
          <w:jc w:val="center"/>
        </w:trPr>
        <w:tc>
          <w:tcPr>
            <w:tcW w:w="1504"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CF35945" w14:textId="77777777" w:rsidR="00D71CCF" w:rsidRPr="002332F8" w:rsidRDefault="00D71CCF" w:rsidP="002D2DAA">
            <w:pPr>
              <w:spacing w:after="0" w:line="240" w:lineRule="auto"/>
              <w:jc w:val="left"/>
              <w:rPr>
                <w:rFonts w:ascii="Arial" w:hAnsi="Arial" w:cs="Arial"/>
              </w:rPr>
            </w:pPr>
            <w:r w:rsidRPr="002332F8">
              <w:rPr>
                <w:rFonts w:ascii="Arial" w:hAnsi="Arial" w:cs="Arial"/>
                <w:sz w:val="17"/>
              </w:rPr>
              <w:t>Total</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EB491E5"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59.784</w:t>
            </w:r>
          </w:p>
        </w:tc>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04DD257" w14:textId="77777777" w:rsidR="00D71CCF" w:rsidRPr="002332F8" w:rsidRDefault="00D71CCF" w:rsidP="002D2DAA">
            <w:pPr>
              <w:spacing w:after="0" w:line="240" w:lineRule="auto"/>
              <w:jc w:val="center"/>
              <w:rPr>
                <w:rFonts w:ascii="Arial" w:hAnsi="Arial" w:cs="Arial"/>
              </w:rPr>
            </w:pPr>
            <w:r w:rsidRPr="002332F8">
              <w:rPr>
                <w:rFonts w:ascii="Arial" w:hAnsi="Arial" w:cs="Arial"/>
                <w:sz w:val="17"/>
              </w:rPr>
              <w:t>104</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48B0668" w14:textId="77777777" w:rsidR="00D71CCF" w:rsidRPr="002332F8" w:rsidRDefault="00D71CCF" w:rsidP="002D2DAA">
            <w:pPr>
              <w:spacing w:after="0" w:line="240" w:lineRule="auto"/>
              <w:jc w:val="center"/>
              <w:rPr>
                <w:rFonts w:ascii="Arial" w:hAnsi="Arial" w:cs="Arial"/>
              </w:rPr>
            </w:pPr>
          </w:p>
        </w:tc>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481A378" w14:textId="77777777" w:rsidR="00D71CCF" w:rsidRPr="002332F8" w:rsidRDefault="00D71CCF" w:rsidP="002D2DAA">
            <w:pPr>
              <w:spacing w:after="0" w:line="240" w:lineRule="auto"/>
              <w:jc w:val="center"/>
              <w:rPr>
                <w:rFonts w:ascii="Arial" w:hAnsi="Arial" w:cs="Arial"/>
              </w:rPr>
            </w:pPr>
          </w:p>
        </w:tc>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C68F2BC" w14:textId="77777777" w:rsidR="00D71CCF" w:rsidRPr="002332F8" w:rsidRDefault="00D71CCF" w:rsidP="002D2DAA">
            <w:pPr>
              <w:spacing w:after="0" w:line="240" w:lineRule="auto"/>
              <w:jc w:val="center"/>
              <w:rPr>
                <w:rFonts w:ascii="Arial" w:hAnsi="Arial" w:cs="Arial"/>
              </w:rPr>
            </w:pPr>
          </w:p>
        </w:tc>
      </w:tr>
    </w:tbl>
    <w:p w14:paraId="63F66287" w14:textId="77777777" w:rsidR="00D71CCF" w:rsidRPr="002332F8" w:rsidRDefault="00D71CCF" w:rsidP="00D71CCF">
      <w:pPr>
        <w:ind w:left="173" w:right="72"/>
        <w:rPr>
          <w:rFonts w:ascii="Arial" w:hAnsi="Arial" w:cs="Arial"/>
        </w:rPr>
      </w:pPr>
      <w:r w:rsidRPr="002332F8">
        <w:rPr>
          <w:rFonts w:ascii="Arial" w:hAnsi="Arial" w:cs="Arial"/>
          <w:sz w:val="18"/>
        </w:rPr>
        <w:t>a. Dependent Variable: Employee Engagement (EE). b. Predictors: (Constant), PSC, PSP, PSA.</w:t>
      </w:r>
    </w:p>
    <w:p w14:paraId="7E2EBC38" w14:textId="77777777" w:rsidR="00D71CCF" w:rsidRPr="002332F8" w:rsidRDefault="00D71CCF" w:rsidP="00D71CCF">
      <w:pPr>
        <w:spacing w:before="40" w:line="240" w:lineRule="auto"/>
        <w:jc w:val="center"/>
        <w:rPr>
          <w:rFonts w:ascii="Arial" w:hAnsi="Arial" w:cs="Arial"/>
        </w:rPr>
      </w:pPr>
      <w:r w:rsidRPr="002332F8">
        <w:rPr>
          <w:rFonts w:ascii="Arial" w:hAnsi="Arial" w:cs="Arial"/>
          <w:i/>
          <w:sz w:val="18"/>
        </w:rPr>
        <w:t>Source: Author's analysis of survey data (2026).</w:t>
      </w:r>
    </w:p>
    <w:p w14:paraId="61F79A37" w14:textId="77777777" w:rsidR="00D71CCF" w:rsidRPr="002332F8" w:rsidRDefault="00D71CCF" w:rsidP="00D71CCF">
      <w:pPr>
        <w:pStyle w:val="Heading3"/>
        <w:rPr>
          <w:rFonts w:ascii="Arial" w:hAnsi="Arial" w:cs="Arial"/>
          <w:color w:val="auto"/>
        </w:rPr>
      </w:pPr>
      <w:bookmarkStart w:id="279" w:name="h058"/>
      <w:bookmarkStart w:id="280" w:name="_Toc241093499"/>
      <w:bookmarkStart w:id="281" w:name="_Toc241113319"/>
      <w:r w:rsidRPr="002332F8">
        <w:rPr>
          <w:rFonts w:ascii="Arial" w:hAnsi="Arial" w:cs="Arial"/>
          <w:color w:val="auto"/>
        </w:rPr>
        <w:t>4.8.2 Regression Coefficients</w:t>
      </w:r>
      <w:bookmarkEnd w:id="279"/>
      <w:bookmarkEnd w:id="280"/>
      <w:bookmarkEnd w:id="281"/>
    </w:p>
    <w:p w14:paraId="72E42324" w14:textId="77777777" w:rsidR="00D71CCF" w:rsidRPr="002332F8" w:rsidRDefault="00D71CCF" w:rsidP="00D71CCF">
      <w:pPr>
        <w:rPr>
          <w:rFonts w:ascii="Arial" w:hAnsi="Arial" w:cs="Arial"/>
        </w:rPr>
      </w:pPr>
      <w:r w:rsidRPr="002332F8">
        <w:rPr>
          <w:rFonts w:ascii="Arial" w:hAnsi="Arial" w:cs="Arial"/>
        </w:rPr>
        <w:t>The coefficient results are reported in Table 4.9. Perceived schedule control had an unstandardised coefficient of B = -0.037 and a standardised coefficient of beta = -.012. The effect was not statistically significant, t = -0.112, p = .911, with a 95% confidence interval from -0.694 to 0.620. Schedule control therefore made almost no unique contribution to the model after predictability and accommodation were included.</w:t>
      </w:r>
    </w:p>
    <w:p w14:paraId="35252340" w14:textId="77777777" w:rsidR="00D71CCF" w:rsidRPr="002332F8" w:rsidRDefault="00D71CCF" w:rsidP="00D71CCF">
      <w:pPr>
        <w:rPr>
          <w:rFonts w:ascii="Arial" w:hAnsi="Arial" w:cs="Arial"/>
        </w:rPr>
      </w:pPr>
      <w:r w:rsidRPr="002332F8">
        <w:rPr>
          <w:rFonts w:ascii="Arial" w:hAnsi="Arial" w:cs="Arial"/>
        </w:rPr>
        <w:t>Perceived schedule predictability had a positive coefficient of B = 0.632, SE = 0.308, beta = .216, t = 2.052, p = .043. Its 95% confidence interval ranged from 0.021 to 1.242. Holding PSC and PSA constant, a one-point increase in the predictability score was associated with an estimated 0.632-point increase in engagement. Perceived shift accommodation produced a similar result, B = 0.633, SE = 0.313, beta = .205, t = 2.023, p = .046. Its confidence interval ranged from 0.012 to 1.254.</w:t>
      </w:r>
    </w:p>
    <w:p w14:paraId="6CC61BCC" w14:textId="77777777" w:rsidR="00D71CCF" w:rsidRPr="002332F8" w:rsidRDefault="00D71CCF" w:rsidP="00D71CCF">
      <w:pPr>
        <w:rPr>
          <w:rFonts w:ascii="Arial" w:hAnsi="Arial" w:cs="Arial"/>
        </w:rPr>
      </w:pPr>
      <w:r w:rsidRPr="002332F8">
        <w:rPr>
          <w:rFonts w:ascii="Arial" w:hAnsi="Arial" w:cs="Arial"/>
        </w:rPr>
        <w:t xml:space="preserve">The standardised coefficients show that predictability was the strongest positive predictor in the primary model, although its beta was only slightly larger than the beta for accommodation. Figure 4.31 presents these coefficients using the chart generated in the completed Excel workbook. The confidence intervals for PSP and PSA were both only slightly above zero at their lower limits, which is consistent with their p-values </w:t>
      </w:r>
      <w:r w:rsidRPr="002332F8">
        <w:rPr>
          <w:rFonts w:ascii="Arial" w:hAnsi="Arial" w:cs="Arial"/>
        </w:rPr>
        <w:lastRenderedPageBreak/>
        <w:t>being close to the .05 threshold. They were very similar, but different because the sample standard deviations of the predictors were different. Therefore, for purposes of comparison of the relative strength of the individual predictors in the same regression model, the predictor strengths are standardised in Figure 4.31.</w:t>
      </w:r>
    </w:p>
    <w:p w14:paraId="0725613E" w14:textId="77777777" w:rsidR="00D71CCF" w:rsidRPr="002332F8" w:rsidRDefault="00D71CCF" w:rsidP="00D71CCF">
      <w:pPr>
        <w:keepNext/>
        <w:spacing w:after="60" w:line="240" w:lineRule="auto"/>
        <w:jc w:val="center"/>
        <w:rPr>
          <w:rFonts w:ascii="Arial" w:hAnsi="Arial" w:cs="Arial"/>
        </w:rPr>
      </w:pPr>
      <w:bookmarkStart w:id="282" w:name="tbl4_9"/>
      <w:r w:rsidRPr="002332F8">
        <w:rPr>
          <w:rFonts w:ascii="Arial" w:hAnsi="Arial" w:cs="Arial"/>
          <w:i/>
          <w:sz w:val="18"/>
        </w:rPr>
        <w:t>Table 4.9: Regression Coefficients Predicting Employee Engagement</w:t>
      </w:r>
      <w:bookmarkEnd w:id="282"/>
    </w:p>
    <w:tbl>
      <w:tblPr>
        <w:tblW w:w="5000" w:type="pct"/>
        <w:jc w:val="center"/>
        <w:tblCellMar>
          <w:left w:w="10" w:type="dxa"/>
          <w:right w:w="10" w:type="dxa"/>
        </w:tblCellMar>
        <w:tblLook w:val="04A0" w:firstRow="1" w:lastRow="0" w:firstColumn="1" w:lastColumn="0" w:noHBand="0" w:noVBand="1"/>
      </w:tblPr>
      <w:tblGrid>
        <w:gridCol w:w="978"/>
        <w:gridCol w:w="1207"/>
        <w:gridCol w:w="973"/>
        <w:gridCol w:w="973"/>
        <w:gridCol w:w="973"/>
        <w:gridCol w:w="973"/>
        <w:gridCol w:w="973"/>
        <w:gridCol w:w="993"/>
        <w:gridCol w:w="973"/>
      </w:tblGrid>
      <w:tr w:rsidR="00D71CCF" w:rsidRPr="002332F8" w14:paraId="5E5B64AB" w14:textId="77777777" w:rsidTr="002D2DAA">
        <w:trPr>
          <w:cantSplit/>
          <w:tblHeader/>
          <w:jc w:val="center"/>
        </w:trPr>
        <w:tc>
          <w:tcPr>
            <w:tcW w:w="978"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40102C04"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5"/>
              </w:rPr>
              <w:t>Model</w:t>
            </w:r>
          </w:p>
        </w:tc>
        <w:tc>
          <w:tcPr>
            <w:tcW w:w="1207"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47755A89"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5"/>
              </w:rPr>
              <w:t>Predictor</w:t>
            </w:r>
          </w:p>
        </w:tc>
        <w:tc>
          <w:tcPr>
            <w:tcW w:w="97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7C1F25BD"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5"/>
              </w:rPr>
              <w:t>B</w:t>
            </w:r>
          </w:p>
        </w:tc>
        <w:tc>
          <w:tcPr>
            <w:tcW w:w="97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51F7BA0C"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5"/>
              </w:rPr>
              <w:t>Std. Error</w:t>
            </w:r>
          </w:p>
        </w:tc>
        <w:tc>
          <w:tcPr>
            <w:tcW w:w="97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27A937E7"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5"/>
              </w:rPr>
              <w:t>Beta</w:t>
            </w:r>
          </w:p>
        </w:tc>
        <w:tc>
          <w:tcPr>
            <w:tcW w:w="97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21D24EB8"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5"/>
              </w:rPr>
              <w:t>t</w:t>
            </w:r>
          </w:p>
        </w:tc>
        <w:tc>
          <w:tcPr>
            <w:tcW w:w="97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1C22AC5B"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5"/>
              </w:rPr>
              <w:t>Sig.</w:t>
            </w:r>
          </w:p>
        </w:tc>
        <w:tc>
          <w:tcPr>
            <w:tcW w:w="99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793AEBC8"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5"/>
              </w:rPr>
              <w:t>Tolerance</w:t>
            </w:r>
          </w:p>
        </w:tc>
        <w:tc>
          <w:tcPr>
            <w:tcW w:w="97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647457DB"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5"/>
              </w:rPr>
              <w:t>VIF</w:t>
            </w:r>
          </w:p>
        </w:tc>
      </w:tr>
      <w:tr w:rsidR="00D71CCF" w:rsidRPr="002332F8" w14:paraId="128E2014" w14:textId="77777777" w:rsidTr="002D2DAA">
        <w:trPr>
          <w:cantSplit/>
          <w:jc w:val="center"/>
        </w:trPr>
        <w:tc>
          <w:tcPr>
            <w:tcW w:w="9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331D47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1</w:t>
            </w:r>
          </w:p>
        </w:tc>
        <w:tc>
          <w:tcPr>
            <w:tcW w:w="1207"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9B13CC9" w14:textId="77777777" w:rsidR="00D71CCF" w:rsidRPr="002332F8" w:rsidRDefault="00D71CCF" w:rsidP="002D2DAA">
            <w:pPr>
              <w:spacing w:after="0" w:line="240" w:lineRule="auto"/>
              <w:jc w:val="left"/>
              <w:rPr>
                <w:rFonts w:ascii="Arial" w:hAnsi="Arial" w:cs="Arial"/>
              </w:rPr>
            </w:pPr>
            <w:r w:rsidRPr="002332F8">
              <w:rPr>
                <w:rFonts w:ascii="Arial" w:hAnsi="Arial" w:cs="Arial"/>
                <w:sz w:val="15"/>
              </w:rPr>
              <w:t>(Constant)</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F75DD95"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-0.794</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7C292E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1.717</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E8B0987" w14:textId="77777777" w:rsidR="00D71CCF" w:rsidRPr="002332F8" w:rsidRDefault="00D71CCF" w:rsidP="002D2DAA">
            <w:pPr>
              <w:spacing w:after="0" w:line="240" w:lineRule="auto"/>
              <w:jc w:val="center"/>
              <w:rPr>
                <w:rFonts w:ascii="Arial" w:hAnsi="Arial" w:cs="Arial"/>
              </w:rPr>
            </w:pP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6F956D0"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-0.463</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6842A13"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0.645</w:t>
            </w:r>
          </w:p>
        </w:tc>
        <w:tc>
          <w:tcPr>
            <w:tcW w:w="99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74F03CD" w14:textId="77777777" w:rsidR="00D71CCF" w:rsidRPr="002332F8" w:rsidRDefault="00D71CCF" w:rsidP="002D2DAA">
            <w:pPr>
              <w:spacing w:after="0" w:line="240" w:lineRule="auto"/>
              <w:jc w:val="center"/>
              <w:rPr>
                <w:rFonts w:ascii="Arial" w:hAnsi="Arial" w:cs="Arial"/>
              </w:rPr>
            </w:pP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D51B4B4" w14:textId="77777777" w:rsidR="00D71CCF" w:rsidRPr="002332F8" w:rsidRDefault="00D71CCF" w:rsidP="002D2DAA">
            <w:pPr>
              <w:spacing w:after="0" w:line="240" w:lineRule="auto"/>
              <w:jc w:val="center"/>
              <w:rPr>
                <w:rFonts w:ascii="Arial" w:hAnsi="Arial" w:cs="Arial"/>
              </w:rPr>
            </w:pPr>
          </w:p>
        </w:tc>
      </w:tr>
      <w:tr w:rsidR="00D71CCF" w:rsidRPr="002332F8" w14:paraId="1E728424" w14:textId="77777777" w:rsidTr="002D2DAA">
        <w:trPr>
          <w:cantSplit/>
          <w:jc w:val="center"/>
        </w:trPr>
        <w:tc>
          <w:tcPr>
            <w:tcW w:w="9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1716C10"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1</w:t>
            </w:r>
          </w:p>
        </w:tc>
        <w:tc>
          <w:tcPr>
            <w:tcW w:w="1207"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74BA8FC" w14:textId="77777777" w:rsidR="00D71CCF" w:rsidRPr="002332F8" w:rsidRDefault="00D71CCF" w:rsidP="002D2DAA">
            <w:pPr>
              <w:spacing w:after="0" w:line="240" w:lineRule="auto"/>
              <w:jc w:val="left"/>
              <w:rPr>
                <w:rFonts w:ascii="Arial" w:hAnsi="Arial" w:cs="Arial"/>
              </w:rPr>
            </w:pPr>
            <w:r w:rsidRPr="002332F8">
              <w:rPr>
                <w:rFonts w:ascii="Arial" w:hAnsi="Arial" w:cs="Arial"/>
                <w:sz w:val="15"/>
              </w:rPr>
              <w:t>Perceived Schedule Control (PSC)</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C9E991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-0.037</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B642DD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0.331</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D3FA88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-0.012</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E316D48"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-0.112</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93A3102"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0.911</w:t>
            </w:r>
          </w:p>
        </w:tc>
        <w:tc>
          <w:tcPr>
            <w:tcW w:w="99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876E901"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0.747</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4D58595"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1.339</w:t>
            </w:r>
          </w:p>
        </w:tc>
      </w:tr>
      <w:tr w:rsidR="00D71CCF" w:rsidRPr="002332F8" w14:paraId="27636F22" w14:textId="77777777" w:rsidTr="002D2DAA">
        <w:trPr>
          <w:cantSplit/>
          <w:jc w:val="center"/>
        </w:trPr>
        <w:tc>
          <w:tcPr>
            <w:tcW w:w="9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A4418D8"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1</w:t>
            </w:r>
          </w:p>
        </w:tc>
        <w:tc>
          <w:tcPr>
            <w:tcW w:w="1207"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179E00D" w14:textId="77777777" w:rsidR="00D71CCF" w:rsidRPr="002332F8" w:rsidRDefault="00D71CCF" w:rsidP="002D2DAA">
            <w:pPr>
              <w:spacing w:after="0" w:line="240" w:lineRule="auto"/>
              <w:jc w:val="left"/>
              <w:rPr>
                <w:rFonts w:ascii="Arial" w:hAnsi="Arial" w:cs="Arial"/>
              </w:rPr>
            </w:pPr>
            <w:r w:rsidRPr="002332F8">
              <w:rPr>
                <w:rFonts w:ascii="Arial" w:hAnsi="Arial" w:cs="Arial"/>
                <w:sz w:val="15"/>
              </w:rPr>
              <w:t>Perceived Schedule Predictability (PSP)</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B951470"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0.632</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13DCBA0"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0.308</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AB9A924"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0.216</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F9AB932"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2.052</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DBF9B51"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0.043</w:t>
            </w:r>
          </w:p>
        </w:tc>
        <w:tc>
          <w:tcPr>
            <w:tcW w:w="99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AB6387C"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0.794</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BA1C085"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1.260</w:t>
            </w:r>
          </w:p>
        </w:tc>
      </w:tr>
      <w:tr w:rsidR="00D71CCF" w:rsidRPr="002332F8" w14:paraId="2602CEFA" w14:textId="77777777" w:rsidTr="002D2DAA">
        <w:trPr>
          <w:cantSplit/>
          <w:jc w:val="center"/>
        </w:trPr>
        <w:tc>
          <w:tcPr>
            <w:tcW w:w="978"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CAB2366"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1</w:t>
            </w:r>
          </w:p>
        </w:tc>
        <w:tc>
          <w:tcPr>
            <w:tcW w:w="1207"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C79D4CD" w14:textId="77777777" w:rsidR="00D71CCF" w:rsidRPr="002332F8" w:rsidRDefault="00D71CCF" w:rsidP="002D2DAA">
            <w:pPr>
              <w:spacing w:after="0" w:line="240" w:lineRule="auto"/>
              <w:jc w:val="left"/>
              <w:rPr>
                <w:rFonts w:ascii="Arial" w:hAnsi="Arial" w:cs="Arial"/>
              </w:rPr>
            </w:pPr>
            <w:r w:rsidRPr="002332F8">
              <w:rPr>
                <w:rFonts w:ascii="Arial" w:hAnsi="Arial" w:cs="Arial"/>
                <w:sz w:val="15"/>
              </w:rPr>
              <w:t>Perceived Shift Accommodation (PSA)</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8E580A9"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0.633</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785921D"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0.313</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A431749"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0.205</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AE12090"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2.023</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9AB145F"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0.046</w:t>
            </w:r>
          </w:p>
        </w:tc>
        <w:tc>
          <w:tcPr>
            <w:tcW w:w="99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3395542"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0.858</w:t>
            </w:r>
          </w:p>
        </w:tc>
        <w:tc>
          <w:tcPr>
            <w:tcW w:w="97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988892A" w14:textId="77777777" w:rsidR="00D71CCF" w:rsidRPr="002332F8" w:rsidRDefault="00D71CCF" w:rsidP="002D2DAA">
            <w:pPr>
              <w:spacing w:after="0" w:line="240" w:lineRule="auto"/>
              <w:jc w:val="center"/>
              <w:rPr>
                <w:rFonts w:ascii="Arial" w:hAnsi="Arial" w:cs="Arial"/>
              </w:rPr>
            </w:pPr>
            <w:r w:rsidRPr="002332F8">
              <w:rPr>
                <w:rFonts w:ascii="Arial" w:hAnsi="Arial" w:cs="Arial"/>
                <w:sz w:val="15"/>
              </w:rPr>
              <w:t>1.166</w:t>
            </w:r>
          </w:p>
        </w:tc>
      </w:tr>
    </w:tbl>
    <w:p w14:paraId="54CB0192" w14:textId="77777777" w:rsidR="00D71CCF" w:rsidRPr="002332F8" w:rsidRDefault="00D71CCF" w:rsidP="00D71CCF">
      <w:pPr>
        <w:ind w:left="173" w:right="72"/>
        <w:rPr>
          <w:rFonts w:ascii="Arial" w:hAnsi="Arial" w:cs="Arial"/>
        </w:rPr>
      </w:pPr>
      <w:r w:rsidRPr="002332F8">
        <w:rPr>
          <w:rFonts w:ascii="Arial" w:hAnsi="Arial" w:cs="Arial"/>
          <w:sz w:val="18"/>
        </w:rPr>
        <w:t>a. Dependent Variable: Employee Engagement (EE). Two-tailed tests at alpha = .05.</w:t>
      </w:r>
    </w:p>
    <w:p w14:paraId="0B081316" w14:textId="77777777" w:rsidR="00D71CCF" w:rsidRPr="002332F8" w:rsidRDefault="00D71CCF" w:rsidP="00D71CCF">
      <w:pPr>
        <w:spacing w:before="40" w:line="240" w:lineRule="auto"/>
        <w:jc w:val="center"/>
        <w:rPr>
          <w:rFonts w:ascii="Arial" w:hAnsi="Arial" w:cs="Arial"/>
        </w:rPr>
      </w:pPr>
      <w:r w:rsidRPr="002332F8">
        <w:rPr>
          <w:rFonts w:ascii="Arial" w:hAnsi="Arial" w:cs="Arial"/>
          <w:i/>
          <w:sz w:val="18"/>
        </w:rPr>
        <w:t>Source: Author's analysis of survey data (2026).</w:t>
      </w:r>
    </w:p>
    <w:p w14:paraId="4FD0ECB0" w14:textId="77777777" w:rsidR="00D71CCF" w:rsidRPr="002332F8" w:rsidRDefault="00D71CCF" w:rsidP="00D71CCF">
      <w:pPr>
        <w:keepNext/>
        <w:spacing w:after="40"/>
        <w:jc w:val="center"/>
        <w:rPr>
          <w:rFonts w:ascii="Arial" w:hAnsi="Arial" w:cs="Arial"/>
        </w:rPr>
      </w:pPr>
      <w:r w:rsidRPr="002332F8">
        <w:rPr>
          <w:rFonts w:ascii="Arial" w:hAnsi="Arial" w:cs="Arial"/>
          <w:noProof/>
        </w:rPr>
        <w:drawing>
          <wp:inline distT="0" distB="0" distL="0" distR="0" wp14:anchorId="772676FD" wp14:editId="19AFB994">
            <wp:extent cx="5787557" cy="2910654"/>
            <wp:effectExtent l="0" t="0" r="3643" b="3996"/>
            <wp:docPr id="1538568373"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stretch>
                      <a:fillRect/>
                    </a:stretch>
                  </pic:blipFill>
                  <pic:spPr>
                    <a:xfrm>
                      <a:off x="0" y="0"/>
                      <a:ext cx="5787557" cy="2910654"/>
                    </a:xfrm>
                    <a:prstGeom prst="rect">
                      <a:avLst/>
                    </a:prstGeom>
                    <a:noFill/>
                    <a:ln>
                      <a:noFill/>
                      <a:prstDash/>
                    </a:ln>
                  </pic:spPr>
                </pic:pic>
              </a:graphicData>
            </a:graphic>
          </wp:inline>
        </w:drawing>
      </w:r>
    </w:p>
    <w:p w14:paraId="1D14F089" w14:textId="77777777" w:rsidR="00D71CCF" w:rsidRPr="002332F8" w:rsidRDefault="00D71CCF" w:rsidP="00D71CCF">
      <w:pPr>
        <w:pStyle w:val="FigureCaption"/>
        <w:rPr>
          <w:rFonts w:ascii="Arial" w:hAnsi="Arial" w:cs="Arial"/>
        </w:rPr>
      </w:pPr>
      <w:bookmarkStart w:id="283" w:name="fig4_31"/>
      <w:r w:rsidRPr="002332F8">
        <w:rPr>
          <w:rFonts w:ascii="Arial" w:hAnsi="Arial" w:cs="Arial"/>
        </w:rPr>
        <w:t>Figure 4.31. Standardised regression coefficients for Model 1</w:t>
      </w:r>
      <w:bookmarkEnd w:id="283"/>
    </w:p>
    <w:p w14:paraId="475C6E04" w14:textId="77777777" w:rsidR="00D71CCF" w:rsidRPr="002332F8" w:rsidRDefault="00D71CCF" w:rsidP="00D71CCF">
      <w:pPr>
        <w:spacing w:before="40" w:line="240" w:lineRule="auto"/>
        <w:jc w:val="center"/>
        <w:rPr>
          <w:rFonts w:ascii="Arial" w:hAnsi="Arial" w:cs="Arial"/>
        </w:rPr>
      </w:pPr>
    </w:p>
    <w:p w14:paraId="3FF57CC6" w14:textId="77777777" w:rsidR="00D71CCF" w:rsidRPr="002332F8" w:rsidRDefault="00D71CCF" w:rsidP="00D71CCF">
      <w:pPr>
        <w:pStyle w:val="Heading3"/>
        <w:rPr>
          <w:rFonts w:ascii="Arial" w:hAnsi="Arial" w:cs="Arial"/>
          <w:color w:val="auto"/>
        </w:rPr>
      </w:pPr>
      <w:bookmarkStart w:id="284" w:name="h059"/>
      <w:bookmarkStart w:id="285" w:name="_Toc241093500"/>
      <w:bookmarkStart w:id="286" w:name="_Toc241113320"/>
      <w:r w:rsidRPr="002332F8">
        <w:rPr>
          <w:rFonts w:ascii="Arial" w:hAnsi="Arial" w:cs="Arial"/>
          <w:color w:val="auto"/>
        </w:rPr>
        <w:t>4.8.3 Estimated Regression Model</w:t>
      </w:r>
      <w:bookmarkEnd w:id="284"/>
      <w:bookmarkEnd w:id="285"/>
      <w:bookmarkEnd w:id="286"/>
    </w:p>
    <w:p w14:paraId="47C0924B" w14:textId="77777777" w:rsidR="00D71CCF" w:rsidRPr="002332F8" w:rsidRDefault="00D71CCF" w:rsidP="00D71CCF">
      <w:pPr>
        <w:rPr>
          <w:rFonts w:ascii="Arial" w:hAnsi="Arial" w:cs="Arial"/>
        </w:rPr>
      </w:pPr>
      <w:r w:rsidRPr="002332F8">
        <w:rPr>
          <w:rFonts w:ascii="Arial" w:hAnsi="Arial" w:cs="Arial"/>
        </w:rPr>
        <w:t xml:space="preserve">Using the unstandardised coefficients, the fitted regression equation was EE = -0.794 - 0.037(PSC) + 0.632(PSP) + 0.633(PSA). The constant is the estimated engagement score when all three of the scheduling scores are zero. The intercept is not particularly meaningful as a scheduling score alone because it was limited to the range of about </w:t>
      </w:r>
      <w:r w:rsidRPr="002332F8">
        <w:rPr>
          <w:rFonts w:ascii="Arial" w:hAnsi="Arial" w:cs="Arial"/>
        </w:rPr>
        <w:lastRenderedPageBreak/>
        <w:t>3.5-5.0. The three slope coefficients are more easily interpretable as the estimated relationships in the observed data</w:t>
      </w:r>
    </w:p>
    <w:p w14:paraId="41B92355" w14:textId="77777777" w:rsidR="00D71CCF" w:rsidRPr="002332F8" w:rsidRDefault="00D71CCF" w:rsidP="00D71CCF">
      <w:pPr>
        <w:rPr>
          <w:rFonts w:ascii="Arial" w:hAnsi="Arial" w:cs="Arial"/>
        </w:rPr>
      </w:pPr>
      <w:r w:rsidRPr="002332F8">
        <w:rPr>
          <w:rFonts w:ascii="Arial" w:hAnsi="Arial" w:cs="Arial"/>
        </w:rPr>
        <w:t>The signs of the coefficients also indicate that, after controlling for the other scheduling variables, the relationship between PSP and engagement, as well as PSA and engagement, was positive. Although bivariate correlation of PSC and engagement was positive, PSC was a slightly negative predictor in the simultaneous model. This change is small and non-significant. It primarily reflects the fact that there was very little variation in the unique PSC contribution after accounting for shared variation with predictability and accommodation. When composite scores are observed in place of the individual scores, the observed equation is used to calculate the engagement value for each individual. Residual for a respondent is the difference between the observed mean of UWES-3 and this fitted value. The residuals in these tests have been used in the diagnostic tests reported in Section 4.9.</w:t>
      </w:r>
    </w:p>
    <w:p w14:paraId="768D56C8" w14:textId="77777777" w:rsidR="00D71CCF" w:rsidRPr="002332F8" w:rsidRDefault="00D71CCF" w:rsidP="00D71CCF">
      <w:pPr>
        <w:keepNext/>
        <w:rPr>
          <w:rFonts w:ascii="Arial" w:hAnsi="Arial" w:cs="Arial"/>
        </w:rPr>
      </w:pPr>
      <w:r w:rsidRPr="002332F8">
        <w:rPr>
          <w:rFonts w:ascii="Arial" w:hAnsi="Arial" w:cs="Arial"/>
        </w:rPr>
        <w:t>The fitted regression equation was:</w:t>
      </w:r>
    </w:p>
    <w:tbl>
      <w:tblPr>
        <w:tblW w:w="5000" w:type="pct"/>
        <w:jc w:val="center"/>
        <w:tblCellMar>
          <w:left w:w="10" w:type="dxa"/>
          <w:right w:w="10" w:type="dxa"/>
        </w:tblCellMar>
        <w:tblLook w:val="04A0" w:firstRow="1" w:lastRow="0" w:firstColumn="1" w:lastColumn="0" w:noHBand="0" w:noVBand="1"/>
      </w:tblPr>
      <w:tblGrid>
        <w:gridCol w:w="9016"/>
      </w:tblGrid>
      <w:tr w:rsidR="00D71CCF" w:rsidRPr="002332F8" w14:paraId="70B7772F" w14:textId="77777777" w:rsidTr="002D2DAA">
        <w:trPr>
          <w:jc w:val="center"/>
        </w:trPr>
        <w:tc>
          <w:tcPr>
            <w:tcW w:w="9016" w:type="dxa"/>
            <w:tcBorders>
              <w:top w:val="single" w:sz="4" w:space="0" w:color="000000"/>
              <w:left w:val="single" w:sz="4" w:space="0" w:color="000000"/>
              <w:bottom w:val="single" w:sz="4" w:space="0" w:color="000000"/>
              <w:right w:val="single" w:sz="4" w:space="0" w:color="000000"/>
            </w:tcBorders>
            <w:shd w:val="clear" w:color="auto" w:fill="E7E6E6"/>
            <w:tcMar>
              <w:top w:w="0" w:type="dxa"/>
              <w:left w:w="108" w:type="dxa"/>
              <w:bottom w:w="0" w:type="dxa"/>
              <w:right w:w="108" w:type="dxa"/>
            </w:tcMar>
            <w:vAlign w:val="center"/>
          </w:tcPr>
          <w:p w14:paraId="27472DDE"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22"/>
              </w:rPr>
              <w:t>EE = -0.794 - 0.037(PSC) + 0.632(PSP) + 0.633(PSA)</w:t>
            </w:r>
          </w:p>
        </w:tc>
      </w:tr>
    </w:tbl>
    <w:p w14:paraId="49644899" w14:textId="77777777" w:rsidR="00D71CCF" w:rsidRPr="002332F8" w:rsidRDefault="00D71CCF" w:rsidP="00D71CCF">
      <w:pPr>
        <w:spacing w:before="40" w:line="240" w:lineRule="auto"/>
        <w:jc w:val="center"/>
        <w:rPr>
          <w:rFonts w:ascii="Arial" w:hAnsi="Arial" w:cs="Arial"/>
        </w:rPr>
      </w:pPr>
      <w:r w:rsidRPr="002332F8">
        <w:rPr>
          <w:rFonts w:ascii="Arial" w:hAnsi="Arial" w:cs="Arial"/>
          <w:i/>
          <w:sz w:val="18"/>
        </w:rPr>
        <w:t>Source: Author's analysis of survey data (2026).</w:t>
      </w:r>
    </w:p>
    <w:p w14:paraId="2741FF9B" w14:textId="77777777" w:rsidR="00D71CCF" w:rsidRPr="002332F8" w:rsidRDefault="00D71CCF" w:rsidP="00D71CCF">
      <w:pPr>
        <w:pStyle w:val="Heading2"/>
        <w:rPr>
          <w:rFonts w:ascii="Arial" w:hAnsi="Arial" w:cs="Arial"/>
          <w:color w:val="auto"/>
        </w:rPr>
      </w:pPr>
      <w:bookmarkStart w:id="287" w:name="h060"/>
      <w:bookmarkStart w:id="288" w:name="_Toc241093501"/>
      <w:bookmarkStart w:id="289" w:name="_Toc241113321"/>
      <w:r w:rsidRPr="002332F8">
        <w:rPr>
          <w:rFonts w:ascii="Arial" w:hAnsi="Arial" w:cs="Arial"/>
          <w:color w:val="auto"/>
        </w:rPr>
        <w:t>4.9 Regression Diagnostics and Robustness</w:t>
      </w:r>
      <w:bookmarkEnd w:id="287"/>
      <w:bookmarkEnd w:id="288"/>
      <w:bookmarkEnd w:id="289"/>
    </w:p>
    <w:p w14:paraId="29F7B7F9" w14:textId="77777777" w:rsidR="00D71CCF" w:rsidRPr="002332F8" w:rsidRDefault="00D71CCF" w:rsidP="00D71CCF">
      <w:pPr>
        <w:rPr>
          <w:rFonts w:ascii="Arial" w:hAnsi="Arial" w:cs="Arial"/>
        </w:rPr>
      </w:pPr>
      <w:r w:rsidRPr="002332F8">
        <w:rPr>
          <w:rFonts w:ascii="Arial" w:hAnsi="Arial" w:cs="Arial"/>
        </w:rPr>
        <w:t xml:space="preserve">The hypothesis decisions were finalized after performing diagnostic checks. The variance inflation factors were low and ranged from 1.166 (PSA) to 1.339 (PSC). The tolerance values were between .747 and .858. The outcomes indicate that there is no serious multicollinearity among the three predictors. The Breusch-Pagan test was also non-significant, LM = 2.097, p = .552, which did not indicate heteroscedastic residual variance. </w:t>
      </w:r>
    </w:p>
    <w:p w14:paraId="1F599D0E" w14:textId="77777777" w:rsidR="00D71CCF" w:rsidRPr="002332F8" w:rsidRDefault="00D71CCF" w:rsidP="00D71CCF">
      <w:pPr>
        <w:rPr>
          <w:rFonts w:ascii="Arial" w:hAnsi="Arial" w:cs="Arial"/>
        </w:rPr>
      </w:pPr>
      <w:r w:rsidRPr="002332F8">
        <w:rPr>
          <w:rFonts w:ascii="Arial" w:hAnsi="Arial" w:cs="Arial"/>
        </w:rPr>
        <w:t>Residual normality was weaker. The Shapiro-Wilk test was significant, W = .908, p &lt; .001, showing departure from a normal residual distribution. No standardised residual exceeded an absolute value of 3.0, although 11 cases exceeded the selected leverage screening threshold. Three observations had Cook's distance above 4/N and were therefore examined through sensitivity analysis. The diagnostic results are summarised in Table 4.10.</w:t>
      </w:r>
    </w:p>
    <w:p w14:paraId="4BEAF482" w14:textId="77777777" w:rsidR="00D71CCF" w:rsidRPr="002332F8" w:rsidRDefault="00D71CCF" w:rsidP="00D71CCF">
      <w:pPr>
        <w:rPr>
          <w:rFonts w:ascii="Arial" w:hAnsi="Arial" w:cs="Arial"/>
        </w:rPr>
      </w:pPr>
      <w:r w:rsidRPr="002332F8">
        <w:rPr>
          <w:rFonts w:ascii="Arial" w:hAnsi="Arial" w:cs="Arial"/>
        </w:rPr>
        <w:t>HC3 robust standard errors were calculated as an additional check. PSP remained significant, p = .014, and PSA remained significant, p = .014, while PSC remained non-significant, p = .896. A stricter sensitivity model excluding the three Cook's-</w:t>
      </w:r>
      <w:r w:rsidRPr="002332F8">
        <w:rPr>
          <w:rFonts w:ascii="Arial" w:hAnsi="Arial" w:cs="Arial"/>
        </w:rPr>
        <w:lastRenderedPageBreak/>
        <w:t>distance cases remained significant overall, F(3, 98) = 2.812, p = .043, but PSP and PSA were no longer individually significant. This shows that the primary predictor findings are sensitive to a small number of influential observations.</w:t>
      </w:r>
    </w:p>
    <w:p w14:paraId="0FB2F193" w14:textId="77777777" w:rsidR="00D71CCF" w:rsidRPr="002332F8" w:rsidRDefault="00D71CCF" w:rsidP="00D71CCF">
      <w:pPr>
        <w:keepNext/>
        <w:spacing w:after="60" w:line="240" w:lineRule="auto"/>
        <w:jc w:val="center"/>
        <w:rPr>
          <w:rFonts w:ascii="Arial" w:hAnsi="Arial" w:cs="Arial"/>
        </w:rPr>
      </w:pPr>
      <w:bookmarkStart w:id="290" w:name="tbl4_10"/>
      <w:r w:rsidRPr="002332F8">
        <w:rPr>
          <w:rFonts w:ascii="Arial" w:hAnsi="Arial" w:cs="Arial"/>
          <w:i/>
          <w:sz w:val="18"/>
        </w:rPr>
        <w:t>Table 4.10: Regression Diagnostics and Robustness Checks</w:t>
      </w:r>
      <w:bookmarkEnd w:id="290"/>
    </w:p>
    <w:tbl>
      <w:tblPr>
        <w:tblW w:w="5000" w:type="pct"/>
        <w:jc w:val="center"/>
        <w:tblCellMar>
          <w:left w:w="10" w:type="dxa"/>
          <w:right w:w="10" w:type="dxa"/>
        </w:tblCellMar>
        <w:tblLook w:val="04A0" w:firstRow="1" w:lastRow="0" w:firstColumn="1" w:lastColumn="0" w:noHBand="0" w:noVBand="1"/>
      </w:tblPr>
      <w:tblGrid>
        <w:gridCol w:w="3005"/>
        <w:gridCol w:w="3005"/>
        <w:gridCol w:w="3006"/>
      </w:tblGrid>
      <w:tr w:rsidR="00D71CCF" w:rsidRPr="002332F8" w14:paraId="1F735BAE" w14:textId="77777777" w:rsidTr="002D2DAA">
        <w:trPr>
          <w:cantSplit/>
          <w:tblHeader/>
          <w:jc w:val="center"/>
        </w:trPr>
        <w:tc>
          <w:tcPr>
            <w:tcW w:w="3005"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5EEA5FC7"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6"/>
              </w:rPr>
              <w:t>Diagnostic</w:t>
            </w:r>
          </w:p>
        </w:tc>
        <w:tc>
          <w:tcPr>
            <w:tcW w:w="3005"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60694B27"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6"/>
              </w:rPr>
              <w:t>Statistic</w:t>
            </w:r>
          </w:p>
        </w:tc>
        <w:tc>
          <w:tcPr>
            <w:tcW w:w="3006"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42750CA8"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6"/>
              </w:rPr>
              <w:t>Result</w:t>
            </w:r>
          </w:p>
        </w:tc>
      </w:tr>
      <w:tr w:rsidR="00D71CCF" w:rsidRPr="002332F8" w14:paraId="715EFC55" w14:textId="77777777" w:rsidTr="002D2DAA">
        <w:trPr>
          <w:cantSplit/>
          <w:jc w:val="center"/>
        </w:trPr>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790E31A"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Shapiro-Wilk residual normality</w:t>
            </w:r>
          </w:p>
        </w:tc>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C651B75"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W = 0.908, p &lt; .001</w:t>
            </w:r>
          </w:p>
        </w:tc>
        <w:tc>
          <w:tcPr>
            <w:tcW w:w="3006"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DDB4E7D"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Departure from normality</w:t>
            </w:r>
          </w:p>
        </w:tc>
      </w:tr>
      <w:tr w:rsidR="00D71CCF" w:rsidRPr="002332F8" w14:paraId="2B45C1DD" w14:textId="77777777" w:rsidTr="002D2DAA">
        <w:trPr>
          <w:cantSplit/>
          <w:jc w:val="center"/>
        </w:trPr>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4032A6F"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Breusch-Pagan</w:t>
            </w:r>
          </w:p>
        </w:tc>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87FD158"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LM = 2.097, p = .552</w:t>
            </w:r>
          </w:p>
        </w:tc>
        <w:tc>
          <w:tcPr>
            <w:tcW w:w="3006"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A8F01D3"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No evidence of heteroscedasticity</w:t>
            </w:r>
          </w:p>
        </w:tc>
      </w:tr>
      <w:tr w:rsidR="00D71CCF" w:rsidRPr="002332F8" w14:paraId="0360E1E4" w14:textId="77777777" w:rsidTr="002D2DAA">
        <w:trPr>
          <w:cantSplit/>
          <w:jc w:val="center"/>
        </w:trPr>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E2AF654"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Durbin-Watson</w:t>
            </w:r>
          </w:p>
        </w:tc>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138D373"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1.403</w:t>
            </w:r>
          </w:p>
        </w:tc>
        <w:tc>
          <w:tcPr>
            <w:tcW w:w="3006"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C14C1F0"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Reported for completeness</w:t>
            </w:r>
          </w:p>
        </w:tc>
      </w:tr>
      <w:tr w:rsidR="00D71CCF" w:rsidRPr="002332F8" w14:paraId="1CD329CA" w14:textId="77777777" w:rsidTr="002D2DAA">
        <w:trPr>
          <w:cantSplit/>
          <w:jc w:val="center"/>
        </w:trPr>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6C6A92B"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Multicollinearity</w:t>
            </w:r>
          </w:p>
        </w:tc>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E549914"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VIF = 1.166-1.339; tolerance = .747-.858</w:t>
            </w:r>
          </w:p>
        </w:tc>
        <w:tc>
          <w:tcPr>
            <w:tcW w:w="3006"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E8198E4"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No material multicollinearity</w:t>
            </w:r>
          </w:p>
        </w:tc>
      </w:tr>
      <w:tr w:rsidR="00D71CCF" w:rsidRPr="002332F8" w14:paraId="12C08244" w14:textId="77777777" w:rsidTr="002D2DAA">
        <w:trPr>
          <w:cantSplit/>
          <w:jc w:val="center"/>
        </w:trPr>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BF6DE61"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Standardised residuals</w:t>
            </w:r>
          </w:p>
        </w:tc>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8BE31AF"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Maximum |z| = 2.855</w:t>
            </w:r>
          </w:p>
        </w:tc>
        <w:tc>
          <w:tcPr>
            <w:tcW w:w="3006"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3850FEB"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No case above |3|</w:t>
            </w:r>
          </w:p>
        </w:tc>
      </w:tr>
      <w:tr w:rsidR="00D71CCF" w:rsidRPr="002332F8" w14:paraId="6A1EF90F" w14:textId="77777777" w:rsidTr="002D2DAA">
        <w:trPr>
          <w:cantSplit/>
          <w:jc w:val="center"/>
        </w:trPr>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E5220A6"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Leverage</w:t>
            </w:r>
          </w:p>
        </w:tc>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FBB781E"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11 cases above 2p/N threshold</w:t>
            </w:r>
          </w:p>
        </w:tc>
        <w:tc>
          <w:tcPr>
            <w:tcW w:w="3006"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5FBDB75"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Reviewed</w:t>
            </w:r>
          </w:p>
        </w:tc>
      </w:tr>
      <w:tr w:rsidR="00D71CCF" w:rsidRPr="002332F8" w14:paraId="7868668C" w14:textId="77777777" w:rsidTr="002D2DAA">
        <w:trPr>
          <w:cantSplit/>
          <w:jc w:val="center"/>
        </w:trPr>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145A152"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Cook's distance</w:t>
            </w:r>
          </w:p>
        </w:tc>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74A9DB5"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3 cases above 4/N = .038</w:t>
            </w:r>
          </w:p>
        </w:tc>
        <w:tc>
          <w:tcPr>
            <w:tcW w:w="3006"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490F733"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Sensitivity model undertaken</w:t>
            </w:r>
          </w:p>
        </w:tc>
      </w:tr>
      <w:tr w:rsidR="00D71CCF" w:rsidRPr="002332F8" w14:paraId="18FA4C3E" w14:textId="77777777" w:rsidTr="002D2DAA">
        <w:trPr>
          <w:cantSplit/>
          <w:jc w:val="center"/>
        </w:trPr>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832EEFC"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HC3 robust p-values</w:t>
            </w:r>
          </w:p>
        </w:tc>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5072991"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PSC .896; PSP .014; PSA .014</w:t>
            </w:r>
          </w:p>
        </w:tc>
        <w:tc>
          <w:tcPr>
            <w:tcW w:w="3006"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ED2685B"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PSP and PSA remain significant</w:t>
            </w:r>
          </w:p>
        </w:tc>
      </w:tr>
      <w:tr w:rsidR="00D71CCF" w:rsidRPr="002332F8" w14:paraId="62FDDAD5" w14:textId="77777777" w:rsidTr="002D2DAA">
        <w:trPr>
          <w:cantSplit/>
          <w:jc w:val="center"/>
        </w:trPr>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54BB0A0"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Sensitivity model excluding 3 cases</w:t>
            </w:r>
          </w:p>
        </w:tc>
        <w:tc>
          <w:tcPr>
            <w:tcW w:w="3005"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3C3DC9D"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F(3, 98) = 2.812, p = .043</w:t>
            </w:r>
          </w:p>
        </w:tc>
        <w:tc>
          <w:tcPr>
            <w:tcW w:w="3006"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BF361DB"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PSP p = .130; PSA p = .103</w:t>
            </w:r>
          </w:p>
        </w:tc>
      </w:tr>
    </w:tbl>
    <w:p w14:paraId="3FC11A23" w14:textId="77777777" w:rsidR="00D71CCF" w:rsidRPr="002332F8" w:rsidRDefault="00D71CCF" w:rsidP="00D71CCF">
      <w:pPr>
        <w:spacing w:before="40" w:line="240" w:lineRule="auto"/>
        <w:jc w:val="center"/>
        <w:rPr>
          <w:rFonts w:ascii="Arial" w:hAnsi="Arial" w:cs="Arial"/>
        </w:rPr>
      </w:pPr>
      <w:r w:rsidRPr="002332F8">
        <w:rPr>
          <w:rFonts w:ascii="Arial" w:hAnsi="Arial" w:cs="Arial"/>
          <w:i/>
          <w:sz w:val="18"/>
        </w:rPr>
        <w:t>Source: Author's analysis of survey data (2026).</w:t>
      </w:r>
    </w:p>
    <w:p w14:paraId="6E1474BF" w14:textId="77777777" w:rsidR="00D71CCF" w:rsidRPr="002332F8" w:rsidRDefault="00D71CCF" w:rsidP="00D71CCF">
      <w:pPr>
        <w:pStyle w:val="Heading2"/>
        <w:rPr>
          <w:rFonts w:ascii="Arial" w:hAnsi="Arial" w:cs="Arial"/>
          <w:color w:val="auto"/>
        </w:rPr>
      </w:pPr>
      <w:bookmarkStart w:id="291" w:name="h061"/>
      <w:bookmarkStart w:id="292" w:name="_Toc241093502"/>
      <w:bookmarkStart w:id="293" w:name="_Toc241113322"/>
      <w:r w:rsidRPr="002332F8">
        <w:rPr>
          <w:rFonts w:ascii="Arial" w:hAnsi="Arial" w:cs="Arial"/>
          <w:color w:val="auto"/>
        </w:rPr>
        <w:t>4.10 Hypothesis Testing</w:t>
      </w:r>
      <w:bookmarkEnd w:id="291"/>
      <w:bookmarkEnd w:id="292"/>
      <w:bookmarkEnd w:id="293"/>
    </w:p>
    <w:p w14:paraId="21CFC0E5" w14:textId="77777777" w:rsidR="00D71CCF" w:rsidRPr="002332F8" w:rsidRDefault="00D71CCF" w:rsidP="00D71CCF">
      <w:pPr>
        <w:rPr>
          <w:rFonts w:ascii="Arial" w:hAnsi="Arial" w:cs="Arial"/>
        </w:rPr>
      </w:pPr>
      <w:r w:rsidRPr="002332F8">
        <w:rPr>
          <w:rFonts w:ascii="Arial" w:hAnsi="Arial" w:cs="Arial"/>
        </w:rPr>
        <w:t>Table 4.11 summarises the hypothesis decisions. H1 was not supported because perceived schedule control was not significantly associated with engagement in the primary regression, B = -0.037, beta = -.012, p = .911. H2 received primary support because schedule predictability had a positive and significant coefficient, B = 0.632, beta = .216, p = .043. H3 also received primary support because shift accommodation had a positive and significant coefficient, B = 0.633, beta = .205, p = .046.</w:t>
      </w:r>
    </w:p>
    <w:p w14:paraId="3A27CE42" w14:textId="77777777" w:rsidR="00D71CCF" w:rsidRPr="002332F8" w:rsidRDefault="00D71CCF" w:rsidP="00D71CCF">
      <w:pPr>
        <w:rPr>
          <w:rFonts w:ascii="Arial" w:hAnsi="Arial" w:cs="Arial"/>
        </w:rPr>
      </w:pPr>
      <w:r w:rsidRPr="002332F8">
        <w:rPr>
          <w:rFonts w:ascii="Arial" w:hAnsi="Arial" w:cs="Arial"/>
        </w:rPr>
        <w:t>The sensitivity results qualify H2 and H3. Both remained significant with HC3 robust standard errors but became non-significant after the three Cook's-distance cases were excluded. For this reason, the primary results are reported as tentative rather than conclusive support. This wording reflects the observed statistical evidence without changing the pre-specified hypothesis tests.</w:t>
      </w:r>
    </w:p>
    <w:p w14:paraId="2420953E" w14:textId="77777777" w:rsidR="00D71CCF" w:rsidRPr="002332F8" w:rsidRDefault="00D71CCF" w:rsidP="00D71CCF">
      <w:pPr>
        <w:keepNext/>
        <w:spacing w:after="60" w:line="240" w:lineRule="auto"/>
        <w:jc w:val="center"/>
        <w:rPr>
          <w:rFonts w:ascii="Arial" w:hAnsi="Arial" w:cs="Arial"/>
        </w:rPr>
      </w:pPr>
      <w:bookmarkStart w:id="294" w:name="tbl4_11"/>
      <w:r w:rsidRPr="002332F8">
        <w:rPr>
          <w:rFonts w:ascii="Arial" w:hAnsi="Arial" w:cs="Arial"/>
          <w:i/>
          <w:sz w:val="18"/>
        </w:rPr>
        <w:t>Table 4.11: Summary of Hypothesis Testing</w:t>
      </w:r>
      <w:bookmarkEnd w:id="294"/>
    </w:p>
    <w:tbl>
      <w:tblPr>
        <w:tblW w:w="5000" w:type="pct"/>
        <w:jc w:val="center"/>
        <w:tblCellMar>
          <w:left w:w="10" w:type="dxa"/>
          <w:right w:w="10" w:type="dxa"/>
        </w:tblCellMar>
        <w:tblLook w:val="04A0" w:firstRow="1" w:lastRow="0" w:firstColumn="1" w:lastColumn="0" w:noHBand="0" w:noVBand="1"/>
      </w:tblPr>
      <w:tblGrid>
        <w:gridCol w:w="1503"/>
        <w:gridCol w:w="1503"/>
        <w:gridCol w:w="1502"/>
        <w:gridCol w:w="1502"/>
        <w:gridCol w:w="1503"/>
        <w:gridCol w:w="1503"/>
      </w:tblGrid>
      <w:tr w:rsidR="00D71CCF" w:rsidRPr="002332F8" w14:paraId="51E3A217" w14:textId="77777777" w:rsidTr="002D2DAA">
        <w:trPr>
          <w:cantSplit/>
          <w:tblHeader/>
          <w:jc w:val="center"/>
        </w:trPr>
        <w:tc>
          <w:tcPr>
            <w:tcW w:w="150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110A2825"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6"/>
              </w:rPr>
              <w:t>Hypothesis</w:t>
            </w:r>
          </w:p>
        </w:tc>
        <w:tc>
          <w:tcPr>
            <w:tcW w:w="150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4DB2C4E5"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6"/>
              </w:rPr>
              <w:t>Expected relationship</w:t>
            </w:r>
          </w:p>
        </w:tc>
        <w:tc>
          <w:tcPr>
            <w:tcW w:w="1502"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5E385A89"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6"/>
              </w:rPr>
              <w:t>Beta</w:t>
            </w:r>
          </w:p>
        </w:tc>
        <w:tc>
          <w:tcPr>
            <w:tcW w:w="1502"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32F60F57"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6"/>
              </w:rPr>
              <w:t>p-value</w:t>
            </w:r>
          </w:p>
        </w:tc>
        <w:tc>
          <w:tcPr>
            <w:tcW w:w="150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24B740B8"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6"/>
              </w:rPr>
              <w:t>Primary result</w:t>
            </w:r>
          </w:p>
        </w:tc>
        <w:tc>
          <w:tcPr>
            <w:tcW w:w="1503" w:type="dxa"/>
            <w:tcBorders>
              <w:top w:val="single" w:sz="4" w:space="0" w:color="000000"/>
              <w:left w:val="single" w:sz="4" w:space="0" w:color="000000"/>
              <w:bottom w:val="single" w:sz="4" w:space="0" w:color="000000"/>
              <w:right w:val="single" w:sz="4" w:space="0" w:color="000000"/>
            </w:tcBorders>
            <w:shd w:val="clear" w:color="auto" w:fill="D9D9D9"/>
            <w:tcMar>
              <w:top w:w="55" w:type="dxa"/>
              <w:left w:w="65" w:type="dxa"/>
              <w:bottom w:w="55" w:type="dxa"/>
              <w:right w:w="65" w:type="dxa"/>
            </w:tcMar>
            <w:vAlign w:val="center"/>
          </w:tcPr>
          <w:p w14:paraId="253A8A98"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6"/>
              </w:rPr>
              <w:t>Final reporting status</w:t>
            </w:r>
          </w:p>
        </w:tc>
      </w:tr>
      <w:tr w:rsidR="00D71CCF" w:rsidRPr="002332F8" w14:paraId="465F9879" w14:textId="77777777" w:rsidTr="002D2DAA">
        <w:trPr>
          <w:cantSplit/>
          <w:jc w:val="center"/>
        </w:trPr>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4CE2107" w14:textId="77777777" w:rsidR="00D71CCF" w:rsidRPr="002332F8" w:rsidRDefault="00D71CCF" w:rsidP="002D2DAA">
            <w:pPr>
              <w:spacing w:after="0" w:line="240" w:lineRule="auto"/>
              <w:jc w:val="center"/>
              <w:rPr>
                <w:rFonts w:ascii="Arial" w:hAnsi="Arial" w:cs="Arial"/>
              </w:rPr>
            </w:pPr>
            <w:r w:rsidRPr="002332F8">
              <w:rPr>
                <w:rFonts w:ascii="Arial" w:hAnsi="Arial" w:cs="Arial"/>
                <w:sz w:val="16"/>
              </w:rPr>
              <w:t>H1</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12D5C6C3"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PSC is positively and significantly associated with EE</w:t>
            </w:r>
          </w:p>
        </w:tc>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E36E9AD" w14:textId="77777777" w:rsidR="00D71CCF" w:rsidRPr="002332F8" w:rsidRDefault="00D71CCF" w:rsidP="002D2DAA">
            <w:pPr>
              <w:spacing w:after="0" w:line="240" w:lineRule="auto"/>
              <w:jc w:val="center"/>
              <w:rPr>
                <w:rFonts w:ascii="Arial" w:hAnsi="Arial" w:cs="Arial"/>
              </w:rPr>
            </w:pPr>
            <w:r w:rsidRPr="002332F8">
              <w:rPr>
                <w:rFonts w:ascii="Arial" w:hAnsi="Arial" w:cs="Arial"/>
                <w:sz w:val="16"/>
              </w:rPr>
              <w:t>-0.012</w:t>
            </w:r>
          </w:p>
        </w:tc>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BAF6C97" w14:textId="77777777" w:rsidR="00D71CCF" w:rsidRPr="002332F8" w:rsidRDefault="00D71CCF" w:rsidP="002D2DAA">
            <w:pPr>
              <w:spacing w:after="0" w:line="240" w:lineRule="auto"/>
              <w:jc w:val="center"/>
              <w:rPr>
                <w:rFonts w:ascii="Arial" w:hAnsi="Arial" w:cs="Arial"/>
              </w:rPr>
            </w:pPr>
            <w:r w:rsidRPr="002332F8">
              <w:rPr>
                <w:rFonts w:ascii="Arial" w:hAnsi="Arial" w:cs="Arial"/>
                <w:sz w:val="16"/>
              </w:rPr>
              <w:t>0.911</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63E58F0E"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Not supported</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8AE00BF"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Not supported</w:t>
            </w:r>
          </w:p>
        </w:tc>
      </w:tr>
      <w:tr w:rsidR="00D71CCF" w:rsidRPr="002332F8" w14:paraId="41B991F8" w14:textId="77777777" w:rsidTr="002D2DAA">
        <w:trPr>
          <w:cantSplit/>
          <w:jc w:val="center"/>
        </w:trPr>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5C6921D0" w14:textId="77777777" w:rsidR="00D71CCF" w:rsidRPr="002332F8" w:rsidRDefault="00D71CCF" w:rsidP="002D2DAA">
            <w:pPr>
              <w:spacing w:after="0" w:line="240" w:lineRule="auto"/>
              <w:jc w:val="center"/>
              <w:rPr>
                <w:rFonts w:ascii="Arial" w:hAnsi="Arial" w:cs="Arial"/>
              </w:rPr>
            </w:pPr>
            <w:r w:rsidRPr="002332F8">
              <w:rPr>
                <w:rFonts w:ascii="Arial" w:hAnsi="Arial" w:cs="Arial"/>
                <w:sz w:val="16"/>
              </w:rPr>
              <w:t>H2</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84309D2"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PSP is positively and significantly associated with EE</w:t>
            </w:r>
          </w:p>
        </w:tc>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EDC8E49" w14:textId="77777777" w:rsidR="00D71CCF" w:rsidRPr="002332F8" w:rsidRDefault="00D71CCF" w:rsidP="002D2DAA">
            <w:pPr>
              <w:spacing w:after="0" w:line="240" w:lineRule="auto"/>
              <w:jc w:val="center"/>
              <w:rPr>
                <w:rFonts w:ascii="Arial" w:hAnsi="Arial" w:cs="Arial"/>
              </w:rPr>
            </w:pPr>
            <w:r w:rsidRPr="002332F8">
              <w:rPr>
                <w:rFonts w:ascii="Arial" w:hAnsi="Arial" w:cs="Arial"/>
                <w:sz w:val="16"/>
              </w:rPr>
              <w:t>0.216</w:t>
            </w:r>
          </w:p>
        </w:tc>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7E4B6DEB" w14:textId="77777777" w:rsidR="00D71CCF" w:rsidRPr="002332F8" w:rsidRDefault="00D71CCF" w:rsidP="002D2DAA">
            <w:pPr>
              <w:spacing w:after="0" w:line="240" w:lineRule="auto"/>
              <w:jc w:val="center"/>
              <w:rPr>
                <w:rFonts w:ascii="Arial" w:hAnsi="Arial" w:cs="Arial"/>
              </w:rPr>
            </w:pPr>
            <w:r w:rsidRPr="002332F8">
              <w:rPr>
                <w:rFonts w:ascii="Arial" w:hAnsi="Arial" w:cs="Arial"/>
                <w:sz w:val="16"/>
              </w:rPr>
              <w:t>0.043</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EC4C3B0"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Supported</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D93FF65"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Tentatively supported; sensitive to influential cases</w:t>
            </w:r>
          </w:p>
        </w:tc>
      </w:tr>
      <w:tr w:rsidR="00D71CCF" w:rsidRPr="002332F8" w14:paraId="004FF87C" w14:textId="77777777" w:rsidTr="002D2DAA">
        <w:trPr>
          <w:cantSplit/>
          <w:jc w:val="center"/>
        </w:trPr>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0721AD7D" w14:textId="77777777" w:rsidR="00D71CCF" w:rsidRPr="002332F8" w:rsidRDefault="00D71CCF" w:rsidP="002D2DAA">
            <w:pPr>
              <w:spacing w:after="0" w:line="240" w:lineRule="auto"/>
              <w:jc w:val="center"/>
              <w:rPr>
                <w:rFonts w:ascii="Arial" w:hAnsi="Arial" w:cs="Arial"/>
              </w:rPr>
            </w:pPr>
            <w:r w:rsidRPr="002332F8">
              <w:rPr>
                <w:rFonts w:ascii="Arial" w:hAnsi="Arial" w:cs="Arial"/>
                <w:sz w:val="16"/>
              </w:rPr>
              <w:t>H3</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2095872"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PSA is positively and significantly associated with EE</w:t>
            </w:r>
          </w:p>
        </w:tc>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B92E48F" w14:textId="77777777" w:rsidR="00D71CCF" w:rsidRPr="002332F8" w:rsidRDefault="00D71CCF" w:rsidP="002D2DAA">
            <w:pPr>
              <w:spacing w:after="0" w:line="240" w:lineRule="auto"/>
              <w:jc w:val="center"/>
              <w:rPr>
                <w:rFonts w:ascii="Arial" w:hAnsi="Arial" w:cs="Arial"/>
              </w:rPr>
            </w:pPr>
            <w:r w:rsidRPr="002332F8">
              <w:rPr>
                <w:rFonts w:ascii="Arial" w:hAnsi="Arial" w:cs="Arial"/>
                <w:sz w:val="16"/>
              </w:rPr>
              <w:t>0.205</w:t>
            </w:r>
          </w:p>
        </w:tc>
        <w:tc>
          <w:tcPr>
            <w:tcW w:w="1502"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3D56FEF1" w14:textId="77777777" w:rsidR="00D71CCF" w:rsidRPr="002332F8" w:rsidRDefault="00D71CCF" w:rsidP="002D2DAA">
            <w:pPr>
              <w:spacing w:after="0" w:line="240" w:lineRule="auto"/>
              <w:jc w:val="center"/>
              <w:rPr>
                <w:rFonts w:ascii="Arial" w:hAnsi="Arial" w:cs="Arial"/>
              </w:rPr>
            </w:pPr>
            <w:r w:rsidRPr="002332F8">
              <w:rPr>
                <w:rFonts w:ascii="Arial" w:hAnsi="Arial" w:cs="Arial"/>
                <w:sz w:val="16"/>
              </w:rPr>
              <w:t>0.046</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4D7F37D8"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Supported</w:t>
            </w:r>
          </w:p>
        </w:tc>
        <w:tc>
          <w:tcPr>
            <w:tcW w:w="1503" w:type="dxa"/>
            <w:tcBorders>
              <w:top w:val="single" w:sz="4" w:space="0" w:color="000000"/>
              <w:left w:val="single" w:sz="4" w:space="0" w:color="000000"/>
              <w:bottom w:val="single" w:sz="4" w:space="0" w:color="000000"/>
              <w:right w:val="single" w:sz="4" w:space="0" w:color="000000"/>
            </w:tcBorders>
            <w:tcMar>
              <w:top w:w="55" w:type="dxa"/>
              <w:left w:w="65" w:type="dxa"/>
              <w:bottom w:w="55" w:type="dxa"/>
              <w:right w:w="65" w:type="dxa"/>
            </w:tcMar>
            <w:vAlign w:val="center"/>
          </w:tcPr>
          <w:p w14:paraId="248E4092" w14:textId="77777777" w:rsidR="00D71CCF" w:rsidRPr="002332F8" w:rsidRDefault="00D71CCF" w:rsidP="002D2DAA">
            <w:pPr>
              <w:spacing w:after="0" w:line="240" w:lineRule="auto"/>
              <w:jc w:val="left"/>
              <w:rPr>
                <w:rFonts w:ascii="Arial" w:hAnsi="Arial" w:cs="Arial"/>
              </w:rPr>
            </w:pPr>
            <w:r w:rsidRPr="002332F8">
              <w:rPr>
                <w:rFonts w:ascii="Arial" w:hAnsi="Arial" w:cs="Arial"/>
                <w:sz w:val="16"/>
              </w:rPr>
              <w:t>Tentatively supported; sensitive to influential cases</w:t>
            </w:r>
          </w:p>
        </w:tc>
      </w:tr>
    </w:tbl>
    <w:p w14:paraId="16FC5F8D" w14:textId="77777777" w:rsidR="00D71CCF" w:rsidRPr="002332F8" w:rsidRDefault="00D71CCF" w:rsidP="00D71CCF">
      <w:pPr>
        <w:spacing w:before="40" w:line="240" w:lineRule="auto"/>
        <w:jc w:val="center"/>
        <w:rPr>
          <w:rFonts w:ascii="Arial" w:hAnsi="Arial" w:cs="Arial"/>
        </w:rPr>
      </w:pPr>
      <w:r w:rsidRPr="002332F8">
        <w:rPr>
          <w:rFonts w:ascii="Arial" w:hAnsi="Arial" w:cs="Arial"/>
          <w:i/>
          <w:sz w:val="18"/>
        </w:rPr>
        <w:lastRenderedPageBreak/>
        <w:t>Source: Author's analysis of survey data (2026).</w:t>
      </w:r>
    </w:p>
    <w:p w14:paraId="6AEA6808" w14:textId="77777777" w:rsidR="00D71CCF" w:rsidRPr="002332F8" w:rsidRDefault="00D71CCF" w:rsidP="00D71CCF">
      <w:pPr>
        <w:pStyle w:val="Heading2"/>
        <w:rPr>
          <w:rFonts w:ascii="Arial" w:hAnsi="Arial" w:cs="Arial"/>
          <w:color w:val="auto"/>
        </w:rPr>
      </w:pPr>
      <w:bookmarkStart w:id="295" w:name="h062"/>
      <w:bookmarkStart w:id="296" w:name="_Toc241093503"/>
      <w:bookmarkStart w:id="297" w:name="_Toc241113323"/>
      <w:r w:rsidRPr="002332F8">
        <w:rPr>
          <w:rFonts w:ascii="Arial" w:hAnsi="Arial" w:cs="Arial"/>
          <w:color w:val="auto"/>
        </w:rPr>
        <w:t>4.11 Analytical Limitations</w:t>
      </w:r>
      <w:bookmarkEnd w:id="295"/>
      <w:bookmarkEnd w:id="296"/>
      <w:bookmarkEnd w:id="297"/>
    </w:p>
    <w:p w14:paraId="3DA5F1E0" w14:textId="77777777" w:rsidR="00D71CCF" w:rsidRPr="002332F8" w:rsidRDefault="00D71CCF" w:rsidP="00D71CCF">
      <w:pPr>
        <w:rPr>
          <w:rFonts w:ascii="Arial" w:hAnsi="Arial" w:cs="Arial"/>
        </w:rPr>
      </w:pPr>
      <w:r w:rsidRPr="002332F8">
        <w:rPr>
          <w:rFonts w:ascii="Arial" w:hAnsi="Arial" w:cs="Arial"/>
        </w:rPr>
        <w:t>There were some limitations in the analysis. First, the internal consistency of the scheduling scales was very low, meaning that scores from the scales are not likely to be reliable. Second, there were many responses to scheduling which occurred in the top-level categories, which restricted the variability of the scores. Third, the residual distribution was not normal and three cases had enough influence to impact the significance of individual regression cases. Lastly, as a cross-sectional design, it can only determine associations and not temporal or causal effects. The problems do not make it impossible to report the planned analysis, but it does call for careful interpretation of the regression parameters as outlined in the next chapter.</w:t>
      </w:r>
    </w:p>
    <w:p w14:paraId="223CEAE1" w14:textId="77777777" w:rsidR="00D71CCF" w:rsidRPr="002332F8" w:rsidRDefault="00D71CCF" w:rsidP="00D71CCF">
      <w:pPr>
        <w:suppressAutoHyphens w:val="0"/>
        <w:spacing w:after="160" w:line="256" w:lineRule="auto"/>
        <w:jc w:val="left"/>
        <w:rPr>
          <w:rFonts w:ascii="Arial" w:hAnsi="Arial" w:cs="Arial"/>
          <w:sz w:val="40"/>
          <w:szCs w:val="40"/>
        </w:rPr>
      </w:pPr>
      <w:bookmarkStart w:id="298" w:name="h064"/>
      <w:r w:rsidRPr="002332F8">
        <w:rPr>
          <w:rFonts w:ascii="Arial" w:hAnsi="Arial" w:cs="Arial"/>
        </w:rPr>
        <w:br w:type="page"/>
      </w:r>
    </w:p>
    <w:p w14:paraId="160B7EAD" w14:textId="77777777" w:rsidR="00D71CCF" w:rsidRPr="002332F8" w:rsidRDefault="00D71CCF" w:rsidP="00D71CCF">
      <w:pPr>
        <w:pStyle w:val="Heading1"/>
        <w:rPr>
          <w:rFonts w:ascii="Arial" w:hAnsi="Arial" w:cs="Arial"/>
          <w:color w:val="auto"/>
        </w:rPr>
      </w:pPr>
      <w:bookmarkStart w:id="299" w:name="_Toc241093504"/>
      <w:bookmarkStart w:id="300" w:name="_Toc241113324"/>
      <w:r w:rsidRPr="002332F8">
        <w:rPr>
          <w:rFonts w:ascii="Arial" w:hAnsi="Arial" w:cs="Arial"/>
          <w:color w:val="auto"/>
        </w:rPr>
        <w:lastRenderedPageBreak/>
        <w:t>5. Discussion</w:t>
      </w:r>
      <w:bookmarkEnd w:id="298"/>
      <w:bookmarkEnd w:id="299"/>
      <w:bookmarkEnd w:id="300"/>
    </w:p>
    <w:p w14:paraId="52076A85" w14:textId="77777777" w:rsidR="00D71CCF" w:rsidRPr="002332F8" w:rsidRDefault="00D71CCF" w:rsidP="00D71CCF">
      <w:pPr>
        <w:pStyle w:val="Heading2"/>
        <w:rPr>
          <w:rFonts w:ascii="Arial" w:hAnsi="Arial" w:cs="Arial"/>
          <w:color w:val="auto"/>
        </w:rPr>
      </w:pPr>
      <w:bookmarkStart w:id="301" w:name="h065"/>
      <w:bookmarkStart w:id="302" w:name="_Toc241093505"/>
      <w:bookmarkStart w:id="303" w:name="_Toc241113325"/>
      <w:r w:rsidRPr="002332F8">
        <w:rPr>
          <w:rFonts w:ascii="Arial" w:hAnsi="Arial" w:cs="Arial"/>
          <w:color w:val="auto"/>
        </w:rPr>
        <w:t>5.1 Introduction</w:t>
      </w:r>
      <w:bookmarkEnd w:id="301"/>
      <w:bookmarkEnd w:id="302"/>
      <w:bookmarkEnd w:id="303"/>
    </w:p>
    <w:p w14:paraId="018E4896" w14:textId="77777777" w:rsidR="00D71CCF" w:rsidRPr="002332F8" w:rsidRDefault="00D71CCF" w:rsidP="00D71CCF">
      <w:pPr>
        <w:rPr>
          <w:rFonts w:ascii="Arial" w:hAnsi="Arial" w:cs="Arial"/>
        </w:rPr>
      </w:pPr>
      <w:r w:rsidRPr="002332F8">
        <w:rPr>
          <w:rFonts w:ascii="Arial" w:hAnsi="Arial" w:cs="Arial"/>
        </w:rPr>
        <w:t>In this chapter, the findings of Chapter Four are explained in relation to the research questions, the literature and the theoretical framework.</w:t>
      </w:r>
    </w:p>
    <w:p w14:paraId="4A8354EB" w14:textId="77777777" w:rsidR="00D71CCF" w:rsidRPr="002332F8" w:rsidRDefault="00D71CCF" w:rsidP="00D71CCF">
      <w:pPr>
        <w:pStyle w:val="Heading2"/>
        <w:rPr>
          <w:rFonts w:ascii="Arial" w:hAnsi="Arial" w:cs="Arial"/>
          <w:color w:val="auto"/>
        </w:rPr>
      </w:pPr>
      <w:bookmarkStart w:id="304" w:name="_Toc241093506"/>
      <w:bookmarkStart w:id="305" w:name="_Toc241113326"/>
      <w:r w:rsidRPr="002332F8">
        <w:rPr>
          <w:rFonts w:ascii="Arial" w:hAnsi="Arial" w:cs="Arial"/>
          <w:color w:val="auto"/>
        </w:rPr>
        <w:t>5.2 Overview of the Main Findings</w:t>
      </w:r>
      <w:bookmarkEnd w:id="304"/>
      <w:bookmarkEnd w:id="305"/>
    </w:p>
    <w:p w14:paraId="2B5D9E94" w14:textId="77777777" w:rsidR="00D71CCF" w:rsidRPr="002332F8" w:rsidRDefault="00D71CCF" w:rsidP="00D71CCF">
      <w:pPr>
        <w:rPr>
          <w:rFonts w:ascii="Arial" w:hAnsi="Arial" w:cs="Arial"/>
        </w:rPr>
      </w:pPr>
      <w:r w:rsidRPr="002332F8">
        <w:rPr>
          <w:rFonts w:ascii="Arial" w:hAnsi="Arial" w:cs="Arial"/>
        </w:rPr>
        <w:t>An analysis of 105 eligible responses was used in the final analysis. There were moderate means for the employee engagement and all three scheduling variables and low variance for the scheduling variables. The overal regression model was significant and accounted for 10.9 per cent of the variance in engagement. But not all of the predictors were equal. Predictability and accommodation were positive and significant in the primary model, while perceived schedule control was not significant. The two coefficients were supported by HC3 robust inference, although they both were made non-significant by removing three influential cases. Thus, H1 was given no support; H2 and H3 were given only tentative support.</w:t>
      </w:r>
    </w:p>
    <w:p w14:paraId="41996596" w14:textId="77777777" w:rsidR="00D71CCF" w:rsidRPr="002332F8" w:rsidRDefault="00D71CCF" w:rsidP="00D71CCF">
      <w:pPr>
        <w:rPr>
          <w:rFonts w:ascii="Arial" w:hAnsi="Arial" w:cs="Arial"/>
        </w:rPr>
      </w:pPr>
      <w:r w:rsidRPr="002332F8">
        <w:rPr>
          <w:rFonts w:ascii="Arial" w:hAnsi="Arial" w:cs="Arial"/>
        </w:rPr>
        <w:t>The results of the reliability test should also be considered with the findings. The internal consistency of the UWES-3 engagement measure was acceptable, as it was already used as a short measure of vigour, dedication and absorption (Schaufeli et al., 2019). The Cronbach alpha values were low, however, for the researcher adapted PSC, PSP and PSA measures. This does not render the regression results unusable, but it does indicate that the scheduling scores may not have been consistently the same construct as they were meant to. The discussion then focuses on the pattern observed rather than validate the adopted measures.</w:t>
      </w:r>
    </w:p>
    <w:p w14:paraId="34DB12D2" w14:textId="77777777" w:rsidR="00D71CCF" w:rsidRPr="002332F8" w:rsidRDefault="00D71CCF" w:rsidP="00D71CCF">
      <w:pPr>
        <w:pStyle w:val="Heading2"/>
        <w:rPr>
          <w:rFonts w:ascii="Arial" w:hAnsi="Arial" w:cs="Arial"/>
          <w:color w:val="auto"/>
        </w:rPr>
      </w:pPr>
      <w:bookmarkStart w:id="306" w:name="_Toc241093507"/>
      <w:bookmarkStart w:id="307" w:name="_Toc241113327"/>
      <w:r w:rsidRPr="002332F8">
        <w:rPr>
          <w:rFonts w:ascii="Arial" w:hAnsi="Arial" w:cs="Arial"/>
          <w:color w:val="auto"/>
        </w:rPr>
        <w:t>5.3 Perceived Schedule Control and Employee Engagement</w:t>
      </w:r>
      <w:bookmarkEnd w:id="306"/>
      <w:bookmarkEnd w:id="307"/>
    </w:p>
    <w:p w14:paraId="536DC845" w14:textId="77777777" w:rsidR="00D71CCF" w:rsidRPr="002332F8" w:rsidRDefault="00D71CCF" w:rsidP="00D71CCF">
      <w:pPr>
        <w:rPr>
          <w:rFonts w:ascii="Arial" w:hAnsi="Arial" w:cs="Arial"/>
        </w:rPr>
      </w:pPr>
      <w:r w:rsidRPr="002332F8">
        <w:rPr>
          <w:rFonts w:ascii="Arial" w:hAnsi="Arial" w:cs="Arial"/>
        </w:rPr>
        <w:t xml:space="preserve">The first research question was what is the relationship between perceived schedule control and employee engagement? There was no statistically significant bivariate correlation, and the regression coefficient became very small and slightly negative after predictability and accommodation were added. H1 was thus not validated. The finding contrasts with the general findings in flexible working studies that increased flexibility in working hours is likely to have positive impacts on employee attitudes. Earlier studies have correlated flexibility and boundary control with better work </w:t>
      </w:r>
      <w:r w:rsidRPr="002332F8">
        <w:rPr>
          <w:rFonts w:ascii="Arial" w:hAnsi="Arial" w:cs="Arial"/>
        </w:rPr>
        <w:lastRenderedPageBreak/>
        <w:t>outcomes, specifically in relation to when work is done (Allen et al., 2013; Bal and De Lange, 2015; Kossek et al., 2023).</w:t>
      </w:r>
    </w:p>
    <w:p w14:paraId="35A8F1EF" w14:textId="77777777" w:rsidR="00D71CCF" w:rsidRPr="002332F8" w:rsidRDefault="00D71CCF" w:rsidP="00D71CCF">
      <w:pPr>
        <w:rPr>
          <w:rFonts w:ascii="Arial" w:hAnsi="Arial" w:cs="Arial"/>
        </w:rPr>
      </w:pPr>
      <w:r w:rsidRPr="002332F8">
        <w:rPr>
          <w:rFonts w:ascii="Arial" w:hAnsi="Arial" w:cs="Arial"/>
        </w:rPr>
        <w:t>This difference may be due to the factory context. The production of garments relies on co-ordinated lines, machine availability, production objectives and synchronised attendance. They may consequently have only a small degree of personal scheduling freedom even if workers say they have some choice over their schedules. Chapter Four demonstrated that 97.1 per cent indicated that the production schedules fluctuated based on the production needs. This type of setting might make perceived control too limiting as a powerful independent job resource. This aligns with the notion that flexibility should be measured by the actual flexibility employees have, not by the presence of a formal agreement (de Menezes and Kelliher, 2017; Kossek et al., 2023).</w:t>
      </w:r>
    </w:p>
    <w:p w14:paraId="2D5622C2" w14:textId="77777777" w:rsidR="00D71CCF" w:rsidRPr="002332F8" w:rsidRDefault="00D71CCF" w:rsidP="00D71CCF">
      <w:pPr>
        <w:rPr>
          <w:rFonts w:ascii="Arial" w:hAnsi="Arial" w:cs="Arial"/>
        </w:rPr>
      </w:pPr>
      <w:r w:rsidRPr="002332F8">
        <w:rPr>
          <w:rFonts w:ascii="Arial" w:hAnsi="Arial" w:cs="Arial"/>
        </w:rPr>
        <w:t>Flexible working does not necessarily enhance engagement, particularly when driven by the employer and consisting of high demands (Soga et al., 2022; Yeves et al., 2022). The influence of scheduling was not as important as knowing when work would take place or believing that requests for adjustments would be treated fairly in this sample. Th</w:t>
      </w:r>
      <w:bookmarkStart w:id="308" w:name="_GoBack"/>
      <w:bookmarkEnd w:id="308"/>
      <w:r w:rsidRPr="002332F8">
        <w:rPr>
          <w:rFonts w:ascii="Arial" w:hAnsi="Arial" w:cs="Arial"/>
        </w:rPr>
        <w:t>e observed relationship may have been weakened, however, by the extremely low reliability of the PSC. The result is evidence that rejects H1 for this dataset, but does not prove that schedule control is not important in the whole Bangladesh RMG sector.</w:t>
      </w:r>
    </w:p>
    <w:p w14:paraId="5C804A83" w14:textId="77777777" w:rsidR="00D71CCF" w:rsidRPr="002332F8" w:rsidRDefault="00D71CCF" w:rsidP="00D71CCF">
      <w:pPr>
        <w:pStyle w:val="Heading2"/>
        <w:rPr>
          <w:rFonts w:ascii="Arial" w:hAnsi="Arial" w:cs="Arial"/>
          <w:color w:val="auto"/>
        </w:rPr>
      </w:pPr>
      <w:bookmarkStart w:id="309" w:name="_Toc241093508"/>
      <w:bookmarkStart w:id="310" w:name="_Toc241113328"/>
      <w:r w:rsidRPr="002332F8">
        <w:rPr>
          <w:rFonts w:ascii="Arial" w:hAnsi="Arial" w:cs="Arial"/>
          <w:color w:val="auto"/>
        </w:rPr>
        <w:t>5.4 Perceived Schedule Predictability and Employee Engagement</w:t>
      </w:r>
      <w:bookmarkEnd w:id="309"/>
      <w:bookmarkEnd w:id="310"/>
    </w:p>
    <w:p w14:paraId="40B75BDB" w14:textId="77777777" w:rsidR="00D71CCF" w:rsidRPr="002332F8" w:rsidRDefault="00D71CCF" w:rsidP="00D71CCF">
      <w:pPr>
        <w:rPr>
          <w:rFonts w:ascii="Arial" w:hAnsi="Arial" w:cs="Arial"/>
        </w:rPr>
      </w:pPr>
      <w:r w:rsidRPr="002332F8">
        <w:rPr>
          <w:rFonts w:ascii="Arial" w:hAnsi="Arial" w:cs="Arial"/>
        </w:rPr>
        <w:t>The second research question was about the correlation between perceived schedule predictability and engagement. There was a positive bivariate relationship between PSP and engagement, and it was a significant and positive predictor in the primary regression. This had the highest standardised coefficient among the three scheduling predictors. H2 is thus heavily supported, with the reservation that this support is based on a sensitivity analysis. The direction of the results aligns with previous studies demonstrating that predictable scheduling can decrease uncertainty and aid employees to organise their non-work lives (Lambert et al., 2019; Harknett et al., 2020; Harknett et al., 2021).</w:t>
      </w:r>
    </w:p>
    <w:p w14:paraId="554BB959" w14:textId="77777777" w:rsidR="00D71CCF" w:rsidRPr="002332F8" w:rsidRDefault="00D71CCF" w:rsidP="00D71CCF">
      <w:pPr>
        <w:rPr>
          <w:rFonts w:ascii="Arial" w:hAnsi="Arial" w:cs="Arial"/>
        </w:rPr>
      </w:pPr>
      <w:r w:rsidRPr="002332F8">
        <w:rPr>
          <w:rFonts w:ascii="Arial" w:hAnsi="Arial" w:cs="Arial"/>
        </w:rPr>
        <w:lastRenderedPageBreak/>
        <w:t>This is especially important in a manufacturing setting where overtime and variations in production levels are frequent. In this sample, 81.0 per cent of the respondents indicated that they work overtime three or more times a week. In such a situation, it can be useful to have some information on the work days and hours, even if the workers don't have much agency in determining the schedule. This separation is important in the process of separating the concepts of control and predictability in this dissertation. While an employee does not have control over the schedule, it is still beneficial for everyone to have some advance notice to eliminate some uncertainty and allow for personal planning.</w:t>
      </w:r>
    </w:p>
    <w:p w14:paraId="55126E89" w14:textId="77777777" w:rsidR="00D71CCF" w:rsidRPr="002332F8" w:rsidRDefault="00D71CCF" w:rsidP="00D71CCF">
      <w:pPr>
        <w:rPr>
          <w:rFonts w:ascii="Arial" w:hAnsi="Arial" w:cs="Arial"/>
        </w:rPr>
      </w:pPr>
      <w:r w:rsidRPr="002332F8">
        <w:rPr>
          <w:rFonts w:ascii="Arial" w:hAnsi="Arial" w:cs="Arial"/>
        </w:rPr>
        <w:t>This is generally similar to the evidence on responsible scheduling in hourly work, though outcomes vary across studies and specific operational contexts (Harknett et al., 2021; Kesavan et al., 2022). The results of this study, however, do not provide evidence for the positive relationship between predictability and engagement. The association was not significant once the three important observations were removed, and the PSP scale was not very internally consistent. These concerns diminish the level of confidence in the true coefficient. The most defendable conclusion is that this was a weak schedule, predictability was the best schedule (in primary model), and replication with a large multi-factory sample, and with a scale validated with the same participants, is necessary before a firm effect is established.</w:t>
      </w:r>
    </w:p>
    <w:p w14:paraId="3F276A7E" w14:textId="77777777" w:rsidR="00D71CCF" w:rsidRPr="002332F8" w:rsidRDefault="00D71CCF" w:rsidP="00D71CCF">
      <w:pPr>
        <w:pStyle w:val="Heading2"/>
        <w:rPr>
          <w:rFonts w:ascii="Arial" w:hAnsi="Arial" w:cs="Arial"/>
          <w:color w:val="auto"/>
        </w:rPr>
      </w:pPr>
      <w:bookmarkStart w:id="311" w:name="_Toc241093509"/>
      <w:bookmarkStart w:id="312" w:name="_Toc241113329"/>
      <w:r w:rsidRPr="002332F8">
        <w:rPr>
          <w:rFonts w:ascii="Arial" w:hAnsi="Arial" w:cs="Arial"/>
          <w:color w:val="auto"/>
        </w:rPr>
        <w:t>5.5 Perceived Shift Accommodation and Employee Engagement</w:t>
      </w:r>
      <w:bookmarkEnd w:id="311"/>
      <w:bookmarkEnd w:id="312"/>
    </w:p>
    <w:p w14:paraId="662D2CC0" w14:textId="77777777" w:rsidR="00D71CCF" w:rsidRPr="002332F8" w:rsidRDefault="00D71CCF" w:rsidP="00D71CCF">
      <w:pPr>
        <w:rPr>
          <w:rFonts w:ascii="Arial" w:hAnsi="Arial" w:cs="Arial"/>
        </w:rPr>
      </w:pPr>
      <w:r w:rsidRPr="002332F8">
        <w:rPr>
          <w:rFonts w:ascii="Arial" w:hAnsi="Arial" w:cs="Arial"/>
        </w:rPr>
        <w:t>The third research question examined whether perceived shift accommodation was related to employee engagement. PSA was positively correlated with engagement and was a significant positive predictor in the primary regression. H3 was therefore the one that was supported primarily, also by passing the sensitivity test. The finding aligns with the literature reviewed above, suggesting that treating workers fairly is helpful and a sign of caring (Eisenberger et al., 2020; Rockstuhl et al., 2020; Saks, 2022).</w:t>
      </w:r>
    </w:p>
    <w:p w14:paraId="6E1ABECE" w14:textId="77777777" w:rsidR="00D71CCF" w:rsidRPr="002332F8" w:rsidRDefault="00D71CCF" w:rsidP="00D71CCF">
      <w:pPr>
        <w:rPr>
          <w:rFonts w:ascii="Arial" w:hAnsi="Arial" w:cs="Arial"/>
        </w:rPr>
      </w:pPr>
      <w:r w:rsidRPr="002332F8">
        <w:rPr>
          <w:rFonts w:ascii="Arial" w:hAnsi="Arial" w:cs="Arial"/>
        </w:rPr>
        <w:t xml:space="preserve">The outcome also fits with the Social Exchange Theory. If employees feel their supervisors are listening to their reasonable requests and making consistent scheduling decisions, the employees may see it as a sign of respect. This is because these perceptions can foster engagement as the employment relationship is perceived to be more supportive and reciprocal (Cropanzano et al., 2017; Ahmad et al., 2023). This is important because during the past three months, all eligible respondents </w:t>
      </w:r>
      <w:r w:rsidRPr="002332F8">
        <w:rPr>
          <w:rFonts w:ascii="Arial" w:hAnsi="Arial" w:cs="Arial"/>
        </w:rPr>
        <w:lastRenderedPageBreak/>
        <w:t>reported having made some type of a change, leave or schedule adjustment request. In contrast, accommodation was not a theoretical problem but was a more recent experience that had taken place at work.</w:t>
      </w:r>
    </w:p>
    <w:p w14:paraId="1316C4BF" w14:textId="77777777" w:rsidR="00D71CCF" w:rsidRPr="002332F8" w:rsidRDefault="00D71CCF" w:rsidP="00D71CCF">
      <w:pPr>
        <w:rPr>
          <w:rFonts w:ascii="Arial" w:hAnsi="Arial" w:cs="Arial"/>
        </w:rPr>
      </w:pPr>
      <w:r w:rsidRPr="002332F8">
        <w:rPr>
          <w:rFonts w:ascii="Arial" w:hAnsi="Arial" w:cs="Arial"/>
        </w:rPr>
        <w:t>The importance of supervisory implementation is also consistent with Bangladesh evidence showing that managerial behaviour can shape the link between human resource practices and employee engagement (Alam et al., 2024). Nevertheless, the finding should not be interpreted as evidence that every request should be approved. The construct concerned whether requests were heard, considered fairly and addressed respectfully where operations allowed. The observed positive coefficient therefore appears more consistent with perceived fairness and responsiveness than with unrestricted flexibility.</w:t>
      </w:r>
    </w:p>
    <w:p w14:paraId="6B869A0B" w14:textId="77777777" w:rsidR="00D71CCF" w:rsidRPr="002332F8" w:rsidRDefault="00D71CCF" w:rsidP="00D71CCF">
      <w:pPr>
        <w:pStyle w:val="Heading2"/>
        <w:rPr>
          <w:rFonts w:ascii="Arial" w:hAnsi="Arial" w:cs="Arial"/>
          <w:color w:val="auto"/>
        </w:rPr>
      </w:pPr>
      <w:bookmarkStart w:id="313" w:name="h070"/>
      <w:bookmarkStart w:id="314" w:name="_Toc241093510"/>
      <w:bookmarkStart w:id="315" w:name="_Toc241113330"/>
      <w:r w:rsidRPr="002332F8">
        <w:rPr>
          <w:rFonts w:ascii="Arial" w:hAnsi="Arial" w:cs="Arial"/>
          <w:color w:val="auto"/>
        </w:rPr>
        <w:t>5.6 Interpretation Through the Theoretical Framework</w:t>
      </w:r>
      <w:bookmarkEnd w:id="313"/>
      <w:bookmarkEnd w:id="314"/>
      <w:bookmarkEnd w:id="315"/>
    </w:p>
    <w:p w14:paraId="25D07CDA" w14:textId="77777777" w:rsidR="00D71CCF" w:rsidRPr="002332F8" w:rsidRDefault="00D71CCF" w:rsidP="00D71CCF">
      <w:pPr>
        <w:rPr>
          <w:rFonts w:ascii="Arial" w:hAnsi="Arial" w:cs="Arial"/>
        </w:rPr>
      </w:pPr>
      <w:r w:rsidRPr="002332F8">
        <w:rPr>
          <w:rFonts w:ascii="Arial" w:hAnsi="Arial" w:cs="Arial"/>
        </w:rPr>
        <w:t>Taken together, the findings provide partial support for Job Demands-Resources Theory. JD-R Theory proposes that job resources help employees meet demands and support motivation and engagement (Bakker and Demerouti, 2017; Bakker et al., 2023). Predictability and accommodation showed the expected positive pattern, while schedule control did not. Scheduling resources may therefore have unequal value in labour-intensive production. Predictability may reduce uncertainty, while accommodation may provide practical and social support.</w:t>
      </w:r>
    </w:p>
    <w:p w14:paraId="4A527D8D" w14:textId="77777777" w:rsidR="00D71CCF" w:rsidRPr="002332F8" w:rsidRDefault="00D71CCF" w:rsidP="00D71CCF">
      <w:pPr>
        <w:rPr>
          <w:rFonts w:ascii="Arial" w:hAnsi="Arial" w:cs="Arial"/>
        </w:rPr>
      </w:pPr>
      <w:r w:rsidRPr="002332F8">
        <w:rPr>
          <w:rFonts w:ascii="Arial" w:hAnsi="Arial" w:cs="Arial"/>
        </w:rPr>
        <w:t>Social Exchange Theory is particularly useful for understanding the accommodation result. Fair treatment and considerate responses can communicate those employees are valued, which may encourage reciprocation through stronger work involvement (Cropanzano et al., 2017; Eisenberger et al., 2020). The present study lacked mediators such as perceived organisational support, trust and reciprocity, however. Thus, it can't demonstrate these mechanisms gave rise to the observed relationship. Theories are used to explain why this pattern is plausible, but should not be considered as statistically tested mechanisms.</w:t>
      </w:r>
    </w:p>
    <w:p w14:paraId="59A77991" w14:textId="77777777" w:rsidR="00D71CCF" w:rsidRPr="002332F8" w:rsidRDefault="00D71CCF" w:rsidP="00D71CCF">
      <w:pPr>
        <w:rPr>
          <w:rFonts w:ascii="Arial" w:hAnsi="Arial" w:cs="Arial"/>
        </w:rPr>
      </w:pPr>
      <w:r w:rsidRPr="002332F8">
        <w:rPr>
          <w:rFonts w:ascii="Arial" w:hAnsi="Arial" w:cs="Arial"/>
        </w:rPr>
        <w:t xml:space="preserve">Most of the variance in engagement was explained by the three predictors (10.9%). It is consistent with JD-R research as engagement is a wider construct of resources and demands as well as personal conditions, and not only one of the employment practices (Mazzetti et al., 2023). Other factors like leadership, workload, recognition, pay, safety, </w:t>
      </w:r>
      <w:r w:rsidRPr="002332F8">
        <w:rPr>
          <w:rFonts w:ascii="Arial" w:hAnsi="Arial" w:cs="Arial"/>
        </w:rPr>
        <w:lastRenderedPageBreak/>
        <w:t>job security and team relationships also may be important within Natural Group, but were not examined in the current study.</w:t>
      </w:r>
    </w:p>
    <w:p w14:paraId="08EF865F" w14:textId="77777777" w:rsidR="00D71CCF" w:rsidRPr="002332F8" w:rsidRDefault="00D71CCF" w:rsidP="00D71CCF">
      <w:pPr>
        <w:pStyle w:val="Heading2"/>
        <w:rPr>
          <w:rFonts w:ascii="Arial" w:hAnsi="Arial" w:cs="Arial"/>
          <w:color w:val="auto"/>
        </w:rPr>
      </w:pPr>
      <w:bookmarkStart w:id="316" w:name="_Toc241093511"/>
      <w:bookmarkStart w:id="317" w:name="_Toc241113331"/>
      <w:r w:rsidRPr="002332F8">
        <w:rPr>
          <w:rFonts w:ascii="Arial" w:hAnsi="Arial" w:cs="Arial"/>
          <w:color w:val="auto"/>
        </w:rPr>
        <w:t>5.7 Contribution to the Research Gap and Practical Meaning</w:t>
      </w:r>
      <w:bookmarkEnd w:id="316"/>
      <w:bookmarkEnd w:id="317"/>
    </w:p>
    <w:p w14:paraId="6802A40E" w14:textId="77777777" w:rsidR="00D71CCF" w:rsidRPr="002332F8" w:rsidRDefault="00D71CCF" w:rsidP="00D71CCF">
      <w:pPr>
        <w:rPr>
          <w:rFonts w:ascii="Arial" w:hAnsi="Arial" w:cs="Arial"/>
        </w:rPr>
      </w:pPr>
      <w:r w:rsidRPr="002332F8">
        <w:rPr>
          <w:rFonts w:ascii="Arial" w:hAnsi="Arial" w:cs="Arial"/>
        </w:rPr>
        <w:t>The study fills the study gap by applying three different perceptions of scheduling among factory based RMG workers instead of using the general perception of remote or hybrid work. Previous flexible-work research has tended to focus on professional, service, and highly educated samples, while studies on flexible work arrangements in the RMG sector in Bangladesh have had a stronger emphasis on labour standards, welfare, vulnerability and outcomes of engagement downstream (Bal and De Lange, 2015; Gašić and Berber, 2023; Syed et al., 2024; Nishat and Haque, 2025). The findings of the present study thus provide an additional source of contextual information suggesting that predictability and fair accommodation of the work schedule may be more important than schedule control in limited production tasks.</w:t>
      </w:r>
    </w:p>
    <w:p w14:paraId="485C9A1B" w14:textId="77777777" w:rsidR="00D71CCF" w:rsidRPr="002332F8" w:rsidRDefault="00D71CCF" w:rsidP="00D71CCF">
      <w:pPr>
        <w:rPr>
          <w:rFonts w:ascii="Arial" w:hAnsi="Arial" w:cs="Arial"/>
        </w:rPr>
      </w:pPr>
      <w:r w:rsidRPr="002332F8">
        <w:rPr>
          <w:rFonts w:ascii="Arial" w:hAnsi="Arial" w:cs="Arial"/>
        </w:rPr>
        <w:t>The results indicate for management that it is not always necessary to allow employees to freely change their plans. Within production constraints, more advance notice, consistent communications, reasonable handling of requests for reasonable adjustment can be more attainable priorities. A range of interventions in the United States in the labor market at the hourly level might be beneficial, though they do not explicitly confirm effects in this factory (Harknett et al., 2021; Kesavan et al., 2022). The low reliability and sensitivity of H2 and H3 should be interpreted as signals for management to consider further, but not as a definitive indicator of the likelihood of higher engagement scores when a specific intervention is used.</w:t>
      </w:r>
    </w:p>
    <w:p w14:paraId="2390E2AA" w14:textId="77777777" w:rsidR="00D71CCF" w:rsidRPr="002332F8" w:rsidRDefault="00D71CCF" w:rsidP="00D71CCF">
      <w:pPr>
        <w:pStyle w:val="Heading2"/>
        <w:rPr>
          <w:rFonts w:ascii="Arial" w:hAnsi="Arial" w:cs="Arial"/>
          <w:color w:val="auto"/>
        </w:rPr>
      </w:pPr>
      <w:bookmarkStart w:id="318" w:name="_Toc241093512"/>
      <w:bookmarkStart w:id="319" w:name="_Toc241113332"/>
      <w:r w:rsidRPr="002332F8">
        <w:rPr>
          <w:rFonts w:ascii="Arial" w:hAnsi="Arial" w:cs="Arial"/>
          <w:color w:val="auto"/>
        </w:rPr>
        <w:t>5.8 Limitation of Interpretation</w:t>
      </w:r>
      <w:bookmarkEnd w:id="318"/>
      <w:bookmarkEnd w:id="319"/>
    </w:p>
    <w:p w14:paraId="085459F8" w14:textId="77777777" w:rsidR="00D71CCF" w:rsidRPr="002332F8" w:rsidRDefault="00D71CCF" w:rsidP="00D71CCF">
      <w:pPr>
        <w:rPr>
          <w:rFonts w:ascii="Arial" w:hAnsi="Arial" w:cs="Arial"/>
        </w:rPr>
      </w:pPr>
      <w:r w:rsidRPr="002332F8">
        <w:rPr>
          <w:rFonts w:ascii="Arial" w:hAnsi="Arial" w:cs="Arial"/>
        </w:rPr>
        <w:t>The cross-sectional design and single-organisation convenience sample and self-report data limits the interpretation of data. Most significantly, the scheduling measures were not entirely consistent internally and did not allow much variation; and sensitivity analysis revealed that the significance of PSP and PSA was not truly stable. The results should therefore be taken with a grain of salt, and further replicated using larger samples and more robust measures.</w:t>
      </w:r>
    </w:p>
    <w:p w14:paraId="270C3A24" w14:textId="77777777" w:rsidR="00D71CCF" w:rsidRPr="002332F8" w:rsidRDefault="00D71CCF" w:rsidP="00D71CCF">
      <w:pPr>
        <w:rPr>
          <w:rFonts w:ascii="Arial" w:hAnsi="Arial" w:cs="Arial"/>
        </w:rPr>
      </w:pPr>
      <w:r w:rsidRPr="002332F8">
        <w:rPr>
          <w:rFonts w:ascii="Arial" w:hAnsi="Arial" w:cs="Arial"/>
        </w:rPr>
        <w:t> </w:t>
      </w:r>
    </w:p>
    <w:p w14:paraId="1B1F2FA7" w14:textId="77777777" w:rsidR="00D71CCF" w:rsidRPr="002332F8" w:rsidRDefault="00D71CCF" w:rsidP="00D71CCF">
      <w:pPr>
        <w:suppressAutoHyphens w:val="0"/>
        <w:spacing w:after="160" w:line="256" w:lineRule="auto"/>
        <w:jc w:val="left"/>
        <w:rPr>
          <w:rFonts w:ascii="Arial" w:hAnsi="Arial" w:cs="Arial"/>
        </w:rPr>
      </w:pPr>
      <w:r w:rsidRPr="002332F8">
        <w:rPr>
          <w:rFonts w:ascii="Arial" w:hAnsi="Arial" w:cs="Arial"/>
        </w:rPr>
        <w:br w:type="page"/>
      </w:r>
    </w:p>
    <w:p w14:paraId="1673D277" w14:textId="77777777" w:rsidR="00D71CCF" w:rsidRPr="002332F8" w:rsidRDefault="00D71CCF" w:rsidP="00D71CCF">
      <w:pPr>
        <w:pStyle w:val="Heading1"/>
        <w:rPr>
          <w:rFonts w:ascii="Arial" w:hAnsi="Arial" w:cs="Arial"/>
          <w:color w:val="auto"/>
        </w:rPr>
      </w:pPr>
      <w:bookmarkStart w:id="320" w:name="_Toc241093513"/>
      <w:bookmarkStart w:id="321" w:name="_Toc241113333"/>
      <w:r w:rsidRPr="002332F8">
        <w:rPr>
          <w:rFonts w:ascii="Arial" w:hAnsi="Arial" w:cs="Arial"/>
          <w:color w:val="auto"/>
        </w:rPr>
        <w:lastRenderedPageBreak/>
        <w:t>6. Conclusion</w:t>
      </w:r>
      <w:bookmarkEnd w:id="320"/>
      <w:bookmarkEnd w:id="321"/>
    </w:p>
    <w:p w14:paraId="745DECEE" w14:textId="77777777" w:rsidR="00D71CCF" w:rsidRPr="002332F8" w:rsidRDefault="00D71CCF" w:rsidP="00D71CCF">
      <w:pPr>
        <w:pStyle w:val="Heading2"/>
        <w:rPr>
          <w:rFonts w:ascii="Arial" w:hAnsi="Arial" w:cs="Arial"/>
          <w:color w:val="auto"/>
        </w:rPr>
      </w:pPr>
      <w:bookmarkStart w:id="322" w:name="_Toc241093514"/>
      <w:bookmarkStart w:id="323" w:name="_Toc241113334"/>
      <w:r w:rsidRPr="002332F8">
        <w:rPr>
          <w:rFonts w:ascii="Arial" w:hAnsi="Arial" w:cs="Arial"/>
          <w:color w:val="auto"/>
        </w:rPr>
        <w:t>6.1 Introduction</w:t>
      </w:r>
      <w:bookmarkEnd w:id="322"/>
      <w:bookmarkEnd w:id="323"/>
    </w:p>
    <w:p w14:paraId="52574E29" w14:textId="77777777" w:rsidR="00D71CCF" w:rsidRPr="002332F8" w:rsidRDefault="00D71CCF" w:rsidP="00D71CCF">
      <w:pPr>
        <w:rPr>
          <w:rFonts w:ascii="Arial" w:hAnsi="Arial" w:cs="Arial"/>
        </w:rPr>
      </w:pPr>
      <w:r w:rsidRPr="002332F8">
        <w:rPr>
          <w:rFonts w:ascii="Arial" w:hAnsi="Arial" w:cs="Arial"/>
        </w:rPr>
        <w:t>This study investigated the relationship among perceived schedule control, schedule predictability, shift accommodation and employee engagement among factory workers of Natural Group Bangladesh. The conclusions, contributions, recommendations, limitations and opportunities for further research are summarized in this chapter.</w:t>
      </w:r>
    </w:p>
    <w:p w14:paraId="7A5E63B7" w14:textId="77777777" w:rsidR="00D71CCF" w:rsidRPr="002332F8" w:rsidRDefault="00D71CCF" w:rsidP="00D71CCF">
      <w:pPr>
        <w:pStyle w:val="Heading2"/>
        <w:rPr>
          <w:rFonts w:ascii="Arial" w:hAnsi="Arial" w:cs="Arial"/>
          <w:color w:val="auto"/>
        </w:rPr>
      </w:pPr>
      <w:bookmarkStart w:id="324" w:name="_Toc241093515"/>
      <w:bookmarkStart w:id="325" w:name="_Toc241113335"/>
      <w:r w:rsidRPr="002332F8">
        <w:rPr>
          <w:rFonts w:ascii="Arial" w:hAnsi="Arial" w:cs="Arial"/>
          <w:color w:val="auto"/>
        </w:rPr>
        <w:t>6.2 Summary of Key Findings and Answers to the Research Questions</w:t>
      </w:r>
      <w:bookmarkEnd w:id="324"/>
      <w:bookmarkEnd w:id="325"/>
    </w:p>
    <w:p w14:paraId="1224681B" w14:textId="77777777" w:rsidR="00D71CCF" w:rsidRPr="002332F8" w:rsidRDefault="00D71CCF" w:rsidP="00D71CCF">
      <w:pPr>
        <w:rPr>
          <w:rFonts w:ascii="Arial" w:hAnsi="Arial" w:cs="Arial"/>
        </w:rPr>
      </w:pPr>
      <w:r w:rsidRPr="002332F8">
        <w:rPr>
          <w:rFonts w:ascii="Arial" w:hAnsi="Arial" w:cs="Arial"/>
        </w:rPr>
        <w:t>105 valid survey responses were analyzed. The main multiple regression model was statistically significant and accounted for 10.9% of the variance in employee engagement. But the three predictors of scheduling did not make an equal contribution. The difference is significant because the study distinguished between the various scheduling experiences of flexibility and separated its concept from flexible work as a single organizational practice.</w:t>
      </w:r>
    </w:p>
    <w:p w14:paraId="19BA9AC5" w14:textId="77777777" w:rsidR="00D71CCF" w:rsidRPr="002332F8" w:rsidRDefault="00D71CCF" w:rsidP="00D71CCF">
      <w:pPr>
        <w:rPr>
          <w:rFonts w:ascii="Arial" w:hAnsi="Arial" w:cs="Arial"/>
        </w:rPr>
      </w:pPr>
      <w:r w:rsidRPr="002332F8">
        <w:rPr>
          <w:rFonts w:ascii="Arial" w:hAnsi="Arial" w:cs="Arial"/>
        </w:rPr>
        <w:t>The first research question was "What was the relationship between perceived schedule control and employee engagement? There was a small positive bivariate relationship with engagement but this was not statistically significant, suggesting that schedule control did not predict engagement. The coefficient of this variable in the regression model became slightly negative and was not significant. H1 was thus disapproved. This did not suggest that perceived control of working times was a direct driver of increased engagement in this study.</w:t>
      </w:r>
    </w:p>
    <w:p w14:paraId="26D02B92" w14:textId="77777777" w:rsidR="00D71CCF" w:rsidRPr="002332F8" w:rsidRDefault="00D71CCF" w:rsidP="00D71CCF">
      <w:pPr>
        <w:rPr>
          <w:rFonts w:ascii="Arial" w:hAnsi="Arial" w:cs="Arial"/>
        </w:rPr>
      </w:pPr>
      <w:r w:rsidRPr="002332F8">
        <w:rPr>
          <w:rFonts w:ascii="Arial" w:hAnsi="Arial" w:cs="Arial"/>
        </w:rPr>
        <w:t>The second research question involved perceived schedule predictability. Predictability was positively correlated with engagement and it was a significant positive predictor in the primary regression model. This led to support for H2 in the primary analysis. This confirms research indicating that stable and timely scheduling has shown to decrease uncertainty and facilitate employees in organizing non-work responsibilities (Lambert et al., 2019; Harknett et al., 2021; Kesavan et al., 2022). However, this determination is preliminary because three influential cases were removed from the coefficient, giving it no meaning individually.</w:t>
      </w:r>
    </w:p>
    <w:p w14:paraId="1B2435C4" w14:textId="77777777" w:rsidR="00D71CCF" w:rsidRPr="002332F8" w:rsidRDefault="00D71CCF" w:rsidP="00D71CCF">
      <w:pPr>
        <w:rPr>
          <w:rFonts w:ascii="Arial" w:hAnsi="Arial" w:cs="Arial"/>
        </w:rPr>
      </w:pPr>
      <w:r w:rsidRPr="002332F8">
        <w:rPr>
          <w:rFonts w:ascii="Arial" w:hAnsi="Arial" w:cs="Arial"/>
        </w:rPr>
        <w:lastRenderedPageBreak/>
        <w:t>The third research question took into account perceived shift accommodation. Accommodation was positively associated with engagement and also was a significant predictor after accounting for the other scheduling variables. The primary model was thus supported by H3. This mirrors the approach that taking employees' needs into account can "signal" organisational support and treatment with respect (Eisenberger et al., 2020; Saks, 2022). Like H2, the result should be interpreted with care, since the influential-case analysis of the sensitivity to case choice reduced statistical significance.</w:t>
      </w:r>
    </w:p>
    <w:p w14:paraId="572F5CBE" w14:textId="77777777" w:rsidR="00D71CCF" w:rsidRPr="002332F8" w:rsidRDefault="00D71CCF" w:rsidP="00D71CCF">
      <w:pPr>
        <w:pStyle w:val="Heading2"/>
        <w:rPr>
          <w:rFonts w:ascii="Arial" w:hAnsi="Arial" w:cs="Arial"/>
          <w:color w:val="auto"/>
        </w:rPr>
      </w:pPr>
      <w:bookmarkStart w:id="326" w:name="_Toc241093516"/>
      <w:bookmarkStart w:id="327" w:name="_Toc241113336"/>
      <w:r w:rsidRPr="002332F8">
        <w:rPr>
          <w:rFonts w:ascii="Arial" w:hAnsi="Arial" w:cs="Arial"/>
          <w:color w:val="auto"/>
        </w:rPr>
        <w:t>6.3 Contribution to Knowledge and Theory</w:t>
      </w:r>
      <w:bookmarkEnd w:id="326"/>
      <w:bookmarkEnd w:id="327"/>
    </w:p>
    <w:p w14:paraId="4F05DC3C" w14:textId="77777777" w:rsidR="00D71CCF" w:rsidRPr="002332F8" w:rsidRDefault="00D71CCF" w:rsidP="00D71CCF">
      <w:pPr>
        <w:rPr>
          <w:rFonts w:ascii="Arial" w:hAnsi="Arial" w:cs="Arial"/>
        </w:rPr>
      </w:pPr>
      <w:r w:rsidRPr="002332F8">
        <w:rPr>
          <w:rFonts w:ascii="Arial" w:hAnsi="Arial" w:cs="Arial"/>
        </w:rPr>
        <w:t>By investigating the flexible work in forms that are realistic in the factory production process, the study has contributed. Previous studies are mainly conducted in professional; service, remote and hybrid environments and Bangladesh RMG studies have been conducted more on labor standards and employment conditions in general. This dissertation differentiates control, predictability and accommodation to give context-specific evidence regarding scheduling resources among garment workers. This helps to fill the gap in Chapter Two and aligns with the idea that policy labels do not depict how flexibility is experienced (de Menezes and Kelliher, 2017; Kossek et al., 2023).</w:t>
      </w:r>
    </w:p>
    <w:p w14:paraId="2EDEC343" w14:textId="77777777" w:rsidR="00D71CCF" w:rsidRPr="002332F8" w:rsidRDefault="00D71CCF" w:rsidP="00D71CCF">
      <w:pPr>
        <w:rPr>
          <w:rFonts w:ascii="Arial" w:hAnsi="Arial" w:cs="Arial"/>
        </w:rPr>
      </w:pPr>
      <w:r w:rsidRPr="002332F8">
        <w:rPr>
          <w:rFonts w:ascii="Arial" w:hAnsi="Arial" w:cs="Arial"/>
        </w:rPr>
        <w:t xml:space="preserve">The results support Job Demands-Resources Theory partially. In the primary model, predictability and accommodation were potential resources that had unique positive associations, while schedule control did not. The motivational potential of a scheduling tool can thus vary by form and work context, which aligns with the general JD-R theory about the fact that resources can be different, based on the different types of jobs (Bakker and Demerouti, 2017; Bakker et al., 2023). The accommodation finding also corresponds to Social Exchange Theory, which is based on the principle that returning reciprocal treatment to an employee's request is considered to be "fair" and is therefore a supportive treatment that employees are likely to accept and respond to favorably (Cropanzano et al., 2017). </w:t>
      </w:r>
    </w:p>
    <w:p w14:paraId="32F5B689" w14:textId="77777777" w:rsidR="00D71CCF" w:rsidRPr="002332F8" w:rsidRDefault="00D71CCF" w:rsidP="00D71CCF">
      <w:pPr>
        <w:pStyle w:val="Heading2"/>
        <w:rPr>
          <w:rFonts w:ascii="Arial" w:hAnsi="Arial" w:cs="Arial"/>
          <w:color w:val="auto"/>
        </w:rPr>
      </w:pPr>
      <w:bookmarkStart w:id="328" w:name="h078"/>
      <w:bookmarkStart w:id="329" w:name="_Toc241093517"/>
      <w:bookmarkStart w:id="330" w:name="_Toc241113337"/>
      <w:r w:rsidRPr="002332F8">
        <w:rPr>
          <w:rFonts w:ascii="Arial" w:hAnsi="Arial" w:cs="Arial"/>
          <w:color w:val="auto"/>
        </w:rPr>
        <w:t>6.4 Practical Recommendations</w:t>
      </w:r>
      <w:bookmarkEnd w:id="328"/>
      <w:bookmarkEnd w:id="329"/>
      <w:bookmarkEnd w:id="330"/>
    </w:p>
    <w:p w14:paraId="17686D67" w14:textId="77777777" w:rsidR="00D71CCF" w:rsidRPr="002332F8" w:rsidRDefault="00D71CCF" w:rsidP="00D71CCF">
      <w:pPr>
        <w:rPr>
          <w:rFonts w:ascii="Arial" w:hAnsi="Arial" w:cs="Arial"/>
        </w:rPr>
      </w:pPr>
      <w:r w:rsidRPr="002332F8">
        <w:rPr>
          <w:rFonts w:ascii="Arial" w:hAnsi="Arial" w:cs="Arial"/>
        </w:rPr>
        <w:t xml:space="preserve">The results for Natural Group Bangladesh indicate that enhancing the quality of scheduling should start with predictability and fair accommodation, rather than the </w:t>
      </w:r>
      <w:r w:rsidRPr="002332F8">
        <w:rPr>
          <w:rFonts w:ascii="Arial" w:hAnsi="Arial" w:cs="Arial"/>
        </w:rPr>
        <w:lastRenderedPageBreak/>
        <w:t>expectation that increased individual control is always achievable and effective. Management should give schedules as early and regular as the production conditions allow, inform of unavoidable changes as soon as possible and do not make unnecessary changes at the last moment. These actions can improve the skills of employees in planning their own responsibilities, without the need for complete self-scheduling.</w:t>
      </w:r>
    </w:p>
    <w:p w14:paraId="1C39D4C6" w14:textId="77777777" w:rsidR="00D71CCF" w:rsidRPr="002332F8" w:rsidRDefault="00D71CCF" w:rsidP="00D71CCF">
      <w:pPr>
        <w:rPr>
          <w:rFonts w:ascii="Arial" w:hAnsi="Arial" w:cs="Arial"/>
        </w:rPr>
      </w:pPr>
      <w:r w:rsidRPr="002332F8">
        <w:rPr>
          <w:rFonts w:ascii="Arial" w:hAnsi="Arial" w:cs="Arial"/>
        </w:rPr>
        <w:t>Managers should have a clearly established standard procedure for shift exchanges, leave adjustments and other reasonable adjustments for schedules. A supervisor should be clear with the person as to the reason(s) for their decision, treat everyone equally, and record if issues are repeated with a person. This can enhance procedural fairness even if the request cannot be approved for operational reasons. Management should also observe if the regular use of overtime or changes in the schedule associated with production negatively affect the use of advance notice. The recommendations are in line with research on responsible scheduling, but the interventions occurred in U.S. service and retail work (Harknett et al., 2021; Kesavan et al., 2022).</w:t>
      </w:r>
    </w:p>
    <w:p w14:paraId="71A466ED" w14:textId="77777777" w:rsidR="00D71CCF" w:rsidRPr="002332F8" w:rsidRDefault="00D71CCF" w:rsidP="00D71CCF">
      <w:pPr>
        <w:pStyle w:val="Heading2"/>
        <w:rPr>
          <w:rFonts w:ascii="Arial" w:hAnsi="Arial" w:cs="Arial"/>
          <w:color w:val="auto"/>
        </w:rPr>
      </w:pPr>
      <w:bookmarkStart w:id="331" w:name="_Toc241093518"/>
      <w:bookmarkStart w:id="332" w:name="_Toc241113338"/>
      <w:r w:rsidRPr="002332F8">
        <w:rPr>
          <w:rFonts w:ascii="Arial" w:hAnsi="Arial" w:cs="Arial"/>
          <w:color w:val="auto"/>
        </w:rPr>
        <w:t>6.5 Limitations of the Study</w:t>
      </w:r>
      <w:bookmarkEnd w:id="331"/>
      <w:bookmarkEnd w:id="332"/>
    </w:p>
    <w:p w14:paraId="4B0D7860" w14:textId="77777777" w:rsidR="00D71CCF" w:rsidRPr="002332F8" w:rsidRDefault="00D71CCF" w:rsidP="00D71CCF">
      <w:pPr>
        <w:rPr>
          <w:rFonts w:ascii="Arial" w:hAnsi="Arial" w:cs="Arial"/>
        </w:rPr>
      </w:pPr>
      <w:r w:rsidRPr="002332F8">
        <w:rPr>
          <w:rFonts w:ascii="Arial" w:hAnsi="Arial" w:cs="Arial"/>
        </w:rPr>
        <w:t xml:space="preserve">The cross-sectional design does not allow to draw conclusions of causality. Generalisation to the wider RMG industry in Bangladesh is constrained by purposive convenience sampling within one organisation, and common-measurement effects </w:t>
      </w:r>
      <w:r>
        <w:rPr>
          <w:rFonts w:ascii="Arial" w:hAnsi="Arial" w:cs="Arial"/>
        </w:rPr>
        <w:t>such as</w:t>
      </w:r>
      <w:r w:rsidRPr="002332F8">
        <w:rPr>
          <w:rFonts w:ascii="Arial" w:hAnsi="Arial" w:cs="Arial"/>
        </w:rPr>
        <w:t xml:space="preserve"> social-desirability</w:t>
      </w:r>
      <w:r>
        <w:rPr>
          <w:rFonts w:ascii="Arial" w:hAnsi="Arial" w:cs="Arial"/>
        </w:rPr>
        <w:t>,</w:t>
      </w:r>
      <w:r w:rsidRPr="002332F8">
        <w:rPr>
          <w:rFonts w:ascii="Arial" w:hAnsi="Arial" w:cs="Arial"/>
        </w:rPr>
        <w:t xml:space="preserve"> potentially exist due to self-reported responses with the same questionnaires.</w:t>
      </w:r>
    </w:p>
    <w:p w14:paraId="5ECFD277" w14:textId="77777777" w:rsidR="00D71CCF" w:rsidRPr="002332F8" w:rsidRDefault="00D71CCF" w:rsidP="00D71CCF">
      <w:pPr>
        <w:rPr>
          <w:rFonts w:ascii="Arial" w:hAnsi="Arial" w:cs="Arial"/>
        </w:rPr>
      </w:pPr>
      <w:r w:rsidRPr="002332F8">
        <w:rPr>
          <w:rFonts w:ascii="Arial" w:hAnsi="Arial" w:cs="Arial"/>
        </w:rPr>
        <w:t>The Cronbach's alpha scores were very low for all of the adapted scheduling scales, with the exception of the UWES-3 reliability. This low reliability decreases the level of confidence in the scheduling composites. Three observations also showed high Cook's distance, where the significance of predictability and accommodation decreased after the observations were removed.</w:t>
      </w:r>
    </w:p>
    <w:p w14:paraId="65CA0608" w14:textId="77777777" w:rsidR="00D71CCF" w:rsidRPr="002332F8" w:rsidRDefault="00D71CCF" w:rsidP="00D71CCF">
      <w:pPr>
        <w:pStyle w:val="Heading2"/>
        <w:rPr>
          <w:rFonts w:ascii="Arial" w:hAnsi="Arial" w:cs="Arial"/>
          <w:color w:val="auto"/>
        </w:rPr>
      </w:pPr>
      <w:bookmarkStart w:id="333" w:name="_Toc241093519"/>
      <w:bookmarkStart w:id="334" w:name="_Toc241113339"/>
      <w:r w:rsidRPr="002332F8">
        <w:rPr>
          <w:rFonts w:ascii="Arial" w:hAnsi="Arial" w:cs="Arial"/>
          <w:color w:val="auto"/>
        </w:rPr>
        <w:t>6.6 Recommendations for Future Research</w:t>
      </w:r>
      <w:bookmarkEnd w:id="333"/>
      <w:bookmarkEnd w:id="334"/>
    </w:p>
    <w:p w14:paraId="125642D7" w14:textId="77777777" w:rsidR="00D71CCF" w:rsidRPr="002332F8" w:rsidRDefault="00D71CCF" w:rsidP="00D71CCF">
      <w:pPr>
        <w:rPr>
          <w:rFonts w:ascii="Arial" w:hAnsi="Arial" w:cs="Arial"/>
        </w:rPr>
      </w:pPr>
      <w:r w:rsidRPr="002332F8">
        <w:rPr>
          <w:rFonts w:ascii="Arial" w:hAnsi="Arial" w:cs="Arial"/>
        </w:rPr>
        <w:t xml:space="preserve">Further studies should be conducted to improve scheduling measures using cognitive interviews, larger pilots and factor analysis prior to more rigorous hypothesis testing. </w:t>
      </w:r>
      <w:r w:rsidRPr="002332F8">
        <w:rPr>
          <w:rFonts w:ascii="Arial" w:hAnsi="Arial" w:cs="Arial"/>
        </w:rPr>
        <w:lastRenderedPageBreak/>
        <w:t>Multiple factories would show, if they existed, if the current patterns are specific to Natural Group or sector-wide.</w:t>
      </w:r>
    </w:p>
    <w:p w14:paraId="124EF518" w14:textId="77777777" w:rsidR="00D71CCF" w:rsidRPr="002332F8" w:rsidRDefault="00D71CCF" w:rsidP="00D71CCF">
      <w:pPr>
        <w:rPr>
          <w:rFonts w:ascii="Arial" w:hAnsi="Arial" w:cs="Arial"/>
        </w:rPr>
      </w:pPr>
      <w:r w:rsidRPr="002332F8">
        <w:rPr>
          <w:rFonts w:ascii="Arial" w:hAnsi="Arial" w:cs="Arial"/>
        </w:rPr>
        <w:t>Predictability and accommodation changes could precede engagement changes and could be tested in longitudinal studies. They could tie surveys to objective information about advance notice, overtime, shift changes, adjustment requests, etc. Mixed methods might account for the effectiveness and ineffectiveness of scheduling control, and future models may investigate organisational support, work-family conflict, and/or job demands using sufficient samples.</w:t>
      </w:r>
    </w:p>
    <w:p w14:paraId="7A1D5C07" w14:textId="77777777" w:rsidR="00D71CCF" w:rsidRPr="002332F8" w:rsidRDefault="00D71CCF" w:rsidP="00D71CCF">
      <w:pPr>
        <w:pStyle w:val="Heading2"/>
        <w:rPr>
          <w:rFonts w:ascii="Arial" w:hAnsi="Arial" w:cs="Arial"/>
          <w:color w:val="auto"/>
        </w:rPr>
      </w:pPr>
      <w:bookmarkStart w:id="335" w:name="_Toc241093520"/>
      <w:bookmarkStart w:id="336" w:name="_Toc241113340"/>
      <w:r w:rsidRPr="002332F8">
        <w:rPr>
          <w:rFonts w:ascii="Arial" w:hAnsi="Arial" w:cs="Arial"/>
          <w:color w:val="auto"/>
        </w:rPr>
        <w:t>6.7 Final Conclusion</w:t>
      </w:r>
      <w:bookmarkEnd w:id="335"/>
      <w:bookmarkEnd w:id="336"/>
    </w:p>
    <w:p w14:paraId="53606F3B" w14:textId="77777777" w:rsidR="00D71CCF" w:rsidRPr="002332F8" w:rsidRDefault="00D71CCF" w:rsidP="00D71CCF">
      <w:pPr>
        <w:rPr>
          <w:rFonts w:ascii="Arial" w:hAnsi="Arial" w:cs="Arial"/>
        </w:rPr>
      </w:pPr>
      <w:r w:rsidRPr="002332F8">
        <w:rPr>
          <w:rFonts w:ascii="Arial" w:hAnsi="Arial" w:cs="Arial"/>
        </w:rPr>
        <w:t>Overall, flexible employment in the clothing sector is not to be interpreted primarily as remote work or independence in scheduling choice. The present Natural Group sample did not show a significant relationship between control and engagement, but did show significant positive relationships between predictability and shift accommodation and engagement in the primary model. The evidence is provisional due to their sensitivity to influential cases and the unreliable scheduling-scale. The measures used should be validated and such relationships tested across organisations and time for future research.</w:t>
      </w:r>
    </w:p>
    <w:p w14:paraId="3597F97C" w14:textId="77777777" w:rsidR="00D71CCF" w:rsidRPr="002332F8" w:rsidRDefault="00D71CCF" w:rsidP="00D71CCF">
      <w:pPr>
        <w:spacing w:after="200" w:line="276" w:lineRule="auto"/>
        <w:jc w:val="left"/>
        <w:rPr>
          <w:rFonts w:ascii="Arial" w:hAnsi="Arial" w:cs="Arial"/>
        </w:rPr>
      </w:pPr>
      <w:bookmarkStart w:id="337" w:name="_Toc236591147"/>
      <w:bookmarkStart w:id="338" w:name="h082"/>
    </w:p>
    <w:p w14:paraId="224AD5BA" w14:textId="77777777" w:rsidR="00D71CCF" w:rsidRPr="002332F8" w:rsidRDefault="00D71CCF" w:rsidP="00D71CCF">
      <w:pPr>
        <w:pStyle w:val="Heading1"/>
        <w:pageBreakBefore/>
        <w:rPr>
          <w:rFonts w:ascii="Arial" w:hAnsi="Arial" w:cs="Arial"/>
          <w:color w:val="auto"/>
        </w:rPr>
      </w:pPr>
      <w:bookmarkStart w:id="339" w:name="_Toc241093521"/>
      <w:bookmarkStart w:id="340" w:name="_Toc241113341"/>
      <w:r w:rsidRPr="002332F8">
        <w:rPr>
          <w:rFonts w:ascii="Arial" w:hAnsi="Arial" w:cs="Arial"/>
          <w:color w:val="auto"/>
        </w:rPr>
        <w:lastRenderedPageBreak/>
        <w:t>References</w:t>
      </w:r>
      <w:bookmarkEnd w:id="337"/>
      <w:bookmarkEnd w:id="338"/>
      <w:r w:rsidRPr="002332F8">
        <w:rPr>
          <w:rFonts w:ascii="Arial" w:hAnsi="Arial" w:cs="Arial"/>
          <w:color w:val="auto"/>
        </w:rPr>
        <w:t xml:space="preserve"> List</w:t>
      </w:r>
      <w:bookmarkEnd w:id="339"/>
      <w:bookmarkEnd w:id="340"/>
    </w:p>
    <w:p w14:paraId="2BF60595" w14:textId="77777777" w:rsidR="00D71CCF" w:rsidRPr="002332F8" w:rsidRDefault="00D71CCF" w:rsidP="00D71CCF">
      <w:pPr>
        <w:spacing w:after="160"/>
        <w:ind w:left="720" w:hanging="720"/>
        <w:rPr>
          <w:rFonts w:ascii="Arial" w:hAnsi="Arial" w:cs="Arial"/>
        </w:rPr>
      </w:pPr>
      <w:r w:rsidRPr="002332F8">
        <w:rPr>
          <w:rFonts w:ascii="Arial" w:hAnsi="Arial" w:cs="Arial"/>
        </w:rPr>
        <w:t>Ahmad, R., Nawaz, M.R., Ishaq, M.I., Khan, M.M. and Ashraf, H.A. (2023) ‘Social exchange theory: Systematic review and future directions’, Frontiers in Psychology, 13, article 1015921. https://doi.org/10.3389/fpsyg.2022.1015921 (Accessed: 20 August 2026).</w:t>
      </w:r>
    </w:p>
    <w:p w14:paraId="1840E3C6" w14:textId="77777777" w:rsidR="00D71CCF" w:rsidRPr="002332F8" w:rsidRDefault="00D71CCF" w:rsidP="00D71CCF">
      <w:pPr>
        <w:spacing w:after="160"/>
        <w:ind w:left="720" w:hanging="720"/>
        <w:rPr>
          <w:rFonts w:ascii="Arial" w:hAnsi="Arial" w:cs="Arial"/>
        </w:rPr>
      </w:pPr>
      <w:r w:rsidRPr="002332F8">
        <w:rPr>
          <w:rFonts w:ascii="Arial" w:hAnsi="Arial" w:cs="Arial"/>
        </w:rPr>
        <w:t>Alam, M.J., Ullah, M.S., Islam, M. and Chowdhury, T.A. (2024) ‘Human resource management practices and employee engagement: The moderating effect of supervisory role’, Cogent Business &amp; Management, 11(1), article 2318802. https://doi.org/10.1080/23311975.2024.2318802 (Accessed: 27 August 2026).</w:t>
      </w:r>
    </w:p>
    <w:p w14:paraId="0C6ED0B7" w14:textId="77777777" w:rsidR="00D71CCF" w:rsidRPr="002332F8" w:rsidRDefault="00D71CCF" w:rsidP="00D71CCF">
      <w:pPr>
        <w:spacing w:after="160"/>
        <w:ind w:left="720" w:hanging="720"/>
        <w:rPr>
          <w:rFonts w:ascii="Arial" w:hAnsi="Arial" w:cs="Arial"/>
        </w:rPr>
      </w:pPr>
      <w:r w:rsidRPr="002332F8">
        <w:rPr>
          <w:rFonts w:ascii="Arial" w:hAnsi="Arial" w:cs="Arial"/>
        </w:rPr>
        <w:t>Allen, T.D., Johnson, R.C., Kiburz, K.M. and Shockley, K.M. (2013) ‘Work-family conflict and flexible work arrangements: Deconstructing flexibility’, Personnel Psychology, 66(2), pp. 345–376. https://doi.org/10.1111/peps.12012 (Accessed: 23 August 2026).</w:t>
      </w:r>
    </w:p>
    <w:p w14:paraId="1249AF49" w14:textId="77777777" w:rsidR="00D71CCF" w:rsidRPr="002332F8" w:rsidRDefault="00D71CCF" w:rsidP="00D71CCF">
      <w:pPr>
        <w:spacing w:after="160"/>
        <w:ind w:left="720" w:hanging="720"/>
        <w:rPr>
          <w:rFonts w:ascii="Arial" w:hAnsi="Arial" w:cs="Arial"/>
        </w:rPr>
      </w:pPr>
      <w:r w:rsidRPr="002332F8">
        <w:rPr>
          <w:rFonts w:ascii="Arial" w:hAnsi="Arial" w:cs="Arial"/>
        </w:rPr>
        <w:t>Anner, M. (2020) ‘Squeezing workers’ rights in global supply chains: Purchasing practices in the Bangladesh garment export sector in comparative perspective’, Review of International Political Economy, 27(2), pp. 320–347. https://doi.org/10.1080/09692290.2019.1625426 (Accessed: 30 August 2026).</w:t>
      </w:r>
    </w:p>
    <w:p w14:paraId="2FD63CD7" w14:textId="77777777" w:rsidR="00D71CCF" w:rsidRPr="002332F8" w:rsidRDefault="00D71CCF" w:rsidP="00D71CCF">
      <w:pPr>
        <w:spacing w:after="160"/>
        <w:ind w:left="720" w:hanging="720"/>
        <w:rPr>
          <w:rFonts w:ascii="Arial" w:hAnsi="Arial" w:cs="Arial"/>
        </w:rPr>
      </w:pPr>
      <w:r w:rsidRPr="002332F8">
        <w:rPr>
          <w:rFonts w:ascii="Arial" w:hAnsi="Arial" w:cs="Arial"/>
        </w:rPr>
        <w:t>Bailey, C., Madden, A., Alfes, K. and Fletcher, L. (2017) ‘The meaning, antecedents and outcomes of employee engagement: A narrative synthesis’, International Journal of Management Reviews, 19(1), pp. 31–53. https://doi.org/10.1111/ijmr.12077 (Accessed: 26 August 2026).</w:t>
      </w:r>
    </w:p>
    <w:p w14:paraId="48E8DC39" w14:textId="77777777" w:rsidR="00D71CCF" w:rsidRPr="002332F8" w:rsidRDefault="00D71CCF" w:rsidP="00D71CCF">
      <w:pPr>
        <w:spacing w:after="160"/>
        <w:ind w:left="720" w:hanging="720"/>
        <w:rPr>
          <w:rFonts w:ascii="Arial" w:hAnsi="Arial" w:cs="Arial"/>
        </w:rPr>
      </w:pPr>
      <w:r w:rsidRPr="002332F8">
        <w:rPr>
          <w:rFonts w:ascii="Arial" w:hAnsi="Arial" w:cs="Arial"/>
        </w:rPr>
        <w:t>Bakker, A.B. and Demerouti, E. (2017) ‘Job Demands-Resources Theory: Taking stock and looking forward’, Journal of Occupational Health Psychology, 22(3), pp. 273–285. https://doi.org/10.1037/ocp0000056 (Accessed: 22 August 2026).</w:t>
      </w:r>
    </w:p>
    <w:p w14:paraId="28554190" w14:textId="77777777" w:rsidR="00D71CCF" w:rsidRPr="002332F8" w:rsidRDefault="00D71CCF" w:rsidP="00D71CCF">
      <w:pPr>
        <w:spacing w:after="160"/>
        <w:ind w:left="720" w:hanging="720"/>
        <w:rPr>
          <w:rFonts w:ascii="Arial" w:hAnsi="Arial" w:cs="Arial"/>
        </w:rPr>
      </w:pPr>
      <w:r w:rsidRPr="002332F8">
        <w:rPr>
          <w:rFonts w:ascii="Arial" w:hAnsi="Arial" w:cs="Arial"/>
        </w:rPr>
        <w:t>Bakker, A.B., Demerouti, E. and Sanz-Vergel, A.I. (2023) ‘Job Demands-Resources Theory: Ten years later’, Annual Review of Organizational Psychology and Organizational Behavior, 10, pp. 25–53. https://doi.org/10.1146/annurev-orgpsych-120920-053933 (Accessed: 29 August 2026).</w:t>
      </w:r>
    </w:p>
    <w:p w14:paraId="69C0F665" w14:textId="77777777" w:rsidR="00D71CCF" w:rsidRPr="002332F8" w:rsidRDefault="00D71CCF" w:rsidP="00D71CCF">
      <w:pPr>
        <w:spacing w:after="160"/>
        <w:ind w:left="720" w:hanging="720"/>
        <w:rPr>
          <w:rFonts w:ascii="Arial" w:hAnsi="Arial" w:cs="Arial"/>
        </w:rPr>
      </w:pPr>
      <w:r w:rsidRPr="002332F8">
        <w:rPr>
          <w:rFonts w:ascii="Arial" w:hAnsi="Arial" w:cs="Arial"/>
        </w:rPr>
        <w:t xml:space="preserve">Bal, P.M. and De Lange, A.H. (2015) ‘From flexibility human resource management to employee engagement and perceived job performance across the lifespan: A </w:t>
      </w:r>
      <w:r w:rsidRPr="002332F8">
        <w:rPr>
          <w:rFonts w:ascii="Arial" w:hAnsi="Arial" w:cs="Arial"/>
        </w:rPr>
        <w:lastRenderedPageBreak/>
        <w:t>multisample study’, Journal of Occupational and Organizational Psychology, 88(1), pp. 126–154. https://doi.org/10.1111/joop.12082 (Accessed: 25 August 2026).</w:t>
      </w:r>
    </w:p>
    <w:p w14:paraId="2AB96CAA" w14:textId="77777777" w:rsidR="00D71CCF" w:rsidRPr="002332F8" w:rsidRDefault="00D71CCF" w:rsidP="00D71CCF">
      <w:pPr>
        <w:spacing w:after="160"/>
        <w:ind w:left="720" w:hanging="720"/>
        <w:rPr>
          <w:rFonts w:ascii="Arial" w:hAnsi="Arial" w:cs="Arial"/>
        </w:rPr>
      </w:pPr>
      <w:r w:rsidRPr="002332F8">
        <w:rPr>
          <w:rFonts w:ascii="Arial" w:hAnsi="Arial" w:cs="Arial"/>
        </w:rPr>
        <w:t>Bangladesh Garment Manufacturers and Exporters Association (n.d.) About Garment Industry of Bangladesh. Available at: https://bgmea.com.bd/page/AboutGarmentsIndustry (Accessed: 21 August 2026).</w:t>
      </w:r>
    </w:p>
    <w:p w14:paraId="268A85C8" w14:textId="77777777" w:rsidR="00D71CCF" w:rsidRPr="002332F8" w:rsidRDefault="00D71CCF" w:rsidP="00D71CCF">
      <w:pPr>
        <w:spacing w:after="160"/>
        <w:ind w:left="720" w:hanging="720"/>
        <w:rPr>
          <w:rFonts w:ascii="Arial" w:hAnsi="Arial" w:cs="Arial"/>
        </w:rPr>
      </w:pPr>
      <w:r w:rsidRPr="002332F8">
        <w:rPr>
          <w:rFonts w:ascii="Arial" w:hAnsi="Arial" w:cs="Arial"/>
        </w:rPr>
        <w:t>Bloom, N., Han, R. and Liang, J. (2024) ‘Hybrid working from home improves retention without damaging performance’, Nature, 630(8018), pp. 920–925. https://doi.org/10.1038/s41586-024-07500-2 (Accessed: 28 August 2026).</w:t>
      </w:r>
    </w:p>
    <w:p w14:paraId="2B3B2332" w14:textId="77777777" w:rsidR="00D71CCF" w:rsidRPr="002332F8" w:rsidRDefault="00D71CCF" w:rsidP="00D71CCF">
      <w:pPr>
        <w:spacing w:after="160"/>
        <w:ind w:left="720" w:hanging="720"/>
        <w:rPr>
          <w:rFonts w:ascii="Arial" w:hAnsi="Arial" w:cs="Arial"/>
        </w:rPr>
      </w:pPr>
      <w:r w:rsidRPr="002332F8">
        <w:rPr>
          <w:rFonts w:ascii="Arial" w:hAnsi="Arial" w:cs="Arial"/>
        </w:rPr>
        <w:t>Boccoli, G., Tims, M., Gastaldi, L. and Corso, M. (2024) ‘The psychological experience of flexibility in the workplace: How psychological job control and boundary control profiles relate to the wellbeing of flexible workers’, Journal of Vocational Behavior, 155, article 104059. https://doi.org/10.1016/j.jvb.2024.104059 (Accessed: 24 August 2026).</w:t>
      </w:r>
    </w:p>
    <w:p w14:paraId="16C21154" w14:textId="77777777" w:rsidR="00D71CCF" w:rsidRPr="002332F8" w:rsidRDefault="00D71CCF" w:rsidP="00D71CCF">
      <w:pPr>
        <w:spacing w:after="160"/>
        <w:ind w:left="720" w:hanging="720"/>
        <w:rPr>
          <w:rFonts w:ascii="Arial" w:hAnsi="Arial" w:cs="Arial"/>
        </w:rPr>
      </w:pPr>
      <w:r w:rsidRPr="002332F8">
        <w:rPr>
          <w:rFonts w:ascii="Arial" w:hAnsi="Arial" w:cs="Arial"/>
        </w:rPr>
        <w:t>Borst, R.T., Kruyen, P.M., Lako, C.J. and de Vries, M.S. (2020) ‘The attitudinal, behavioral, and performance outcomes of work engagement: A comparative meta-analysis across the public, semipublic, and private sector’, Review of Public Personnel Administration, 40(4), pp. 613–640. https://doi.org/10.1177/0734371X19840399 (Accessed: 20 August 2026).</w:t>
      </w:r>
    </w:p>
    <w:p w14:paraId="2E1F8707" w14:textId="76E97DCC" w:rsidR="00D71CCF" w:rsidRPr="002332F8" w:rsidRDefault="00D71CCF" w:rsidP="00D71CCF">
      <w:pPr>
        <w:spacing w:after="160"/>
        <w:ind w:left="720" w:hanging="720"/>
        <w:rPr>
          <w:rFonts w:ascii="Arial" w:hAnsi="Arial" w:cs="Arial"/>
        </w:rPr>
      </w:pPr>
      <w:r w:rsidRPr="002332F8">
        <w:rPr>
          <w:rFonts w:ascii="Arial" w:hAnsi="Arial" w:cs="Arial"/>
        </w:rPr>
        <w:t xml:space="preserve">Bryman, A. and Bell, E. (2015) Business Research Methods. 4th edn. Oxford: Oxford University </w:t>
      </w:r>
      <w:r w:rsidR="00997340">
        <w:rPr>
          <w:rFonts w:ascii="Arial" w:hAnsi="Arial" w:cs="Arial"/>
        </w:rPr>
        <w:t>Press</w:t>
      </w:r>
      <w:r w:rsidRPr="002332F8">
        <w:rPr>
          <w:rFonts w:ascii="Arial" w:hAnsi="Arial" w:cs="Arial"/>
        </w:rPr>
        <w:t>.</w:t>
      </w:r>
    </w:p>
    <w:p w14:paraId="0A8BE446" w14:textId="77777777" w:rsidR="00D71CCF" w:rsidRPr="002332F8" w:rsidRDefault="00D71CCF" w:rsidP="00D71CCF">
      <w:pPr>
        <w:spacing w:after="160"/>
        <w:ind w:left="720" w:hanging="720"/>
        <w:rPr>
          <w:rFonts w:ascii="Arial" w:hAnsi="Arial" w:cs="Arial"/>
        </w:rPr>
      </w:pPr>
      <w:r w:rsidRPr="002332F8">
        <w:rPr>
          <w:rFonts w:ascii="Arial" w:hAnsi="Arial" w:cs="Arial"/>
        </w:rPr>
        <w:t>Chartered Institute of Personnel and Development (2024) Flexible working: The business case. Available at: https://www.cipd.org/globalassets/media/knowledge/knowledge-hub/tools/2024-pdfs/8557-flexible-working-business-case-evidence-feb24.pdf (Accessed: 23 August 2026).</w:t>
      </w:r>
    </w:p>
    <w:p w14:paraId="33C104E8" w14:textId="77777777" w:rsidR="00D71CCF" w:rsidRPr="002332F8" w:rsidRDefault="00D71CCF" w:rsidP="00D71CCF">
      <w:pPr>
        <w:spacing w:after="160"/>
        <w:ind w:left="720" w:hanging="720"/>
        <w:rPr>
          <w:rFonts w:ascii="Arial" w:hAnsi="Arial" w:cs="Arial"/>
        </w:rPr>
      </w:pPr>
      <w:r w:rsidRPr="002332F8">
        <w:rPr>
          <w:rFonts w:ascii="Arial" w:hAnsi="Arial" w:cs="Arial"/>
        </w:rPr>
        <w:t>Çivilidağ, A. and Durmaz, Ş. (2024) ‘Examining the relationship between flexible working arrangements and employee performance: A mini review’, Frontiers in Psychology, 15, article 1398309. https://doi.org/10.3389/fpsyg.2024.1398309 (Accessed: 30 August 2026).</w:t>
      </w:r>
    </w:p>
    <w:p w14:paraId="0EE609F5" w14:textId="77777777" w:rsidR="00D71CCF" w:rsidRPr="002332F8" w:rsidRDefault="00D71CCF" w:rsidP="00D71CCF">
      <w:pPr>
        <w:spacing w:after="160"/>
        <w:ind w:left="720" w:hanging="720"/>
        <w:rPr>
          <w:rFonts w:ascii="Arial" w:hAnsi="Arial" w:cs="Arial"/>
        </w:rPr>
      </w:pPr>
      <w:r w:rsidRPr="002332F8">
        <w:rPr>
          <w:rFonts w:ascii="Arial" w:hAnsi="Arial" w:cs="Arial"/>
        </w:rPr>
        <w:lastRenderedPageBreak/>
        <w:t>Collis, J. and Hussey, R. (2014) Business Research: A Practical Guide for Undergraduate and Postgraduate Students. 4th edn. Basingstoke: Palgrave Macmillan (Accessed: 26 August 2026).</w:t>
      </w:r>
    </w:p>
    <w:p w14:paraId="2A18AF08" w14:textId="77777777" w:rsidR="00D71CCF" w:rsidRPr="002332F8" w:rsidRDefault="00D71CCF" w:rsidP="00D71CCF">
      <w:pPr>
        <w:spacing w:after="160"/>
        <w:ind w:left="720" w:hanging="720"/>
        <w:rPr>
          <w:rFonts w:ascii="Arial" w:hAnsi="Arial" w:cs="Arial"/>
        </w:rPr>
      </w:pPr>
      <w:r w:rsidRPr="002332F8">
        <w:rPr>
          <w:rFonts w:ascii="Arial" w:hAnsi="Arial" w:cs="Arial"/>
        </w:rPr>
        <w:t>Cropanzano, R., Anthony, E.L., Daniels, S.R. and Hall, A.V. (2017) ‘Social exchange theory: A critical review with theoretical remedies’, Academy of Management Annals, 11(1), pp. 479–516. https://doi.org/10.5465/annals.2015.0099 (Accessed: 22 August 2026).</w:t>
      </w:r>
    </w:p>
    <w:p w14:paraId="0FFF9422" w14:textId="77777777" w:rsidR="00D71CCF" w:rsidRPr="002332F8" w:rsidRDefault="00D71CCF" w:rsidP="00D71CCF">
      <w:pPr>
        <w:spacing w:after="160"/>
        <w:ind w:left="720" w:hanging="720"/>
        <w:rPr>
          <w:rFonts w:ascii="Arial" w:hAnsi="Arial" w:cs="Arial"/>
        </w:rPr>
      </w:pPr>
      <w:r w:rsidRPr="002332F8">
        <w:rPr>
          <w:rFonts w:ascii="Arial" w:hAnsi="Arial" w:cs="Arial"/>
        </w:rPr>
        <w:t>de Menezes, L.M. and Kelliher, C. (2017) ‘Flexible working, individual performance, and employee attitudes: Comparing formal and informal arrangements’, Human Resource Management, 56(6), pp. 1051–1070. https://doi.org/10.1002/hrm.21822 (Accessed: 29 August 2026).</w:t>
      </w:r>
    </w:p>
    <w:p w14:paraId="5AE2A81A" w14:textId="77777777" w:rsidR="00D71CCF" w:rsidRPr="002332F8" w:rsidRDefault="00D71CCF" w:rsidP="00D71CCF">
      <w:pPr>
        <w:spacing w:after="160"/>
        <w:ind w:left="720" w:hanging="720"/>
        <w:rPr>
          <w:rFonts w:ascii="Arial" w:hAnsi="Arial" w:cs="Arial"/>
        </w:rPr>
      </w:pPr>
      <w:r w:rsidRPr="002332F8">
        <w:rPr>
          <w:rFonts w:ascii="Arial" w:hAnsi="Arial" w:cs="Arial"/>
        </w:rPr>
        <w:t>Eisenberger, R., Rhoades Shanock, L. and Wen, X. (2020) ‘Perceived organizational support: Why caring about employees counts’, Annual Review of Organizational Psychology and Organizational Behavior, 7, pp. 101–124. https://doi.org/10.1146/annurev-orgpsych-012119-044917 (Accessed: 25 August 2026).</w:t>
      </w:r>
    </w:p>
    <w:p w14:paraId="4457DFC9" w14:textId="77777777" w:rsidR="00D71CCF" w:rsidRPr="002332F8" w:rsidRDefault="00D71CCF" w:rsidP="00D71CCF">
      <w:pPr>
        <w:spacing w:after="160"/>
        <w:ind w:left="720" w:hanging="720"/>
        <w:rPr>
          <w:rFonts w:ascii="Arial" w:hAnsi="Arial" w:cs="Arial"/>
        </w:rPr>
      </w:pPr>
      <w:r w:rsidRPr="002332F8">
        <w:rPr>
          <w:rFonts w:ascii="Arial" w:hAnsi="Arial" w:cs="Arial"/>
        </w:rPr>
        <w:t>Faul, F., Erdfelder, E., Buchner, A. and Lang, A.G. (2009) ‘Statistical power analyses using G*Power 3.1: Tests for correlation and regression analyses’, Behavior Research Methods, 41(4), pp. 1149-1160. https://doi.org/10.3758/BRM.41.4.1149 (Accessed: 21 August 2026).</w:t>
      </w:r>
    </w:p>
    <w:p w14:paraId="7A3102E6" w14:textId="77777777" w:rsidR="00D71CCF" w:rsidRPr="002332F8" w:rsidRDefault="00D71CCF" w:rsidP="00D71CCF">
      <w:pPr>
        <w:spacing w:after="160"/>
        <w:ind w:left="720" w:hanging="720"/>
        <w:rPr>
          <w:rFonts w:ascii="Arial" w:hAnsi="Arial" w:cs="Arial"/>
        </w:rPr>
      </w:pPr>
      <w:r w:rsidRPr="002332F8">
        <w:rPr>
          <w:rFonts w:ascii="Arial" w:hAnsi="Arial" w:cs="Arial"/>
        </w:rPr>
        <w:t>Gašić, D. and Berber, N. (2023) ‘The mediating role of employee engagement in the relationship between flexible work arrangements and turnover intentions among highly educated employees in the Republic of Serbia’, Behavioral Sciences, 13(2), article 131. https://doi.org/10.3390/bs13020131 (Accessed: 28 August 2026).</w:t>
      </w:r>
    </w:p>
    <w:p w14:paraId="45492C70" w14:textId="77777777" w:rsidR="00D71CCF" w:rsidRPr="002332F8" w:rsidRDefault="00D71CCF" w:rsidP="00D71CCF">
      <w:pPr>
        <w:spacing w:after="160"/>
        <w:ind w:left="720" w:hanging="720"/>
        <w:rPr>
          <w:rFonts w:ascii="Arial" w:hAnsi="Arial" w:cs="Arial"/>
        </w:rPr>
      </w:pPr>
      <w:r w:rsidRPr="002332F8">
        <w:rPr>
          <w:rFonts w:ascii="Arial" w:hAnsi="Arial" w:cs="Arial"/>
        </w:rPr>
        <w:t>Gazi, M.A.I., Al Masud, A., Yusof, M.F., Islam, M.A., Rahman, M.K. and Wang, Q. (2024) ‘Factors affecting the quality of work life for industrial labour force: Empirical evidence from a developing country’, BMC Psychology, 12, article 589. https://doi.org/10.1186/s40359-024-02073-1 (Accessed: 24 August 2026).</w:t>
      </w:r>
    </w:p>
    <w:p w14:paraId="233A9A55" w14:textId="77777777" w:rsidR="00D71CCF" w:rsidRPr="002332F8" w:rsidRDefault="00D71CCF" w:rsidP="00D71CCF">
      <w:pPr>
        <w:spacing w:after="160"/>
        <w:ind w:left="720" w:hanging="720"/>
        <w:rPr>
          <w:rFonts w:ascii="Arial" w:hAnsi="Arial" w:cs="Arial"/>
        </w:rPr>
      </w:pPr>
      <w:r w:rsidRPr="002332F8">
        <w:rPr>
          <w:rFonts w:ascii="Arial" w:hAnsi="Arial" w:cs="Arial"/>
        </w:rPr>
        <w:t xml:space="preserve">Harknett, K., Schneider, D. and Irwin, V. (2021) ‘Improving health and economic security by reducing work schedule uncertainty’, Proceedings of the National </w:t>
      </w:r>
      <w:r w:rsidRPr="002332F8">
        <w:rPr>
          <w:rFonts w:ascii="Arial" w:hAnsi="Arial" w:cs="Arial"/>
        </w:rPr>
        <w:lastRenderedPageBreak/>
        <w:t>Academy of Sciences of the United States of America, 118(42), article e2107828118. https://doi.org/10.1073/pnas.2107828118 (Accessed: 20 August 2026).</w:t>
      </w:r>
    </w:p>
    <w:p w14:paraId="1A3F79F6" w14:textId="77777777" w:rsidR="00D71CCF" w:rsidRPr="002332F8" w:rsidRDefault="00D71CCF" w:rsidP="00D71CCF">
      <w:pPr>
        <w:spacing w:after="160"/>
        <w:ind w:left="720" w:hanging="720"/>
        <w:rPr>
          <w:rFonts w:ascii="Arial" w:hAnsi="Arial" w:cs="Arial"/>
        </w:rPr>
      </w:pPr>
      <w:r w:rsidRPr="002332F8">
        <w:rPr>
          <w:rFonts w:ascii="Arial" w:hAnsi="Arial" w:cs="Arial"/>
        </w:rPr>
        <w:t>Harknett, K., Schneider, D. and Wolfe, R. (2020) ‘Losing sleep over work scheduling? The relationship between work schedules and sleep quality for service sector workers’, SSM - Population Health, 12, article 100681. https://doi.org/10.1016/j.ssmph.2020.100681 (Accessed: 27 August 2026).</w:t>
      </w:r>
    </w:p>
    <w:p w14:paraId="103685FF" w14:textId="77777777" w:rsidR="00D71CCF" w:rsidRPr="002332F8" w:rsidRDefault="00D71CCF" w:rsidP="00D71CCF">
      <w:pPr>
        <w:spacing w:after="160"/>
        <w:ind w:left="720" w:hanging="720"/>
        <w:rPr>
          <w:rFonts w:ascii="Arial" w:hAnsi="Arial" w:cs="Arial"/>
        </w:rPr>
      </w:pPr>
      <w:r w:rsidRPr="002332F8">
        <w:rPr>
          <w:rFonts w:ascii="Arial" w:hAnsi="Arial" w:cs="Arial"/>
        </w:rPr>
        <w:t>Inam, A., Ho, J.A., Zafar, H., Khan, U., Sheikh, A.A. and Najam, U. (2021) ‘Fostering creativity and work engagement through perceived organizational support: The interactive role of stressors’, SAGE Open, 11(3), pp. 1-16. https://doi.org/10.1177/21582440211046937 (Accessed: 23 August 2026).</w:t>
      </w:r>
    </w:p>
    <w:p w14:paraId="16BF40E3" w14:textId="77777777" w:rsidR="00D71CCF" w:rsidRPr="002332F8" w:rsidRDefault="00D71CCF" w:rsidP="00D71CCF">
      <w:pPr>
        <w:spacing w:after="160"/>
        <w:ind w:left="720" w:hanging="720"/>
        <w:rPr>
          <w:rFonts w:ascii="Arial" w:hAnsi="Arial" w:cs="Arial"/>
        </w:rPr>
      </w:pPr>
      <w:r w:rsidRPr="002332F8">
        <w:rPr>
          <w:rFonts w:ascii="Arial" w:hAnsi="Arial" w:cs="Arial"/>
        </w:rPr>
        <w:t>International Labour Organization (2020) Improving Working Conditions in the Ready-made Garment Sector Programme. Available at: https://www.ilo.org/publications/improving-working-conditions-ready-made-garment-sector-programme (Accessed: 30 August 2026).</w:t>
      </w:r>
    </w:p>
    <w:p w14:paraId="4228EF40" w14:textId="77777777" w:rsidR="00D71CCF" w:rsidRPr="002332F8" w:rsidRDefault="00D71CCF" w:rsidP="00D71CCF">
      <w:pPr>
        <w:spacing w:after="160"/>
        <w:ind w:left="720" w:hanging="720"/>
        <w:rPr>
          <w:rFonts w:ascii="Arial" w:hAnsi="Arial" w:cs="Arial"/>
        </w:rPr>
      </w:pPr>
      <w:r w:rsidRPr="002332F8">
        <w:rPr>
          <w:rFonts w:ascii="Arial" w:hAnsi="Arial" w:cs="Arial"/>
        </w:rPr>
        <w:t>Islam, M.S. (2021) ‘Ready-made garments exports earning and its contribution to economic growth in Bangladesh’, GeoJournal, 86, pp. 1301–1309. https://doi.org/10.1007/s10708-019-10131-0 (Accessed: 26 August 2026).</w:t>
      </w:r>
    </w:p>
    <w:p w14:paraId="376F393A" w14:textId="77777777" w:rsidR="00D71CCF" w:rsidRPr="002332F8" w:rsidRDefault="00D71CCF" w:rsidP="00D71CCF">
      <w:pPr>
        <w:spacing w:after="160"/>
        <w:ind w:left="720" w:hanging="720"/>
        <w:rPr>
          <w:rFonts w:ascii="Arial" w:hAnsi="Arial" w:cs="Arial"/>
        </w:rPr>
      </w:pPr>
      <w:r w:rsidRPr="002332F8">
        <w:rPr>
          <w:rFonts w:ascii="Arial" w:hAnsi="Arial" w:cs="Arial"/>
        </w:rPr>
        <w:t>Kabir, H., Maple, M., Islam, M.S. and Usher, K. (2019) ‘The current health and wellbeing of the survivors of the Rana Plaza building collapse in Bangladesh: A qualitative study’, International Journal of Environmental Research and Public Health, 16(13), article 2342. https://doi.org/10.3390/ijerph16132342 (Accessed: 22 August 2026).</w:t>
      </w:r>
    </w:p>
    <w:p w14:paraId="40F32AC8" w14:textId="77777777" w:rsidR="00D71CCF" w:rsidRPr="002332F8" w:rsidRDefault="00D71CCF" w:rsidP="00D71CCF">
      <w:pPr>
        <w:spacing w:after="160"/>
        <w:ind w:left="720" w:hanging="720"/>
        <w:rPr>
          <w:rFonts w:ascii="Arial" w:hAnsi="Arial" w:cs="Arial"/>
        </w:rPr>
      </w:pPr>
      <w:r w:rsidRPr="002332F8">
        <w:rPr>
          <w:rFonts w:ascii="Arial" w:hAnsi="Arial" w:cs="Arial"/>
        </w:rPr>
        <w:t>Kesavan, S., Lambert, S.J., Williams, J.C. and Pendem, P.K. (2022) ‘Doing well by doing good: Improving retail store performance with responsible scheduling practices at the Gap, Inc.’, Management Science, 68(11), pp. 7818–7836. https://doi.org/10.1287/mnsc.2021.4291 (Accessed: 29 August 2026).</w:t>
      </w:r>
    </w:p>
    <w:p w14:paraId="4BBD03C9" w14:textId="77777777" w:rsidR="00D71CCF" w:rsidRPr="002332F8" w:rsidRDefault="00D71CCF" w:rsidP="00D71CCF">
      <w:pPr>
        <w:spacing w:after="160"/>
        <w:ind w:left="720" w:hanging="720"/>
        <w:rPr>
          <w:rFonts w:ascii="Arial" w:hAnsi="Arial" w:cs="Arial"/>
        </w:rPr>
      </w:pPr>
      <w:r w:rsidRPr="002332F8">
        <w:rPr>
          <w:rFonts w:ascii="Arial" w:hAnsi="Arial" w:cs="Arial"/>
        </w:rPr>
        <w:t>Kossek, E.E., Perrigino, M.B. and Lautsch, B.A. (2023) ‘Work-life flexibility policies from a boundary control and implementation perspective: A review and research framework’, Journal of Management, 49(6), pp. 2062–2108. https://doi.org/10.1177/01492063221140354 (Accessed: 25 August 2026).</w:t>
      </w:r>
    </w:p>
    <w:p w14:paraId="2D471AA6" w14:textId="77777777" w:rsidR="00D71CCF" w:rsidRPr="002332F8" w:rsidRDefault="00D71CCF" w:rsidP="00D71CCF">
      <w:pPr>
        <w:spacing w:after="160"/>
        <w:ind w:left="720" w:hanging="720"/>
        <w:rPr>
          <w:rFonts w:ascii="Arial" w:hAnsi="Arial" w:cs="Arial"/>
        </w:rPr>
      </w:pPr>
      <w:r w:rsidRPr="002332F8">
        <w:rPr>
          <w:rFonts w:ascii="Arial" w:hAnsi="Arial" w:cs="Arial"/>
        </w:rPr>
        <w:lastRenderedPageBreak/>
        <w:t>Lambert, S.J., Henly, J.R., Schoeny, M. and Jarpe, M. (2019) ‘Increasing schedule predictability in hourly jobs: Results from a randomized experiment in a U.S. retail firm’, Work and Occupations, 46(2), pp. 176–226. https://doi.org/10.1177/0730888418823241 (Accessed: 21 August 2026).</w:t>
      </w:r>
    </w:p>
    <w:p w14:paraId="1BD629F9" w14:textId="77777777" w:rsidR="00D71CCF" w:rsidRPr="002332F8" w:rsidRDefault="00D71CCF" w:rsidP="00D71CCF">
      <w:pPr>
        <w:spacing w:after="160"/>
        <w:ind w:left="720" w:hanging="720"/>
        <w:rPr>
          <w:rFonts w:ascii="Arial" w:hAnsi="Arial" w:cs="Arial"/>
        </w:rPr>
      </w:pPr>
      <w:r w:rsidRPr="002332F8">
        <w:rPr>
          <w:rFonts w:ascii="Arial" w:hAnsi="Arial" w:cs="Arial"/>
        </w:rPr>
        <w:t>Lee, S.H., Chong, C.W. and Ojo, A.O. (2024) ‘Influence of workplace flexibility on employee engagement among young generation’, Cogent Business &amp; Management, 11(1), article 2309705. https://doi.org/10.1080/23311975.2024.2309705 (Accessed: 28 August 2026).</w:t>
      </w:r>
    </w:p>
    <w:p w14:paraId="0214FCDE" w14:textId="77777777" w:rsidR="00D71CCF" w:rsidRPr="002332F8" w:rsidRDefault="00D71CCF" w:rsidP="00D71CCF">
      <w:pPr>
        <w:spacing w:after="160"/>
        <w:ind w:left="720" w:hanging="720"/>
        <w:rPr>
          <w:rFonts w:ascii="Arial" w:hAnsi="Arial" w:cs="Arial"/>
        </w:rPr>
      </w:pPr>
      <w:r w:rsidRPr="002332F8">
        <w:rPr>
          <w:rFonts w:ascii="Arial" w:hAnsi="Arial" w:cs="Arial"/>
        </w:rPr>
        <w:t>Lesener, T., Gusy, B. and Wolter, C. (2019) ‘The job demands-resources model: A meta-analytic review of longitudinal studies’, Work &amp; Stress, 33(1), pp. 76–103. https://doi.org/10.1080/02678373.2018.1529065 (Accessed: 24 August 2026).</w:t>
      </w:r>
    </w:p>
    <w:p w14:paraId="7A358818" w14:textId="77777777" w:rsidR="00D71CCF" w:rsidRPr="002332F8" w:rsidRDefault="00D71CCF" w:rsidP="00D71CCF">
      <w:pPr>
        <w:spacing w:after="160"/>
        <w:ind w:left="720" w:hanging="720"/>
        <w:rPr>
          <w:rFonts w:ascii="Arial" w:hAnsi="Arial" w:cs="Arial"/>
        </w:rPr>
      </w:pPr>
      <w:r w:rsidRPr="002332F8">
        <w:rPr>
          <w:rFonts w:ascii="Arial" w:hAnsi="Arial" w:cs="Arial"/>
        </w:rPr>
        <w:t>Lesener, T., Gusy, B., Jochmann, A. and Wolter, C. (2020) ‘The drivers of work engagement: A meta-analytic review of longitudinal evidence’, Work &amp; Stress, 34(3), pp. 259–278. https://doi.org/10.1080/02678373.2019.1686440 (Accessed: 20 August 2026).</w:t>
      </w:r>
    </w:p>
    <w:p w14:paraId="72B2EA71" w14:textId="77777777" w:rsidR="00D71CCF" w:rsidRPr="002332F8" w:rsidRDefault="00D71CCF" w:rsidP="00D71CCF">
      <w:pPr>
        <w:spacing w:after="160"/>
        <w:ind w:left="720" w:hanging="720"/>
        <w:rPr>
          <w:rFonts w:ascii="Arial" w:hAnsi="Arial" w:cs="Arial"/>
        </w:rPr>
      </w:pPr>
      <w:r w:rsidRPr="002332F8">
        <w:rPr>
          <w:rFonts w:ascii="Arial" w:hAnsi="Arial" w:cs="Arial"/>
        </w:rPr>
        <w:t>Mazzetti, G., Robledo, E., Vignoli, M., Topa, G., Guglielmi, D. and Schaufeli, W.B. (2023) ‘Work engagement: A meta-analysis using the Job Demands-Resources model’, Psychological Reports, 126(3), pp. 1069–1107. https://doi.org/10.1177/00332941211051988 (Accessed: 27 August 2026).</w:t>
      </w:r>
    </w:p>
    <w:p w14:paraId="54D8ED35" w14:textId="77777777" w:rsidR="00D71CCF" w:rsidRPr="002332F8" w:rsidRDefault="00D71CCF" w:rsidP="00D71CCF">
      <w:pPr>
        <w:spacing w:after="160"/>
        <w:ind w:left="720" w:hanging="720"/>
        <w:rPr>
          <w:rFonts w:ascii="Arial" w:hAnsi="Arial" w:cs="Arial"/>
        </w:rPr>
      </w:pPr>
      <w:r w:rsidRPr="002332F8">
        <w:rPr>
          <w:rFonts w:ascii="Arial" w:hAnsi="Arial" w:cs="Arial"/>
        </w:rPr>
        <w:t>Menzel, A. and Woodruff, C. (2021) ‘Gender wage gaps and worker mobility: Evidence from the garment sector in Bangladesh’, Labour Economics, 71, article 102000. https://doi.org/10.1016/j.labeco.2021.102000 (Accessed: 23 August 2026).</w:t>
      </w:r>
    </w:p>
    <w:p w14:paraId="2110E359" w14:textId="77777777" w:rsidR="00D71CCF" w:rsidRPr="002332F8" w:rsidRDefault="00D71CCF" w:rsidP="00D71CCF">
      <w:pPr>
        <w:spacing w:after="160"/>
        <w:ind w:left="720" w:hanging="720"/>
        <w:rPr>
          <w:rFonts w:ascii="Arial" w:hAnsi="Arial" w:cs="Arial"/>
        </w:rPr>
      </w:pPr>
      <w:r w:rsidRPr="002332F8">
        <w:rPr>
          <w:rFonts w:ascii="Arial" w:hAnsi="Arial" w:cs="Arial"/>
        </w:rPr>
        <w:t>Nabi, M.H., Hasan, M., Chowdhury, A.T., Naz, F. and Hossian, M. (2023) ‘The impact of climate change on the lives and livelihoods of readymade garment workers: An exploratory study in selected readymade garment factories in Bangladesh’, BMC Public Health, 23, article 2292. https://doi.org/10.1186/s12889-023-17165-7 (Accessed: 30 August 2026).</w:t>
      </w:r>
    </w:p>
    <w:p w14:paraId="1FEE7FB0" w14:textId="77777777" w:rsidR="00D71CCF" w:rsidRPr="002332F8" w:rsidRDefault="00D71CCF" w:rsidP="00D71CCF">
      <w:pPr>
        <w:spacing w:after="160"/>
        <w:ind w:left="720" w:hanging="720"/>
        <w:rPr>
          <w:rFonts w:ascii="Arial" w:hAnsi="Arial" w:cs="Arial"/>
        </w:rPr>
      </w:pPr>
      <w:r w:rsidRPr="002332F8">
        <w:rPr>
          <w:rFonts w:ascii="Arial" w:hAnsi="Arial" w:cs="Arial"/>
        </w:rPr>
        <w:t xml:space="preserve">Naved, R.T., Al Mamun, M., Parvin, K., Willan, S., Gibbs, A. and Jewkes, R. (2021) ‘Learnings from the evaluation of HERrespect: A factory-based intervention to prevent intimate partner and workplace violence against female garment </w:t>
      </w:r>
      <w:r w:rsidRPr="002332F8">
        <w:rPr>
          <w:rFonts w:ascii="Arial" w:hAnsi="Arial" w:cs="Arial"/>
        </w:rPr>
        <w:lastRenderedPageBreak/>
        <w:t>workers in Bangladesh’, Global Health Action, 14(1), article 1868960. https://doi.org/10.1080/16549716.2020.1868960 (Accessed: 26 August 2026).</w:t>
      </w:r>
    </w:p>
    <w:p w14:paraId="1BA538D0" w14:textId="77777777" w:rsidR="00D71CCF" w:rsidRPr="002332F8" w:rsidRDefault="00D71CCF" w:rsidP="00D71CCF">
      <w:pPr>
        <w:spacing w:after="160"/>
        <w:ind w:left="720" w:hanging="720"/>
        <w:rPr>
          <w:rFonts w:ascii="Arial" w:hAnsi="Arial" w:cs="Arial"/>
        </w:rPr>
      </w:pPr>
      <w:r w:rsidRPr="002332F8">
        <w:rPr>
          <w:rFonts w:ascii="Arial" w:hAnsi="Arial" w:cs="Arial"/>
        </w:rPr>
        <w:t>Neuber, L., Englitz, C., Schulte, N., Forthmann, B. and Holling, H. (2022) ‘How work engagement relates to performance and absenteeism: A meta-analysis’, European Journal of Work and Organizational Psychology, 31(2), pp. 292–315. https://doi.org/10.1080/1359432X.2021.1953989 (Accessed: 22 August 2026).</w:t>
      </w:r>
    </w:p>
    <w:p w14:paraId="2C814E0B" w14:textId="77777777" w:rsidR="00D71CCF" w:rsidRPr="002332F8" w:rsidRDefault="00D71CCF" w:rsidP="00D71CCF">
      <w:pPr>
        <w:spacing w:after="160"/>
        <w:ind w:left="720" w:hanging="720"/>
        <w:rPr>
          <w:rFonts w:ascii="Arial" w:hAnsi="Arial" w:cs="Arial"/>
        </w:rPr>
      </w:pPr>
      <w:r w:rsidRPr="002332F8">
        <w:rPr>
          <w:rFonts w:ascii="Arial" w:hAnsi="Arial" w:cs="Arial"/>
        </w:rPr>
        <w:t>Nishat, S.S. and Haque, M.A. (2025) ‘Effect of employee engagement on innovative work behavior in the ready-made garment industry in Bangladesh: Mediating effect of knowledge sharing’, Future Business Journal, 11, article 171. https://doi.org/10.1186/s43093-025-00597-5 (Accessed: 29 August 2026).</w:t>
      </w:r>
    </w:p>
    <w:p w14:paraId="779BC499" w14:textId="0620AA53" w:rsidR="00D71CCF" w:rsidRPr="002332F8" w:rsidRDefault="00D71CCF" w:rsidP="00D71CCF">
      <w:pPr>
        <w:spacing w:after="160"/>
        <w:ind w:left="720" w:hanging="720"/>
        <w:rPr>
          <w:rFonts w:ascii="Arial" w:hAnsi="Arial" w:cs="Arial"/>
        </w:rPr>
      </w:pPr>
      <w:r w:rsidRPr="002332F8">
        <w:rPr>
          <w:rFonts w:ascii="Arial" w:hAnsi="Arial" w:cs="Arial"/>
        </w:rPr>
        <w:t>Pajo, B. (2018) Introduction to Research Methods: A Hands-On Approach. Los Angeles, CA: SAGE Publica</w:t>
      </w:r>
      <w:r w:rsidR="00997340">
        <w:rPr>
          <w:rFonts w:ascii="Arial" w:hAnsi="Arial" w:cs="Arial"/>
        </w:rPr>
        <w:t>tions</w:t>
      </w:r>
      <w:r w:rsidRPr="002332F8">
        <w:rPr>
          <w:rFonts w:ascii="Arial" w:hAnsi="Arial" w:cs="Arial"/>
        </w:rPr>
        <w:t>.</w:t>
      </w:r>
    </w:p>
    <w:p w14:paraId="2DD22229" w14:textId="77777777" w:rsidR="00D71CCF" w:rsidRPr="002332F8" w:rsidRDefault="00D71CCF" w:rsidP="00D71CCF">
      <w:pPr>
        <w:spacing w:after="160"/>
        <w:ind w:left="720" w:hanging="720"/>
        <w:rPr>
          <w:rFonts w:ascii="Arial" w:hAnsi="Arial" w:cs="Arial"/>
        </w:rPr>
      </w:pPr>
      <w:r w:rsidRPr="002332F8">
        <w:rPr>
          <w:rFonts w:ascii="Arial" w:hAnsi="Arial" w:cs="Arial"/>
        </w:rPr>
        <w:t>Petitta, L. and Ghezzi, V. (2025) ‘Disentangling the pros and cons of flexible work arrangements: Curvilinear effects on individual and organizational outcomes’, Economies, 13(1), article 20. https://doi.org/10.3390/economies13010020 (Accessed: 21 August 2026).</w:t>
      </w:r>
    </w:p>
    <w:p w14:paraId="71754D0B" w14:textId="39E0A9BF" w:rsidR="00D71CCF" w:rsidRPr="002332F8" w:rsidRDefault="00D71CCF" w:rsidP="00D71CCF">
      <w:pPr>
        <w:spacing w:after="160"/>
        <w:ind w:left="720" w:hanging="720"/>
        <w:rPr>
          <w:rFonts w:ascii="Arial" w:hAnsi="Arial" w:cs="Arial"/>
        </w:rPr>
      </w:pPr>
      <w:r w:rsidRPr="002332F8">
        <w:rPr>
          <w:rFonts w:ascii="Arial" w:hAnsi="Arial" w:cs="Arial"/>
        </w:rPr>
        <w:t>Polonsky, M.J. and Waller, D.S. (2015) Designing and Managing a Research Project: A Business Student’s Guide. 3rd edn. London: SAG</w:t>
      </w:r>
      <w:r w:rsidR="00997340">
        <w:rPr>
          <w:rFonts w:ascii="Arial" w:hAnsi="Arial" w:cs="Arial"/>
        </w:rPr>
        <w:t>E Publications.</w:t>
      </w:r>
    </w:p>
    <w:p w14:paraId="3C198A25" w14:textId="77777777" w:rsidR="00D71CCF" w:rsidRPr="002332F8" w:rsidRDefault="00D71CCF" w:rsidP="00D71CCF">
      <w:pPr>
        <w:spacing w:after="160"/>
        <w:ind w:left="720" w:hanging="720"/>
        <w:rPr>
          <w:rFonts w:ascii="Arial" w:hAnsi="Arial" w:cs="Arial"/>
        </w:rPr>
      </w:pPr>
      <w:r w:rsidRPr="002332F8">
        <w:rPr>
          <w:rFonts w:ascii="Arial" w:hAnsi="Arial" w:cs="Arial"/>
        </w:rPr>
        <w:t>Rockstuhl, T., Eisenberger, R., Shore, L.M., Kurtessis, J.N., Ford, M.T., Buffardi, L.C. and Mesdaghinia, S. (2020) ‘Perceived organizational support across 54 nations: A cross-cultural meta-analysis of POS effects’, Journal of International Business Studies, 51(6), pp. 933–962. https://doi.org/10.1057/s41267-020-00311-3 (Accessed: 24 August 2026).</w:t>
      </w:r>
    </w:p>
    <w:p w14:paraId="3AD57DB1" w14:textId="77777777" w:rsidR="00D71CCF" w:rsidRPr="002332F8" w:rsidRDefault="00D71CCF" w:rsidP="00D71CCF">
      <w:pPr>
        <w:spacing w:after="160"/>
        <w:ind w:left="720" w:hanging="720"/>
        <w:rPr>
          <w:rFonts w:ascii="Arial" w:hAnsi="Arial" w:cs="Arial"/>
        </w:rPr>
      </w:pPr>
      <w:r w:rsidRPr="002332F8">
        <w:rPr>
          <w:rFonts w:ascii="Arial" w:hAnsi="Arial" w:cs="Arial"/>
        </w:rPr>
        <w:t>Saks, A.M. (2019) ‘Antecedents and consequences of employee engagement revisited’, Journal of Organizational Effectiveness: People and Performance, 6(1), pp. 19-38. https://doi.org/10.1108/JOEPP-06-2018-0034 (Accessed: 20 August 2026).</w:t>
      </w:r>
    </w:p>
    <w:p w14:paraId="2B43B762" w14:textId="77777777" w:rsidR="00D71CCF" w:rsidRPr="002332F8" w:rsidRDefault="00D71CCF" w:rsidP="00D71CCF">
      <w:pPr>
        <w:spacing w:after="160"/>
        <w:ind w:left="720" w:hanging="720"/>
        <w:rPr>
          <w:rFonts w:ascii="Arial" w:hAnsi="Arial" w:cs="Arial"/>
        </w:rPr>
      </w:pPr>
      <w:r w:rsidRPr="002332F8">
        <w:rPr>
          <w:rFonts w:ascii="Arial" w:hAnsi="Arial" w:cs="Arial"/>
        </w:rPr>
        <w:t>Saks, A.M. (2022) ‘Caring human resources management and employee engagement’, Human Resource Management Review, 32(3), article 100835. https://doi.org/10.1016/j.hrmr.2021.100835 (Accessed: 1 September 2026).</w:t>
      </w:r>
    </w:p>
    <w:p w14:paraId="5FDEFA66" w14:textId="353AE543" w:rsidR="00D71CCF" w:rsidRPr="002332F8" w:rsidRDefault="00D71CCF" w:rsidP="00D71CCF">
      <w:pPr>
        <w:spacing w:after="160"/>
        <w:ind w:left="720" w:hanging="720"/>
        <w:rPr>
          <w:rFonts w:ascii="Arial" w:hAnsi="Arial" w:cs="Arial"/>
        </w:rPr>
      </w:pPr>
      <w:r w:rsidRPr="002332F8">
        <w:rPr>
          <w:rFonts w:ascii="Arial" w:hAnsi="Arial" w:cs="Arial"/>
        </w:rPr>
        <w:lastRenderedPageBreak/>
        <w:t>Saunders, M.N.K., Lewis, P. and Thornhill, A. (2019) Research Methods for Business Students. 8th edn. Harlow: Pearson Educat</w:t>
      </w:r>
      <w:r w:rsidR="00997340">
        <w:rPr>
          <w:rFonts w:ascii="Arial" w:hAnsi="Arial" w:cs="Arial"/>
        </w:rPr>
        <w:t>ion</w:t>
      </w:r>
      <w:r w:rsidRPr="002332F8">
        <w:rPr>
          <w:rFonts w:ascii="Arial" w:hAnsi="Arial" w:cs="Arial"/>
        </w:rPr>
        <w:t>.</w:t>
      </w:r>
    </w:p>
    <w:p w14:paraId="0839060E" w14:textId="77777777" w:rsidR="00D71CCF" w:rsidRPr="002332F8" w:rsidRDefault="00D71CCF" w:rsidP="00D71CCF">
      <w:pPr>
        <w:spacing w:after="160"/>
        <w:ind w:left="720" w:hanging="720"/>
        <w:rPr>
          <w:rFonts w:ascii="Arial" w:hAnsi="Arial" w:cs="Arial"/>
        </w:rPr>
      </w:pPr>
      <w:r w:rsidRPr="002332F8">
        <w:rPr>
          <w:rFonts w:ascii="Arial" w:hAnsi="Arial" w:cs="Arial"/>
        </w:rPr>
        <w:t>Schaufeli, W.B., Shimazu, A., Hakanen, J.J., Salanova, M. and De Witte, H. (2019) ‘An ultra-short measure for work engagement: The UWES-3 validation across five countries’, European Journal of Psychological Assessment, 35(4), pp. 577–591. https://doi.org/10.1027/1015-5759/a000430 (Accessed: 15 September 2026).</w:t>
      </w:r>
    </w:p>
    <w:p w14:paraId="0EAA0940" w14:textId="77777777" w:rsidR="00D71CCF" w:rsidRPr="002332F8" w:rsidRDefault="00D71CCF" w:rsidP="00D71CCF">
      <w:pPr>
        <w:spacing w:after="160"/>
        <w:ind w:left="720" w:hanging="720"/>
        <w:rPr>
          <w:rFonts w:ascii="Arial" w:hAnsi="Arial" w:cs="Arial"/>
        </w:rPr>
      </w:pPr>
      <w:r w:rsidRPr="002332F8">
        <w:rPr>
          <w:rFonts w:ascii="Arial" w:hAnsi="Arial" w:cs="Arial"/>
        </w:rPr>
        <w:t>Schneider, D. and Harknett, K. (2019) ‘Consequences of routine work-schedule instability for worker health and well-being’, American Sociological Review, 84(1), pp. 82–114. https://doi.org/10.1177/0003122418823184 (Accessed: 7 September 2026).</w:t>
      </w:r>
    </w:p>
    <w:p w14:paraId="2C319EA3" w14:textId="77777777" w:rsidR="00D71CCF" w:rsidRPr="002332F8" w:rsidRDefault="00D71CCF" w:rsidP="00D71CCF">
      <w:pPr>
        <w:spacing w:after="160"/>
        <w:ind w:left="720" w:hanging="720"/>
        <w:rPr>
          <w:rFonts w:ascii="Arial" w:hAnsi="Arial" w:cs="Arial"/>
        </w:rPr>
      </w:pPr>
      <w:r w:rsidRPr="002332F8">
        <w:rPr>
          <w:rFonts w:ascii="Arial" w:hAnsi="Arial" w:cs="Arial"/>
        </w:rPr>
        <w:t>Schneider, D. and Harknett, K. (2021) ‘Hard times: Routine schedule unpredictability and material hardship among service sector workers’, Social Forces, 99(4), pp. 1682–1709. https://doi.org/10.1093/sf/soaa079 (Accessed: 14 September 2026).</w:t>
      </w:r>
    </w:p>
    <w:p w14:paraId="069FAA83" w14:textId="77777777" w:rsidR="00D71CCF" w:rsidRPr="002332F8" w:rsidRDefault="00D71CCF" w:rsidP="00D71CCF">
      <w:pPr>
        <w:spacing w:after="160"/>
        <w:ind w:left="720" w:hanging="720"/>
        <w:rPr>
          <w:rFonts w:ascii="Arial" w:hAnsi="Arial" w:cs="Arial"/>
        </w:rPr>
      </w:pPr>
      <w:r w:rsidRPr="002332F8">
        <w:rPr>
          <w:rFonts w:ascii="Arial" w:hAnsi="Arial" w:cs="Arial"/>
        </w:rPr>
        <w:t>Shifrin, N.V. and Michel, J.S. (2022) ‘Flexible work arrangements and employee health: A meta-analytic review’, Work &amp; Stress, 36(1), pp. 60-85. https://doi.org/10.1080/02678373.2021.1936287 (Accessed: 6 September 2026).</w:t>
      </w:r>
    </w:p>
    <w:p w14:paraId="365D0828" w14:textId="77777777" w:rsidR="00D71CCF" w:rsidRPr="002332F8" w:rsidRDefault="00D71CCF" w:rsidP="00D71CCF">
      <w:pPr>
        <w:spacing w:after="160"/>
        <w:ind w:left="720" w:hanging="720"/>
        <w:rPr>
          <w:rFonts w:ascii="Arial" w:hAnsi="Arial" w:cs="Arial"/>
        </w:rPr>
      </w:pPr>
      <w:r w:rsidRPr="002332F8">
        <w:rPr>
          <w:rFonts w:ascii="Arial" w:hAnsi="Arial" w:cs="Arial"/>
        </w:rPr>
        <w:t>Shiri, R., Turunen, J., Kausto, J., Leino-Arjas, P., Varje, P., Väänänen, A. and Ervasti, J. (2022) ‘The effect of employee-oriented flexible work on mental health: A systematic review’, Healthcare, 10(5), article 883. https://doi.org/10.3390/healthcare10050883 (Accessed: 13 September 2026).</w:t>
      </w:r>
    </w:p>
    <w:p w14:paraId="2A0EB296" w14:textId="77777777" w:rsidR="00D71CCF" w:rsidRPr="002332F8" w:rsidRDefault="00D71CCF" w:rsidP="00D71CCF">
      <w:pPr>
        <w:spacing w:after="160"/>
        <w:ind w:left="720" w:hanging="720"/>
        <w:rPr>
          <w:rFonts w:ascii="Arial" w:hAnsi="Arial" w:cs="Arial"/>
        </w:rPr>
      </w:pPr>
      <w:r w:rsidRPr="002332F8">
        <w:rPr>
          <w:rFonts w:ascii="Arial" w:hAnsi="Arial" w:cs="Arial"/>
        </w:rPr>
        <w:t>Soga, L.R., Bolade-Ogunfodun, Y., Mariani, M., Nasr, R. and Laker, B. (2022) ‘Unmasking the other face of flexible working practices: A systematic literature review’, Journal of Business Research, 142, pp. 648–662. https://doi.org/10.1016/j.jbusres.2022.01.024 (Accessed: 5 September 2026).</w:t>
      </w:r>
    </w:p>
    <w:p w14:paraId="10E5E5FC" w14:textId="77777777" w:rsidR="00D71CCF" w:rsidRPr="002332F8" w:rsidRDefault="00D71CCF" w:rsidP="00D71CCF">
      <w:pPr>
        <w:spacing w:after="160"/>
        <w:ind w:left="720" w:hanging="720"/>
        <w:rPr>
          <w:rFonts w:ascii="Arial" w:hAnsi="Arial" w:cs="Arial"/>
        </w:rPr>
      </w:pPr>
      <w:r w:rsidRPr="002332F8">
        <w:rPr>
          <w:rFonts w:ascii="Arial" w:hAnsi="Arial" w:cs="Arial"/>
        </w:rPr>
        <w:t>Syed, R.F. (2024) ‘Labor standards, labor policy, and compliance mechanism: A case study in Bangladesh’, Labor History, 65, pp. 256–272. https://doi.org/10.1080/0023656X.2023.2272124 (Accessed: 12 September 2026).</w:t>
      </w:r>
    </w:p>
    <w:p w14:paraId="5EB49E95" w14:textId="77777777" w:rsidR="00D71CCF" w:rsidRPr="002332F8" w:rsidRDefault="00D71CCF" w:rsidP="00D71CCF">
      <w:pPr>
        <w:spacing w:after="160"/>
        <w:ind w:left="720" w:hanging="720"/>
        <w:rPr>
          <w:rFonts w:ascii="Arial" w:hAnsi="Arial" w:cs="Arial"/>
        </w:rPr>
      </w:pPr>
      <w:r w:rsidRPr="002332F8">
        <w:rPr>
          <w:rFonts w:ascii="Arial" w:hAnsi="Arial" w:cs="Arial"/>
        </w:rPr>
        <w:lastRenderedPageBreak/>
        <w:t>Syed, R.F. (2025) ‘Labor welfare policy, practices, and deficiencies with the ILO: Evidence from the garment industry of Bangladesh’, Labor History, 66(3), pp. 339–355. https://doi.org/10.1080/0023656X.2024.2373893 (Accessed: 4 September 2026).</w:t>
      </w:r>
    </w:p>
    <w:p w14:paraId="52349025" w14:textId="77777777" w:rsidR="00D71CCF" w:rsidRPr="002332F8" w:rsidRDefault="00D71CCF" w:rsidP="00D71CCF">
      <w:pPr>
        <w:spacing w:after="160"/>
        <w:ind w:left="720" w:hanging="720"/>
        <w:rPr>
          <w:rFonts w:ascii="Arial" w:hAnsi="Arial" w:cs="Arial"/>
        </w:rPr>
      </w:pPr>
      <w:r w:rsidRPr="002332F8">
        <w:rPr>
          <w:rFonts w:ascii="Arial" w:hAnsi="Arial" w:cs="Arial"/>
        </w:rPr>
        <w:t>Syed, R.F. and Mahmud, K.T. (2022) ‘Factors influencing work-satisfaction of global garments supply chain workers in Bangladesh’, International Review of Economics, 69(4), pp. 507–524. https://doi.org/10.1007/s12232-022-00403-6 (Accessed: 11 September 2026).</w:t>
      </w:r>
    </w:p>
    <w:p w14:paraId="458AC95C" w14:textId="77777777" w:rsidR="00D71CCF" w:rsidRPr="002332F8" w:rsidRDefault="00D71CCF" w:rsidP="00D71CCF">
      <w:pPr>
        <w:spacing w:after="160"/>
        <w:ind w:left="720" w:hanging="720"/>
        <w:rPr>
          <w:rFonts w:ascii="Arial" w:hAnsi="Arial" w:cs="Arial"/>
        </w:rPr>
      </w:pPr>
      <w:r w:rsidRPr="002332F8">
        <w:rPr>
          <w:rFonts w:ascii="Arial" w:hAnsi="Arial" w:cs="Arial"/>
        </w:rPr>
        <w:t>Syed, R.F., Mahmud, K.T. and Karim, R. (2024) ‘Do labour welfare policies matter for workers? Evidence from the garment supply chain industry in Bangladesh’, The Indian Journal of Labour Economics, 67(1), pp. 237–253. https://doi.org/10.1007/s41027-024-00484-7 (Accessed: 3 September 2026).</w:t>
      </w:r>
    </w:p>
    <w:p w14:paraId="785BBA2A" w14:textId="77777777" w:rsidR="00D71CCF" w:rsidRPr="002332F8" w:rsidRDefault="00D71CCF" w:rsidP="00D71CCF">
      <w:pPr>
        <w:spacing w:after="160"/>
        <w:ind w:left="720" w:hanging="720"/>
        <w:rPr>
          <w:rFonts w:ascii="Arial" w:hAnsi="Arial" w:cs="Arial"/>
        </w:rPr>
      </w:pPr>
      <w:r w:rsidRPr="002332F8">
        <w:rPr>
          <w:rFonts w:ascii="Arial" w:hAnsi="Arial" w:cs="Arial"/>
        </w:rPr>
        <w:t>Weideman, M. and Hofmeyr, K.B. (2020) ‘The influence of flexible work arrangements on employee engagement: An exploratory study’, SA Journal of Human Resource Management, 18, article a1209. https://doi.org/10.4102/sajhrm.v18i0.1209 (Accessed: 10 September 2026).</w:t>
      </w:r>
    </w:p>
    <w:p w14:paraId="7201E51A" w14:textId="77777777" w:rsidR="00D71CCF" w:rsidRPr="002332F8" w:rsidRDefault="00D71CCF" w:rsidP="00D71CCF">
      <w:pPr>
        <w:spacing w:after="160"/>
        <w:ind w:left="720" w:hanging="720"/>
        <w:rPr>
          <w:rFonts w:ascii="Arial" w:hAnsi="Arial" w:cs="Arial"/>
        </w:rPr>
      </w:pPr>
      <w:r w:rsidRPr="002332F8">
        <w:rPr>
          <w:rFonts w:ascii="Arial" w:hAnsi="Arial" w:cs="Arial"/>
        </w:rPr>
        <w:t>Yeves, J., Bargsted, M. and Torres-Ochoa, C. (2022) ‘Work schedule flexibility and teleworking were not good together during COVID-19 when testing their effects on work overload and mental health’, Frontiers in Psychology, 13, article 998977. https://doi.org/10.3389/fpsyg.2022.998977 (Accessed: 2 September 2026).</w:t>
      </w:r>
    </w:p>
    <w:p w14:paraId="4DBEFC6C" w14:textId="0F62F7C6" w:rsidR="00D71CCF" w:rsidRPr="002332F8" w:rsidRDefault="00D71CCF" w:rsidP="00D71CCF">
      <w:pPr>
        <w:spacing w:after="160"/>
        <w:ind w:left="720" w:hanging="720"/>
        <w:rPr>
          <w:rFonts w:ascii="Arial" w:hAnsi="Arial" w:cs="Arial"/>
        </w:rPr>
      </w:pPr>
      <w:r w:rsidRPr="002332F8">
        <w:rPr>
          <w:rFonts w:ascii="Arial" w:hAnsi="Arial" w:cs="Arial"/>
        </w:rPr>
        <w:t>Yin, R.K. (2018) Case Study Research and Applications: Design and Methods. 6th edn. Thousand Oaks, CA: SAGE Publicati</w:t>
      </w:r>
      <w:r w:rsidR="00997340">
        <w:rPr>
          <w:rFonts w:ascii="Arial" w:hAnsi="Arial" w:cs="Arial"/>
        </w:rPr>
        <w:t>ons</w:t>
      </w:r>
      <w:r w:rsidRPr="002332F8">
        <w:rPr>
          <w:rFonts w:ascii="Arial" w:hAnsi="Arial" w:cs="Arial"/>
        </w:rPr>
        <w:t>.</w:t>
      </w:r>
    </w:p>
    <w:p w14:paraId="32E69D51" w14:textId="77777777" w:rsidR="00D71CCF" w:rsidRPr="002332F8" w:rsidRDefault="00D71CCF" w:rsidP="00D71CCF">
      <w:pPr>
        <w:suppressAutoHyphens w:val="0"/>
        <w:spacing w:after="160" w:line="256" w:lineRule="auto"/>
        <w:jc w:val="left"/>
        <w:rPr>
          <w:rFonts w:ascii="Arial" w:hAnsi="Arial" w:cs="Arial"/>
          <w:sz w:val="40"/>
          <w:szCs w:val="40"/>
        </w:rPr>
      </w:pPr>
      <w:bookmarkStart w:id="341" w:name="_Toc236590849"/>
      <w:bookmarkStart w:id="342" w:name="_Toc236591148"/>
      <w:bookmarkStart w:id="343" w:name="h083"/>
      <w:r w:rsidRPr="002332F8">
        <w:rPr>
          <w:rFonts w:ascii="Arial" w:hAnsi="Arial" w:cs="Arial"/>
        </w:rPr>
        <w:br w:type="page"/>
      </w:r>
    </w:p>
    <w:p w14:paraId="542DFD59" w14:textId="77777777" w:rsidR="00D71CCF" w:rsidRPr="002332F8" w:rsidRDefault="00D71CCF" w:rsidP="00D71CCF">
      <w:pPr>
        <w:pStyle w:val="Heading1"/>
        <w:rPr>
          <w:rFonts w:ascii="Arial" w:hAnsi="Arial" w:cs="Arial"/>
          <w:color w:val="auto"/>
        </w:rPr>
      </w:pPr>
      <w:bookmarkStart w:id="344" w:name="_Toc241093522"/>
      <w:bookmarkStart w:id="345" w:name="_Toc241113342"/>
      <w:r w:rsidRPr="002332F8">
        <w:rPr>
          <w:rFonts w:ascii="Arial" w:hAnsi="Arial" w:cs="Arial"/>
          <w:color w:val="auto"/>
        </w:rPr>
        <w:lastRenderedPageBreak/>
        <w:t>Appendices</w:t>
      </w:r>
      <w:bookmarkEnd w:id="341"/>
      <w:bookmarkEnd w:id="342"/>
      <w:bookmarkEnd w:id="343"/>
      <w:bookmarkEnd w:id="344"/>
      <w:bookmarkEnd w:id="345"/>
    </w:p>
    <w:p w14:paraId="035D1FC5" w14:textId="77777777" w:rsidR="00D71CCF" w:rsidRPr="002332F8" w:rsidRDefault="00D71CCF" w:rsidP="00D71CCF">
      <w:pPr>
        <w:pStyle w:val="Heading2"/>
        <w:rPr>
          <w:rFonts w:ascii="Arial" w:hAnsi="Arial" w:cs="Arial"/>
          <w:color w:val="auto"/>
        </w:rPr>
      </w:pPr>
      <w:bookmarkStart w:id="346" w:name="_Toc241093523"/>
      <w:bookmarkStart w:id="347" w:name="_Toc241113343"/>
      <w:bookmarkStart w:id="348" w:name="_Toc236590850"/>
      <w:bookmarkStart w:id="349" w:name="_Toc236591149"/>
      <w:bookmarkStart w:id="350" w:name="h084"/>
      <w:r w:rsidRPr="002332F8">
        <w:rPr>
          <w:rFonts w:ascii="Arial" w:hAnsi="Arial" w:cs="Arial"/>
          <w:color w:val="auto"/>
        </w:rPr>
        <w:t>Appendix A: Ethical Approval Form</w:t>
      </w:r>
      <w:bookmarkEnd w:id="346"/>
      <w:bookmarkEnd w:id="347"/>
    </w:p>
    <w:bookmarkStart w:id="351" w:name="_Toc240466878"/>
    <w:bookmarkEnd w:id="351"/>
    <w:bookmarkStart w:id="352" w:name="_MON_1851725914"/>
    <w:bookmarkEnd w:id="352"/>
    <w:p w14:paraId="26987347" w14:textId="77777777" w:rsidR="00D71CCF" w:rsidRPr="002332F8" w:rsidRDefault="00D71CCF" w:rsidP="00D71CCF">
      <w:pPr>
        <w:keepNext/>
        <w:suppressAutoHyphens w:val="0"/>
        <w:spacing w:after="160" w:line="256" w:lineRule="auto"/>
        <w:jc w:val="left"/>
        <w:rPr>
          <w:rFonts w:ascii="Arial" w:hAnsi="Arial" w:cs="Arial"/>
        </w:rPr>
      </w:pPr>
      <w:r w:rsidRPr="002332F8">
        <w:rPr>
          <w:rFonts w:ascii="Arial" w:hAnsi="Arial" w:cs="Arial"/>
        </w:rPr>
        <w:object w:dxaOrig="1534" w:dyaOrig="991" w14:anchorId="3A3E78C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53" o:title=""/>
          </v:shape>
          <o:OLEObject Type="Embed" ProgID="Word.Document.12" ShapeID="_x0000_i1025" DrawAspect="Icon" ObjectID="_1851788198" r:id="rId54">
            <o:FieldCodes>\s</o:FieldCodes>
          </o:OLEObject>
        </w:object>
      </w:r>
    </w:p>
    <w:p w14:paraId="418B32CD" w14:textId="77777777" w:rsidR="00D71CCF" w:rsidRPr="002332F8" w:rsidRDefault="00D71CCF" w:rsidP="00D71CCF">
      <w:pPr>
        <w:pStyle w:val="Heading2"/>
        <w:rPr>
          <w:rFonts w:ascii="Arial" w:hAnsi="Arial" w:cs="Arial"/>
          <w:color w:val="auto"/>
        </w:rPr>
      </w:pPr>
      <w:bookmarkStart w:id="353" w:name="_Toc241093524"/>
      <w:bookmarkStart w:id="354" w:name="_Toc241113344"/>
      <w:r w:rsidRPr="002332F8">
        <w:rPr>
          <w:rFonts w:ascii="Arial" w:hAnsi="Arial" w:cs="Arial"/>
          <w:color w:val="auto"/>
        </w:rPr>
        <w:t xml:space="preserve">Appendix B: </w:t>
      </w:r>
      <w:bookmarkEnd w:id="348"/>
      <w:bookmarkEnd w:id="349"/>
      <w:bookmarkEnd w:id="350"/>
      <w:r w:rsidRPr="002332F8">
        <w:rPr>
          <w:rFonts w:ascii="Arial" w:hAnsi="Arial" w:cs="Arial"/>
          <w:color w:val="auto"/>
        </w:rPr>
        <w:t>Participant Consent Form</w:t>
      </w:r>
      <w:bookmarkEnd w:id="353"/>
      <w:bookmarkEnd w:id="354"/>
    </w:p>
    <w:p w14:paraId="1428AB4E" w14:textId="77777777" w:rsidR="00D71CCF" w:rsidRPr="002332F8" w:rsidRDefault="00D71CCF" w:rsidP="00D71CCF">
      <w:pPr>
        <w:jc w:val="center"/>
        <w:rPr>
          <w:rFonts w:ascii="Arial" w:hAnsi="Arial" w:cs="Arial"/>
        </w:rPr>
      </w:pPr>
      <w:r w:rsidRPr="002332F8">
        <w:rPr>
          <w:rFonts w:ascii="Arial" w:hAnsi="Arial" w:cs="Arial"/>
          <w:noProof/>
        </w:rPr>
        <w:drawing>
          <wp:anchor distT="0" distB="0" distL="114300" distR="114300" simplePos="0" relativeHeight="251661312" behindDoc="0" locked="0" layoutInCell="1" allowOverlap="1" wp14:anchorId="14DFB5BA" wp14:editId="654B6EB8">
            <wp:simplePos x="0" y="0"/>
            <wp:positionH relativeFrom="margin">
              <wp:posOffset>47621</wp:posOffset>
            </wp:positionH>
            <wp:positionV relativeFrom="paragraph">
              <wp:posOffset>381003</wp:posOffset>
            </wp:positionV>
            <wp:extent cx="1895478" cy="758193"/>
            <wp:effectExtent l="0" t="0" r="9522" b="3807"/>
            <wp:wrapTight wrapText="bothSides">
              <wp:wrapPolygon edited="0">
                <wp:start x="0" y="0"/>
                <wp:lineTo x="0" y="21166"/>
                <wp:lineTo x="21274" y="21166"/>
                <wp:lineTo x="21274" y="0"/>
                <wp:lineTo x="0" y="0"/>
              </wp:wrapPolygon>
            </wp:wrapTight>
            <wp:docPr id="1882165697" name="Picture 7" descr="A close-up of black tex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1895478" cy="758193"/>
                    </a:xfrm>
                    <a:prstGeom prst="rect">
                      <a:avLst/>
                    </a:prstGeom>
                    <a:noFill/>
                    <a:ln>
                      <a:noFill/>
                      <a:prstDash/>
                    </a:ln>
                  </pic:spPr>
                </pic:pic>
              </a:graphicData>
            </a:graphic>
          </wp:anchor>
        </w:drawing>
      </w:r>
      <w:r w:rsidRPr="002332F8">
        <w:rPr>
          <w:rFonts w:ascii="Arial" w:hAnsi="Arial" w:cs="Arial"/>
          <w:noProof/>
        </w:rPr>
        <mc:AlternateContent>
          <mc:Choice Requires="wps">
            <w:drawing>
              <wp:anchor distT="0" distB="0" distL="114300" distR="114300" simplePos="0" relativeHeight="251660288" behindDoc="1" locked="0" layoutInCell="1" allowOverlap="1" wp14:anchorId="19E373FE" wp14:editId="45E5A75F">
                <wp:simplePos x="0" y="0"/>
                <wp:positionH relativeFrom="column">
                  <wp:posOffset>2782473</wp:posOffset>
                </wp:positionH>
                <wp:positionV relativeFrom="paragraph">
                  <wp:posOffset>325370</wp:posOffset>
                </wp:positionV>
                <wp:extent cx="2932425" cy="953133"/>
                <wp:effectExtent l="0" t="0" r="0" b="0"/>
                <wp:wrapNone/>
                <wp:docPr id="1682508797" name="Text Box 330"/>
                <wp:cNvGraphicFramePr/>
                <a:graphic xmlns:a="http://schemas.openxmlformats.org/drawingml/2006/main">
                  <a:graphicData uri="http://schemas.microsoft.com/office/word/2010/wordprocessingShape">
                    <wps:wsp>
                      <wps:cNvSpPr txBox="1"/>
                      <wps:spPr>
                        <a:xfrm>
                          <a:off x="0" y="0"/>
                          <a:ext cx="2932425" cy="953133"/>
                        </a:xfrm>
                        <a:prstGeom prst="rect">
                          <a:avLst/>
                        </a:prstGeom>
                        <a:noFill/>
                        <a:ln>
                          <a:noFill/>
                          <a:prstDash/>
                        </a:ln>
                      </wps:spPr>
                      <wps:txbx>
                        <w:txbxContent>
                          <w:p w14:paraId="3981A520" w14:textId="77777777" w:rsidR="00D71CCF" w:rsidRDefault="00D71CCF" w:rsidP="00D71CCF">
                            <w:pPr>
                              <w:jc w:val="right"/>
                            </w:pPr>
                            <w:r>
                              <w:rPr>
                                <w:sz w:val="16"/>
                              </w:rPr>
                              <w:t>University of Wales Trinity Saint David (c</w:t>
                            </w:r>
                          </w:p>
                          <w:p w14:paraId="3DA8999D" w14:textId="77777777" w:rsidR="00D71CCF" w:rsidRDefault="00D71CCF" w:rsidP="00D71CCF">
                            <w:pPr>
                              <w:ind w:left="720"/>
                              <w:rPr>
                                <w:sz w:val="16"/>
                                <w:lang w:val="fr-FR"/>
                              </w:rPr>
                            </w:pPr>
                            <w:r>
                              <w:rPr>
                                <w:sz w:val="16"/>
                                <w:lang w:val="fr-FR"/>
                              </w:rPr>
                              <w:t xml:space="preserve">           </w:t>
                            </w:r>
                          </w:p>
                        </w:txbxContent>
                      </wps:txbx>
                      <wps:bodyPr vert="horz" wrap="square" lIns="91440" tIns="91440" rIns="91440" bIns="91440" anchor="t" anchorCtr="0" compatLnSpc="0">
                        <a:noAutofit/>
                      </wps:bodyPr>
                    </wps:wsp>
                  </a:graphicData>
                </a:graphic>
              </wp:anchor>
            </w:drawing>
          </mc:Choice>
          <mc:Fallback>
            <w:pict>
              <v:shapetype w14:anchorId="19E373FE" id="_x0000_t202" coordsize="21600,21600" o:spt="202" path="m,l,21600r21600,l21600,xe">
                <v:stroke joinstyle="miter"/>
                <v:path gradientshapeok="t" o:connecttype="rect"/>
              </v:shapetype>
              <v:shape id="Text Box 330" o:spid="_x0000_s1026" type="#_x0000_t202" style="position:absolute;left:0;text-align:left;margin-left:219.1pt;margin-top:25.6pt;width:230.9pt;height:75.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" filled="f" stroked="f">
                <v:textbox inset=",7.2pt,,7.2pt">
                  <w:txbxContent>
                    <w:p w14:paraId="3981A520" w14:textId="77777777" w:rsidR="00D71CCF" w:rsidRDefault="00D71CCF" w:rsidP="00D71CCF">
                      <w:pPr>
                        <w:jc w:val="right"/>
                      </w:pPr>
                      <w:r>
                        <w:rPr>
                          <w:sz w:val="16"/>
                        </w:rPr>
                        <w:t>University of Wales Trinity Saint David (c</w:t>
                      </w:r>
                    </w:p>
                    <w:p w14:paraId="3DA8999D" w14:textId="77777777" w:rsidR="00D71CCF" w:rsidRDefault="00D71CCF" w:rsidP="00D71CCF">
                      <w:pPr>
                        <w:ind w:left="720"/>
                        <w:rPr>
                          <w:sz w:val="16"/>
                          <w:lang w:val="fr-FR"/>
                        </w:rPr>
                      </w:pPr>
                      <w:r>
                        <w:rPr>
                          <w:sz w:val="16"/>
                          <w:lang w:val="fr-FR"/>
                        </w:rPr>
                        <w:t xml:space="preserve">           </w:t>
                      </w:r>
                    </w:p>
                  </w:txbxContent>
                </v:textbox>
              </v:shape>
            </w:pict>
          </mc:Fallback>
        </mc:AlternateContent>
      </w:r>
      <w:r w:rsidRPr="002332F8">
        <w:rPr>
          <w:rFonts w:ascii="Arial" w:hAnsi="Arial" w:cs="Arial"/>
          <w:b/>
          <w:sz w:val="30"/>
        </w:rPr>
        <w:t xml:space="preserve">Participation Consent Form </w:t>
      </w:r>
    </w:p>
    <w:p w14:paraId="77409817" w14:textId="77777777" w:rsidR="00D71CCF" w:rsidRPr="002332F8" w:rsidRDefault="00D71CCF" w:rsidP="00D71CCF">
      <w:pPr>
        <w:jc w:val="center"/>
        <w:rPr>
          <w:rFonts w:ascii="Arial" w:hAnsi="Arial" w:cs="Arial"/>
          <w:b/>
          <w:sz w:val="30"/>
        </w:rPr>
      </w:pPr>
    </w:p>
    <w:p w14:paraId="04179283" w14:textId="77777777" w:rsidR="00D71CCF" w:rsidRPr="002332F8" w:rsidRDefault="00D71CCF" w:rsidP="00D71CCF">
      <w:pPr>
        <w:tabs>
          <w:tab w:val="center" w:pos="4510"/>
          <w:tab w:val="left" w:pos="7905"/>
        </w:tabs>
        <w:rPr>
          <w:rFonts w:ascii="Arial" w:hAnsi="Arial" w:cs="Arial"/>
        </w:rPr>
      </w:pPr>
      <w:r w:rsidRPr="002332F8">
        <w:rPr>
          <w:rFonts w:ascii="Arial" w:hAnsi="Arial" w:cs="Arial"/>
          <w:b/>
          <w:sz w:val="26"/>
        </w:rPr>
        <w:tab/>
      </w:r>
      <w:r w:rsidRPr="002332F8">
        <w:rPr>
          <w:rFonts w:ascii="Arial" w:hAnsi="Arial" w:cs="Arial"/>
          <w:b/>
          <w:sz w:val="26"/>
        </w:rPr>
        <w:tab/>
      </w:r>
      <w:r w:rsidRPr="002332F8">
        <w:rPr>
          <w:rFonts w:ascii="Arial" w:hAnsi="Arial" w:cs="Arial"/>
          <w:b/>
          <w:sz w:val="26"/>
        </w:rPr>
        <w:tab/>
      </w:r>
    </w:p>
    <w:tbl>
      <w:tblPr>
        <w:tblW w:w="5000" w:type="pct"/>
        <w:tblCellMar>
          <w:left w:w="10" w:type="dxa"/>
          <w:right w:w="10" w:type="dxa"/>
        </w:tblCellMar>
        <w:tblLook w:val="04A0" w:firstRow="1" w:lastRow="0" w:firstColumn="1" w:lastColumn="0" w:noHBand="0" w:noVBand="1"/>
      </w:tblPr>
      <w:tblGrid>
        <w:gridCol w:w="4499"/>
        <w:gridCol w:w="9"/>
        <w:gridCol w:w="2441"/>
        <w:gridCol w:w="2067"/>
      </w:tblGrid>
      <w:tr w:rsidR="00D71CCF" w:rsidRPr="002332F8" w14:paraId="3590A967" w14:textId="77777777" w:rsidTr="002D2DAA">
        <w:trPr>
          <w:trHeight w:val="572"/>
        </w:trPr>
        <w:tc>
          <w:tcPr>
            <w:tcW w:w="449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75C4B4A" w14:textId="77777777" w:rsidR="00D71CCF" w:rsidRPr="002332F8" w:rsidRDefault="00D71CCF" w:rsidP="002D2DAA">
            <w:pPr>
              <w:spacing w:after="0" w:line="240" w:lineRule="auto"/>
              <w:rPr>
                <w:rFonts w:ascii="Arial" w:hAnsi="Arial" w:cs="Arial"/>
                <w:b/>
                <w:sz w:val="20"/>
                <w:szCs w:val="20"/>
              </w:rPr>
            </w:pPr>
          </w:p>
        </w:tc>
        <w:tc>
          <w:tcPr>
            <w:tcW w:w="2450"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C102FD" w14:textId="77777777" w:rsidR="00D71CCF" w:rsidRPr="002332F8" w:rsidRDefault="00D71CCF" w:rsidP="002D2DAA">
            <w:pPr>
              <w:spacing w:after="0" w:line="240" w:lineRule="auto"/>
              <w:rPr>
                <w:rFonts w:ascii="Arial" w:hAnsi="Arial" w:cs="Arial"/>
                <w:sz w:val="20"/>
                <w:szCs w:val="20"/>
              </w:rPr>
            </w:pPr>
            <w:r w:rsidRPr="002332F8">
              <w:rPr>
                <w:rFonts w:ascii="Arial" w:hAnsi="Arial" w:cs="Arial"/>
                <w:sz w:val="20"/>
                <w:szCs w:val="20"/>
              </w:rPr>
              <w:t>Participant Identification Number:</w:t>
            </w:r>
          </w:p>
        </w:tc>
        <w:tc>
          <w:tcPr>
            <w:tcW w:w="206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99C8B16" w14:textId="77777777" w:rsidR="00D71CCF" w:rsidRPr="002332F8" w:rsidRDefault="00D71CCF" w:rsidP="002D2DAA">
            <w:pPr>
              <w:spacing w:after="0" w:line="240" w:lineRule="auto"/>
              <w:rPr>
                <w:rFonts w:ascii="Arial" w:hAnsi="Arial" w:cs="Arial"/>
                <w:b/>
                <w:sz w:val="20"/>
                <w:szCs w:val="20"/>
              </w:rPr>
            </w:pPr>
            <w:r w:rsidRPr="002332F8">
              <w:rPr>
                <w:rFonts w:ascii="Arial" w:hAnsi="Arial" w:cs="Arial"/>
                <w:color w:val="222222"/>
                <w:shd w:val="clear" w:color="auto" w:fill="FFFFFF"/>
              </w:rPr>
              <w:t>2503567</w:t>
            </w:r>
          </w:p>
        </w:tc>
      </w:tr>
      <w:tr w:rsidR="00D71CCF" w:rsidRPr="002332F8" w14:paraId="0384F822" w14:textId="77777777" w:rsidTr="002D2DAA">
        <w:trPr>
          <w:trHeight w:val="306"/>
        </w:trPr>
        <w:tc>
          <w:tcPr>
            <w:tcW w:w="9016"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9BFA92A" w14:textId="77777777" w:rsidR="00D71CCF" w:rsidRPr="002332F8" w:rsidRDefault="00D71CCF" w:rsidP="002D2DAA">
            <w:pPr>
              <w:spacing w:after="0" w:line="240" w:lineRule="auto"/>
              <w:jc w:val="center"/>
              <w:rPr>
                <w:rFonts w:ascii="Arial" w:hAnsi="Arial" w:cs="Arial"/>
                <w:b/>
                <w:sz w:val="20"/>
                <w:szCs w:val="20"/>
              </w:rPr>
            </w:pPr>
            <w:r w:rsidRPr="002332F8">
              <w:rPr>
                <w:rFonts w:ascii="Arial" w:hAnsi="Arial" w:cs="Arial"/>
                <w:b/>
                <w:sz w:val="20"/>
                <w:szCs w:val="20"/>
              </w:rPr>
              <w:t>PARTICIPATION CONSENT FORM</w:t>
            </w:r>
          </w:p>
          <w:p w14:paraId="18C97472" w14:textId="77777777" w:rsidR="00D71CCF" w:rsidRPr="002332F8" w:rsidRDefault="00D71CCF" w:rsidP="002D2DAA">
            <w:pPr>
              <w:spacing w:after="0" w:line="240" w:lineRule="auto"/>
              <w:jc w:val="center"/>
              <w:rPr>
                <w:rFonts w:ascii="Arial" w:hAnsi="Arial" w:cs="Arial"/>
                <w:sz w:val="20"/>
                <w:szCs w:val="20"/>
              </w:rPr>
            </w:pPr>
            <w:r w:rsidRPr="002332F8">
              <w:rPr>
                <w:rFonts w:ascii="Arial" w:hAnsi="Arial" w:cs="Arial"/>
                <w:bCs/>
                <w:sz w:val="20"/>
                <w:szCs w:val="20"/>
              </w:rPr>
              <w:t>(for researcher to fill)</w:t>
            </w:r>
          </w:p>
        </w:tc>
      </w:tr>
      <w:tr w:rsidR="00D71CCF" w:rsidRPr="002332F8" w14:paraId="0B74EB7E" w14:textId="77777777" w:rsidTr="002D2DAA">
        <w:trPr>
          <w:trHeight w:val="572"/>
        </w:trPr>
        <w:tc>
          <w:tcPr>
            <w:tcW w:w="9016"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2FE51A" w14:textId="77777777" w:rsidR="00D71CCF" w:rsidRPr="002332F8" w:rsidRDefault="00D71CCF" w:rsidP="002D2DAA">
            <w:pPr>
              <w:spacing w:after="0" w:line="240" w:lineRule="auto"/>
              <w:rPr>
                <w:rFonts w:ascii="Arial" w:hAnsi="Arial" w:cs="Arial"/>
                <w:sz w:val="20"/>
                <w:szCs w:val="20"/>
              </w:rPr>
            </w:pPr>
            <w:r w:rsidRPr="002332F8">
              <w:rPr>
                <w:rFonts w:ascii="Arial" w:hAnsi="Arial" w:cs="Arial"/>
                <w:sz w:val="20"/>
                <w:szCs w:val="20"/>
              </w:rPr>
              <w:t>Project Title: “Examining the Relationship Between Employees’ Perceptions of Flexible Work Arrangements and Employee Engagement in the Bangladesh Ready-Made Garment Industry: Evidence from Natural Group”</w:t>
            </w:r>
          </w:p>
        </w:tc>
      </w:tr>
      <w:tr w:rsidR="00D71CCF" w:rsidRPr="002332F8" w14:paraId="1045E80D" w14:textId="77777777" w:rsidTr="002D2DAA">
        <w:trPr>
          <w:trHeight w:val="572"/>
        </w:trPr>
        <w:tc>
          <w:tcPr>
            <w:tcW w:w="4508"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7AFA78" w14:textId="77777777" w:rsidR="00D71CCF" w:rsidRPr="002332F8" w:rsidRDefault="00D71CCF" w:rsidP="002D2DAA">
            <w:pPr>
              <w:spacing w:after="0" w:line="240" w:lineRule="auto"/>
              <w:rPr>
                <w:rFonts w:ascii="Arial" w:hAnsi="Arial" w:cs="Arial"/>
                <w:sz w:val="20"/>
                <w:szCs w:val="20"/>
              </w:rPr>
            </w:pPr>
            <w:r w:rsidRPr="002332F8">
              <w:rPr>
                <w:rFonts w:ascii="Arial" w:hAnsi="Arial" w:cs="Arial"/>
                <w:sz w:val="20"/>
                <w:szCs w:val="20"/>
              </w:rPr>
              <w:t>Name of Researcher: Md Moinul Hasan Bappy</w:t>
            </w:r>
          </w:p>
        </w:tc>
        <w:tc>
          <w:tcPr>
            <w:tcW w:w="4508"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E7A230" w14:textId="77777777" w:rsidR="00D71CCF" w:rsidRPr="002332F8" w:rsidRDefault="00D71CCF" w:rsidP="002D2DAA">
            <w:pPr>
              <w:spacing w:after="0" w:line="240" w:lineRule="auto"/>
              <w:rPr>
                <w:rFonts w:ascii="Arial" w:hAnsi="Arial" w:cs="Arial"/>
                <w:sz w:val="20"/>
                <w:szCs w:val="20"/>
              </w:rPr>
            </w:pPr>
            <w:r w:rsidRPr="002332F8">
              <w:rPr>
                <w:rFonts w:ascii="Arial" w:hAnsi="Arial" w:cs="Arial"/>
                <w:sz w:val="20"/>
                <w:szCs w:val="20"/>
              </w:rPr>
              <w:t>Name of Supervisor: Amare Desta</w:t>
            </w:r>
          </w:p>
        </w:tc>
      </w:tr>
      <w:tr w:rsidR="00D71CCF" w:rsidRPr="002332F8" w14:paraId="1A214A94" w14:textId="77777777" w:rsidTr="002D2DAA">
        <w:trPr>
          <w:trHeight w:val="572"/>
        </w:trPr>
        <w:tc>
          <w:tcPr>
            <w:tcW w:w="9016"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E401AE" w14:textId="77777777" w:rsidR="00D71CCF" w:rsidRPr="002332F8" w:rsidRDefault="00D71CCF" w:rsidP="002D2DAA">
            <w:pPr>
              <w:spacing w:after="0" w:line="240" w:lineRule="auto"/>
              <w:rPr>
                <w:rFonts w:ascii="Arial" w:hAnsi="Arial" w:cs="Arial"/>
                <w:sz w:val="20"/>
                <w:szCs w:val="20"/>
              </w:rPr>
            </w:pPr>
            <w:r w:rsidRPr="002332F8">
              <w:rPr>
                <w:rFonts w:ascii="Arial" w:hAnsi="Arial" w:cs="Arial"/>
                <w:sz w:val="20"/>
                <w:szCs w:val="20"/>
              </w:rPr>
              <w:t>Email of Researcher: 2503567@student.uwtsd.ac.uk</w:t>
            </w:r>
          </w:p>
        </w:tc>
      </w:tr>
      <w:tr w:rsidR="00D71CCF" w:rsidRPr="002332F8" w14:paraId="72432F50" w14:textId="77777777" w:rsidTr="002D2DAA">
        <w:trPr>
          <w:trHeight w:val="572"/>
        </w:trPr>
        <w:tc>
          <w:tcPr>
            <w:tcW w:w="9016"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36C57E" w14:textId="77777777" w:rsidR="00D71CCF" w:rsidRPr="002332F8" w:rsidRDefault="00D71CCF" w:rsidP="002D2DAA">
            <w:pPr>
              <w:spacing w:after="0" w:line="240" w:lineRule="auto"/>
              <w:rPr>
                <w:rFonts w:ascii="Arial" w:hAnsi="Arial" w:cs="Arial"/>
                <w:sz w:val="20"/>
                <w:szCs w:val="20"/>
              </w:rPr>
            </w:pPr>
            <w:r w:rsidRPr="002332F8">
              <w:rPr>
                <w:rFonts w:ascii="Arial" w:hAnsi="Arial" w:cs="Arial"/>
                <w:sz w:val="20"/>
                <w:szCs w:val="20"/>
              </w:rPr>
              <w:t>Aim of Research: The aim of the research is to</w:t>
            </w:r>
            <w:r w:rsidRPr="002332F8">
              <w:rPr>
                <w:rFonts w:ascii="Arial" w:hAnsi="Arial" w:cs="Arial"/>
                <w:sz w:val="20"/>
                <w:szCs w:val="20"/>
                <w:shd w:val="clear" w:color="auto" w:fill="FFFFFF"/>
              </w:rPr>
              <w:t xml:space="preserve"> </w:t>
            </w:r>
            <w:r w:rsidRPr="002332F8">
              <w:rPr>
                <w:rFonts w:ascii="Arial" w:hAnsi="Arial" w:cs="Arial"/>
                <w:sz w:val="20"/>
                <w:szCs w:val="20"/>
              </w:rPr>
              <w:t>Examining the Relationship Between Employees’ Perceptions of Flexible Work Arrangements and Employee</w:t>
            </w:r>
          </w:p>
        </w:tc>
      </w:tr>
    </w:tbl>
    <w:tbl>
      <w:tblPr>
        <w:tblpPr w:leftFromText="180" w:rightFromText="180" w:vertAnchor="text" w:horzAnchor="margin" w:tblpY="118"/>
        <w:tblW w:w="5000" w:type="pct"/>
        <w:tblCellMar>
          <w:left w:w="10" w:type="dxa"/>
          <w:right w:w="10" w:type="dxa"/>
        </w:tblCellMar>
        <w:tblLook w:val="04A0" w:firstRow="1" w:lastRow="0" w:firstColumn="1" w:lastColumn="0" w:noHBand="0" w:noVBand="1"/>
      </w:tblPr>
      <w:tblGrid>
        <w:gridCol w:w="798"/>
        <w:gridCol w:w="800"/>
        <w:gridCol w:w="2006"/>
        <w:gridCol w:w="1180"/>
        <w:gridCol w:w="2136"/>
        <w:gridCol w:w="878"/>
        <w:gridCol w:w="34"/>
        <w:gridCol w:w="1184"/>
      </w:tblGrid>
      <w:tr w:rsidR="00D71CCF" w:rsidRPr="002332F8" w14:paraId="65D67E7C" w14:textId="77777777" w:rsidTr="002D2DAA">
        <w:tc>
          <w:tcPr>
            <w:tcW w:w="7176" w:type="dxa"/>
            <w:gridSpan w:val="5"/>
            <w:tcBorders>
              <w:top w:val="single" w:sz="4" w:space="0" w:color="4F81BD"/>
              <w:left w:val="single" w:sz="4" w:space="0" w:color="4F81BD"/>
              <w:bottom w:val="single" w:sz="4" w:space="0" w:color="4F81BD"/>
              <w:right w:val="single" w:sz="4" w:space="0" w:color="4F81BD"/>
            </w:tcBorders>
            <w:shd w:val="clear" w:color="auto" w:fill="73A0DD"/>
            <w:tcMar>
              <w:top w:w="0" w:type="dxa"/>
              <w:left w:w="108" w:type="dxa"/>
              <w:bottom w:w="0" w:type="dxa"/>
              <w:right w:w="108" w:type="dxa"/>
            </w:tcMar>
          </w:tcPr>
          <w:p w14:paraId="167B0747" w14:textId="77777777" w:rsidR="00D71CCF" w:rsidRPr="002332F8" w:rsidRDefault="00D71CCF" w:rsidP="002D2DAA">
            <w:pPr>
              <w:spacing w:after="0" w:line="240" w:lineRule="auto"/>
              <w:ind w:right="33"/>
              <w:rPr>
                <w:rFonts w:ascii="Arial" w:hAnsi="Arial" w:cs="Arial"/>
                <w:sz w:val="20"/>
                <w:szCs w:val="20"/>
              </w:rPr>
            </w:pPr>
            <w:r w:rsidRPr="002332F8">
              <w:rPr>
                <w:rFonts w:ascii="Arial" w:hAnsi="Arial" w:cs="Arial"/>
                <w:sz w:val="20"/>
                <w:szCs w:val="20"/>
              </w:rPr>
              <w:t>(for participant to fill)</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08D2E1F9"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t>YES</w:t>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1D33C342"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t>NO</w:t>
            </w:r>
          </w:p>
        </w:tc>
      </w:tr>
      <w:tr w:rsidR="00D71CCF" w:rsidRPr="002332F8" w14:paraId="189A9E23" w14:textId="77777777" w:rsidTr="002D2DAA">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70BF4E22"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t>1</w:t>
            </w: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76256E8D" w14:textId="77777777" w:rsidR="00D71CCF" w:rsidRPr="002332F8" w:rsidRDefault="00D71CCF" w:rsidP="002D2DAA">
            <w:pPr>
              <w:spacing w:after="0" w:line="240" w:lineRule="auto"/>
              <w:ind w:right="33"/>
              <w:rPr>
                <w:rFonts w:ascii="Arial" w:hAnsi="Arial" w:cs="Arial"/>
                <w:sz w:val="20"/>
                <w:szCs w:val="20"/>
              </w:rPr>
            </w:pPr>
            <w:r w:rsidRPr="002332F8">
              <w:rPr>
                <w:rFonts w:ascii="Arial" w:hAnsi="Arial" w:cs="Arial"/>
                <w:sz w:val="20"/>
                <w:szCs w:val="20"/>
              </w:rPr>
              <w:t xml:space="preserve">I confirm that I have read and understood the information sheet dated ____28/08/2026_____ for the above study. </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150F0F56"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7DCC104F" w14:textId="77777777" w:rsidR="00D71CCF" w:rsidRPr="002332F8" w:rsidRDefault="00D71CCF" w:rsidP="002D2DAA">
            <w:pPr>
              <w:spacing w:after="0" w:line="240" w:lineRule="auto"/>
              <w:ind w:right="-284"/>
              <w:rPr>
                <w:rFonts w:ascii="Arial" w:hAnsi="Arial" w:cs="Arial"/>
                <w:sz w:val="20"/>
                <w:szCs w:val="20"/>
              </w:rPr>
            </w:pPr>
          </w:p>
        </w:tc>
      </w:tr>
      <w:tr w:rsidR="00D71CCF" w:rsidRPr="002332F8" w14:paraId="2230EB33" w14:textId="77777777" w:rsidTr="002D2DAA">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7EB16CDE"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t>2</w:t>
            </w: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77AA7DC7" w14:textId="77777777" w:rsidR="00D71CCF" w:rsidRPr="002332F8" w:rsidRDefault="00D71CCF" w:rsidP="002D2DAA">
            <w:pPr>
              <w:spacing w:after="0" w:line="240" w:lineRule="auto"/>
              <w:ind w:right="33"/>
              <w:rPr>
                <w:rFonts w:ascii="Arial" w:hAnsi="Arial" w:cs="Arial"/>
                <w:sz w:val="20"/>
                <w:szCs w:val="20"/>
              </w:rPr>
            </w:pPr>
            <w:r w:rsidRPr="002332F8">
              <w:rPr>
                <w:rFonts w:ascii="Arial" w:hAnsi="Arial" w:cs="Arial"/>
                <w:sz w:val="20"/>
                <w:szCs w:val="20"/>
              </w:rPr>
              <w:t>I understand there are no material benefits for participating.</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62A82251"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67397456" w14:textId="77777777" w:rsidR="00D71CCF" w:rsidRPr="002332F8" w:rsidRDefault="00D71CCF" w:rsidP="002D2DAA">
            <w:pPr>
              <w:spacing w:after="0" w:line="240" w:lineRule="auto"/>
              <w:ind w:right="-284"/>
              <w:rPr>
                <w:rFonts w:ascii="Arial" w:hAnsi="Arial" w:cs="Arial"/>
                <w:sz w:val="20"/>
                <w:szCs w:val="20"/>
              </w:rPr>
            </w:pPr>
          </w:p>
        </w:tc>
      </w:tr>
      <w:tr w:rsidR="00D71CCF" w:rsidRPr="002332F8" w14:paraId="691B09F7" w14:textId="77777777" w:rsidTr="002D2DAA">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49BBC2D7"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t>2</w:t>
            </w: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432E9E9A" w14:textId="77777777" w:rsidR="00D71CCF" w:rsidRPr="002332F8" w:rsidRDefault="00D71CCF" w:rsidP="002D2DAA">
            <w:pPr>
              <w:spacing w:after="0" w:line="240" w:lineRule="auto"/>
              <w:ind w:right="33"/>
              <w:rPr>
                <w:rFonts w:ascii="Arial" w:hAnsi="Arial" w:cs="Arial"/>
                <w:sz w:val="20"/>
                <w:szCs w:val="20"/>
              </w:rPr>
            </w:pPr>
            <w:r w:rsidRPr="002332F8">
              <w:rPr>
                <w:rFonts w:ascii="Arial" w:hAnsi="Arial" w:cs="Arial"/>
                <w:sz w:val="20"/>
                <w:szCs w:val="20"/>
              </w:rPr>
              <w:t>I have had the opportunity to consider the information, ask questions and have had these answered satisfactorily.</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6E875462"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58BD16A8" w14:textId="77777777" w:rsidR="00D71CCF" w:rsidRPr="002332F8" w:rsidRDefault="00D71CCF" w:rsidP="002D2DAA">
            <w:pPr>
              <w:spacing w:after="0" w:line="240" w:lineRule="auto"/>
              <w:ind w:right="-284"/>
              <w:rPr>
                <w:rFonts w:ascii="Arial" w:hAnsi="Arial" w:cs="Arial"/>
                <w:sz w:val="20"/>
                <w:szCs w:val="20"/>
              </w:rPr>
            </w:pPr>
          </w:p>
        </w:tc>
      </w:tr>
      <w:tr w:rsidR="00D71CCF" w:rsidRPr="002332F8" w14:paraId="2CAF0118" w14:textId="77777777" w:rsidTr="002D2DAA">
        <w:trPr>
          <w:trHeight w:val="759"/>
        </w:trPr>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4D5A27E4"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t>3</w:t>
            </w: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16B92388" w14:textId="77777777" w:rsidR="00D71CCF" w:rsidRPr="002332F8" w:rsidRDefault="00D71CCF" w:rsidP="002D2DAA">
            <w:pPr>
              <w:spacing w:after="0" w:line="240" w:lineRule="auto"/>
              <w:ind w:right="33"/>
              <w:rPr>
                <w:rFonts w:ascii="Arial" w:hAnsi="Arial" w:cs="Arial"/>
                <w:sz w:val="20"/>
                <w:szCs w:val="20"/>
              </w:rPr>
            </w:pPr>
            <w:r w:rsidRPr="002332F8">
              <w:rPr>
                <w:rFonts w:ascii="Arial" w:hAnsi="Arial" w:cs="Arial"/>
                <w:sz w:val="20"/>
                <w:szCs w:val="20"/>
              </w:rPr>
              <w:t>I understand that my participation is voluntary and that I am free to withdraw at any time, without giving any reason.</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5794D9BE"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047236DA" w14:textId="77777777" w:rsidR="00D71CCF" w:rsidRPr="002332F8" w:rsidRDefault="00D71CCF" w:rsidP="002D2DAA">
            <w:pPr>
              <w:spacing w:after="0" w:line="240" w:lineRule="auto"/>
              <w:ind w:right="-284"/>
              <w:rPr>
                <w:rFonts w:ascii="Arial" w:hAnsi="Arial" w:cs="Arial"/>
                <w:sz w:val="20"/>
                <w:szCs w:val="20"/>
              </w:rPr>
            </w:pPr>
          </w:p>
        </w:tc>
      </w:tr>
      <w:tr w:rsidR="00D71CCF" w:rsidRPr="002332F8" w14:paraId="55639BDE" w14:textId="77777777" w:rsidTr="002D2DAA">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50C9BC86"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t>4</w:t>
            </w: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66525378" w14:textId="77777777" w:rsidR="00D71CCF" w:rsidRPr="002332F8" w:rsidRDefault="00D71CCF" w:rsidP="002D2DAA">
            <w:pPr>
              <w:spacing w:after="0" w:line="240" w:lineRule="auto"/>
              <w:ind w:right="175"/>
              <w:rPr>
                <w:rFonts w:ascii="Arial" w:hAnsi="Arial" w:cs="Arial"/>
                <w:sz w:val="20"/>
                <w:szCs w:val="20"/>
              </w:rPr>
            </w:pPr>
            <w:r w:rsidRPr="002332F8">
              <w:rPr>
                <w:rFonts w:ascii="Arial" w:hAnsi="Arial" w:cs="Arial"/>
                <w:sz w:val="20"/>
                <w:szCs w:val="20"/>
              </w:rPr>
              <w:t>I understand that any information given by me may be used in future reports, articles or presentations by the researcher.</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7F5906EB"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156B6DE5" w14:textId="77777777" w:rsidR="00D71CCF" w:rsidRPr="002332F8" w:rsidRDefault="00D71CCF" w:rsidP="002D2DAA">
            <w:pPr>
              <w:spacing w:after="0" w:line="240" w:lineRule="auto"/>
              <w:ind w:right="-284"/>
              <w:rPr>
                <w:rFonts w:ascii="Arial" w:hAnsi="Arial" w:cs="Arial"/>
                <w:sz w:val="20"/>
                <w:szCs w:val="20"/>
              </w:rPr>
            </w:pPr>
          </w:p>
        </w:tc>
      </w:tr>
      <w:tr w:rsidR="00D71CCF" w:rsidRPr="002332F8" w14:paraId="5E023AA2" w14:textId="77777777" w:rsidTr="002D2DAA">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695F7DE5"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t>5</w:t>
            </w: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0F6DA9C3" w14:textId="77777777" w:rsidR="00D71CCF" w:rsidRPr="002332F8" w:rsidRDefault="00D71CCF" w:rsidP="002D2DAA">
            <w:pPr>
              <w:spacing w:after="0" w:line="240" w:lineRule="auto"/>
              <w:ind w:right="33"/>
              <w:rPr>
                <w:rFonts w:ascii="Arial" w:hAnsi="Arial" w:cs="Arial"/>
                <w:sz w:val="20"/>
                <w:szCs w:val="20"/>
              </w:rPr>
            </w:pPr>
            <w:r w:rsidRPr="002332F8">
              <w:rPr>
                <w:rFonts w:ascii="Arial" w:hAnsi="Arial" w:cs="Arial"/>
                <w:sz w:val="20"/>
                <w:szCs w:val="20"/>
              </w:rPr>
              <w:t>I consent for my name and title to be used within this study.</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7D166312"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5EE3A372" w14:textId="77777777" w:rsidR="00D71CCF" w:rsidRPr="002332F8" w:rsidRDefault="00D71CCF" w:rsidP="002D2DAA">
            <w:pPr>
              <w:spacing w:after="0" w:line="240" w:lineRule="auto"/>
              <w:ind w:right="-284"/>
              <w:rPr>
                <w:rFonts w:ascii="Arial" w:hAnsi="Arial" w:cs="Arial"/>
                <w:sz w:val="20"/>
                <w:szCs w:val="20"/>
              </w:rPr>
            </w:pPr>
          </w:p>
        </w:tc>
      </w:tr>
      <w:tr w:rsidR="00D71CCF" w:rsidRPr="002332F8" w14:paraId="674631CE" w14:textId="77777777" w:rsidTr="002D2DAA">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16903A1D" w14:textId="77777777" w:rsidR="00D71CCF" w:rsidRPr="002332F8" w:rsidRDefault="00D71CCF" w:rsidP="002D2DAA">
            <w:pPr>
              <w:spacing w:after="0" w:line="240" w:lineRule="auto"/>
              <w:ind w:right="-284"/>
              <w:rPr>
                <w:rFonts w:ascii="Arial" w:hAnsi="Arial" w:cs="Arial"/>
                <w:sz w:val="20"/>
                <w:szCs w:val="20"/>
              </w:rPr>
            </w:pP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3612152C" w14:textId="77777777" w:rsidR="00D71CCF" w:rsidRPr="002332F8" w:rsidRDefault="00D71CCF" w:rsidP="002D2DAA">
            <w:pPr>
              <w:spacing w:after="0" w:line="240" w:lineRule="auto"/>
              <w:ind w:right="33"/>
              <w:rPr>
                <w:rFonts w:ascii="Arial" w:hAnsi="Arial" w:cs="Arial"/>
                <w:sz w:val="20"/>
                <w:szCs w:val="20"/>
              </w:rPr>
            </w:pPr>
            <w:r w:rsidRPr="002332F8">
              <w:rPr>
                <w:rFonts w:ascii="Arial" w:hAnsi="Arial" w:cs="Arial"/>
                <w:sz w:val="20"/>
                <w:szCs w:val="20"/>
              </w:rPr>
              <w:t>Where applicable, I understand that my details will not be anonymous.</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6EC2FA05"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48FE8521" w14:textId="77777777" w:rsidR="00D71CCF" w:rsidRPr="002332F8" w:rsidRDefault="00D71CCF" w:rsidP="002D2DAA">
            <w:pPr>
              <w:spacing w:after="0" w:line="240" w:lineRule="auto"/>
              <w:ind w:right="-284"/>
              <w:rPr>
                <w:rFonts w:ascii="Arial" w:hAnsi="Arial" w:cs="Arial"/>
                <w:sz w:val="20"/>
                <w:szCs w:val="20"/>
              </w:rPr>
            </w:pPr>
          </w:p>
        </w:tc>
      </w:tr>
      <w:tr w:rsidR="00D71CCF" w:rsidRPr="002332F8" w14:paraId="12618327" w14:textId="77777777" w:rsidTr="002D2DAA">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0AF19E7B"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t>6</w:t>
            </w: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725984B6"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t>I agree to be recorded (audio and/or audio-visual video).</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6F452483"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4A96B318" w14:textId="77777777" w:rsidR="00D71CCF" w:rsidRPr="002332F8" w:rsidRDefault="00D71CCF" w:rsidP="002D2DAA">
            <w:pPr>
              <w:spacing w:after="0" w:line="240" w:lineRule="auto"/>
              <w:ind w:right="-284"/>
              <w:rPr>
                <w:rFonts w:ascii="Arial" w:hAnsi="Arial" w:cs="Arial"/>
                <w:sz w:val="20"/>
                <w:szCs w:val="20"/>
              </w:rPr>
            </w:pPr>
          </w:p>
        </w:tc>
      </w:tr>
      <w:tr w:rsidR="00D71CCF" w:rsidRPr="002332F8" w14:paraId="1831F66B" w14:textId="77777777" w:rsidTr="002D2DAA">
        <w:tc>
          <w:tcPr>
            <w:tcW w:w="7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41F12411"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t>7</w:t>
            </w:r>
          </w:p>
        </w:tc>
        <w:tc>
          <w:tcPr>
            <w:tcW w:w="6378" w:type="dxa"/>
            <w:gridSpan w:val="4"/>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5B018328"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t>I agree to take part in the above study.</w:t>
            </w:r>
          </w:p>
        </w:tc>
        <w:tc>
          <w:tcPr>
            <w:tcW w:w="953"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64116D58" w14:textId="77777777" w:rsidR="00D71CCF" w:rsidRPr="002332F8" w:rsidRDefault="00D71CCF" w:rsidP="002D2DAA">
            <w:pPr>
              <w:spacing w:after="0" w:line="240" w:lineRule="auto"/>
              <w:ind w:right="-284"/>
              <w:rPr>
                <w:rFonts w:ascii="Arial" w:hAnsi="Arial" w:cs="Arial"/>
                <w:sz w:val="20"/>
                <w:szCs w:val="20"/>
              </w:rPr>
            </w:pPr>
            <w:r w:rsidRPr="002332F8">
              <w:rPr>
                <w:rFonts w:ascii="Arial" w:hAnsi="Arial" w:cs="Arial"/>
                <w:sz w:val="20"/>
                <w:szCs w:val="20"/>
              </w:rPr>
              <w:sym w:font="Wingdings" w:char="F0FC"/>
            </w:r>
          </w:p>
        </w:tc>
        <w:tc>
          <w:tcPr>
            <w:tcW w:w="887"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0B9CC4AE" w14:textId="77777777" w:rsidR="00D71CCF" w:rsidRPr="002332F8" w:rsidRDefault="00D71CCF" w:rsidP="002D2DAA">
            <w:pPr>
              <w:spacing w:after="0" w:line="240" w:lineRule="auto"/>
              <w:ind w:right="-284"/>
              <w:rPr>
                <w:rFonts w:ascii="Arial" w:hAnsi="Arial" w:cs="Arial"/>
                <w:sz w:val="20"/>
                <w:szCs w:val="20"/>
              </w:rPr>
            </w:pPr>
          </w:p>
        </w:tc>
      </w:tr>
      <w:tr w:rsidR="00D71CCF" w:rsidRPr="002332F8" w14:paraId="70756128" w14:textId="77777777" w:rsidTr="002D2DAA">
        <w:trPr>
          <w:trHeight w:val="545"/>
        </w:trPr>
        <w:tc>
          <w:tcPr>
            <w:tcW w:w="1634"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4FC72AFB" w14:textId="77777777" w:rsidR="00D71CCF" w:rsidRPr="002332F8" w:rsidRDefault="00D71CCF" w:rsidP="002D2DAA">
            <w:pPr>
              <w:tabs>
                <w:tab w:val="left" w:pos="3600"/>
                <w:tab w:val="left" w:pos="6480"/>
              </w:tabs>
              <w:spacing w:after="0" w:line="240" w:lineRule="auto"/>
              <w:rPr>
                <w:rFonts w:ascii="Arial" w:hAnsi="Arial" w:cs="Arial"/>
                <w:sz w:val="20"/>
                <w:szCs w:val="20"/>
              </w:rPr>
            </w:pPr>
            <w:r w:rsidRPr="002332F8">
              <w:rPr>
                <w:rFonts w:ascii="Arial" w:hAnsi="Arial" w:cs="Arial"/>
                <w:sz w:val="20"/>
                <w:szCs w:val="20"/>
              </w:rPr>
              <w:t>Researcher’s Name (Print)</w:t>
            </w:r>
          </w:p>
        </w:tc>
        <w:tc>
          <w:tcPr>
            <w:tcW w:w="220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26C8BD4C" w14:textId="77777777" w:rsidR="00D71CCF" w:rsidRPr="002332F8" w:rsidRDefault="00D71CCF" w:rsidP="002D2DAA">
            <w:pPr>
              <w:tabs>
                <w:tab w:val="left" w:pos="3600"/>
                <w:tab w:val="left" w:pos="6480"/>
              </w:tabs>
              <w:spacing w:after="0" w:line="240" w:lineRule="auto"/>
              <w:rPr>
                <w:rFonts w:ascii="Arial" w:hAnsi="Arial" w:cs="Arial"/>
                <w:sz w:val="20"/>
                <w:szCs w:val="20"/>
              </w:rPr>
            </w:pPr>
            <w:r w:rsidRPr="002332F8">
              <w:rPr>
                <w:rFonts w:ascii="Arial" w:hAnsi="Arial" w:cs="Arial"/>
                <w:color w:val="222222"/>
                <w:sz w:val="20"/>
                <w:szCs w:val="20"/>
                <w:shd w:val="clear" w:color="auto" w:fill="FFFFFF"/>
              </w:rPr>
              <w:t>Md Moinul Hasan Bappy</w:t>
            </w:r>
          </w:p>
        </w:tc>
        <w:tc>
          <w:tcPr>
            <w:tcW w:w="11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7E12C57A" w14:textId="77777777" w:rsidR="00D71CCF" w:rsidRPr="002332F8" w:rsidRDefault="00D71CCF" w:rsidP="002D2DAA">
            <w:pPr>
              <w:tabs>
                <w:tab w:val="left" w:pos="3600"/>
                <w:tab w:val="left" w:pos="6480"/>
              </w:tabs>
              <w:spacing w:after="0" w:line="240" w:lineRule="auto"/>
              <w:rPr>
                <w:rFonts w:ascii="Arial" w:hAnsi="Arial" w:cs="Arial"/>
                <w:sz w:val="20"/>
                <w:szCs w:val="20"/>
              </w:rPr>
            </w:pPr>
            <w:r w:rsidRPr="002332F8">
              <w:rPr>
                <w:rFonts w:ascii="Arial" w:hAnsi="Arial" w:cs="Arial"/>
                <w:sz w:val="20"/>
                <w:szCs w:val="20"/>
              </w:rPr>
              <w:t>Signature</w:t>
            </w:r>
          </w:p>
        </w:tc>
        <w:tc>
          <w:tcPr>
            <w:tcW w:w="2136"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312ED45B" w14:textId="77777777" w:rsidR="00D71CCF" w:rsidRPr="002332F8" w:rsidRDefault="00D71CCF" w:rsidP="002D2DAA">
            <w:pPr>
              <w:tabs>
                <w:tab w:val="left" w:pos="3600"/>
                <w:tab w:val="left" w:pos="6480"/>
              </w:tabs>
              <w:spacing w:after="0" w:line="240" w:lineRule="auto"/>
              <w:rPr>
                <w:rFonts w:ascii="Arial" w:hAnsi="Arial" w:cs="Arial"/>
                <w:sz w:val="20"/>
                <w:szCs w:val="20"/>
              </w:rPr>
            </w:pPr>
            <w:r w:rsidRPr="002332F8">
              <w:rPr>
                <w:rFonts w:ascii="Arial" w:hAnsi="Arial" w:cs="Arial"/>
                <w:noProof/>
              </w:rPr>
              <w:drawing>
                <wp:inline distT="0" distB="0" distL="0" distR="0" wp14:anchorId="1652C806" wp14:editId="00D03FDD">
                  <wp:extent cx="1133475" cy="2381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1133475" cy="238125"/>
                          </a:xfrm>
                          <a:prstGeom prst="rect">
                            <a:avLst/>
                          </a:prstGeom>
                        </pic:spPr>
                      </pic:pic>
                    </a:graphicData>
                  </a:graphic>
                </wp:inline>
              </w:drawing>
            </w:r>
          </w:p>
        </w:tc>
        <w:tc>
          <w:tcPr>
            <w:tcW w:w="919"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6C95646C" w14:textId="77777777" w:rsidR="00D71CCF" w:rsidRPr="002332F8" w:rsidRDefault="00D71CCF" w:rsidP="002D2DAA">
            <w:pPr>
              <w:tabs>
                <w:tab w:val="left" w:pos="3600"/>
                <w:tab w:val="left" w:pos="6480"/>
              </w:tabs>
              <w:spacing w:after="0" w:line="240" w:lineRule="auto"/>
              <w:rPr>
                <w:rFonts w:ascii="Arial" w:hAnsi="Arial" w:cs="Arial"/>
                <w:sz w:val="20"/>
                <w:szCs w:val="20"/>
              </w:rPr>
            </w:pPr>
            <w:r w:rsidRPr="002332F8">
              <w:rPr>
                <w:rFonts w:ascii="Arial" w:hAnsi="Arial" w:cs="Arial"/>
                <w:sz w:val="20"/>
                <w:szCs w:val="20"/>
              </w:rPr>
              <w:t>Date</w:t>
            </w:r>
          </w:p>
        </w:tc>
        <w:tc>
          <w:tcPr>
            <w:tcW w:w="921"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3A3A7A5F" w14:textId="77777777" w:rsidR="00D71CCF" w:rsidRPr="002332F8" w:rsidRDefault="00D71CCF" w:rsidP="002D2DAA">
            <w:pPr>
              <w:tabs>
                <w:tab w:val="left" w:pos="3600"/>
                <w:tab w:val="left" w:pos="6480"/>
              </w:tabs>
              <w:spacing w:after="0" w:line="240" w:lineRule="auto"/>
              <w:rPr>
                <w:rFonts w:ascii="Arial" w:hAnsi="Arial" w:cs="Arial"/>
                <w:sz w:val="20"/>
                <w:szCs w:val="20"/>
              </w:rPr>
            </w:pPr>
            <w:r w:rsidRPr="002332F8">
              <w:rPr>
                <w:rFonts w:ascii="Arial" w:hAnsi="Arial" w:cs="Arial"/>
                <w:sz w:val="20"/>
                <w:szCs w:val="20"/>
              </w:rPr>
              <w:t>28/08/2026</w:t>
            </w:r>
          </w:p>
        </w:tc>
      </w:tr>
      <w:tr w:rsidR="00D71CCF" w:rsidRPr="002332F8" w14:paraId="388AA8BE" w14:textId="77777777" w:rsidTr="002D2DAA">
        <w:trPr>
          <w:trHeight w:val="403"/>
        </w:trPr>
        <w:tc>
          <w:tcPr>
            <w:tcW w:w="1634"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621D22C8" w14:textId="77777777" w:rsidR="00D71CCF" w:rsidRPr="002332F8" w:rsidRDefault="00D71CCF" w:rsidP="002D2DAA">
            <w:pPr>
              <w:tabs>
                <w:tab w:val="left" w:pos="3600"/>
                <w:tab w:val="left" w:pos="6480"/>
              </w:tabs>
              <w:spacing w:after="0" w:line="240" w:lineRule="auto"/>
              <w:rPr>
                <w:rFonts w:ascii="Arial" w:hAnsi="Arial" w:cs="Arial"/>
                <w:sz w:val="20"/>
                <w:szCs w:val="20"/>
              </w:rPr>
            </w:pPr>
            <w:r w:rsidRPr="002332F8">
              <w:rPr>
                <w:rFonts w:ascii="Arial" w:hAnsi="Arial" w:cs="Arial"/>
                <w:sz w:val="20"/>
                <w:szCs w:val="20"/>
              </w:rPr>
              <w:t>Participant’s Name (Print)</w:t>
            </w:r>
          </w:p>
          <w:p w14:paraId="12CC3830" w14:textId="77777777" w:rsidR="00D71CCF" w:rsidRPr="002332F8" w:rsidRDefault="00D71CCF" w:rsidP="002D2DAA">
            <w:pPr>
              <w:tabs>
                <w:tab w:val="left" w:pos="3600"/>
                <w:tab w:val="left" w:pos="6480"/>
              </w:tabs>
              <w:spacing w:after="0" w:line="240" w:lineRule="auto"/>
              <w:rPr>
                <w:rFonts w:ascii="Arial" w:hAnsi="Arial" w:cs="Arial"/>
                <w:sz w:val="20"/>
                <w:szCs w:val="20"/>
              </w:rPr>
            </w:pPr>
          </w:p>
        </w:tc>
        <w:tc>
          <w:tcPr>
            <w:tcW w:w="220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3F9441A2" w14:textId="77777777" w:rsidR="00D71CCF" w:rsidRPr="002332F8" w:rsidRDefault="00D71CCF" w:rsidP="002D2DAA">
            <w:pPr>
              <w:tabs>
                <w:tab w:val="left" w:pos="3600"/>
                <w:tab w:val="left" w:pos="6480"/>
              </w:tabs>
              <w:spacing w:after="0" w:line="240" w:lineRule="auto"/>
              <w:rPr>
                <w:rFonts w:ascii="Arial" w:hAnsi="Arial" w:cs="Arial"/>
                <w:sz w:val="20"/>
                <w:szCs w:val="20"/>
              </w:rPr>
            </w:pPr>
            <w:r w:rsidRPr="002332F8">
              <w:rPr>
                <w:rFonts w:ascii="Arial" w:hAnsi="Arial" w:cs="Arial"/>
                <w:sz w:val="20"/>
                <w:szCs w:val="20"/>
              </w:rPr>
              <w:t>MD Ratikul Hasan Tutul</w:t>
            </w:r>
          </w:p>
        </w:tc>
        <w:tc>
          <w:tcPr>
            <w:tcW w:w="1198"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35A6C688" w14:textId="77777777" w:rsidR="00D71CCF" w:rsidRPr="002332F8" w:rsidRDefault="00D71CCF" w:rsidP="002D2DAA">
            <w:pPr>
              <w:tabs>
                <w:tab w:val="left" w:pos="3600"/>
                <w:tab w:val="left" w:pos="6480"/>
              </w:tabs>
              <w:spacing w:after="0" w:line="240" w:lineRule="auto"/>
              <w:rPr>
                <w:rFonts w:ascii="Arial" w:hAnsi="Arial" w:cs="Arial"/>
                <w:sz w:val="20"/>
                <w:szCs w:val="20"/>
              </w:rPr>
            </w:pPr>
            <w:r w:rsidRPr="002332F8">
              <w:rPr>
                <w:rFonts w:ascii="Arial" w:hAnsi="Arial" w:cs="Arial"/>
                <w:sz w:val="20"/>
                <w:szCs w:val="20"/>
              </w:rPr>
              <w:t>Signature</w:t>
            </w:r>
          </w:p>
        </w:tc>
        <w:tc>
          <w:tcPr>
            <w:tcW w:w="2136"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5A1B31B6" w14:textId="77777777" w:rsidR="00D71CCF" w:rsidRPr="002332F8" w:rsidRDefault="00D71CCF" w:rsidP="002D2DAA">
            <w:pPr>
              <w:tabs>
                <w:tab w:val="left" w:pos="3600"/>
                <w:tab w:val="left" w:pos="6480"/>
              </w:tabs>
              <w:spacing w:after="0" w:line="240" w:lineRule="auto"/>
              <w:rPr>
                <w:rFonts w:ascii="Arial" w:hAnsi="Arial" w:cs="Arial"/>
                <w:sz w:val="20"/>
                <w:szCs w:val="20"/>
              </w:rPr>
            </w:pPr>
            <w:r w:rsidRPr="002332F8">
              <w:rPr>
                <w:rFonts w:ascii="Arial" w:hAnsi="Arial" w:cs="Arial"/>
                <w:noProof/>
              </w:rPr>
              <w:drawing>
                <wp:anchor distT="0" distB="0" distL="114300" distR="114300" simplePos="0" relativeHeight="251663360" behindDoc="1" locked="0" layoutInCell="1" allowOverlap="1" wp14:anchorId="502E9ECE" wp14:editId="278F3468">
                  <wp:simplePos x="0" y="0"/>
                  <wp:positionH relativeFrom="column">
                    <wp:posOffset>-4445</wp:posOffset>
                  </wp:positionH>
                  <wp:positionV relativeFrom="paragraph">
                    <wp:posOffset>76200</wp:posOffset>
                  </wp:positionV>
                  <wp:extent cx="1209675" cy="228600"/>
                  <wp:effectExtent l="0" t="0" r="9525" b="0"/>
                  <wp:wrapTight wrapText="bothSides">
                    <wp:wrapPolygon edited="0">
                      <wp:start x="0" y="0"/>
                      <wp:lineTo x="0" y="19800"/>
                      <wp:lineTo x="21430" y="19800"/>
                      <wp:lineTo x="2143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209675" cy="228600"/>
                          </a:xfrm>
                          <a:prstGeom prst="rect">
                            <a:avLst/>
                          </a:prstGeom>
                          <a:noFill/>
                          <a:ln>
                            <a:noFill/>
                          </a:ln>
                        </pic:spPr>
                      </pic:pic>
                    </a:graphicData>
                  </a:graphic>
                </wp:anchor>
              </w:drawing>
            </w:r>
          </w:p>
        </w:tc>
        <w:tc>
          <w:tcPr>
            <w:tcW w:w="919" w:type="dxa"/>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604EF8F1" w14:textId="77777777" w:rsidR="00D71CCF" w:rsidRPr="002332F8" w:rsidRDefault="00D71CCF" w:rsidP="002D2DAA">
            <w:pPr>
              <w:tabs>
                <w:tab w:val="left" w:pos="3600"/>
                <w:tab w:val="left" w:pos="6480"/>
              </w:tabs>
              <w:spacing w:after="0" w:line="240" w:lineRule="auto"/>
              <w:rPr>
                <w:rFonts w:ascii="Arial" w:hAnsi="Arial" w:cs="Arial"/>
                <w:sz w:val="20"/>
                <w:szCs w:val="20"/>
              </w:rPr>
            </w:pPr>
            <w:r w:rsidRPr="002332F8">
              <w:rPr>
                <w:rFonts w:ascii="Arial" w:hAnsi="Arial" w:cs="Arial"/>
                <w:sz w:val="20"/>
                <w:szCs w:val="20"/>
              </w:rPr>
              <w:t>Date</w:t>
            </w:r>
          </w:p>
        </w:tc>
        <w:tc>
          <w:tcPr>
            <w:tcW w:w="921" w:type="dxa"/>
            <w:gridSpan w:val="2"/>
            <w:tcBorders>
              <w:top w:val="single" w:sz="4" w:space="0" w:color="4F81BD"/>
              <w:left w:val="single" w:sz="4" w:space="0" w:color="4F81BD"/>
              <w:bottom w:val="single" w:sz="4" w:space="0" w:color="4F81BD"/>
              <w:right w:val="single" w:sz="4" w:space="0" w:color="4F81BD"/>
            </w:tcBorders>
            <w:tcMar>
              <w:top w:w="0" w:type="dxa"/>
              <w:left w:w="108" w:type="dxa"/>
              <w:bottom w:w="0" w:type="dxa"/>
              <w:right w:w="108" w:type="dxa"/>
            </w:tcMar>
          </w:tcPr>
          <w:p w14:paraId="50B12FFC" w14:textId="77777777" w:rsidR="00D71CCF" w:rsidRPr="002332F8" w:rsidRDefault="00D71CCF" w:rsidP="002D2DAA">
            <w:pPr>
              <w:tabs>
                <w:tab w:val="left" w:pos="3600"/>
                <w:tab w:val="left" w:pos="6480"/>
              </w:tabs>
              <w:spacing w:after="0" w:line="240" w:lineRule="auto"/>
              <w:rPr>
                <w:rFonts w:ascii="Arial" w:hAnsi="Arial" w:cs="Arial"/>
                <w:sz w:val="20"/>
                <w:szCs w:val="20"/>
              </w:rPr>
            </w:pPr>
            <w:r w:rsidRPr="002332F8">
              <w:rPr>
                <w:rFonts w:ascii="Arial" w:hAnsi="Arial" w:cs="Arial"/>
                <w:sz w:val="20"/>
                <w:szCs w:val="20"/>
              </w:rPr>
              <w:t>28/08/2026</w:t>
            </w:r>
          </w:p>
        </w:tc>
      </w:tr>
      <w:tr w:rsidR="00D71CCF" w:rsidRPr="002332F8" w14:paraId="5C499621" w14:textId="77777777" w:rsidTr="002D2DAA">
        <w:trPr>
          <w:trHeight w:val="814"/>
        </w:trPr>
        <w:tc>
          <w:tcPr>
            <w:tcW w:w="9016" w:type="dxa"/>
            <w:gridSpan w:val="8"/>
            <w:tcBorders>
              <w:top w:val="single" w:sz="6" w:space="0" w:color="4F81BD"/>
              <w:left w:val="single" w:sz="6" w:space="0" w:color="4F81BD"/>
              <w:bottom w:val="single" w:sz="6" w:space="0" w:color="4F81BD"/>
              <w:right w:val="single" w:sz="6" w:space="0" w:color="4F81BD"/>
            </w:tcBorders>
            <w:tcMar>
              <w:top w:w="0" w:type="dxa"/>
              <w:left w:w="108" w:type="dxa"/>
              <w:bottom w:w="0" w:type="dxa"/>
              <w:right w:w="108" w:type="dxa"/>
            </w:tcMar>
          </w:tcPr>
          <w:p w14:paraId="3A7864D4" w14:textId="77777777" w:rsidR="00D71CCF" w:rsidRPr="002332F8" w:rsidRDefault="00D71CCF" w:rsidP="002D2DAA">
            <w:pPr>
              <w:tabs>
                <w:tab w:val="left" w:pos="3600"/>
                <w:tab w:val="left" w:pos="6480"/>
              </w:tabs>
              <w:spacing w:after="0" w:line="240" w:lineRule="auto"/>
              <w:rPr>
                <w:rFonts w:ascii="Arial" w:hAnsi="Arial" w:cs="Arial"/>
                <w:sz w:val="20"/>
                <w:szCs w:val="20"/>
              </w:rPr>
            </w:pPr>
            <w:r w:rsidRPr="002332F8">
              <w:rPr>
                <w:rStyle w:val="apple-style-span"/>
                <w:rFonts w:ascii="Arial" w:hAnsi="Arial" w:cs="Arial"/>
                <w:sz w:val="20"/>
                <w:szCs w:val="20"/>
              </w:rPr>
              <w:lastRenderedPageBreak/>
              <w:t xml:space="preserve">You may decline to participate in this study. You may end your participation in this study at any time. All data generated from this or any interview will remain confidential. </w:t>
            </w:r>
            <w:r w:rsidRPr="002332F8">
              <w:rPr>
                <w:rStyle w:val="nw1"/>
                <w:rFonts w:ascii="Arial" w:hAnsi="Arial" w:cs="Arial"/>
                <w:sz w:val="20"/>
                <w:szCs w:val="20"/>
              </w:rPr>
              <w:t xml:space="preserve">For more information, please view the university’s </w:t>
            </w:r>
            <w:hyperlink r:id="rId57" w:history="1">
              <w:r w:rsidRPr="002332F8">
                <w:rPr>
                  <w:rStyle w:val="Hyperlink"/>
                  <w:rFonts w:ascii="Arial" w:hAnsi="Arial" w:cs="Arial"/>
                  <w:color w:val="auto"/>
                  <w:sz w:val="20"/>
                  <w:szCs w:val="20"/>
                </w:rPr>
                <w:t>Research and Data Management Policy</w:t>
              </w:r>
            </w:hyperlink>
            <w:r w:rsidRPr="002332F8">
              <w:rPr>
                <w:rStyle w:val="nw1"/>
                <w:rFonts w:ascii="Arial" w:hAnsi="Arial" w:cs="Arial"/>
                <w:sz w:val="20"/>
                <w:szCs w:val="20"/>
              </w:rPr>
              <w:t>.</w:t>
            </w:r>
          </w:p>
          <w:p w14:paraId="37C0F0C2" w14:textId="77777777" w:rsidR="00D71CCF" w:rsidRPr="002332F8" w:rsidRDefault="00D71CCF" w:rsidP="002D2DAA">
            <w:pPr>
              <w:spacing w:after="0" w:line="240" w:lineRule="auto"/>
              <w:rPr>
                <w:rFonts w:ascii="Arial" w:hAnsi="Arial" w:cs="Arial"/>
                <w:sz w:val="20"/>
                <w:szCs w:val="20"/>
              </w:rPr>
            </w:pPr>
          </w:p>
          <w:p w14:paraId="7FE110D9" w14:textId="77777777" w:rsidR="00D71CCF" w:rsidRPr="002332F8" w:rsidRDefault="00D71CCF" w:rsidP="002D2DAA">
            <w:pPr>
              <w:spacing w:after="0" w:line="240" w:lineRule="auto"/>
              <w:rPr>
                <w:rFonts w:ascii="Arial" w:hAnsi="Arial" w:cs="Arial"/>
                <w:sz w:val="20"/>
                <w:szCs w:val="20"/>
              </w:rPr>
            </w:pPr>
            <w:r w:rsidRPr="002332F8">
              <w:rPr>
                <w:rFonts w:ascii="Arial" w:hAnsi="Arial" w:cs="Arial"/>
                <w:sz w:val="20"/>
                <w:szCs w:val="20"/>
              </w:rPr>
              <w:t>When completed please email a copy to the below address to be kept on the file of the researcher and retain a copy for yourself.</w:t>
            </w:r>
          </w:p>
          <w:p w14:paraId="785054E2" w14:textId="77777777" w:rsidR="00D71CCF" w:rsidRPr="002332F8" w:rsidRDefault="00D71CCF" w:rsidP="002D2DAA">
            <w:pPr>
              <w:spacing w:after="0" w:line="240" w:lineRule="auto"/>
              <w:rPr>
                <w:rFonts w:ascii="Arial" w:hAnsi="Arial" w:cs="Arial"/>
                <w:b/>
                <w:sz w:val="20"/>
                <w:szCs w:val="20"/>
              </w:rPr>
            </w:pPr>
          </w:p>
          <w:p w14:paraId="3CD54C47" w14:textId="77777777" w:rsidR="00D71CCF" w:rsidRPr="002332F8" w:rsidRDefault="00D71CCF" w:rsidP="002D2DAA">
            <w:pPr>
              <w:spacing w:after="0" w:line="240" w:lineRule="auto"/>
              <w:rPr>
                <w:rFonts w:ascii="Arial" w:hAnsi="Arial" w:cs="Arial"/>
                <w:sz w:val="20"/>
                <w:szCs w:val="20"/>
              </w:rPr>
            </w:pPr>
            <w:r w:rsidRPr="002332F8">
              <w:rPr>
                <w:rFonts w:ascii="Arial" w:hAnsi="Arial" w:cs="Arial"/>
                <w:sz w:val="20"/>
                <w:szCs w:val="20"/>
              </w:rPr>
              <w:t>Subject Title [</w:t>
            </w:r>
            <w:r w:rsidRPr="002332F8">
              <w:rPr>
                <w:rFonts w:ascii="Arial" w:hAnsi="Arial" w:cs="Arial"/>
                <w:b/>
                <w:bCs/>
                <w:sz w:val="20"/>
                <w:szCs w:val="20"/>
              </w:rPr>
              <w:t>MD Ratikul Hasan Tutul</w:t>
            </w:r>
            <w:r w:rsidRPr="002332F8">
              <w:rPr>
                <w:rFonts w:ascii="Arial" w:hAnsi="Arial" w:cs="Arial"/>
                <w:sz w:val="20"/>
                <w:szCs w:val="20"/>
              </w:rPr>
              <w:t>]</w:t>
            </w:r>
            <w:r w:rsidRPr="002332F8">
              <w:rPr>
                <w:rFonts w:ascii="Arial" w:hAnsi="Arial" w:cs="Arial"/>
                <w:b/>
                <w:bCs/>
                <w:sz w:val="20"/>
                <w:szCs w:val="20"/>
              </w:rPr>
              <w:t>– Participant Consent Form</w:t>
            </w:r>
          </w:p>
          <w:p w14:paraId="5DDC021A" w14:textId="77777777" w:rsidR="00D71CCF" w:rsidRPr="002332F8" w:rsidRDefault="00D71CCF" w:rsidP="002D2DAA">
            <w:pPr>
              <w:spacing w:after="0" w:line="240" w:lineRule="auto"/>
              <w:rPr>
                <w:rFonts w:ascii="Arial" w:hAnsi="Arial" w:cs="Arial"/>
                <w:sz w:val="20"/>
                <w:szCs w:val="20"/>
                <w:lang w:val="fr-FR"/>
              </w:rPr>
            </w:pPr>
            <w:r w:rsidRPr="002332F8">
              <w:rPr>
                <w:rFonts w:ascii="Arial" w:hAnsi="Arial" w:cs="Arial"/>
                <w:sz w:val="20"/>
                <w:szCs w:val="20"/>
                <w:lang w:val="fr-FR"/>
              </w:rPr>
              <w:t>Email : thassan004@gmail.com</w:t>
            </w:r>
          </w:p>
        </w:tc>
      </w:tr>
    </w:tbl>
    <w:p w14:paraId="0E116567" w14:textId="77777777" w:rsidR="00D71CCF" w:rsidRPr="002332F8" w:rsidRDefault="00D71CCF" w:rsidP="00D71CCF">
      <w:pPr>
        <w:rPr>
          <w:rFonts w:ascii="Arial" w:hAnsi="Arial" w:cs="Arial"/>
        </w:rPr>
      </w:pPr>
    </w:p>
    <w:p w14:paraId="4C6BEC18" w14:textId="77777777" w:rsidR="00D71CCF" w:rsidRPr="002332F8" w:rsidRDefault="00D71CCF" w:rsidP="00D71CCF">
      <w:pPr>
        <w:pStyle w:val="Heading2"/>
        <w:rPr>
          <w:rFonts w:ascii="Arial" w:hAnsi="Arial" w:cs="Arial"/>
        </w:rPr>
      </w:pPr>
      <w:bookmarkStart w:id="355" w:name="_Toc241113345"/>
      <w:r w:rsidRPr="002332F8">
        <w:rPr>
          <w:rFonts w:ascii="Arial" w:hAnsi="Arial" w:cs="Arial"/>
        </w:rPr>
        <w:t>Appendix C: Survey Permission Letter</w:t>
      </w:r>
      <w:bookmarkEnd w:id="355"/>
    </w:p>
    <w:p w14:paraId="634D4017" w14:textId="77777777" w:rsidR="00D71CCF" w:rsidRPr="002332F8" w:rsidRDefault="00D71CCF" w:rsidP="00D71CCF">
      <w:pPr>
        <w:rPr>
          <w:rFonts w:ascii="Arial" w:hAnsi="Arial" w:cs="Arial"/>
          <w:b/>
          <w:bCs/>
        </w:rPr>
      </w:pPr>
      <w:r w:rsidRPr="002332F8">
        <w:rPr>
          <w:rFonts w:ascii="Arial" w:hAnsi="Arial" w:cs="Arial"/>
          <w:b/>
          <w:bCs/>
        </w:rPr>
        <w:t>Pdf:</w:t>
      </w:r>
    </w:p>
    <w:p w14:paraId="25A0975C" w14:textId="77777777" w:rsidR="00D71CCF" w:rsidRPr="002332F8" w:rsidRDefault="00D71CCF" w:rsidP="00D71CCF">
      <w:pPr>
        <w:rPr>
          <w:rFonts w:ascii="Arial" w:hAnsi="Arial" w:cs="Arial"/>
        </w:rPr>
      </w:pPr>
      <w:r w:rsidRPr="002332F8">
        <w:rPr>
          <w:rFonts w:ascii="Arial" w:hAnsi="Arial" w:cs="Arial"/>
          <w:b/>
          <w:bCs/>
        </w:rPr>
        <w:t xml:space="preserve"> </w:t>
      </w:r>
      <w:r w:rsidRPr="002332F8">
        <w:rPr>
          <w:rFonts w:ascii="Arial" w:hAnsi="Arial" w:cs="Arial"/>
        </w:rPr>
        <w:object w:dxaOrig="1534" w:dyaOrig="991" w14:anchorId="406EB4F7">
          <v:shape id="_x0000_i1026" type="#_x0000_t75" style="width:76.5pt;height:49.5pt" o:ole="">
            <v:imagedata r:id="rId58" o:title=""/>
          </v:shape>
          <o:OLEObject Type="Embed" ProgID="Acrobat.Document.DC" ShapeID="_x0000_i1026" DrawAspect="Icon" ObjectID="_1851788199" r:id="rId59"/>
        </w:object>
      </w:r>
    </w:p>
    <w:p w14:paraId="1CDB7892" w14:textId="77777777" w:rsidR="00D71CCF" w:rsidRPr="002332F8" w:rsidRDefault="00D71CCF" w:rsidP="00D71CCF">
      <w:pPr>
        <w:rPr>
          <w:rFonts w:ascii="Arial" w:hAnsi="Arial" w:cs="Arial"/>
        </w:rPr>
      </w:pPr>
      <w:r w:rsidRPr="002332F8">
        <w:rPr>
          <w:rFonts w:ascii="Arial" w:hAnsi="Arial" w:cs="Arial"/>
          <w:b/>
          <w:bCs/>
        </w:rPr>
        <w:t>Camscanner Link:</w:t>
      </w:r>
      <w:r w:rsidRPr="002332F8">
        <w:rPr>
          <w:rFonts w:ascii="Arial" w:hAnsi="Arial" w:cs="Arial"/>
        </w:rPr>
        <w:t xml:space="preserve"> https://link.camscanner.com/2LyF77Qjrc</w:t>
      </w:r>
    </w:p>
    <w:p w14:paraId="2AAD2BD8" w14:textId="77777777" w:rsidR="00D71CCF" w:rsidRPr="002332F8" w:rsidRDefault="00D71CCF" w:rsidP="00D71CCF">
      <w:pPr>
        <w:rPr>
          <w:rFonts w:ascii="Arial" w:hAnsi="Arial" w:cs="Arial"/>
        </w:rPr>
      </w:pPr>
      <w:r w:rsidRPr="002332F8">
        <w:rPr>
          <w:rFonts w:ascii="Arial" w:hAnsi="Arial" w:cs="Arial"/>
          <w:noProof/>
        </w:rPr>
        <w:drawing>
          <wp:inline distT="0" distB="0" distL="0" distR="0" wp14:anchorId="40681C36" wp14:editId="750F210D">
            <wp:extent cx="6105525" cy="51625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6105525" cy="5162550"/>
                    </a:xfrm>
                    <a:prstGeom prst="rect">
                      <a:avLst/>
                    </a:prstGeom>
                  </pic:spPr>
                </pic:pic>
              </a:graphicData>
            </a:graphic>
          </wp:inline>
        </w:drawing>
      </w:r>
    </w:p>
    <w:p w14:paraId="5077B6CA" w14:textId="77777777" w:rsidR="00D71CCF" w:rsidRPr="002332F8" w:rsidRDefault="00D71CCF" w:rsidP="00D71CCF">
      <w:pPr>
        <w:pStyle w:val="Heading2"/>
        <w:rPr>
          <w:rFonts w:ascii="Arial" w:hAnsi="Arial" w:cs="Arial"/>
        </w:rPr>
      </w:pPr>
      <w:bookmarkStart w:id="356" w:name="_Toc241093525"/>
      <w:bookmarkStart w:id="357" w:name="_Toc241113346"/>
      <w:r w:rsidRPr="002332F8">
        <w:rPr>
          <w:rFonts w:ascii="Arial" w:hAnsi="Arial" w:cs="Arial"/>
        </w:rPr>
        <w:lastRenderedPageBreak/>
        <w:t>Appendix D: Survey Questionnaire</w:t>
      </w:r>
      <w:bookmarkEnd w:id="356"/>
      <w:bookmarkEnd w:id="357"/>
    </w:p>
    <w:p w14:paraId="1BAC3B80" w14:textId="77777777" w:rsidR="00D71CCF" w:rsidRPr="002332F8" w:rsidRDefault="00D71CCF" w:rsidP="00D71CCF">
      <w:pPr>
        <w:rPr>
          <w:rFonts w:ascii="Arial" w:hAnsi="Arial" w:cs="Arial"/>
        </w:rPr>
      </w:pPr>
      <w:r w:rsidRPr="002332F8">
        <w:rPr>
          <w:rFonts w:ascii="Arial" w:hAnsi="Arial" w:cs="Arial"/>
        </w:rPr>
        <w:t>Survey Link: </w:t>
      </w:r>
      <w:hyperlink r:id="rId61" w:history="1">
        <w:r w:rsidRPr="002332F8">
          <w:rPr>
            <w:rStyle w:val="Hyperlink"/>
            <w:rFonts w:ascii="Arial" w:hAnsi="Arial" w:cs="Arial"/>
            <w:color w:val="auto"/>
          </w:rPr>
          <w:t>https://docs.google.com/forms/d/e/1FAIpQLSefJ1rVoCEdIQLH8JEcoa3vnEdYMHC3szTUmZj_s7sfZQQBSQ/viewform?usp=dialog</w:t>
        </w:r>
      </w:hyperlink>
    </w:p>
    <w:p w14:paraId="3973685B" w14:textId="77777777" w:rsidR="00D71CCF" w:rsidRPr="002332F8" w:rsidRDefault="00D71CCF" w:rsidP="00D71CCF">
      <w:pPr>
        <w:keepLines/>
        <w:pBdr>
          <w:bottom w:val="single" w:sz="4" w:space="1" w:color="000000"/>
        </w:pBdr>
        <w:spacing w:before="360" w:after="80"/>
        <w:jc w:val="center"/>
        <w:rPr>
          <w:rFonts w:ascii="Arial" w:hAnsi="Arial" w:cs="Arial"/>
        </w:rPr>
      </w:pPr>
      <w:r w:rsidRPr="002332F8">
        <w:rPr>
          <w:rFonts w:ascii="Arial" w:hAnsi="Arial" w:cs="Arial"/>
          <w:b/>
          <w:sz w:val="28"/>
          <w:szCs w:val="20"/>
        </w:rPr>
        <w:t>Examining the Relationship Between Employees' Perceptions of Flexible Work Arrangements and Employee Engagement in the Bangladesh Ready-Made Garment Industry: Evidence from Natural Group</w:t>
      </w:r>
    </w:p>
    <w:p w14:paraId="1B773025" w14:textId="77777777" w:rsidR="00D71CCF" w:rsidRPr="002332F8" w:rsidRDefault="00D71CCF" w:rsidP="00D71CCF">
      <w:pPr>
        <w:keepNext/>
        <w:spacing w:before="160" w:after="100"/>
        <w:rPr>
          <w:rFonts w:ascii="Arial" w:hAnsi="Arial" w:cs="Arial"/>
        </w:rPr>
      </w:pPr>
      <w:r w:rsidRPr="002332F8">
        <w:rPr>
          <w:rFonts w:ascii="Arial" w:hAnsi="Arial" w:cs="Arial"/>
          <w:b/>
          <w:sz w:val="28"/>
        </w:rPr>
        <w:t>Participant Information and Informed Consent</w:t>
      </w:r>
    </w:p>
    <w:tbl>
      <w:tblPr>
        <w:tblW w:w="5000" w:type="pct"/>
        <w:jc w:val="center"/>
        <w:tblCellMar>
          <w:left w:w="10" w:type="dxa"/>
          <w:right w:w="10" w:type="dxa"/>
        </w:tblCellMar>
        <w:tblLook w:val="04A0" w:firstRow="1" w:lastRow="0" w:firstColumn="1" w:lastColumn="0" w:noHBand="0" w:noVBand="1"/>
      </w:tblPr>
      <w:tblGrid>
        <w:gridCol w:w="8995"/>
      </w:tblGrid>
      <w:tr w:rsidR="00D71CCF" w:rsidRPr="002332F8" w14:paraId="35E6ECF7" w14:textId="77777777" w:rsidTr="002D2DAA">
        <w:trPr>
          <w:jc w:val="center"/>
        </w:trPr>
        <w:tc>
          <w:tcPr>
            <w:tcW w:w="8993" w:type="dxa"/>
            <w:tcBorders>
              <w:top w:val="single" w:sz="6" w:space="0" w:color="2E75B6"/>
              <w:left w:val="single" w:sz="18" w:space="0" w:color="2E75B6"/>
              <w:bottom w:val="single" w:sz="6" w:space="0" w:color="2E75B6"/>
              <w:right w:val="single" w:sz="6" w:space="0" w:color="2E75B6"/>
            </w:tcBorders>
            <w:tcMar>
              <w:top w:w="110" w:type="dxa"/>
              <w:left w:w="130" w:type="dxa"/>
              <w:bottom w:w="100" w:type="dxa"/>
              <w:right w:w="130" w:type="dxa"/>
            </w:tcMar>
          </w:tcPr>
          <w:p w14:paraId="467EC10D" w14:textId="77777777" w:rsidR="00D71CCF" w:rsidRPr="002332F8" w:rsidRDefault="00D71CCF" w:rsidP="002D2DAA">
            <w:pPr>
              <w:spacing w:after="0" w:line="240" w:lineRule="auto"/>
              <w:rPr>
                <w:rFonts w:ascii="Arial" w:hAnsi="Arial" w:cs="Arial"/>
                <w:shd w:val="clear" w:color="auto" w:fill="FFFFFF"/>
              </w:rPr>
            </w:pPr>
            <w:r w:rsidRPr="002332F8">
              <w:rPr>
                <w:rFonts w:ascii="Arial" w:hAnsi="Arial" w:cs="Arial"/>
                <w:sz w:val="22"/>
                <w:shd w:val="clear" w:color="auto" w:fill="FFFFFF"/>
              </w:rPr>
              <w:t>Research Title: "Examining the Relationship Between Employees' Perceptions of Flexible Work Arrangements and Employee Engagement in the Bangladesh Ready-Made Garment Industry: Evidence from Natural Group"</w:t>
            </w:r>
          </w:p>
          <w:p w14:paraId="07C0DFC0" w14:textId="77777777" w:rsidR="00D71CCF" w:rsidRPr="002332F8" w:rsidRDefault="00D71CCF" w:rsidP="002D2DAA">
            <w:pPr>
              <w:spacing w:after="0" w:line="240" w:lineRule="auto"/>
              <w:rPr>
                <w:rFonts w:ascii="Arial" w:hAnsi="Arial" w:cs="Arial"/>
              </w:rPr>
            </w:pPr>
            <w:r w:rsidRPr="002332F8">
              <w:rPr>
                <w:rFonts w:ascii="Arial" w:hAnsi="Arial" w:cs="Arial"/>
                <w:sz w:val="22"/>
              </w:rPr>
              <w:br/>
            </w:r>
            <w:r w:rsidRPr="002332F8">
              <w:rPr>
                <w:rFonts w:ascii="Arial" w:hAnsi="Arial" w:cs="Arial"/>
                <w:sz w:val="22"/>
                <w:shd w:val="clear" w:color="auto" w:fill="FFFFFF"/>
              </w:rPr>
              <w:t>Dear Participant,</w:t>
            </w:r>
          </w:p>
          <w:p w14:paraId="0D547BEE" w14:textId="77777777" w:rsidR="00D71CCF" w:rsidRPr="002332F8" w:rsidRDefault="00D71CCF" w:rsidP="002D2DAA">
            <w:pPr>
              <w:spacing w:after="0" w:line="240" w:lineRule="auto"/>
              <w:rPr>
                <w:rFonts w:ascii="Arial" w:hAnsi="Arial" w:cs="Arial"/>
              </w:rPr>
            </w:pPr>
            <w:r w:rsidRPr="002332F8">
              <w:rPr>
                <w:rFonts w:ascii="Arial" w:hAnsi="Arial" w:cs="Arial"/>
                <w:sz w:val="22"/>
              </w:rPr>
              <w:br/>
            </w:r>
            <w:r w:rsidRPr="002332F8">
              <w:rPr>
                <w:rFonts w:ascii="Arial" w:hAnsi="Arial" w:cs="Arial"/>
                <w:sz w:val="22"/>
                <w:shd w:val="clear" w:color="auto" w:fill="FFFFFF"/>
              </w:rPr>
              <w:t>My name is Md Moinul Hasan Bappy. I am a student of UWTSD. I am collecting data for a research dissertation on "Examining the Relationship Between Employees' Perceptions of Flexible Work Arrangements and Employee Engagement in the Bangladesh Ready-Made Garment Industry: Evidence from Natural Group". For this, I am conducting an online survey about the relationship between employees' perceptions of flexible work arrangements and employee engagement.</w:t>
            </w:r>
          </w:p>
          <w:p w14:paraId="7D230F42" w14:textId="77777777" w:rsidR="00D71CCF" w:rsidRPr="002332F8" w:rsidRDefault="00D71CCF" w:rsidP="002D2DAA">
            <w:pPr>
              <w:spacing w:after="0" w:line="240" w:lineRule="auto"/>
              <w:rPr>
                <w:rFonts w:ascii="Arial" w:hAnsi="Arial" w:cs="Arial"/>
              </w:rPr>
            </w:pPr>
            <w:r w:rsidRPr="002332F8">
              <w:rPr>
                <w:rFonts w:ascii="Arial" w:hAnsi="Arial" w:cs="Arial"/>
                <w:sz w:val="22"/>
                <w:shd w:val="clear" w:color="auto" w:fill="FFFFFF"/>
              </w:rPr>
              <w:t>If you agree to take part, you will be asked to complete the following questionnaire. There aren't any right or wrong answers — we just want to hear about your opinions. It will take approximately 8-10 minutes. If you don't want to take part, you do not have to give a reason and no pressure will be put on you to try and change your mind. You can pull out at any time.</w:t>
            </w:r>
            <w:r w:rsidRPr="002332F8">
              <w:rPr>
                <w:rFonts w:ascii="Arial" w:hAnsi="Arial" w:cs="Arial"/>
                <w:sz w:val="22"/>
              </w:rPr>
              <w:br/>
            </w:r>
            <w:r w:rsidRPr="002332F8">
              <w:rPr>
                <w:rFonts w:ascii="Arial" w:hAnsi="Arial" w:cs="Arial"/>
                <w:sz w:val="22"/>
              </w:rPr>
              <w:br/>
            </w:r>
            <w:r w:rsidRPr="002332F8">
              <w:rPr>
                <w:rFonts w:ascii="Arial" w:hAnsi="Arial" w:cs="Arial"/>
                <w:sz w:val="22"/>
                <w:shd w:val="clear" w:color="auto" w:fill="FFFFFF"/>
              </w:rPr>
              <w:t>All the information you give us will be confidential and used for this study only, though with your agreement, anonymised, overall study findings may be disseminated through publication or at a conference. The information will be used in a way that will not allow you to be identified individually.</w:t>
            </w:r>
          </w:p>
          <w:p w14:paraId="450D40DA" w14:textId="77777777" w:rsidR="00D71CCF" w:rsidRPr="002332F8" w:rsidRDefault="00D71CCF" w:rsidP="002D2DAA">
            <w:pPr>
              <w:spacing w:after="0" w:line="240" w:lineRule="auto"/>
              <w:rPr>
                <w:rFonts w:ascii="Arial" w:hAnsi="Arial" w:cs="Arial"/>
                <w:shd w:val="clear" w:color="auto" w:fill="FFFFFF"/>
              </w:rPr>
            </w:pPr>
            <w:r w:rsidRPr="002332F8">
              <w:rPr>
                <w:rFonts w:ascii="Arial" w:hAnsi="Arial" w:cs="Arial"/>
                <w:sz w:val="22"/>
                <w:shd w:val="clear" w:color="auto" w:fill="FFFFFF"/>
              </w:rPr>
              <w:t>The data will be collected and stored in accordance with the Data Protection Act 1998 (DPA). All raw data will be stored in a password-protected location and disposed of in a secure manner. The University Data Protection Policy and Student Privacy Notice set out the rules for adherence to the requirements of data protection laws.</w:t>
            </w:r>
          </w:p>
          <w:p w14:paraId="287DB800" w14:textId="77777777" w:rsidR="00D71CCF" w:rsidRPr="002332F8" w:rsidRDefault="00D71CCF" w:rsidP="002D2DAA">
            <w:pPr>
              <w:spacing w:after="0" w:line="240" w:lineRule="auto"/>
              <w:rPr>
                <w:rFonts w:ascii="Arial" w:hAnsi="Arial" w:cs="Arial"/>
                <w:shd w:val="clear" w:color="auto" w:fill="FFFFFF"/>
              </w:rPr>
            </w:pPr>
            <w:r w:rsidRPr="002332F8">
              <w:rPr>
                <w:rFonts w:ascii="Arial" w:hAnsi="Arial" w:cs="Arial"/>
                <w:sz w:val="22"/>
                <w:shd w:val="clear" w:color="auto" w:fill="FFFFFF"/>
              </w:rPr>
              <w:t>By completing this questionnaire, you are confirming that you understand the reason for this research and know who the contact person is and understand the conditions above. Thank you for your time.</w:t>
            </w:r>
          </w:p>
          <w:p w14:paraId="7A089271" w14:textId="77777777" w:rsidR="00D71CCF" w:rsidRPr="002332F8" w:rsidRDefault="00D71CCF" w:rsidP="002D2DAA">
            <w:pPr>
              <w:spacing w:after="0" w:line="240" w:lineRule="auto"/>
              <w:rPr>
                <w:rFonts w:ascii="Arial" w:hAnsi="Arial" w:cs="Arial"/>
              </w:rPr>
            </w:pPr>
            <w:r w:rsidRPr="002332F8">
              <w:rPr>
                <w:rFonts w:ascii="Arial" w:hAnsi="Arial" w:cs="Arial"/>
                <w:sz w:val="22"/>
                <w:shd w:val="clear" w:color="auto" w:fill="FFFFFF"/>
              </w:rPr>
              <w:t>Regards,</w:t>
            </w:r>
            <w:r w:rsidRPr="002332F8">
              <w:rPr>
                <w:rFonts w:ascii="Arial" w:hAnsi="Arial" w:cs="Arial"/>
                <w:sz w:val="22"/>
              </w:rPr>
              <w:br/>
            </w:r>
            <w:r w:rsidRPr="002332F8">
              <w:rPr>
                <w:rFonts w:ascii="Arial" w:hAnsi="Arial" w:cs="Arial"/>
                <w:sz w:val="22"/>
                <w:shd w:val="clear" w:color="auto" w:fill="FFFFFF"/>
              </w:rPr>
              <w:t>Md Moinul Hasan Bappy</w:t>
            </w:r>
          </w:p>
        </w:tc>
      </w:tr>
    </w:tbl>
    <w:p w14:paraId="771D9991" w14:textId="77777777" w:rsidR="00D71CCF" w:rsidRPr="002332F8" w:rsidRDefault="00D71CCF" w:rsidP="00D71CCF">
      <w:pPr>
        <w:keepNext/>
        <w:spacing w:before="160" w:after="60"/>
        <w:rPr>
          <w:rFonts w:ascii="Arial" w:hAnsi="Arial" w:cs="Arial"/>
        </w:rPr>
      </w:pPr>
      <w:r w:rsidRPr="002332F8">
        <w:rPr>
          <w:rFonts w:ascii="Arial" w:hAnsi="Arial" w:cs="Arial"/>
          <w:b/>
          <w:sz w:val="28"/>
        </w:rPr>
        <w:lastRenderedPageBreak/>
        <w:t>Consent Confirmation</w:t>
      </w:r>
    </w:p>
    <w:p w14:paraId="459947B6" w14:textId="77777777" w:rsidR="00D71CCF" w:rsidRPr="002332F8" w:rsidRDefault="00D71CCF" w:rsidP="00D71CCF">
      <w:pPr>
        <w:keepLines/>
        <w:spacing w:before="100" w:after="40"/>
        <w:rPr>
          <w:rFonts w:ascii="Arial" w:hAnsi="Arial" w:cs="Arial"/>
        </w:rPr>
      </w:pPr>
      <w:r w:rsidRPr="002332F8">
        <w:rPr>
          <w:rFonts w:ascii="Arial" w:hAnsi="Arial" w:cs="Arial"/>
          <w:b/>
        </w:rPr>
        <w:t>C1.   Do you voluntarily consent to participate in this study?</w:t>
      </w:r>
    </w:p>
    <w:p w14:paraId="2460EAA9" w14:textId="77777777" w:rsidR="00D71CCF" w:rsidRPr="002332F8" w:rsidRDefault="00D71CCF" w:rsidP="00D71CCF">
      <w:pPr>
        <w:spacing w:after="20"/>
        <w:ind w:left="115"/>
        <w:rPr>
          <w:rFonts w:ascii="Arial" w:hAnsi="Arial" w:cs="Arial"/>
        </w:rPr>
      </w:pPr>
      <w:r w:rsidRPr="002332F8">
        <w:rPr>
          <w:rFonts w:ascii="Segoe UI Symbol" w:hAnsi="Segoe UI Symbol" w:cs="Segoe UI Symbol"/>
        </w:rPr>
        <w:t>☐</w:t>
      </w:r>
      <w:r w:rsidRPr="002332F8">
        <w:rPr>
          <w:rFonts w:ascii="Arial" w:hAnsi="Arial" w:cs="Arial"/>
        </w:rPr>
        <w:t xml:space="preserve">  Yes – Please continue to the Eligibility Screening questions.</w:t>
      </w:r>
    </w:p>
    <w:p w14:paraId="35170B32" w14:textId="77777777" w:rsidR="00D71CCF" w:rsidRPr="002332F8" w:rsidRDefault="00D71CCF" w:rsidP="00D71CCF">
      <w:pPr>
        <w:spacing w:after="20"/>
        <w:ind w:left="115"/>
        <w:rPr>
          <w:rFonts w:ascii="Arial" w:hAnsi="Arial" w:cs="Arial"/>
        </w:rPr>
      </w:pPr>
      <w:r w:rsidRPr="002332F8">
        <w:rPr>
          <w:rFonts w:ascii="Segoe UI Symbol" w:hAnsi="Segoe UI Symbol" w:cs="Segoe UI Symbol"/>
        </w:rPr>
        <w:t>☐</w:t>
      </w:r>
      <w:r w:rsidRPr="002332F8">
        <w:rPr>
          <w:rFonts w:ascii="Arial" w:hAnsi="Arial" w:cs="Arial"/>
        </w:rPr>
        <w:t xml:space="preserve">  No – Please do not continue with the questionnaire.</w:t>
      </w:r>
    </w:p>
    <w:p w14:paraId="501540AC" w14:textId="77777777" w:rsidR="00D71CCF" w:rsidRPr="002332F8" w:rsidRDefault="00D71CCF" w:rsidP="00D71CCF">
      <w:pPr>
        <w:keepNext/>
        <w:spacing w:before="160" w:after="60"/>
        <w:rPr>
          <w:rFonts w:ascii="Arial" w:hAnsi="Arial" w:cs="Arial"/>
        </w:rPr>
      </w:pPr>
      <w:r w:rsidRPr="002332F8">
        <w:rPr>
          <w:rFonts w:ascii="Arial" w:hAnsi="Arial" w:cs="Arial"/>
          <w:b/>
          <w:sz w:val="28"/>
        </w:rPr>
        <w:t>Eligibility Screening</w:t>
      </w:r>
    </w:p>
    <w:p w14:paraId="5A5EF993" w14:textId="77777777" w:rsidR="00D71CCF" w:rsidRPr="002332F8" w:rsidRDefault="00D71CCF" w:rsidP="00D71CCF">
      <w:pPr>
        <w:spacing w:after="80"/>
        <w:rPr>
          <w:rFonts w:ascii="Arial" w:hAnsi="Arial" w:cs="Arial"/>
        </w:rPr>
      </w:pPr>
      <w:r w:rsidRPr="002332F8">
        <w:rPr>
          <w:rFonts w:ascii="Arial" w:hAnsi="Arial" w:cs="Arial"/>
        </w:rPr>
        <w:t>Please answer all four questions. Respondents who answer 'No' to any question do not meet the eligibility criteria for this study.</w:t>
      </w:r>
    </w:p>
    <w:p w14:paraId="0899563F" w14:textId="77777777" w:rsidR="00D71CCF" w:rsidRPr="002332F8" w:rsidRDefault="00D71CCF" w:rsidP="00D71CCF">
      <w:pPr>
        <w:keepLines/>
        <w:spacing w:before="100" w:after="40"/>
        <w:rPr>
          <w:rFonts w:ascii="Arial" w:hAnsi="Arial" w:cs="Arial"/>
        </w:rPr>
      </w:pPr>
      <w:r w:rsidRPr="002332F8">
        <w:rPr>
          <w:rFonts w:ascii="Arial" w:hAnsi="Arial" w:cs="Arial"/>
          <w:b/>
        </w:rPr>
        <w:t>S1.   Are you aged 18 years or above?</w:t>
      </w:r>
    </w:p>
    <w:p w14:paraId="7D8E5A31" w14:textId="77777777" w:rsidR="00D71CCF" w:rsidRPr="002332F8" w:rsidRDefault="00D71CCF" w:rsidP="00D71CCF">
      <w:pPr>
        <w:spacing w:after="20"/>
        <w:ind w:left="115"/>
        <w:rPr>
          <w:rFonts w:ascii="Arial" w:hAnsi="Arial" w:cs="Arial"/>
        </w:rPr>
      </w:pPr>
      <w:r w:rsidRPr="002332F8">
        <w:rPr>
          <w:rFonts w:ascii="Segoe UI Symbol" w:hAnsi="Segoe UI Symbol" w:cs="Segoe UI Symbol"/>
        </w:rPr>
        <w:t>☐</w:t>
      </w:r>
      <w:r w:rsidRPr="002332F8">
        <w:rPr>
          <w:rFonts w:ascii="Arial" w:hAnsi="Arial" w:cs="Arial"/>
        </w:rPr>
        <w:t xml:space="preserve">  Yes – Please proceed to question S2.</w:t>
      </w:r>
    </w:p>
    <w:p w14:paraId="5927098D" w14:textId="77777777" w:rsidR="00D71CCF" w:rsidRPr="002332F8" w:rsidRDefault="00D71CCF" w:rsidP="00D71CCF">
      <w:pPr>
        <w:spacing w:after="20"/>
        <w:ind w:left="115"/>
        <w:rPr>
          <w:rFonts w:ascii="Arial" w:hAnsi="Arial" w:cs="Arial"/>
        </w:rPr>
      </w:pPr>
      <w:r w:rsidRPr="002332F8">
        <w:rPr>
          <w:rFonts w:ascii="Segoe UI Symbol" w:hAnsi="Segoe UI Symbol" w:cs="Segoe UI Symbol"/>
        </w:rPr>
        <w:t>☐</w:t>
      </w:r>
      <w:r w:rsidRPr="002332F8">
        <w:rPr>
          <w:rFonts w:ascii="Arial" w:hAnsi="Arial" w:cs="Arial"/>
        </w:rPr>
        <w:t xml:space="preserve">  No – Thank you for your interest. You are not eligible to participate in this study.</w:t>
      </w:r>
    </w:p>
    <w:p w14:paraId="49A65AE3" w14:textId="77777777" w:rsidR="00D71CCF" w:rsidRPr="002332F8" w:rsidRDefault="00D71CCF" w:rsidP="00D71CCF">
      <w:pPr>
        <w:keepLines/>
        <w:spacing w:before="100" w:after="40"/>
        <w:rPr>
          <w:rFonts w:ascii="Arial" w:hAnsi="Arial" w:cs="Arial"/>
        </w:rPr>
      </w:pPr>
      <w:r w:rsidRPr="002332F8">
        <w:rPr>
          <w:rFonts w:ascii="Arial" w:hAnsi="Arial" w:cs="Arial"/>
          <w:b/>
        </w:rPr>
        <w:t>S2.   Are you currently employed by Natural Group Bangladesh in a factory-based production or operational role?</w:t>
      </w:r>
    </w:p>
    <w:p w14:paraId="0DF98930" w14:textId="77777777" w:rsidR="00D71CCF" w:rsidRPr="002332F8" w:rsidRDefault="00D71CCF" w:rsidP="00D71CCF">
      <w:pPr>
        <w:spacing w:after="20"/>
        <w:ind w:left="115"/>
        <w:rPr>
          <w:rFonts w:ascii="Arial" w:hAnsi="Arial" w:cs="Arial"/>
        </w:rPr>
      </w:pPr>
      <w:r w:rsidRPr="002332F8">
        <w:rPr>
          <w:rFonts w:ascii="Segoe UI Symbol" w:hAnsi="Segoe UI Symbol" w:cs="Segoe UI Symbol"/>
        </w:rPr>
        <w:t>☐</w:t>
      </w:r>
      <w:r w:rsidRPr="002332F8">
        <w:rPr>
          <w:rFonts w:ascii="Arial" w:hAnsi="Arial" w:cs="Arial"/>
        </w:rPr>
        <w:t xml:space="preserve">  Yes – Please proceed to question S3.</w:t>
      </w:r>
    </w:p>
    <w:p w14:paraId="3910BE4B" w14:textId="77777777" w:rsidR="00D71CCF" w:rsidRPr="002332F8" w:rsidRDefault="00D71CCF" w:rsidP="00D71CCF">
      <w:pPr>
        <w:spacing w:after="20"/>
        <w:ind w:left="115"/>
        <w:rPr>
          <w:rFonts w:ascii="Arial" w:hAnsi="Arial" w:cs="Arial"/>
        </w:rPr>
      </w:pPr>
      <w:r w:rsidRPr="002332F8">
        <w:rPr>
          <w:rFonts w:ascii="Segoe UI Symbol" w:hAnsi="Segoe UI Symbol" w:cs="Segoe UI Symbol"/>
        </w:rPr>
        <w:t>☐</w:t>
      </w:r>
      <w:r w:rsidRPr="002332F8">
        <w:rPr>
          <w:rFonts w:ascii="Arial" w:hAnsi="Arial" w:cs="Arial"/>
        </w:rPr>
        <w:t xml:space="preserve">  No – Thank you for your interest. This study is limited to eligible factory-based employees of Natural Group Bangladesh.</w:t>
      </w:r>
    </w:p>
    <w:p w14:paraId="52612481" w14:textId="77777777" w:rsidR="00D71CCF" w:rsidRPr="002332F8" w:rsidRDefault="00D71CCF" w:rsidP="00D71CCF">
      <w:pPr>
        <w:keepLines/>
        <w:spacing w:before="100" w:after="40"/>
        <w:rPr>
          <w:rFonts w:ascii="Arial" w:hAnsi="Arial" w:cs="Arial"/>
        </w:rPr>
      </w:pPr>
      <w:r w:rsidRPr="002332F8">
        <w:rPr>
          <w:rFonts w:ascii="Arial" w:hAnsi="Arial" w:cs="Arial"/>
          <w:b/>
        </w:rPr>
        <w:t>S3.   Have you worked continuously at Natural Group Bangladesh for at least three months?</w:t>
      </w:r>
    </w:p>
    <w:p w14:paraId="73C239DC" w14:textId="77777777" w:rsidR="00D71CCF" w:rsidRPr="002332F8" w:rsidRDefault="00D71CCF" w:rsidP="00D71CCF">
      <w:pPr>
        <w:spacing w:after="20"/>
        <w:ind w:left="115"/>
        <w:rPr>
          <w:rFonts w:ascii="Arial" w:hAnsi="Arial" w:cs="Arial"/>
        </w:rPr>
      </w:pPr>
      <w:r w:rsidRPr="002332F8">
        <w:rPr>
          <w:rFonts w:ascii="Segoe UI Symbol" w:hAnsi="Segoe UI Symbol" w:cs="Segoe UI Symbol"/>
        </w:rPr>
        <w:t>☐</w:t>
      </w:r>
      <w:r w:rsidRPr="002332F8">
        <w:rPr>
          <w:rFonts w:ascii="Arial" w:hAnsi="Arial" w:cs="Arial"/>
        </w:rPr>
        <w:t xml:space="preserve">  Yes – Please proceed to question S4.</w:t>
      </w:r>
    </w:p>
    <w:p w14:paraId="7D329452" w14:textId="77777777" w:rsidR="00D71CCF" w:rsidRPr="002332F8" w:rsidRDefault="00D71CCF" w:rsidP="00D71CCF">
      <w:pPr>
        <w:spacing w:after="20"/>
        <w:ind w:left="115"/>
        <w:rPr>
          <w:rFonts w:ascii="Arial" w:hAnsi="Arial" w:cs="Arial"/>
        </w:rPr>
      </w:pPr>
      <w:r w:rsidRPr="002332F8">
        <w:rPr>
          <w:rFonts w:ascii="Segoe UI Symbol" w:hAnsi="Segoe UI Symbol" w:cs="Segoe UI Symbol"/>
        </w:rPr>
        <w:t>☐</w:t>
      </w:r>
      <w:r w:rsidRPr="002332F8">
        <w:rPr>
          <w:rFonts w:ascii="Arial" w:hAnsi="Arial" w:cs="Arial"/>
        </w:rPr>
        <w:t xml:space="preserve">  No – Thank you for your interest. At least three months of continuous employment is required for this study.</w:t>
      </w:r>
    </w:p>
    <w:p w14:paraId="1871011B" w14:textId="77777777" w:rsidR="00D71CCF" w:rsidRPr="002332F8" w:rsidRDefault="00D71CCF" w:rsidP="00D71CCF">
      <w:pPr>
        <w:keepLines/>
        <w:spacing w:before="100" w:after="40"/>
        <w:rPr>
          <w:rFonts w:ascii="Arial" w:hAnsi="Arial" w:cs="Arial"/>
        </w:rPr>
      </w:pPr>
      <w:r w:rsidRPr="002332F8">
        <w:rPr>
          <w:rFonts w:ascii="Arial" w:hAnsi="Arial" w:cs="Arial"/>
          <w:b/>
        </w:rPr>
        <w:t>S4.   Do you work according to a fixed, rotating, or production-based work schedule?</w:t>
      </w:r>
    </w:p>
    <w:p w14:paraId="42443144" w14:textId="77777777" w:rsidR="00D71CCF" w:rsidRPr="002332F8" w:rsidRDefault="00D71CCF" w:rsidP="00D71CCF">
      <w:pPr>
        <w:spacing w:after="20"/>
        <w:ind w:left="115"/>
        <w:rPr>
          <w:rFonts w:ascii="Arial" w:hAnsi="Arial" w:cs="Arial"/>
        </w:rPr>
      </w:pPr>
      <w:r w:rsidRPr="002332F8">
        <w:rPr>
          <w:rFonts w:ascii="Segoe UI Symbol" w:hAnsi="Segoe UI Symbol" w:cs="Segoe UI Symbol"/>
        </w:rPr>
        <w:t>☐</w:t>
      </w:r>
      <w:r w:rsidRPr="002332F8">
        <w:rPr>
          <w:rFonts w:ascii="Arial" w:hAnsi="Arial" w:cs="Arial"/>
        </w:rPr>
        <w:t xml:space="preserve">  Yes – Thank you. Please continue to Section A.</w:t>
      </w:r>
    </w:p>
    <w:p w14:paraId="4D22C9FB" w14:textId="77777777" w:rsidR="00D71CCF" w:rsidRPr="002332F8" w:rsidRDefault="00D71CCF" w:rsidP="00D71CCF">
      <w:pPr>
        <w:spacing w:after="20"/>
        <w:ind w:left="115"/>
        <w:rPr>
          <w:rFonts w:ascii="Arial" w:hAnsi="Arial" w:cs="Arial"/>
        </w:rPr>
      </w:pPr>
      <w:r w:rsidRPr="002332F8">
        <w:rPr>
          <w:rFonts w:ascii="Segoe UI Symbol" w:hAnsi="Segoe UI Symbol" w:cs="Segoe UI Symbol"/>
        </w:rPr>
        <w:t>☐</w:t>
      </w:r>
      <w:r w:rsidRPr="002332F8">
        <w:rPr>
          <w:rFonts w:ascii="Arial" w:hAnsi="Arial" w:cs="Arial"/>
        </w:rPr>
        <w:t xml:space="preserve">  No – Thank you for your interest. This study concerns employees who work according to scheduled working hours.</w:t>
      </w:r>
    </w:p>
    <w:p w14:paraId="4AAB7893" w14:textId="77777777" w:rsidR="00D71CCF" w:rsidRPr="002332F8" w:rsidRDefault="00D71CCF" w:rsidP="00D71CCF">
      <w:pPr>
        <w:rPr>
          <w:rFonts w:ascii="Arial" w:hAnsi="Arial" w:cs="Arial"/>
          <w:b/>
          <w:bCs/>
          <w:u w:val="single"/>
        </w:rPr>
      </w:pPr>
    </w:p>
    <w:p w14:paraId="2F3D89CD" w14:textId="77777777" w:rsidR="00D71CCF" w:rsidRPr="002332F8" w:rsidRDefault="00D71CCF" w:rsidP="00D71CCF">
      <w:pPr>
        <w:rPr>
          <w:rFonts w:ascii="Arial" w:hAnsi="Arial" w:cs="Arial"/>
          <w:b/>
          <w:bCs/>
          <w:u w:val="single"/>
        </w:rPr>
      </w:pPr>
      <w:r w:rsidRPr="002332F8">
        <w:rPr>
          <w:rFonts w:ascii="Arial" w:hAnsi="Arial" w:cs="Arial"/>
          <w:b/>
          <w:bCs/>
          <w:u w:val="single"/>
        </w:rPr>
        <w:t>Section A: Demographic Information</w:t>
      </w:r>
    </w:p>
    <w:p w14:paraId="66DC549D" w14:textId="77777777" w:rsidR="00D71CCF" w:rsidRPr="002332F8" w:rsidRDefault="00D71CCF" w:rsidP="00D71CCF">
      <w:pPr>
        <w:rPr>
          <w:rFonts w:ascii="Arial" w:hAnsi="Arial" w:cs="Arial"/>
        </w:rPr>
      </w:pPr>
      <w:r w:rsidRPr="002332F8">
        <w:rPr>
          <w:rFonts w:ascii="Arial" w:hAnsi="Arial" w:cs="Arial"/>
        </w:rPr>
        <w:lastRenderedPageBreak/>
        <w:t>Please select the option that best describes you. This information will be used only to describe the sample and examine whether background characteristics should be controlled in the statistical analysis.</w:t>
      </w:r>
    </w:p>
    <w:p w14:paraId="2DA6EE64" w14:textId="77777777" w:rsidR="00D71CCF" w:rsidRPr="002332F8" w:rsidRDefault="00D71CCF" w:rsidP="00D71CCF">
      <w:pPr>
        <w:spacing w:after="60"/>
        <w:rPr>
          <w:rFonts w:ascii="Arial" w:hAnsi="Arial" w:cs="Arial"/>
        </w:rPr>
      </w:pPr>
      <w:r w:rsidRPr="002332F8">
        <w:rPr>
          <w:rFonts w:ascii="Arial" w:hAnsi="Arial" w:cs="Arial"/>
          <w:b/>
        </w:rPr>
        <w:t>A1. Age group</w:t>
      </w:r>
    </w:p>
    <w:tbl>
      <w:tblPr>
        <w:tblW w:w="5000" w:type="pct"/>
        <w:jc w:val="center"/>
        <w:tblCellMar>
          <w:left w:w="10" w:type="dxa"/>
          <w:right w:w="10" w:type="dxa"/>
        </w:tblCellMar>
        <w:tblLook w:val="04A0" w:firstRow="1" w:lastRow="0" w:firstColumn="1" w:lastColumn="0" w:noHBand="0" w:noVBand="1"/>
      </w:tblPr>
      <w:tblGrid>
        <w:gridCol w:w="4512"/>
        <w:gridCol w:w="4504"/>
      </w:tblGrid>
      <w:tr w:rsidR="00D71CCF" w:rsidRPr="002332F8" w14:paraId="64BA7DB9" w14:textId="77777777" w:rsidTr="002D2DAA">
        <w:trPr>
          <w:cantSplit/>
          <w:jc w:val="center"/>
        </w:trPr>
        <w:tc>
          <w:tcPr>
            <w:tcW w:w="4512"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814469F"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18–24 years</w:t>
            </w:r>
          </w:p>
        </w:tc>
        <w:tc>
          <w:tcPr>
            <w:tcW w:w="4504"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CE628DD"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25–34 years</w:t>
            </w:r>
          </w:p>
        </w:tc>
      </w:tr>
      <w:tr w:rsidR="00D71CCF" w:rsidRPr="002332F8" w14:paraId="32C0B5BD" w14:textId="77777777" w:rsidTr="002D2DAA">
        <w:trPr>
          <w:cantSplit/>
          <w:jc w:val="center"/>
        </w:trPr>
        <w:tc>
          <w:tcPr>
            <w:tcW w:w="4512"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6176216F"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35–44 years</w:t>
            </w:r>
          </w:p>
        </w:tc>
        <w:tc>
          <w:tcPr>
            <w:tcW w:w="4504"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BED8980"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45–54 years</w:t>
            </w:r>
          </w:p>
        </w:tc>
      </w:tr>
      <w:tr w:rsidR="00D71CCF" w:rsidRPr="002332F8" w14:paraId="382B866E" w14:textId="77777777" w:rsidTr="002D2DAA">
        <w:trPr>
          <w:cantSplit/>
          <w:jc w:val="center"/>
        </w:trPr>
        <w:tc>
          <w:tcPr>
            <w:tcW w:w="4512"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608DD04"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55 years or above</w:t>
            </w:r>
          </w:p>
        </w:tc>
        <w:tc>
          <w:tcPr>
            <w:tcW w:w="4504"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D13B5A0" w14:textId="77777777" w:rsidR="00D71CCF" w:rsidRPr="002332F8" w:rsidRDefault="00D71CCF" w:rsidP="002D2DAA">
            <w:pPr>
              <w:spacing w:after="0" w:line="240" w:lineRule="auto"/>
              <w:rPr>
                <w:rFonts w:ascii="Arial" w:hAnsi="Arial" w:cs="Arial"/>
              </w:rPr>
            </w:pPr>
          </w:p>
        </w:tc>
      </w:tr>
    </w:tbl>
    <w:p w14:paraId="78D0F27D" w14:textId="77777777" w:rsidR="00D71CCF" w:rsidRPr="002332F8" w:rsidRDefault="00D71CCF" w:rsidP="00D71CCF">
      <w:pPr>
        <w:spacing w:after="20"/>
        <w:rPr>
          <w:rFonts w:ascii="Arial" w:hAnsi="Arial" w:cs="Arial"/>
        </w:rPr>
      </w:pPr>
    </w:p>
    <w:p w14:paraId="02F39F06" w14:textId="77777777" w:rsidR="00D71CCF" w:rsidRPr="002332F8" w:rsidRDefault="00D71CCF" w:rsidP="00D71CCF">
      <w:pPr>
        <w:spacing w:after="60"/>
        <w:rPr>
          <w:rFonts w:ascii="Arial" w:hAnsi="Arial" w:cs="Arial"/>
        </w:rPr>
      </w:pPr>
      <w:r w:rsidRPr="002332F8">
        <w:rPr>
          <w:rFonts w:ascii="Arial" w:hAnsi="Arial" w:cs="Arial"/>
          <w:b/>
        </w:rPr>
        <w:t>A2. Gender</w:t>
      </w:r>
    </w:p>
    <w:tbl>
      <w:tblPr>
        <w:tblW w:w="5000" w:type="pct"/>
        <w:jc w:val="center"/>
        <w:tblCellMar>
          <w:left w:w="10" w:type="dxa"/>
          <w:right w:w="10" w:type="dxa"/>
        </w:tblCellMar>
        <w:tblLook w:val="04A0" w:firstRow="1" w:lastRow="0" w:firstColumn="1" w:lastColumn="0" w:noHBand="0" w:noVBand="1"/>
      </w:tblPr>
      <w:tblGrid>
        <w:gridCol w:w="4514"/>
        <w:gridCol w:w="4502"/>
      </w:tblGrid>
      <w:tr w:rsidR="00D71CCF" w:rsidRPr="002332F8" w14:paraId="66C40EB7" w14:textId="77777777" w:rsidTr="002D2DAA">
        <w:trPr>
          <w:cantSplit/>
          <w:jc w:val="center"/>
        </w:trPr>
        <w:tc>
          <w:tcPr>
            <w:tcW w:w="4514"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7285529"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Male</w:t>
            </w:r>
          </w:p>
        </w:tc>
        <w:tc>
          <w:tcPr>
            <w:tcW w:w="4502"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157F7A3"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Female</w:t>
            </w:r>
          </w:p>
        </w:tc>
      </w:tr>
      <w:tr w:rsidR="00D71CCF" w:rsidRPr="002332F8" w14:paraId="00872825" w14:textId="77777777" w:rsidTr="002D2DAA">
        <w:trPr>
          <w:cantSplit/>
          <w:jc w:val="center"/>
        </w:trPr>
        <w:tc>
          <w:tcPr>
            <w:tcW w:w="4514"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A756EE8"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Other / prefer to self-describe</w:t>
            </w:r>
          </w:p>
        </w:tc>
        <w:tc>
          <w:tcPr>
            <w:tcW w:w="4502"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62C6763"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Prefer not to say</w:t>
            </w:r>
          </w:p>
        </w:tc>
      </w:tr>
    </w:tbl>
    <w:p w14:paraId="5C1BCB7D" w14:textId="77777777" w:rsidR="00D71CCF" w:rsidRPr="002332F8" w:rsidRDefault="00D71CCF" w:rsidP="00D71CCF">
      <w:pPr>
        <w:spacing w:after="20"/>
        <w:rPr>
          <w:rFonts w:ascii="Arial" w:hAnsi="Arial" w:cs="Arial"/>
        </w:rPr>
      </w:pPr>
    </w:p>
    <w:p w14:paraId="315A4F28" w14:textId="77777777" w:rsidR="00D71CCF" w:rsidRPr="002332F8" w:rsidRDefault="00D71CCF" w:rsidP="00D71CCF">
      <w:pPr>
        <w:spacing w:after="60"/>
        <w:rPr>
          <w:rFonts w:ascii="Arial" w:hAnsi="Arial" w:cs="Arial"/>
        </w:rPr>
      </w:pPr>
      <w:r w:rsidRPr="002332F8">
        <w:rPr>
          <w:rFonts w:ascii="Arial" w:hAnsi="Arial" w:cs="Arial"/>
          <w:b/>
        </w:rPr>
        <w:t>A3. Highest educational level completed</w:t>
      </w:r>
    </w:p>
    <w:tbl>
      <w:tblPr>
        <w:tblW w:w="5000" w:type="pct"/>
        <w:jc w:val="center"/>
        <w:tblCellMar>
          <w:left w:w="10" w:type="dxa"/>
          <w:right w:w="10" w:type="dxa"/>
        </w:tblCellMar>
        <w:tblLook w:val="04A0" w:firstRow="1" w:lastRow="0" w:firstColumn="1" w:lastColumn="0" w:noHBand="0" w:noVBand="1"/>
      </w:tblPr>
      <w:tblGrid>
        <w:gridCol w:w="4515"/>
        <w:gridCol w:w="4501"/>
      </w:tblGrid>
      <w:tr w:rsidR="00D71CCF" w:rsidRPr="002332F8" w14:paraId="5752DC7B" w14:textId="77777777" w:rsidTr="002D2DAA">
        <w:trPr>
          <w:cantSplit/>
          <w:jc w:val="center"/>
        </w:trPr>
        <w:tc>
          <w:tcPr>
            <w:tcW w:w="4515"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09B812D"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No formal qualification</w:t>
            </w:r>
          </w:p>
        </w:tc>
        <w:tc>
          <w:tcPr>
            <w:tcW w:w="450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18B79EC6"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Primary education</w:t>
            </w:r>
          </w:p>
        </w:tc>
      </w:tr>
      <w:tr w:rsidR="00D71CCF" w:rsidRPr="002332F8" w14:paraId="418CD515" w14:textId="77777777" w:rsidTr="002D2DAA">
        <w:trPr>
          <w:cantSplit/>
          <w:jc w:val="center"/>
        </w:trPr>
        <w:tc>
          <w:tcPr>
            <w:tcW w:w="4515"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0E1509F"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Secondary School Certificate (SSC) or equivalent</w:t>
            </w:r>
          </w:p>
        </w:tc>
        <w:tc>
          <w:tcPr>
            <w:tcW w:w="450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EDEB9DA"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Higher Secondary Certificate (HSC) or equivalent</w:t>
            </w:r>
          </w:p>
        </w:tc>
      </w:tr>
      <w:tr w:rsidR="00D71CCF" w:rsidRPr="002332F8" w14:paraId="774BFEF9" w14:textId="77777777" w:rsidTr="002D2DAA">
        <w:trPr>
          <w:cantSplit/>
          <w:jc w:val="center"/>
        </w:trPr>
        <w:tc>
          <w:tcPr>
            <w:tcW w:w="4515"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2D76E41"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Diploma / vocational qualification</w:t>
            </w:r>
          </w:p>
        </w:tc>
        <w:tc>
          <w:tcPr>
            <w:tcW w:w="450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DAD9579"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Bachelor’s degree or above</w:t>
            </w:r>
          </w:p>
        </w:tc>
      </w:tr>
    </w:tbl>
    <w:p w14:paraId="39818341" w14:textId="77777777" w:rsidR="00D71CCF" w:rsidRPr="002332F8" w:rsidRDefault="00D71CCF" w:rsidP="00D71CCF">
      <w:pPr>
        <w:spacing w:after="20"/>
        <w:rPr>
          <w:rFonts w:ascii="Arial" w:hAnsi="Arial" w:cs="Arial"/>
        </w:rPr>
      </w:pPr>
    </w:p>
    <w:p w14:paraId="38952490" w14:textId="77777777" w:rsidR="00D71CCF" w:rsidRPr="002332F8" w:rsidRDefault="00D71CCF" w:rsidP="00D71CCF">
      <w:pPr>
        <w:spacing w:after="60"/>
        <w:rPr>
          <w:rFonts w:ascii="Arial" w:hAnsi="Arial" w:cs="Arial"/>
        </w:rPr>
      </w:pPr>
      <w:r w:rsidRPr="002332F8">
        <w:rPr>
          <w:rFonts w:ascii="Arial" w:hAnsi="Arial" w:cs="Arial"/>
          <w:b/>
        </w:rPr>
        <w:t>A4. Current job position</w:t>
      </w:r>
    </w:p>
    <w:tbl>
      <w:tblPr>
        <w:tblW w:w="5000" w:type="pct"/>
        <w:jc w:val="center"/>
        <w:tblCellMar>
          <w:left w:w="10" w:type="dxa"/>
          <w:right w:w="10" w:type="dxa"/>
        </w:tblCellMar>
        <w:tblLook w:val="04A0" w:firstRow="1" w:lastRow="0" w:firstColumn="1" w:lastColumn="0" w:noHBand="0" w:noVBand="1"/>
      </w:tblPr>
      <w:tblGrid>
        <w:gridCol w:w="4619"/>
        <w:gridCol w:w="4397"/>
      </w:tblGrid>
      <w:tr w:rsidR="00D71CCF" w:rsidRPr="002332F8" w14:paraId="03A4691B" w14:textId="77777777" w:rsidTr="002D2DAA">
        <w:trPr>
          <w:cantSplit/>
          <w:jc w:val="center"/>
        </w:trPr>
        <w:tc>
          <w:tcPr>
            <w:tcW w:w="461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CA87AE2"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Sewing Operator</w:t>
            </w:r>
          </w:p>
        </w:tc>
        <w:tc>
          <w:tcPr>
            <w:tcW w:w="439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67F1062"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Cutting Operator</w:t>
            </w:r>
          </w:p>
        </w:tc>
      </w:tr>
      <w:tr w:rsidR="00D71CCF" w:rsidRPr="002332F8" w14:paraId="03B3BD30" w14:textId="77777777" w:rsidTr="002D2DAA">
        <w:trPr>
          <w:cantSplit/>
          <w:jc w:val="center"/>
        </w:trPr>
        <w:tc>
          <w:tcPr>
            <w:tcW w:w="461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560DAB1"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Finishing Operator</w:t>
            </w:r>
          </w:p>
        </w:tc>
        <w:tc>
          <w:tcPr>
            <w:tcW w:w="439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FB2A6BE"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Quality Inspector</w:t>
            </w:r>
          </w:p>
        </w:tc>
      </w:tr>
      <w:tr w:rsidR="00D71CCF" w:rsidRPr="002332F8" w14:paraId="7D77DE73" w14:textId="77777777" w:rsidTr="002D2DAA">
        <w:trPr>
          <w:cantSplit/>
          <w:jc w:val="center"/>
        </w:trPr>
        <w:tc>
          <w:tcPr>
            <w:tcW w:w="461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16D9F26"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Line Supervisor</w:t>
            </w:r>
          </w:p>
        </w:tc>
        <w:tc>
          <w:tcPr>
            <w:tcW w:w="439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57F3DF0"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Production Supervisor</w:t>
            </w:r>
          </w:p>
        </w:tc>
      </w:tr>
      <w:tr w:rsidR="00D71CCF" w:rsidRPr="002332F8" w14:paraId="2EF20AF0" w14:textId="77777777" w:rsidTr="002D2DAA">
        <w:trPr>
          <w:cantSplit/>
          <w:jc w:val="center"/>
        </w:trPr>
        <w:tc>
          <w:tcPr>
            <w:tcW w:w="461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A9DDFCE"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Other production/operational role: ____________________</w:t>
            </w:r>
          </w:p>
        </w:tc>
        <w:tc>
          <w:tcPr>
            <w:tcW w:w="439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159FCFC2" w14:textId="77777777" w:rsidR="00D71CCF" w:rsidRPr="002332F8" w:rsidRDefault="00D71CCF" w:rsidP="002D2DAA">
            <w:pPr>
              <w:spacing w:after="0" w:line="240" w:lineRule="auto"/>
              <w:rPr>
                <w:rFonts w:ascii="Arial" w:hAnsi="Arial" w:cs="Arial"/>
              </w:rPr>
            </w:pPr>
          </w:p>
        </w:tc>
      </w:tr>
    </w:tbl>
    <w:p w14:paraId="169A5B47" w14:textId="77777777" w:rsidR="00D71CCF" w:rsidRPr="002332F8" w:rsidRDefault="00D71CCF" w:rsidP="00D71CCF">
      <w:pPr>
        <w:spacing w:after="20"/>
        <w:rPr>
          <w:rFonts w:ascii="Arial" w:hAnsi="Arial" w:cs="Arial"/>
        </w:rPr>
      </w:pPr>
    </w:p>
    <w:p w14:paraId="3AAC6E36" w14:textId="77777777" w:rsidR="00D71CCF" w:rsidRPr="002332F8" w:rsidRDefault="00D71CCF" w:rsidP="00D71CCF">
      <w:pPr>
        <w:spacing w:after="60"/>
        <w:rPr>
          <w:rFonts w:ascii="Arial" w:hAnsi="Arial" w:cs="Arial"/>
        </w:rPr>
      </w:pPr>
      <w:r w:rsidRPr="002332F8">
        <w:rPr>
          <w:rFonts w:ascii="Arial" w:hAnsi="Arial" w:cs="Arial"/>
          <w:b/>
        </w:rPr>
        <w:t>A5. Length of service at Natural Group Bangladesh</w:t>
      </w:r>
    </w:p>
    <w:tbl>
      <w:tblPr>
        <w:tblW w:w="5000" w:type="pct"/>
        <w:jc w:val="center"/>
        <w:tblCellMar>
          <w:left w:w="10" w:type="dxa"/>
          <w:right w:w="10" w:type="dxa"/>
        </w:tblCellMar>
        <w:tblLook w:val="04A0" w:firstRow="1" w:lastRow="0" w:firstColumn="1" w:lastColumn="0" w:noHBand="0" w:noVBand="1"/>
      </w:tblPr>
      <w:tblGrid>
        <w:gridCol w:w="4519"/>
        <w:gridCol w:w="4497"/>
      </w:tblGrid>
      <w:tr w:rsidR="00D71CCF" w:rsidRPr="002332F8" w14:paraId="0FE95872" w14:textId="77777777" w:rsidTr="002D2DAA">
        <w:trPr>
          <w:cantSplit/>
          <w:jc w:val="center"/>
        </w:trPr>
        <w:tc>
          <w:tcPr>
            <w:tcW w:w="451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40CE909"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3–11 months</w:t>
            </w:r>
          </w:p>
        </w:tc>
        <w:tc>
          <w:tcPr>
            <w:tcW w:w="449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E54A275"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1–2 years</w:t>
            </w:r>
          </w:p>
        </w:tc>
      </w:tr>
      <w:tr w:rsidR="00D71CCF" w:rsidRPr="002332F8" w14:paraId="6ABE7923" w14:textId="77777777" w:rsidTr="002D2DAA">
        <w:trPr>
          <w:cantSplit/>
          <w:jc w:val="center"/>
        </w:trPr>
        <w:tc>
          <w:tcPr>
            <w:tcW w:w="451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5F2BD4C"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3–5 years</w:t>
            </w:r>
          </w:p>
        </w:tc>
        <w:tc>
          <w:tcPr>
            <w:tcW w:w="449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C54C2B5"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6–10 years</w:t>
            </w:r>
          </w:p>
        </w:tc>
      </w:tr>
      <w:tr w:rsidR="00D71CCF" w:rsidRPr="002332F8" w14:paraId="108B6C94" w14:textId="77777777" w:rsidTr="002D2DAA">
        <w:trPr>
          <w:cantSplit/>
          <w:jc w:val="center"/>
        </w:trPr>
        <w:tc>
          <w:tcPr>
            <w:tcW w:w="451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83A1652"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More than 10 years</w:t>
            </w:r>
          </w:p>
        </w:tc>
        <w:tc>
          <w:tcPr>
            <w:tcW w:w="449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7772320" w14:textId="77777777" w:rsidR="00D71CCF" w:rsidRPr="002332F8" w:rsidRDefault="00D71CCF" w:rsidP="002D2DAA">
            <w:pPr>
              <w:spacing w:after="0" w:line="240" w:lineRule="auto"/>
              <w:rPr>
                <w:rFonts w:ascii="Arial" w:hAnsi="Arial" w:cs="Arial"/>
              </w:rPr>
            </w:pPr>
          </w:p>
        </w:tc>
      </w:tr>
    </w:tbl>
    <w:p w14:paraId="4FD11719" w14:textId="77777777" w:rsidR="00D71CCF" w:rsidRPr="002332F8" w:rsidRDefault="00D71CCF" w:rsidP="00D71CCF">
      <w:pPr>
        <w:spacing w:after="20"/>
        <w:rPr>
          <w:rFonts w:ascii="Arial" w:hAnsi="Arial" w:cs="Arial"/>
        </w:rPr>
      </w:pPr>
    </w:p>
    <w:p w14:paraId="236FEFCD" w14:textId="77777777" w:rsidR="00D71CCF" w:rsidRPr="002332F8" w:rsidRDefault="00D71CCF" w:rsidP="00D71CCF">
      <w:pPr>
        <w:rPr>
          <w:rFonts w:ascii="Arial" w:hAnsi="Arial" w:cs="Arial"/>
          <w:b/>
          <w:bCs/>
          <w:u w:val="single"/>
        </w:rPr>
      </w:pPr>
      <w:r w:rsidRPr="002332F8">
        <w:rPr>
          <w:rFonts w:ascii="Arial" w:hAnsi="Arial" w:cs="Arial"/>
          <w:b/>
          <w:bCs/>
          <w:u w:val="single"/>
        </w:rPr>
        <w:t>Section B: Work Arrangement Background</w:t>
      </w:r>
    </w:p>
    <w:p w14:paraId="184F5D86" w14:textId="77777777" w:rsidR="00D71CCF" w:rsidRPr="002332F8" w:rsidRDefault="00D71CCF" w:rsidP="00D71CCF">
      <w:pPr>
        <w:rPr>
          <w:rFonts w:ascii="Arial" w:hAnsi="Arial" w:cs="Arial"/>
        </w:rPr>
      </w:pPr>
      <w:r w:rsidRPr="002332F8">
        <w:rPr>
          <w:rFonts w:ascii="Arial" w:hAnsi="Arial" w:cs="Arial"/>
        </w:rPr>
        <w:lastRenderedPageBreak/>
        <w:t>The following questions provide background information about your current work schedule. They are not tests and will not be used to identify you.</w:t>
      </w:r>
    </w:p>
    <w:p w14:paraId="37C38D2F" w14:textId="77777777" w:rsidR="00D71CCF" w:rsidRPr="002332F8" w:rsidRDefault="00D71CCF" w:rsidP="00D71CCF">
      <w:pPr>
        <w:spacing w:after="60"/>
        <w:rPr>
          <w:rFonts w:ascii="Arial" w:hAnsi="Arial" w:cs="Arial"/>
        </w:rPr>
      </w:pPr>
      <w:r w:rsidRPr="002332F8">
        <w:rPr>
          <w:rFonts w:ascii="Arial" w:hAnsi="Arial" w:cs="Arial"/>
          <w:b/>
        </w:rPr>
        <w:t>B1. What is your usual work schedule?</w:t>
      </w:r>
    </w:p>
    <w:tbl>
      <w:tblPr>
        <w:tblW w:w="5000" w:type="pct"/>
        <w:jc w:val="center"/>
        <w:tblCellMar>
          <w:left w:w="10" w:type="dxa"/>
          <w:right w:w="10" w:type="dxa"/>
        </w:tblCellMar>
        <w:tblLook w:val="04A0" w:firstRow="1" w:lastRow="0" w:firstColumn="1" w:lastColumn="0" w:noHBand="0" w:noVBand="1"/>
      </w:tblPr>
      <w:tblGrid>
        <w:gridCol w:w="4602"/>
        <w:gridCol w:w="4414"/>
      </w:tblGrid>
      <w:tr w:rsidR="00D71CCF" w:rsidRPr="002332F8" w14:paraId="0B91B6A3" w14:textId="77777777" w:rsidTr="002D2DAA">
        <w:trPr>
          <w:cantSplit/>
          <w:jc w:val="center"/>
        </w:trPr>
        <w:tc>
          <w:tcPr>
            <w:tcW w:w="4602"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640C240E"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Fixed day shift</w:t>
            </w:r>
          </w:p>
        </w:tc>
        <w:tc>
          <w:tcPr>
            <w:tcW w:w="4414"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0D02113"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Fixed evening/night shift</w:t>
            </w:r>
          </w:p>
        </w:tc>
      </w:tr>
      <w:tr w:rsidR="00D71CCF" w:rsidRPr="002332F8" w14:paraId="5258ED0A" w14:textId="77777777" w:rsidTr="002D2DAA">
        <w:trPr>
          <w:cantSplit/>
          <w:jc w:val="center"/>
        </w:trPr>
        <w:tc>
          <w:tcPr>
            <w:tcW w:w="4602"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01851CB"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Rotating shifts</w:t>
            </w:r>
          </w:p>
        </w:tc>
        <w:tc>
          <w:tcPr>
            <w:tcW w:w="4414"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006DCFE"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Schedule varies according to production needs</w:t>
            </w:r>
          </w:p>
        </w:tc>
      </w:tr>
      <w:tr w:rsidR="00D71CCF" w:rsidRPr="002332F8" w14:paraId="0E955A1B" w14:textId="77777777" w:rsidTr="002D2DAA">
        <w:trPr>
          <w:cantSplit/>
          <w:jc w:val="center"/>
        </w:trPr>
        <w:tc>
          <w:tcPr>
            <w:tcW w:w="4602"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88A80B6"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Other: ____________________</w:t>
            </w:r>
          </w:p>
        </w:tc>
        <w:tc>
          <w:tcPr>
            <w:tcW w:w="4414"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478850F" w14:textId="77777777" w:rsidR="00D71CCF" w:rsidRPr="002332F8" w:rsidRDefault="00D71CCF" w:rsidP="002D2DAA">
            <w:pPr>
              <w:spacing w:after="0" w:line="240" w:lineRule="auto"/>
              <w:rPr>
                <w:rFonts w:ascii="Arial" w:hAnsi="Arial" w:cs="Arial"/>
              </w:rPr>
            </w:pPr>
          </w:p>
        </w:tc>
      </w:tr>
    </w:tbl>
    <w:p w14:paraId="12AE867E" w14:textId="77777777" w:rsidR="00D71CCF" w:rsidRPr="002332F8" w:rsidRDefault="00D71CCF" w:rsidP="00D71CCF">
      <w:pPr>
        <w:spacing w:after="20"/>
        <w:rPr>
          <w:rFonts w:ascii="Arial" w:hAnsi="Arial" w:cs="Arial"/>
        </w:rPr>
      </w:pPr>
    </w:p>
    <w:p w14:paraId="4C6A4A97" w14:textId="77777777" w:rsidR="00D71CCF" w:rsidRPr="002332F8" w:rsidRDefault="00D71CCF" w:rsidP="00D71CCF">
      <w:pPr>
        <w:spacing w:after="60"/>
        <w:rPr>
          <w:rFonts w:ascii="Arial" w:hAnsi="Arial" w:cs="Arial"/>
        </w:rPr>
      </w:pPr>
      <w:r w:rsidRPr="002332F8">
        <w:rPr>
          <w:rFonts w:ascii="Arial" w:hAnsi="Arial" w:cs="Arial"/>
          <w:b/>
        </w:rPr>
        <w:t>B2. How often do you normally work overtime?</w:t>
      </w:r>
    </w:p>
    <w:tbl>
      <w:tblPr>
        <w:tblW w:w="5000" w:type="pct"/>
        <w:jc w:val="center"/>
        <w:tblCellMar>
          <w:left w:w="10" w:type="dxa"/>
          <w:right w:w="10" w:type="dxa"/>
        </w:tblCellMar>
        <w:tblLook w:val="04A0" w:firstRow="1" w:lastRow="0" w:firstColumn="1" w:lastColumn="0" w:noHBand="0" w:noVBand="1"/>
      </w:tblPr>
      <w:tblGrid>
        <w:gridCol w:w="4508"/>
        <w:gridCol w:w="4508"/>
      </w:tblGrid>
      <w:tr w:rsidR="00D71CCF" w:rsidRPr="002332F8" w14:paraId="09C13FBA" w14:textId="77777777" w:rsidTr="002D2DAA">
        <w:trPr>
          <w:cantSplit/>
          <w:jc w:val="center"/>
        </w:trPr>
        <w:tc>
          <w:tcPr>
            <w:tcW w:w="4508"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4BC7340"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Never</w:t>
            </w:r>
          </w:p>
        </w:tc>
        <w:tc>
          <w:tcPr>
            <w:tcW w:w="4508"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6C9E2368"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Less than once a month</w:t>
            </w:r>
          </w:p>
        </w:tc>
      </w:tr>
      <w:tr w:rsidR="00D71CCF" w:rsidRPr="002332F8" w14:paraId="6395FC69" w14:textId="77777777" w:rsidTr="002D2DAA">
        <w:trPr>
          <w:cantSplit/>
          <w:jc w:val="center"/>
        </w:trPr>
        <w:tc>
          <w:tcPr>
            <w:tcW w:w="4508"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5B66842"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1–3 times a month</w:t>
            </w:r>
          </w:p>
        </w:tc>
        <w:tc>
          <w:tcPr>
            <w:tcW w:w="4508"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1CA93D4"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1–2 times a week</w:t>
            </w:r>
          </w:p>
        </w:tc>
      </w:tr>
      <w:tr w:rsidR="00D71CCF" w:rsidRPr="002332F8" w14:paraId="749FF753" w14:textId="77777777" w:rsidTr="002D2DAA">
        <w:trPr>
          <w:cantSplit/>
          <w:jc w:val="center"/>
        </w:trPr>
        <w:tc>
          <w:tcPr>
            <w:tcW w:w="4508"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C014487"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3 or more times a week</w:t>
            </w:r>
          </w:p>
        </w:tc>
        <w:tc>
          <w:tcPr>
            <w:tcW w:w="4508"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7AEB69A" w14:textId="77777777" w:rsidR="00D71CCF" w:rsidRPr="002332F8" w:rsidRDefault="00D71CCF" w:rsidP="002D2DAA">
            <w:pPr>
              <w:spacing w:after="0" w:line="240" w:lineRule="auto"/>
              <w:rPr>
                <w:rFonts w:ascii="Arial" w:hAnsi="Arial" w:cs="Arial"/>
              </w:rPr>
            </w:pPr>
          </w:p>
        </w:tc>
      </w:tr>
    </w:tbl>
    <w:p w14:paraId="37E03300" w14:textId="77777777" w:rsidR="00D71CCF" w:rsidRPr="002332F8" w:rsidRDefault="00D71CCF" w:rsidP="00D71CCF">
      <w:pPr>
        <w:spacing w:after="20"/>
        <w:rPr>
          <w:rFonts w:ascii="Arial" w:hAnsi="Arial" w:cs="Arial"/>
        </w:rPr>
      </w:pPr>
    </w:p>
    <w:p w14:paraId="2F11469E" w14:textId="77777777" w:rsidR="00D71CCF" w:rsidRPr="002332F8" w:rsidRDefault="00D71CCF" w:rsidP="00D71CCF">
      <w:pPr>
        <w:spacing w:after="60"/>
        <w:rPr>
          <w:rFonts w:ascii="Arial" w:hAnsi="Arial" w:cs="Arial"/>
        </w:rPr>
      </w:pPr>
      <w:r w:rsidRPr="002332F8">
        <w:rPr>
          <w:rFonts w:ascii="Arial" w:hAnsi="Arial" w:cs="Arial"/>
          <w:b/>
        </w:rPr>
        <w:t>B3. How far in advance do you usually receive your work schedule?</w:t>
      </w:r>
    </w:p>
    <w:tbl>
      <w:tblPr>
        <w:tblW w:w="5000" w:type="pct"/>
        <w:jc w:val="center"/>
        <w:tblCellMar>
          <w:left w:w="10" w:type="dxa"/>
          <w:right w:w="10" w:type="dxa"/>
        </w:tblCellMar>
        <w:tblLook w:val="04A0" w:firstRow="1" w:lastRow="0" w:firstColumn="1" w:lastColumn="0" w:noHBand="0" w:noVBand="1"/>
      </w:tblPr>
      <w:tblGrid>
        <w:gridCol w:w="4510"/>
        <w:gridCol w:w="4506"/>
      </w:tblGrid>
      <w:tr w:rsidR="00D71CCF" w:rsidRPr="002332F8" w14:paraId="380B70D5" w14:textId="77777777" w:rsidTr="002D2DAA">
        <w:trPr>
          <w:cantSplit/>
          <w:jc w:val="center"/>
        </w:trPr>
        <w:tc>
          <w:tcPr>
            <w:tcW w:w="451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4CED70B"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Less than 24 hours</w:t>
            </w:r>
          </w:p>
        </w:tc>
        <w:tc>
          <w:tcPr>
            <w:tcW w:w="450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E1C8AF3"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1–2 days</w:t>
            </w:r>
          </w:p>
        </w:tc>
      </w:tr>
      <w:tr w:rsidR="00D71CCF" w:rsidRPr="002332F8" w14:paraId="4088772F" w14:textId="77777777" w:rsidTr="002D2DAA">
        <w:trPr>
          <w:cantSplit/>
          <w:jc w:val="center"/>
        </w:trPr>
        <w:tc>
          <w:tcPr>
            <w:tcW w:w="451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9F46C14"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3–6 days</w:t>
            </w:r>
          </w:p>
        </w:tc>
        <w:tc>
          <w:tcPr>
            <w:tcW w:w="450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0E306CC"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1 week</w:t>
            </w:r>
          </w:p>
        </w:tc>
      </w:tr>
      <w:tr w:rsidR="00D71CCF" w:rsidRPr="002332F8" w14:paraId="1E15B744" w14:textId="77777777" w:rsidTr="002D2DAA">
        <w:trPr>
          <w:cantSplit/>
          <w:jc w:val="center"/>
        </w:trPr>
        <w:tc>
          <w:tcPr>
            <w:tcW w:w="451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E510CF5"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More than 1 week</w:t>
            </w:r>
          </w:p>
        </w:tc>
        <w:tc>
          <w:tcPr>
            <w:tcW w:w="450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166AE667" w14:textId="77777777" w:rsidR="00D71CCF" w:rsidRPr="002332F8" w:rsidRDefault="00D71CCF" w:rsidP="002D2DAA">
            <w:pPr>
              <w:spacing w:after="0" w:line="240" w:lineRule="auto"/>
              <w:rPr>
                <w:rFonts w:ascii="Arial" w:hAnsi="Arial" w:cs="Arial"/>
              </w:rPr>
            </w:pPr>
          </w:p>
        </w:tc>
      </w:tr>
    </w:tbl>
    <w:p w14:paraId="422467DF" w14:textId="77777777" w:rsidR="00D71CCF" w:rsidRPr="002332F8" w:rsidRDefault="00D71CCF" w:rsidP="00D71CCF">
      <w:pPr>
        <w:spacing w:after="20"/>
        <w:rPr>
          <w:rFonts w:ascii="Arial" w:hAnsi="Arial" w:cs="Arial"/>
        </w:rPr>
      </w:pPr>
    </w:p>
    <w:p w14:paraId="09B1AA62" w14:textId="77777777" w:rsidR="00D71CCF" w:rsidRPr="002332F8" w:rsidRDefault="00D71CCF" w:rsidP="00D71CCF">
      <w:pPr>
        <w:spacing w:after="60"/>
        <w:rPr>
          <w:rFonts w:ascii="Arial" w:hAnsi="Arial" w:cs="Arial"/>
        </w:rPr>
      </w:pPr>
      <w:r w:rsidRPr="002332F8">
        <w:rPr>
          <w:rFonts w:ascii="Arial" w:hAnsi="Arial" w:cs="Arial"/>
          <w:b/>
        </w:rPr>
        <w:t>B4. During the past three months, have you requested a shift change, shift exchange, leave adjustment or schedule adjustment?</w:t>
      </w:r>
    </w:p>
    <w:tbl>
      <w:tblPr>
        <w:tblW w:w="5000" w:type="pct"/>
        <w:jc w:val="center"/>
        <w:tblCellMar>
          <w:left w:w="10" w:type="dxa"/>
          <w:right w:w="10" w:type="dxa"/>
        </w:tblCellMar>
        <w:tblLook w:val="04A0" w:firstRow="1" w:lastRow="0" w:firstColumn="1" w:lastColumn="0" w:noHBand="0" w:noVBand="1"/>
      </w:tblPr>
      <w:tblGrid>
        <w:gridCol w:w="3001"/>
        <w:gridCol w:w="2988"/>
        <w:gridCol w:w="3027"/>
      </w:tblGrid>
      <w:tr w:rsidR="00D71CCF" w:rsidRPr="002332F8" w14:paraId="7C882BBC" w14:textId="77777777" w:rsidTr="002D2DAA">
        <w:trPr>
          <w:cantSplit/>
          <w:jc w:val="center"/>
        </w:trPr>
        <w:tc>
          <w:tcPr>
            <w:tcW w:w="300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FE2394E"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Yes</w:t>
            </w:r>
          </w:p>
        </w:tc>
        <w:tc>
          <w:tcPr>
            <w:tcW w:w="2988"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4BD5F05"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No</w:t>
            </w:r>
          </w:p>
        </w:tc>
        <w:tc>
          <w:tcPr>
            <w:tcW w:w="302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FF31C0F" w14:textId="77777777" w:rsidR="00D71CCF" w:rsidRPr="002332F8" w:rsidRDefault="00D71CCF" w:rsidP="002D2DAA">
            <w:pPr>
              <w:spacing w:after="0" w:line="240" w:lineRule="auto"/>
              <w:rPr>
                <w:rFonts w:ascii="Arial" w:hAnsi="Arial" w:cs="Arial"/>
              </w:rPr>
            </w:pPr>
            <w:r w:rsidRPr="002332F8">
              <w:rPr>
                <w:rFonts w:ascii="Segoe UI Symbol" w:hAnsi="Segoe UI Symbol" w:cs="Segoe UI Symbol"/>
                <w:sz w:val="21"/>
              </w:rPr>
              <w:t>☐</w:t>
            </w:r>
            <w:r w:rsidRPr="002332F8">
              <w:rPr>
                <w:rFonts w:ascii="Arial" w:hAnsi="Arial" w:cs="Arial"/>
                <w:sz w:val="21"/>
              </w:rPr>
              <w:t xml:space="preserve"> Prefer not to say</w:t>
            </w:r>
          </w:p>
        </w:tc>
      </w:tr>
    </w:tbl>
    <w:p w14:paraId="0F02C5A8" w14:textId="77777777" w:rsidR="00D71CCF" w:rsidRPr="002332F8" w:rsidRDefault="00D71CCF" w:rsidP="00D71CCF">
      <w:pPr>
        <w:spacing w:after="20"/>
        <w:rPr>
          <w:rFonts w:ascii="Arial" w:hAnsi="Arial" w:cs="Arial"/>
        </w:rPr>
      </w:pPr>
    </w:p>
    <w:p w14:paraId="78658955" w14:textId="77777777" w:rsidR="00D71CCF" w:rsidRPr="002332F8" w:rsidRDefault="00D71CCF" w:rsidP="00D71CCF">
      <w:pPr>
        <w:rPr>
          <w:rFonts w:ascii="Arial" w:hAnsi="Arial" w:cs="Arial"/>
          <w:b/>
          <w:bCs/>
          <w:u w:val="single"/>
        </w:rPr>
      </w:pPr>
      <w:r w:rsidRPr="002332F8">
        <w:rPr>
          <w:rFonts w:ascii="Arial" w:hAnsi="Arial" w:cs="Arial"/>
          <w:b/>
          <w:bCs/>
          <w:u w:val="single"/>
        </w:rPr>
        <w:t>Section C: Perceived Schedule Control</w:t>
      </w:r>
    </w:p>
    <w:p w14:paraId="6A5270C5" w14:textId="77777777" w:rsidR="00D71CCF" w:rsidRPr="002332F8" w:rsidRDefault="00D71CCF" w:rsidP="00D71CCF">
      <w:pPr>
        <w:rPr>
          <w:rFonts w:ascii="Arial" w:hAnsi="Arial" w:cs="Arial"/>
        </w:rPr>
      </w:pPr>
      <w:r w:rsidRPr="002332F8">
        <w:rPr>
          <w:rFonts w:ascii="Arial" w:hAnsi="Arial" w:cs="Arial"/>
        </w:rPr>
        <w:t>Please indicate how strongly you agree or disagree with each statement about your ability to influence your work schedule.</w:t>
      </w:r>
    </w:p>
    <w:tbl>
      <w:tblPr>
        <w:tblW w:w="5000" w:type="pct"/>
        <w:jc w:val="center"/>
        <w:tblCellMar>
          <w:left w:w="10" w:type="dxa"/>
          <w:right w:w="10" w:type="dxa"/>
        </w:tblCellMar>
        <w:tblLook w:val="04A0" w:firstRow="1" w:lastRow="0" w:firstColumn="1" w:lastColumn="0" w:noHBand="0" w:noVBand="1"/>
      </w:tblPr>
      <w:tblGrid>
        <w:gridCol w:w="700"/>
        <w:gridCol w:w="3570"/>
        <w:gridCol w:w="921"/>
        <w:gridCol w:w="941"/>
        <w:gridCol w:w="1106"/>
        <w:gridCol w:w="799"/>
        <w:gridCol w:w="979"/>
      </w:tblGrid>
      <w:tr w:rsidR="00D71CCF" w:rsidRPr="002332F8" w14:paraId="42F67625" w14:textId="77777777" w:rsidTr="002D2DAA">
        <w:trPr>
          <w:cantSplit/>
          <w:tblHeader/>
          <w:jc w:val="center"/>
        </w:trPr>
        <w:tc>
          <w:tcPr>
            <w:tcW w:w="700"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77BD2F2C"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Code</w:t>
            </w:r>
          </w:p>
        </w:tc>
        <w:tc>
          <w:tcPr>
            <w:tcW w:w="3570"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2FC7A39F"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Statement</w:t>
            </w:r>
          </w:p>
        </w:tc>
        <w:tc>
          <w:tcPr>
            <w:tcW w:w="921"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18DCCF53"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1</w:t>
            </w:r>
            <w:r w:rsidRPr="002332F8">
              <w:rPr>
                <w:rFonts w:ascii="Arial" w:hAnsi="Arial" w:cs="Arial"/>
                <w:b/>
                <w:sz w:val="18"/>
              </w:rPr>
              <w:br/>
              <w:t>Strongly</w:t>
            </w:r>
            <w:r w:rsidRPr="002332F8">
              <w:rPr>
                <w:rFonts w:ascii="Arial" w:hAnsi="Arial" w:cs="Arial"/>
                <w:b/>
                <w:sz w:val="18"/>
              </w:rPr>
              <w:br/>
              <w:t>disagree</w:t>
            </w:r>
          </w:p>
        </w:tc>
        <w:tc>
          <w:tcPr>
            <w:tcW w:w="941"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6A0A5E58"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2</w:t>
            </w:r>
            <w:r w:rsidRPr="002332F8">
              <w:rPr>
                <w:rFonts w:ascii="Arial" w:hAnsi="Arial" w:cs="Arial"/>
                <w:b/>
                <w:sz w:val="18"/>
              </w:rPr>
              <w:br/>
              <w:t>Disagree</w:t>
            </w:r>
          </w:p>
        </w:tc>
        <w:tc>
          <w:tcPr>
            <w:tcW w:w="1106"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2AD242D7"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3</w:t>
            </w:r>
            <w:r w:rsidRPr="002332F8">
              <w:rPr>
                <w:rFonts w:ascii="Arial" w:hAnsi="Arial" w:cs="Arial"/>
                <w:b/>
                <w:sz w:val="18"/>
              </w:rPr>
              <w:br/>
              <w:t>Neither agree</w:t>
            </w:r>
            <w:r w:rsidRPr="002332F8">
              <w:rPr>
                <w:rFonts w:ascii="Arial" w:hAnsi="Arial" w:cs="Arial"/>
                <w:b/>
                <w:sz w:val="18"/>
              </w:rPr>
              <w:br/>
              <w:t>nor disagree</w:t>
            </w:r>
          </w:p>
        </w:tc>
        <w:tc>
          <w:tcPr>
            <w:tcW w:w="799"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5F5B0905"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4</w:t>
            </w:r>
            <w:r w:rsidRPr="002332F8">
              <w:rPr>
                <w:rFonts w:ascii="Arial" w:hAnsi="Arial" w:cs="Arial"/>
                <w:b/>
                <w:sz w:val="18"/>
              </w:rPr>
              <w:br/>
              <w:t>Agree</w:t>
            </w:r>
          </w:p>
        </w:tc>
        <w:tc>
          <w:tcPr>
            <w:tcW w:w="979"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4275F9A1"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5</w:t>
            </w:r>
            <w:r w:rsidRPr="002332F8">
              <w:rPr>
                <w:rFonts w:ascii="Arial" w:hAnsi="Arial" w:cs="Arial"/>
                <w:b/>
                <w:sz w:val="18"/>
              </w:rPr>
              <w:br/>
              <w:t>Strongly</w:t>
            </w:r>
            <w:r w:rsidRPr="002332F8">
              <w:rPr>
                <w:rFonts w:ascii="Arial" w:hAnsi="Arial" w:cs="Arial"/>
                <w:b/>
                <w:sz w:val="18"/>
              </w:rPr>
              <w:br/>
              <w:t>agree</w:t>
            </w:r>
          </w:p>
        </w:tc>
      </w:tr>
      <w:tr w:rsidR="00D71CCF" w:rsidRPr="002332F8" w14:paraId="022F57EF" w14:textId="77777777" w:rsidTr="002D2DAA">
        <w:trPr>
          <w:cantSplit/>
          <w:jc w:val="center"/>
        </w:trPr>
        <w:tc>
          <w:tcPr>
            <w:tcW w:w="70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41F4F6C"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t>PSC1</w:t>
            </w:r>
          </w:p>
        </w:tc>
        <w:tc>
          <w:tcPr>
            <w:tcW w:w="357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0369DE1" w14:textId="77777777" w:rsidR="00D71CCF" w:rsidRPr="002332F8" w:rsidRDefault="00D71CCF" w:rsidP="002D2DAA">
            <w:pPr>
              <w:spacing w:after="0" w:line="240" w:lineRule="auto"/>
              <w:rPr>
                <w:rFonts w:ascii="Arial" w:hAnsi="Arial" w:cs="Arial"/>
              </w:rPr>
            </w:pPr>
            <w:r w:rsidRPr="002332F8">
              <w:rPr>
                <w:rFonts w:ascii="Arial" w:hAnsi="Arial" w:cs="Arial"/>
              </w:rPr>
              <w:t>I have some control over when my scheduled work begins and ends.</w:t>
            </w:r>
          </w:p>
        </w:tc>
        <w:tc>
          <w:tcPr>
            <w:tcW w:w="92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A538AB2"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4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1FC8CDB"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110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10B47E42"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9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75C7580"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7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114B34D"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r>
      <w:tr w:rsidR="00D71CCF" w:rsidRPr="002332F8" w14:paraId="001518F2" w14:textId="77777777" w:rsidTr="002D2DAA">
        <w:trPr>
          <w:cantSplit/>
          <w:jc w:val="center"/>
        </w:trPr>
        <w:tc>
          <w:tcPr>
            <w:tcW w:w="70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6D4D1FD2"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lastRenderedPageBreak/>
              <w:t>PSC2</w:t>
            </w:r>
          </w:p>
        </w:tc>
        <w:tc>
          <w:tcPr>
            <w:tcW w:w="357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2CABDBE" w14:textId="77777777" w:rsidR="00D71CCF" w:rsidRPr="002332F8" w:rsidRDefault="00D71CCF" w:rsidP="002D2DAA">
            <w:pPr>
              <w:spacing w:after="0" w:line="240" w:lineRule="auto"/>
              <w:rPr>
                <w:rFonts w:ascii="Arial" w:hAnsi="Arial" w:cs="Arial"/>
              </w:rPr>
            </w:pPr>
            <w:r w:rsidRPr="002332F8">
              <w:rPr>
                <w:rFonts w:ascii="Arial" w:hAnsi="Arial" w:cs="Arial"/>
              </w:rPr>
              <w:t>When operationally possible, I can express a preference about my shift or working time.</w:t>
            </w:r>
          </w:p>
        </w:tc>
        <w:tc>
          <w:tcPr>
            <w:tcW w:w="92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6DDF591"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4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C22A9D2"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110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18D9B7BB"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9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36A3D9F"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7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DCB01E9"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r>
      <w:tr w:rsidR="00D71CCF" w:rsidRPr="002332F8" w14:paraId="1706AF6E" w14:textId="77777777" w:rsidTr="002D2DAA">
        <w:trPr>
          <w:cantSplit/>
          <w:jc w:val="center"/>
        </w:trPr>
        <w:tc>
          <w:tcPr>
            <w:tcW w:w="70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46AB276"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t>PSC3</w:t>
            </w:r>
          </w:p>
        </w:tc>
        <w:tc>
          <w:tcPr>
            <w:tcW w:w="357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C4D3BB3" w14:textId="77777777" w:rsidR="00D71CCF" w:rsidRPr="002332F8" w:rsidRDefault="00D71CCF" w:rsidP="002D2DAA">
            <w:pPr>
              <w:spacing w:after="0" w:line="240" w:lineRule="auto"/>
              <w:rPr>
                <w:rFonts w:ascii="Arial" w:hAnsi="Arial" w:cs="Arial"/>
              </w:rPr>
            </w:pPr>
            <w:r w:rsidRPr="002332F8">
              <w:rPr>
                <w:rFonts w:ascii="Arial" w:hAnsi="Arial" w:cs="Arial"/>
              </w:rPr>
              <w:t>I have reasonable influence over changes to my work schedule.</w:t>
            </w:r>
          </w:p>
        </w:tc>
        <w:tc>
          <w:tcPr>
            <w:tcW w:w="92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9F8198B"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4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DF8C954"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110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C508191"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9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178780A7"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7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45F4C80"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r>
      <w:tr w:rsidR="00D71CCF" w:rsidRPr="002332F8" w14:paraId="0D3BA421" w14:textId="77777777" w:rsidTr="002D2DAA">
        <w:trPr>
          <w:cantSplit/>
          <w:jc w:val="center"/>
        </w:trPr>
        <w:tc>
          <w:tcPr>
            <w:tcW w:w="70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684DC22"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t>PSC4</w:t>
            </w:r>
          </w:p>
        </w:tc>
        <w:tc>
          <w:tcPr>
            <w:tcW w:w="357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61FE0800" w14:textId="77777777" w:rsidR="00D71CCF" w:rsidRPr="002332F8" w:rsidRDefault="00D71CCF" w:rsidP="002D2DAA">
            <w:pPr>
              <w:spacing w:after="0" w:line="240" w:lineRule="auto"/>
              <w:rPr>
                <w:rFonts w:ascii="Arial" w:hAnsi="Arial" w:cs="Arial"/>
              </w:rPr>
            </w:pPr>
            <w:r w:rsidRPr="002332F8">
              <w:rPr>
                <w:rFonts w:ascii="Arial" w:hAnsi="Arial" w:cs="Arial"/>
              </w:rPr>
              <w:t>I can make choices about my work schedule when personal needs arise.</w:t>
            </w:r>
          </w:p>
        </w:tc>
        <w:tc>
          <w:tcPr>
            <w:tcW w:w="92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6985C762"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4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C3EDD35"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110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2B91598"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9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17E2BCE"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7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0635188"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r>
    </w:tbl>
    <w:p w14:paraId="441431AC" w14:textId="77777777" w:rsidR="00D71CCF" w:rsidRPr="002332F8" w:rsidRDefault="00D71CCF" w:rsidP="00D71CCF">
      <w:pPr>
        <w:rPr>
          <w:rFonts w:ascii="Arial" w:hAnsi="Arial" w:cs="Arial"/>
        </w:rPr>
      </w:pPr>
    </w:p>
    <w:p w14:paraId="55C2695A" w14:textId="77777777" w:rsidR="00D71CCF" w:rsidRPr="002332F8" w:rsidRDefault="00D71CCF" w:rsidP="00D71CCF">
      <w:pPr>
        <w:rPr>
          <w:rFonts w:ascii="Arial" w:hAnsi="Arial" w:cs="Arial"/>
          <w:b/>
          <w:bCs/>
          <w:u w:val="single"/>
        </w:rPr>
      </w:pPr>
      <w:r w:rsidRPr="002332F8">
        <w:rPr>
          <w:rFonts w:ascii="Arial" w:hAnsi="Arial" w:cs="Arial"/>
          <w:b/>
          <w:bCs/>
          <w:u w:val="single"/>
        </w:rPr>
        <w:t>Section D: Perceived Schedule Predictability</w:t>
      </w:r>
    </w:p>
    <w:p w14:paraId="1E5081AE" w14:textId="77777777" w:rsidR="00D71CCF" w:rsidRPr="002332F8" w:rsidRDefault="00D71CCF" w:rsidP="00D71CCF">
      <w:pPr>
        <w:rPr>
          <w:rFonts w:ascii="Arial" w:hAnsi="Arial" w:cs="Arial"/>
        </w:rPr>
      </w:pPr>
      <w:r w:rsidRPr="002332F8">
        <w:rPr>
          <w:rFonts w:ascii="Arial" w:hAnsi="Arial" w:cs="Arial"/>
        </w:rPr>
        <w:t>Please indicate how strongly you agree or disagree with each statement about the consistency and advance notice of your work schedule.</w:t>
      </w:r>
    </w:p>
    <w:tbl>
      <w:tblPr>
        <w:tblW w:w="5000" w:type="pct"/>
        <w:jc w:val="center"/>
        <w:tblCellMar>
          <w:left w:w="10" w:type="dxa"/>
          <w:right w:w="10" w:type="dxa"/>
        </w:tblCellMar>
        <w:tblLook w:val="04A0" w:firstRow="1" w:lastRow="0" w:firstColumn="1" w:lastColumn="0" w:noHBand="0" w:noVBand="1"/>
      </w:tblPr>
      <w:tblGrid>
        <w:gridCol w:w="694"/>
        <w:gridCol w:w="3596"/>
        <w:gridCol w:w="921"/>
        <w:gridCol w:w="941"/>
        <w:gridCol w:w="1096"/>
        <w:gridCol w:w="793"/>
        <w:gridCol w:w="975"/>
      </w:tblGrid>
      <w:tr w:rsidR="00D71CCF" w:rsidRPr="002332F8" w14:paraId="3E4988E1" w14:textId="77777777" w:rsidTr="002D2DAA">
        <w:trPr>
          <w:cantSplit/>
          <w:tblHeader/>
          <w:jc w:val="center"/>
        </w:trPr>
        <w:tc>
          <w:tcPr>
            <w:tcW w:w="694"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118BBDD7"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Code</w:t>
            </w:r>
          </w:p>
        </w:tc>
        <w:tc>
          <w:tcPr>
            <w:tcW w:w="3596"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38FE9B7A"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Statement</w:t>
            </w:r>
          </w:p>
        </w:tc>
        <w:tc>
          <w:tcPr>
            <w:tcW w:w="921"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1A9F5DE8"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1</w:t>
            </w:r>
            <w:r w:rsidRPr="002332F8">
              <w:rPr>
                <w:rFonts w:ascii="Arial" w:hAnsi="Arial" w:cs="Arial"/>
                <w:b/>
                <w:sz w:val="18"/>
              </w:rPr>
              <w:br/>
              <w:t>Strongly</w:t>
            </w:r>
            <w:r w:rsidRPr="002332F8">
              <w:rPr>
                <w:rFonts w:ascii="Arial" w:hAnsi="Arial" w:cs="Arial"/>
                <w:b/>
                <w:sz w:val="18"/>
              </w:rPr>
              <w:br/>
              <w:t>disagree</w:t>
            </w:r>
          </w:p>
        </w:tc>
        <w:tc>
          <w:tcPr>
            <w:tcW w:w="941"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6EE244CD"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2</w:t>
            </w:r>
            <w:r w:rsidRPr="002332F8">
              <w:rPr>
                <w:rFonts w:ascii="Arial" w:hAnsi="Arial" w:cs="Arial"/>
                <w:b/>
                <w:sz w:val="18"/>
              </w:rPr>
              <w:br/>
              <w:t>Disagree</w:t>
            </w:r>
          </w:p>
        </w:tc>
        <w:tc>
          <w:tcPr>
            <w:tcW w:w="1096"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79765D29"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3</w:t>
            </w:r>
            <w:r w:rsidRPr="002332F8">
              <w:rPr>
                <w:rFonts w:ascii="Arial" w:hAnsi="Arial" w:cs="Arial"/>
                <w:b/>
                <w:sz w:val="18"/>
              </w:rPr>
              <w:br/>
              <w:t>Neither agree</w:t>
            </w:r>
            <w:r w:rsidRPr="002332F8">
              <w:rPr>
                <w:rFonts w:ascii="Arial" w:hAnsi="Arial" w:cs="Arial"/>
                <w:b/>
                <w:sz w:val="18"/>
              </w:rPr>
              <w:br/>
              <w:t>nor disagree</w:t>
            </w:r>
          </w:p>
        </w:tc>
        <w:tc>
          <w:tcPr>
            <w:tcW w:w="793"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4CE0F54A"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4</w:t>
            </w:r>
            <w:r w:rsidRPr="002332F8">
              <w:rPr>
                <w:rFonts w:ascii="Arial" w:hAnsi="Arial" w:cs="Arial"/>
                <w:b/>
                <w:sz w:val="18"/>
              </w:rPr>
              <w:br/>
              <w:t>Agree</w:t>
            </w:r>
          </w:p>
        </w:tc>
        <w:tc>
          <w:tcPr>
            <w:tcW w:w="975"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6D2EFA69"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5</w:t>
            </w:r>
            <w:r w:rsidRPr="002332F8">
              <w:rPr>
                <w:rFonts w:ascii="Arial" w:hAnsi="Arial" w:cs="Arial"/>
                <w:b/>
                <w:sz w:val="18"/>
              </w:rPr>
              <w:br/>
              <w:t>Strongly</w:t>
            </w:r>
            <w:r w:rsidRPr="002332F8">
              <w:rPr>
                <w:rFonts w:ascii="Arial" w:hAnsi="Arial" w:cs="Arial"/>
                <w:b/>
                <w:sz w:val="18"/>
              </w:rPr>
              <w:br/>
              <w:t>agree</w:t>
            </w:r>
          </w:p>
        </w:tc>
      </w:tr>
      <w:tr w:rsidR="00D71CCF" w:rsidRPr="002332F8" w14:paraId="11FB3501" w14:textId="77777777" w:rsidTr="002D2DAA">
        <w:trPr>
          <w:cantSplit/>
          <w:jc w:val="center"/>
        </w:trPr>
        <w:tc>
          <w:tcPr>
            <w:tcW w:w="694"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614E799"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t>PSP1</w:t>
            </w:r>
          </w:p>
        </w:tc>
        <w:tc>
          <w:tcPr>
            <w:tcW w:w="359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B05937B" w14:textId="77777777" w:rsidR="00D71CCF" w:rsidRPr="002332F8" w:rsidRDefault="00D71CCF" w:rsidP="002D2DAA">
            <w:pPr>
              <w:spacing w:after="0" w:line="240" w:lineRule="auto"/>
              <w:rPr>
                <w:rFonts w:ascii="Arial" w:hAnsi="Arial" w:cs="Arial"/>
              </w:rPr>
            </w:pPr>
            <w:r w:rsidRPr="002332F8">
              <w:rPr>
                <w:rFonts w:ascii="Arial" w:hAnsi="Arial" w:cs="Arial"/>
              </w:rPr>
              <w:t>I usually receive my work schedule far enough in advance to plan my personal responsibilities.</w:t>
            </w:r>
          </w:p>
        </w:tc>
        <w:tc>
          <w:tcPr>
            <w:tcW w:w="92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6FF78051"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4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5028AD5"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109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D94B3F7"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93"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CC8F979"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75"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51782A2"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r>
      <w:tr w:rsidR="00D71CCF" w:rsidRPr="002332F8" w14:paraId="0112FE9E" w14:textId="77777777" w:rsidTr="002D2DAA">
        <w:trPr>
          <w:cantSplit/>
          <w:jc w:val="center"/>
        </w:trPr>
        <w:tc>
          <w:tcPr>
            <w:tcW w:w="694"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6D2D2B05"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t>PSP2</w:t>
            </w:r>
          </w:p>
        </w:tc>
        <w:tc>
          <w:tcPr>
            <w:tcW w:w="359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8D85FD7" w14:textId="77777777" w:rsidR="00D71CCF" w:rsidRPr="002332F8" w:rsidRDefault="00D71CCF" w:rsidP="002D2DAA">
            <w:pPr>
              <w:spacing w:after="0" w:line="240" w:lineRule="auto"/>
              <w:rPr>
                <w:rFonts w:ascii="Arial" w:hAnsi="Arial" w:cs="Arial"/>
              </w:rPr>
            </w:pPr>
            <w:r w:rsidRPr="002332F8">
              <w:rPr>
                <w:rFonts w:ascii="Arial" w:hAnsi="Arial" w:cs="Arial"/>
              </w:rPr>
              <w:t>My scheduled working hours are generally consistent from week to week.</w:t>
            </w:r>
          </w:p>
        </w:tc>
        <w:tc>
          <w:tcPr>
            <w:tcW w:w="92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1FE1B338"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4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0A5256A"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109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A992494"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93"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01D3022"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75"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ACC778C"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r>
      <w:tr w:rsidR="00D71CCF" w:rsidRPr="002332F8" w14:paraId="64E2FEC7" w14:textId="77777777" w:rsidTr="002D2DAA">
        <w:trPr>
          <w:cantSplit/>
          <w:jc w:val="center"/>
        </w:trPr>
        <w:tc>
          <w:tcPr>
            <w:tcW w:w="694"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0BEB52F"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t>PSP3</w:t>
            </w:r>
          </w:p>
        </w:tc>
        <w:tc>
          <w:tcPr>
            <w:tcW w:w="359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F39B859" w14:textId="77777777" w:rsidR="00D71CCF" w:rsidRPr="002332F8" w:rsidRDefault="00D71CCF" w:rsidP="002D2DAA">
            <w:pPr>
              <w:spacing w:after="0" w:line="240" w:lineRule="auto"/>
              <w:rPr>
                <w:rFonts w:ascii="Arial" w:hAnsi="Arial" w:cs="Arial"/>
              </w:rPr>
            </w:pPr>
            <w:r w:rsidRPr="002332F8">
              <w:rPr>
                <w:rFonts w:ascii="Arial" w:hAnsi="Arial" w:cs="Arial"/>
              </w:rPr>
              <w:t>Unexpected changes to my work schedule are kept to a minimum.</w:t>
            </w:r>
          </w:p>
        </w:tc>
        <w:tc>
          <w:tcPr>
            <w:tcW w:w="92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461FF55"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4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E8D20EA"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109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6734A452"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93"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6990CC88"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75"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3036913"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r>
      <w:tr w:rsidR="00D71CCF" w:rsidRPr="002332F8" w14:paraId="7645558B" w14:textId="77777777" w:rsidTr="002D2DAA">
        <w:trPr>
          <w:cantSplit/>
          <w:jc w:val="center"/>
        </w:trPr>
        <w:tc>
          <w:tcPr>
            <w:tcW w:w="694"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3550250"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t>PSP4</w:t>
            </w:r>
          </w:p>
        </w:tc>
        <w:tc>
          <w:tcPr>
            <w:tcW w:w="359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1F46B817" w14:textId="77777777" w:rsidR="00D71CCF" w:rsidRPr="002332F8" w:rsidRDefault="00D71CCF" w:rsidP="002D2DAA">
            <w:pPr>
              <w:spacing w:after="0" w:line="240" w:lineRule="auto"/>
              <w:rPr>
                <w:rFonts w:ascii="Arial" w:hAnsi="Arial" w:cs="Arial"/>
              </w:rPr>
            </w:pPr>
            <w:r w:rsidRPr="002332F8">
              <w:rPr>
                <w:rFonts w:ascii="Arial" w:hAnsi="Arial" w:cs="Arial"/>
              </w:rPr>
              <w:t>I can normally predict the days and hours that I will be required to work.</w:t>
            </w:r>
          </w:p>
        </w:tc>
        <w:tc>
          <w:tcPr>
            <w:tcW w:w="92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7111C19"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4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666FF1CD"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109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6F9C3616"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93"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6D3EA6B"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75"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1AD4F19A"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r>
    </w:tbl>
    <w:p w14:paraId="5CEFA2F7" w14:textId="77777777" w:rsidR="00D71CCF" w:rsidRPr="002332F8" w:rsidRDefault="00D71CCF" w:rsidP="00D71CCF">
      <w:pPr>
        <w:rPr>
          <w:rFonts w:ascii="Arial" w:hAnsi="Arial" w:cs="Arial"/>
        </w:rPr>
      </w:pPr>
    </w:p>
    <w:p w14:paraId="704BC61A" w14:textId="77777777" w:rsidR="00D71CCF" w:rsidRPr="002332F8" w:rsidRDefault="00D71CCF" w:rsidP="00D71CCF">
      <w:pPr>
        <w:rPr>
          <w:rFonts w:ascii="Arial" w:hAnsi="Arial" w:cs="Arial"/>
          <w:b/>
          <w:bCs/>
          <w:u w:val="single"/>
        </w:rPr>
      </w:pPr>
      <w:r w:rsidRPr="002332F8">
        <w:rPr>
          <w:rFonts w:ascii="Arial" w:hAnsi="Arial" w:cs="Arial"/>
          <w:b/>
          <w:bCs/>
          <w:u w:val="single"/>
        </w:rPr>
        <w:t>Section E: Perceived Shift Accommodation</w:t>
      </w:r>
    </w:p>
    <w:p w14:paraId="25FBD4A0" w14:textId="77777777" w:rsidR="00D71CCF" w:rsidRPr="002332F8" w:rsidRDefault="00D71CCF" w:rsidP="00D71CCF">
      <w:pPr>
        <w:rPr>
          <w:rFonts w:ascii="Arial" w:hAnsi="Arial" w:cs="Arial"/>
        </w:rPr>
      </w:pPr>
      <w:r w:rsidRPr="002332F8">
        <w:rPr>
          <w:rFonts w:ascii="Arial" w:hAnsi="Arial" w:cs="Arial"/>
        </w:rPr>
        <w:t>Please indicate how strongly you agree or disagree with each statement about how fairly and reasonably schedule-related requests are handled.</w:t>
      </w:r>
    </w:p>
    <w:tbl>
      <w:tblPr>
        <w:tblW w:w="5000" w:type="pct"/>
        <w:jc w:val="center"/>
        <w:tblCellMar>
          <w:left w:w="10" w:type="dxa"/>
          <w:right w:w="10" w:type="dxa"/>
        </w:tblCellMar>
        <w:tblLook w:val="04A0" w:firstRow="1" w:lastRow="0" w:firstColumn="1" w:lastColumn="0" w:noHBand="0" w:noVBand="1"/>
      </w:tblPr>
      <w:tblGrid>
        <w:gridCol w:w="699"/>
        <w:gridCol w:w="3581"/>
        <w:gridCol w:w="921"/>
        <w:gridCol w:w="941"/>
        <w:gridCol w:w="1101"/>
        <w:gridCol w:w="796"/>
        <w:gridCol w:w="977"/>
      </w:tblGrid>
      <w:tr w:rsidR="00D71CCF" w:rsidRPr="002332F8" w14:paraId="376C9B45" w14:textId="77777777" w:rsidTr="002D2DAA">
        <w:trPr>
          <w:cantSplit/>
          <w:tblHeader/>
          <w:jc w:val="center"/>
        </w:trPr>
        <w:tc>
          <w:tcPr>
            <w:tcW w:w="699"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4918B74C"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lastRenderedPageBreak/>
              <w:t>Code</w:t>
            </w:r>
          </w:p>
        </w:tc>
        <w:tc>
          <w:tcPr>
            <w:tcW w:w="3581"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543CA8CA"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Statement</w:t>
            </w:r>
          </w:p>
        </w:tc>
        <w:tc>
          <w:tcPr>
            <w:tcW w:w="921"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3624207B"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1</w:t>
            </w:r>
            <w:r w:rsidRPr="002332F8">
              <w:rPr>
                <w:rFonts w:ascii="Arial" w:hAnsi="Arial" w:cs="Arial"/>
                <w:b/>
                <w:sz w:val="18"/>
              </w:rPr>
              <w:br/>
              <w:t>Strongly</w:t>
            </w:r>
            <w:r w:rsidRPr="002332F8">
              <w:rPr>
                <w:rFonts w:ascii="Arial" w:hAnsi="Arial" w:cs="Arial"/>
                <w:b/>
                <w:sz w:val="18"/>
              </w:rPr>
              <w:br/>
              <w:t>disagree</w:t>
            </w:r>
          </w:p>
        </w:tc>
        <w:tc>
          <w:tcPr>
            <w:tcW w:w="941"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22FED305"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2</w:t>
            </w:r>
            <w:r w:rsidRPr="002332F8">
              <w:rPr>
                <w:rFonts w:ascii="Arial" w:hAnsi="Arial" w:cs="Arial"/>
                <w:b/>
                <w:sz w:val="18"/>
              </w:rPr>
              <w:br/>
              <w:t>Disagree</w:t>
            </w:r>
          </w:p>
        </w:tc>
        <w:tc>
          <w:tcPr>
            <w:tcW w:w="1101"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24F23378"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3</w:t>
            </w:r>
            <w:r w:rsidRPr="002332F8">
              <w:rPr>
                <w:rFonts w:ascii="Arial" w:hAnsi="Arial" w:cs="Arial"/>
                <w:b/>
                <w:sz w:val="18"/>
              </w:rPr>
              <w:br/>
              <w:t>Neither agree</w:t>
            </w:r>
            <w:r w:rsidRPr="002332F8">
              <w:rPr>
                <w:rFonts w:ascii="Arial" w:hAnsi="Arial" w:cs="Arial"/>
                <w:b/>
                <w:sz w:val="18"/>
              </w:rPr>
              <w:br/>
              <w:t>nor disagree</w:t>
            </w:r>
          </w:p>
        </w:tc>
        <w:tc>
          <w:tcPr>
            <w:tcW w:w="796"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7AAD5576"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4</w:t>
            </w:r>
            <w:r w:rsidRPr="002332F8">
              <w:rPr>
                <w:rFonts w:ascii="Arial" w:hAnsi="Arial" w:cs="Arial"/>
                <w:b/>
                <w:sz w:val="18"/>
              </w:rPr>
              <w:br/>
              <w:t>Agree</w:t>
            </w:r>
          </w:p>
        </w:tc>
        <w:tc>
          <w:tcPr>
            <w:tcW w:w="977"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66B48C05"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5</w:t>
            </w:r>
            <w:r w:rsidRPr="002332F8">
              <w:rPr>
                <w:rFonts w:ascii="Arial" w:hAnsi="Arial" w:cs="Arial"/>
                <w:b/>
                <w:sz w:val="18"/>
              </w:rPr>
              <w:br/>
              <w:t>Strongly</w:t>
            </w:r>
            <w:r w:rsidRPr="002332F8">
              <w:rPr>
                <w:rFonts w:ascii="Arial" w:hAnsi="Arial" w:cs="Arial"/>
                <w:b/>
                <w:sz w:val="18"/>
              </w:rPr>
              <w:br/>
              <w:t>agree</w:t>
            </w:r>
          </w:p>
        </w:tc>
      </w:tr>
      <w:tr w:rsidR="00D71CCF" w:rsidRPr="002332F8" w14:paraId="556571CB" w14:textId="77777777" w:rsidTr="002D2DAA">
        <w:trPr>
          <w:cantSplit/>
          <w:jc w:val="center"/>
        </w:trPr>
        <w:tc>
          <w:tcPr>
            <w:tcW w:w="69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C8D7EC8"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t>PSA1</w:t>
            </w:r>
          </w:p>
        </w:tc>
        <w:tc>
          <w:tcPr>
            <w:tcW w:w="358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B459AE5" w14:textId="77777777" w:rsidR="00D71CCF" w:rsidRPr="002332F8" w:rsidRDefault="00D71CCF" w:rsidP="002D2DAA">
            <w:pPr>
              <w:spacing w:after="0" w:line="240" w:lineRule="auto"/>
              <w:rPr>
                <w:rFonts w:ascii="Arial" w:hAnsi="Arial" w:cs="Arial"/>
              </w:rPr>
            </w:pPr>
            <w:r w:rsidRPr="002332F8">
              <w:rPr>
                <w:rFonts w:ascii="Arial" w:hAnsi="Arial" w:cs="Arial"/>
              </w:rPr>
              <w:t>My supervisor listens when I request a reasonable change to my shift or schedule.</w:t>
            </w:r>
          </w:p>
        </w:tc>
        <w:tc>
          <w:tcPr>
            <w:tcW w:w="92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8540DAB"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4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B9D4817"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110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6BE374A4"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9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FFEB310"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7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9282D7A"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r>
      <w:tr w:rsidR="00D71CCF" w:rsidRPr="002332F8" w14:paraId="25AC9C7C" w14:textId="77777777" w:rsidTr="002D2DAA">
        <w:trPr>
          <w:cantSplit/>
          <w:jc w:val="center"/>
        </w:trPr>
        <w:tc>
          <w:tcPr>
            <w:tcW w:w="69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FCB55BC"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t>PSA2</w:t>
            </w:r>
          </w:p>
        </w:tc>
        <w:tc>
          <w:tcPr>
            <w:tcW w:w="358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6A4D0BC" w14:textId="77777777" w:rsidR="00D71CCF" w:rsidRPr="002332F8" w:rsidRDefault="00D71CCF" w:rsidP="002D2DAA">
            <w:pPr>
              <w:spacing w:after="0" w:line="240" w:lineRule="auto"/>
              <w:rPr>
                <w:rFonts w:ascii="Arial" w:hAnsi="Arial" w:cs="Arial"/>
              </w:rPr>
            </w:pPr>
            <w:r w:rsidRPr="002332F8">
              <w:rPr>
                <w:rFonts w:ascii="Arial" w:hAnsi="Arial" w:cs="Arial"/>
              </w:rPr>
              <w:t>Reasonable requests to exchange shifts or adjust working time are considered fairly.</w:t>
            </w:r>
          </w:p>
        </w:tc>
        <w:tc>
          <w:tcPr>
            <w:tcW w:w="92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1BE8820F"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4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1D2310C"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110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7B06AA8"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9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5F88BF2"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7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B1D7F62"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r>
      <w:tr w:rsidR="00D71CCF" w:rsidRPr="002332F8" w14:paraId="22A48ACE" w14:textId="77777777" w:rsidTr="002D2DAA">
        <w:trPr>
          <w:cantSplit/>
          <w:jc w:val="center"/>
        </w:trPr>
        <w:tc>
          <w:tcPr>
            <w:tcW w:w="69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69FBF844"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t>PSA3</w:t>
            </w:r>
          </w:p>
        </w:tc>
        <w:tc>
          <w:tcPr>
            <w:tcW w:w="358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27043E4" w14:textId="77777777" w:rsidR="00D71CCF" w:rsidRPr="002332F8" w:rsidRDefault="00D71CCF" w:rsidP="002D2DAA">
            <w:pPr>
              <w:spacing w:after="0" w:line="240" w:lineRule="auto"/>
              <w:rPr>
                <w:rFonts w:ascii="Arial" w:hAnsi="Arial" w:cs="Arial"/>
              </w:rPr>
            </w:pPr>
            <w:r w:rsidRPr="002332F8">
              <w:rPr>
                <w:rFonts w:ascii="Arial" w:hAnsi="Arial" w:cs="Arial"/>
              </w:rPr>
              <w:t>When I have an important personal need, the organisation tries to accommodate my schedule where operationally possible.</w:t>
            </w:r>
          </w:p>
        </w:tc>
        <w:tc>
          <w:tcPr>
            <w:tcW w:w="92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7E9269F"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4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67B5C5C"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110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593018D"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9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63AF46AD"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7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6374D7D"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r>
      <w:tr w:rsidR="00D71CCF" w:rsidRPr="002332F8" w14:paraId="631CEFF9" w14:textId="77777777" w:rsidTr="002D2DAA">
        <w:trPr>
          <w:cantSplit/>
          <w:jc w:val="center"/>
        </w:trPr>
        <w:tc>
          <w:tcPr>
            <w:tcW w:w="69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1D6DC4E0"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t>PSA4</w:t>
            </w:r>
          </w:p>
        </w:tc>
        <w:tc>
          <w:tcPr>
            <w:tcW w:w="358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17267628" w14:textId="77777777" w:rsidR="00D71CCF" w:rsidRPr="002332F8" w:rsidRDefault="00D71CCF" w:rsidP="002D2DAA">
            <w:pPr>
              <w:spacing w:after="0" w:line="240" w:lineRule="auto"/>
              <w:rPr>
                <w:rFonts w:ascii="Arial" w:hAnsi="Arial" w:cs="Arial"/>
              </w:rPr>
            </w:pPr>
            <w:r w:rsidRPr="002332F8">
              <w:rPr>
                <w:rFonts w:ascii="Arial" w:hAnsi="Arial" w:cs="Arial"/>
              </w:rPr>
              <w:t>Schedule-related decisions are handled consistently and respectfully.</w:t>
            </w:r>
          </w:p>
        </w:tc>
        <w:tc>
          <w:tcPr>
            <w:tcW w:w="92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98F9986"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4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5017DF9"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110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54AA08F"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96"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AFE6565"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7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C848631"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r>
    </w:tbl>
    <w:p w14:paraId="682F0C0E" w14:textId="77777777" w:rsidR="00D71CCF" w:rsidRPr="002332F8" w:rsidRDefault="00D71CCF" w:rsidP="00D71CCF">
      <w:pPr>
        <w:rPr>
          <w:rFonts w:ascii="Arial" w:hAnsi="Arial" w:cs="Arial"/>
        </w:rPr>
      </w:pPr>
    </w:p>
    <w:p w14:paraId="6FEE64CD" w14:textId="77777777" w:rsidR="00D71CCF" w:rsidRPr="002332F8" w:rsidRDefault="00D71CCF" w:rsidP="00D71CCF">
      <w:pPr>
        <w:rPr>
          <w:rFonts w:ascii="Arial" w:hAnsi="Arial" w:cs="Arial"/>
          <w:b/>
          <w:bCs/>
          <w:u w:val="single"/>
        </w:rPr>
      </w:pPr>
      <w:r w:rsidRPr="002332F8">
        <w:rPr>
          <w:rFonts w:ascii="Arial" w:hAnsi="Arial" w:cs="Arial"/>
          <w:b/>
          <w:bCs/>
          <w:u w:val="single"/>
        </w:rPr>
        <w:t>Section F: Employee Engagement (UWES-3)</w:t>
      </w:r>
    </w:p>
    <w:p w14:paraId="279E0602" w14:textId="77777777" w:rsidR="00D71CCF" w:rsidRPr="002332F8" w:rsidRDefault="00D71CCF" w:rsidP="00D71CCF">
      <w:pPr>
        <w:rPr>
          <w:rFonts w:ascii="Arial" w:hAnsi="Arial" w:cs="Arial"/>
        </w:rPr>
      </w:pPr>
      <w:r w:rsidRPr="002332F8">
        <w:rPr>
          <w:rFonts w:ascii="Arial" w:hAnsi="Arial" w:cs="Arial"/>
        </w:rPr>
        <w:t>The following statements concern how you generally feel at work. Please select the response that best reflects how often you experience each feeling.</w:t>
      </w:r>
    </w:p>
    <w:tbl>
      <w:tblPr>
        <w:tblW w:w="5000" w:type="pct"/>
        <w:jc w:val="center"/>
        <w:tblCellMar>
          <w:left w:w="10" w:type="dxa"/>
          <w:right w:w="10" w:type="dxa"/>
        </w:tblCellMar>
        <w:tblLook w:val="04A0" w:firstRow="1" w:lastRow="0" w:firstColumn="1" w:lastColumn="0" w:noHBand="0" w:noVBand="1"/>
      </w:tblPr>
      <w:tblGrid>
        <w:gridCol w:w="657"/>
        <w:gridCol w:w="2689"/>
        <w:gridCol w:w="710"/>
        <w:gridCol w:w="797"/>
        <w:gridCol w:w="739"/>
        <w:gridCol w:w="1141"/>
        <w:gridCol w:w="680"/>
        <w:gridCol w:w="700"/>
        <w:gridCol w:w="903"/>
      </w:tblGrid>
      <w:tr w:rsidR="00D71CCF" w:rsidRPr="002332F8" w14:paraId="17D48D6A" w14:textId="77777777" w:rsidTr="002D2DAA">
        <w:trPr>
          <w:cantSplit/>
          <w:tblHeader/>
          <w:jc w:val="center"/>
        </w:trPr>
        <w:tc>
          <w:tcPr>
            <w:tcW w:w="657"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7459462D"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Code</w:t>
            </w:r>
          </w:p>
        </w:tc>
        <w:tc>
          <w:tcPr>
            <w:tcW w:w="2689"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1FE6292E"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Statement</w:t>
            </w:r>
          </w:p>
        </w:tc>
        <w:tc>
          <w:tcPr>
            <w:tcW w:w="710"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5BC694DD"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0</w:t>
            </w:r>
            <w:r w:rsidRPr="002332F8">
              <w:rPr>
                <w:rFonts w:ascii="Arial" w:hAnsi="Arial" w:cs="Arial"/>
                <w:b/>
                <w:sz w:val="18"/>
              </w:rPr>
              <w:br/>
              <w:t>Never</w:t>
            </w:r>
          </w:p>
        </w:tc>
        <w:tc>
          <w:tcPr>
            <w:tcW w:w="797"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6C49C33D"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1</w:t>
            </w:r>
            <w:r w:rsidRPr="002332F8">
              <w:rPr>
                <w:rFonts w:ascii="Arial" w:hAnsi="Arial" w:cs="Arial"/>
                <w:b/>
                <w:sz w:val="18"/>
              </w:rPr>
              <w:br/>
              <w:t>Almost</w:t>
            </w:r>
            <w:r w:rsidRPr="002332F8">
              <w:rPr>
                <w:rFonts w:ascii="Arial" w:hAnsi="Arial" w:cs="Arial"/>
                <w:b/>
                <w:sz w:val="18"/>
              </w:rPr>
              <w:br/>
              <w:t>never</w:t>
            </w:r>
          </w:p>
        </w:tc>
        <w:tc>
          <w:tcPr>
            <w:tcW w:w="739"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64D3FD02"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2</w:t>
            </w:r>
            <w:r w:rsidRPr="002332F8">
              <w:rPr>
                <w:rFonts w:ascii="Arial" w:hAnsi="Arial" w:cs="Arial"/>
                <w:b/>
                <w:sz w:val="18"/>
              </w:rPr>
              <w:br/>
              <w:t>Rarely</w:t>
            </w:r>
          </w:p>
        </w:tc>
        <w:tc>
          <w:tcPr>
            <w:tcW w:w="1141"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339E2DB0"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3</w:t>
            </w:r>
            <w:r w:rsidRPr="002332F8">
              <w:rPr>
                <w:rFonts w:ascii="Arial" w:hAnsi="Arial" w:cs="Arial"/>
                <w:b/>
                <w:sz w:val="18"/>
              </w:rPr>
              <w:br/>
              <w:t>Sometimes</w:t>
            </w:r>
          </w:p>
        </w:tc>
        <w:tc>
          <w:tcPr>
            <w:tcW w:w="680"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564B8B5C"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4</w:t>
            </w:r>
            <w:r w:rsidRPr="002332F8">
              <w:rPr>
                <w:rFonts w:ascii="Arial" w:hAnsi="Arial" w:cs="Arial"/>
                <w:b/>
                <w:sz w:val="18"/>
              </w:rPr>
              <w:br/>
              <w:t>Often</w:t>
            </w:r>
          </w:p>
        </w:tc>
        <w:tc>
          <w:tcPr>
            <w:tcW w:w="700"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2B2E1AC5"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5</w:t>
            </w:r>
            <w:r w:rsidRPr="002332F8">
              <w:rPr>
                <w:rFonts w:ascii="Arial" w:hAnsi="Arial" w:cs="Arial"/>
                <w:b/>
                <w:sz w:val="18"/>
              </w:rPr>
              <w:br/>
              <w:t>Very</w:t>
            </w:r>
            <w:r w:rsidRPr="002332F8">
              <w:rPr>
                <w:rFonts w:ascii="Arial" w:hAnsi="Arial" w:cs="Arial"/>
                <w:b/>
                <w:sz w:val="18"/>
              </w:rPr>
              <w:br/>
              <w:t>often</w:t>
            </w:r>
          </w:p>
        </w:tc>
        <w:tc>
          <w:tcPr>
            <w:tcW w:w="903" w:type="dxa"/>
            <w:tcBorders>
              <w:top w:val="single" w:sz="4" w:space="0" w:color="000000"/>
              <w:left w:val="single" w:sz="4" w:space="0" w:color="000000"/>
              <w:bottom w:val="single" w:sz="4" w:space="0" w:color="000000"/>
              <w:right w:val="single" w:sz="4" w:space="0" w:color="000000"/>
            </w:tcBorders>
            <w:shd w:val="clear" w:color="auto" w:fill="D9EAF7"/>
            <w:tcMar>
              <w:top w:w="80" w:type="dxa"/>
              <w:left w:w="90" w:type="dxa"/>
              <w:bottom w:w="80" w:type="dxa"/>
              <w:right w:w="90" w:type="dxa"/>
            </w:tcMar>
            <w:vAlign w:val="center"/>
          </w:tcPr>
          <w:p w14:paraId="22C5C2F2"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8"/>
              </w:rPr>
              <w:t>6</w:t>
            </w:r>
            <w:r w:rsidRPr="002332F8">
              <w:rPr>
                <w:rFonts w:ascii="Arial" w:hAnsi="Arial" w:cs="Arial"/>
                <w:b/>
                <w:sz w:val="18"/>
              </w:rPr>
              <w:br/>
              <w:t>Always /</w:t>
            </w:r>
            <w:r w:rsidRPr="002332F8">
              <w:rPr>
                <w:rFonts w:ascii="Arial" w:hAnsi="Arial" w:cs="Arial"/>
                <w:b/>
                <w:sz w:val="18"/>
              </w:rPr>
              <w:br/>
              <w:t>every day</w:t>
            </w:r>
          </w:p>
        </w:tc>
      </w:tr>
      <w:tr w:rsidR="00D71CCF" w:rsidRPr="002332F8" w14:paraId="5ECBC126" w14:textId="77777777" w:rsidTr="002D2DAA">
        <w:trPr>
          <w:cantSplit/>
          <w:jc w:val="center"/>
        </w:trPr>
        <w:tc>
          <w:tcPr>
            <w:tcW w:w="65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041EAA2"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t>EE1</w:t>
            </w:r>
          </w:p>
        </w:tc>
        <w:tc>
          <w:tcPr>
            <w:tcW w:w="268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BD31B80" w14:textId="77777777" w:rsidR="00D71CCF" w:rsidRPr="002332F8" w:rsidRDefault="00D71CCF" w:rsidP="002D2DAA">
            <w:pPr>
              <w:spacing w:after="0" w:line="240" w:lineRule="auto"/>
              <w:rPr>
                <w:rFonts w:ascii="Arial" w:hAnsi="Arial" w:cs="Arial"/>
              </w:rPr>
            </w:pPr>
            <w:r w:rsidRPr="002332F8">
              <w:rPr>
                <w:rFonts w:ascii="Arial" w:hAnsi="Arial" w:cs="Arial"/>
              </w:rPr>
              <w:t>At my work, I feel full of energy.</w:t>
            </w:r>
          </w:p>
        </w:tc>
        <w:tc>
          <w:tcPr>
            <w:tcW w:w="71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CD2BE63"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9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BDEC157"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3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BAC1D98"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114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4F814C8"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68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C41F7DA"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0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9CE2CB4"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03"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595CC50"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r>
      <w:tr w:rsidR="00D71CCF" w:rsidRPr="002332F8" w14:paraId="7B75DB59" w14:textId="77777777" w:rsidTr="002D2DAA">
        <w:trPr>
          <w:cantSplit/>
          <w:jc w:val="center"/>
        </w:trPr>
        <w:tc>
          <w:tcPr>
            <w:tcW w:w="65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9BDAF76"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t>EE2</w:t>
            </w:r>
          </w:p>
        </w:tc>
        <w:tc>
          <w:tcPr>
            <w:tcW w:w="268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D0127D9" w14:textId="77777777" w:rsidR="00D71CCF" w:rsidRPr="002332F8" w:rsidRDefault="00D71CCF" w:rsidP="002D2DAA">
            <w:pPr>
              <w:spacing w:after="0" w:line="240" w:lineRule="auto"/>
              <w:rPr>
                <w:rFonts w:ascii="Arial" w:hAnsi="Arial" w:cs="Arial"/>
              </w:rPr>
            </w:pPr>
            <w:r w:rsidRPr="002332F8">
              <w:rPr>
                <w:rFonts w:ascii="Arial" w:hAnsi="Arial" w:cs="Arial"/>
              </w:rPr>
              <w:t>I am enthusiastic about my job.</w:t>
            </w:r>
          </w:p>
        </w:tc>
        <w:tc>
          <w:tcPr>
            <w:tcW w:w="71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0626B7B"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9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AC1F146"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3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D51EEFC"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114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2B4A18A2"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68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49FC595"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0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106BD0F4"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03"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133BE2BB"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r>
      <w:tr w:rsidR="00D71CCF" w:rsidRPr="002332F8" w14:paraId="61977D3D" w14:textId="77777777" w:rsidTr="002D2DAA">
        <w:trPr>
          <w:cantSplit/>
          <w:jc w:val="center"/>
        </w:trPr>
        <w:tc>
          <w:tcPr>
            <w:tcW w:w="65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36CE71B"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19"/>
              </w:rPr>
              <w:t>EE3</w:t>
            </w:r>
          </w:p>
        </w:tc>
        <w:tc>
          <w:tcPr>
            <w:tcW w:w="268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33EAE7BA" w14:textId="77777777" w:rsidR="00D71CCF" w:rsidRPr="002332F8" w:rsidRDefault="00D71CCF" w:rsidP="002D2DAA">
            <w:pPr>
              <w:spacing w:after="0" w:line="240" w:lineRule="auto"/>
              <w:rPr>
                <w:rFonts w:ascii="Arial" w:hAnsi="Arial" w:cs="Arial"/>
              </w:rPr>
            </w:pPr>
            <w:r w:rsidRPr="002332F8">
              <w:rPr>
                <w:rFonts w:ascii="Arial" w:hAnsi="Arial" w:cs="Arial"/>
              </w:rPr>
              <w:t>I feel happy when I am working intensely.</w:t>
            </w:r>
          </w:p>
        </w:tc>
        <w:tc>
          <w:tcPr>
            <w:tcW w:w="71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55C89A38"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97"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0BD13368"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39"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3ADE72F"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1141"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18ADE12"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68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77765D3C"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700"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12E3BB04"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c>
          <w:tcPr>
            <w:tcW w:w="903" w:type="dxa"/>
            <w:tcBorders>
              <w:top w:val="single" w:sz="4" w:space="0" w:color="000000"/>
              <w:left w:val="single" w:sz="4" w:space="0" w:color="000000"/>
              <w:bottom w:val="single" w:sz="4" w:space="0" w:color="000000"/>
              <w:right w:val="single" w:sz="4" w:space="0" w:color="000000"/>
            </w:tcBorders>
            <w:tcMar>
              <w:top w:w="80" w:type="dxa"/>
              <w:left w:w="90" w:type="dxa"/>
              <w:bottom w:w="80" w:type="dxa"/>
              <w:right w:w="90" w:type="dxa"/>
            </w:tcMar>
            <w:vAlign w:val="center"/>
          </w:tcPr>
          <w:p w14:paraId="458A3170" w14:textId="77777777" w:rsidR="00D71CCF" w:rsidRPr="002332F8" w:rsidRDefault="00D71CCF" w:rsidP="002D2DAA">
            <w:pPr>
              <w:spacing w:after="0" w:line="240" w:lineRule="auto"/>
              <w:jc w:val="center"/>
              <w:rPr>
                <w:rFonts w:ascii="Arial" w:hAnsi="Arial" w:cs="Arial"/>
              </w:rPr>
            </w:pPr>
            <w:r w:rsidRPr="002332F8">
              <w:rPr>
                <w:rFonts w:ascii="Segoe UI Symbol" w:hAnsi="Segoe UI Symbol" w:cs="Segoe UI Symbol"/>
                <w:sz w:val="22"/>
              </w:rPr>
              <w:t>☐</w:t>
            </w:r>
          </w:p>
        </w:tc>
      </w:tr>
    </w:tbl>
    <w:p w14:paraId="0BAC680D" w14:textId="77777777" w:rsidR="00D71CCF" w:rsidRPr="002332F8" w:rsidRDefault="00D71CCF" w:rsidP="00D71CCF">
      <w:pPr>
        <w:spacing w:before="240"/>
        <w:jc w:val="center"/>
        <w:rPr>
          <w:rFonts w:ascii="Arial" w:hAnsi="Arial" w:cs="Arial"/>
          <w:b/>
        </w:rPr>
      </w:pPr>
      <w:r w:rsidRPr="002332F8">
        <w:rPr>
          <w:rFonts w:ascii="Arial" w:hAnsi="Arial" w:cs="Arial"/>
          <w:b/>
        </w:rPr>
        <w:t>Thank you for your valuable participation.</w:t>
      </w:r>
      <w:bookmarkStart w:id="358" w:name="_Toc236590851"/>
    </w:p>
    <w:p w14:paraId="70207ADC" w14:textId="77777777" w:rsidR="00D71CCF" w:rsidRPr="002332F8" w:rsidRDefault="00D71CCF" w:rsidP="00D71CCF">
      <w:pPr>
        <w:rPr>
          <w:rFonts w:ascii="Arial" w:hAnsi="Arial" w:cs="Arial"/>
          <w:b/>
        </w:rPr>
      </w:pPr>
    </w:p>
    <w:p w14:paraId="29163658" w14:textId="77777777" w:rsidR="00D71CCF" w:rsidRPr="002332F8" w:rsidRDefault="00D71CCF" w:rsidP="00D71CCF">
      <w:pPr>
        <w:jc w:val="center"/>
        <w:rPr>
          <w:rFonts w:ascii="Arial" w:hAnsi="Arial" w:cs="Arial"/>
          <w:i/>
          <w:iCs/>
        </w:rPr>
      </w:pPr>
      <w:r w:rsidRPr="002332F8">
        <w:rPr>
          <w:rFonts w:ascii="Arial" w:hAnsi="Arial" w:cs="Arial"/>
          <w:i/>
          <w:iCs/>
        </w:rPr>
        <w:t>Please Turn Over</w:t>
      </w:r>
    </w:p>
    <w:p w14:paraId="542FA183" w14:textId="77777777" w:rsidR="00D71CCF" w:rsidRPr="002332F8" w:rsidRDefault="00D71CCF" w:rsidP="00D71CCF">
      <w:pPr>
        <w:jc w:val="center"/>
        <w:rPr>
          <w:rFonts w:ascii="Arial" w:hAnsi="Arial" w:cs="Arial"/>
          <w:i/>
          <w:iCs/>
        </w:rPr>
      </w:pPr>
    </w:p>
    <w:p w14:paraId="42540CBC" w14:textId="77777777" w:rsidR="00D71CCF" w:rsidRPr="002332F8" w:rsidRDefault="00D71CCF" w:rsidP="00D71CCF">
      <w:pPr>
        <w:jc w:val="center"/>
        <w:rPr>
          <w:rFonts w:ascii="Arial" w:hAnsi="Arial" w:cs="Arial"/>
          <w:i/>
          <w:iCs/>
        </w:rPr>
        <w:sectPr w:rsidR="00D71CCF" w:rsidRPr="002332F8" w:rsidSect="007B613E">
          <w:footerReference w:type="default" r:id="rId62"/>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p>
    <w:p w14:paraId="2D796296" w14:textId="77777777" w:rsidR="00D71CCF" w:rsidRPr="002332F8" w:rsidRDefault="00D71CCF" w:rsidP="00D71CCF">
      <w:pPr>
        <w:pStyle w:val="Heading2"/>
        <w:rPr>
          <w:rFonts w:ascii="Arial" w:hAnsi="Arial" w:cs="Arial"/>
          <w:color w:val="auto"/>
        </w:rPr>
      </w:pPr>
      <w:bookmarkStart w:id="359" w:name="_Toc241093526"/>
      <w:bookmarkStart w:id="360" w:name="_Toc241113347"/>
      <w:r w:rsidRPr="002332F8">
        <w:rPr>
          <w:rFonts w:ascii="Arial" w:hAnsi="Arial" w:cs="Arial"/>
          <w:color w:val="auto"/>
        </w:rPr>
        <w:lastRenderedPageBreak/>
        <w:t>Appendix E: Survey Dataset</w:t>
      </w:r>
      <w:bookmarkStart w:id="361" w:name="_Toc240466882"/>
      <w:bookmarkStart w:id="362" w:name="_Toc236591150"/>
      <w:bookmarkStart w:id="363" w:name="h085"/>
      <w:bookmarkEnd w:id="359"/>
      <w:bookmarkEnd w:id="360"/>
      <w:bookmarkEnd w:id="361"/>
    </w:p>
    <w:p w14:paraId="24C7E99D" w14:textId="77777777" w:rsidR="00D71CCF" w:rsidRPr="002332F8" w:rsidRDefault="00D71CCF" w:rsidP="00D71CCF">
      <w:pPr>
        <w:spacing w:after="200" w:line="276" w:lineRule="auto"/>
        <w:jc w:val="left"/>
        <w:rPr>
          <w:rFonts w:ascii="Arial" w:hAnsi="Arial" w:cs="Arial"/>
        </w:rPr>
      </w:pPr>
      <w:r w:rsidRPr="002332F8">
        <w:rPr>
          <w:rFonts w:ascii="Arial" w:hAnsi="Arial" w:cs="Arial"/>
        </w:rPr>
        <w:object w:dxaOrig="1534" w:dyaOrig="991" w14:anchorId="439F28A8">
          <v:shape id="_x0000_i1027" type="#_x0000_t75" style="width:76.5pt;height:49.5pt" o:ole="">
            <v:imagedata r:id="rId63" o:title=""/>
          </v:shape>
          <o:OLEObject Type="Embed" ProgID="Excel.Sheet.12" ShapeID="_x0000_i1027" DrawAspect="Icon" ObjectID="_1851788200" r:id="rId64"/>
        </w:object>
      </w:r>
    </w:p>
    <w:p w14:paraId="2459ECB3" w14:textId="77777777" w:rsidR="00D71CCF" w:rsidRPr="002332F8" w:rsidRDefault="00D71CCF" w:rsidP="00D71CCF">
      <w:pPr>
        <w:rPr>
          <w:rFonts w:ascii="Arial" w:hAnsi="Arial" w:cs="Arial"/>
        </w:rPr>
      </w:pPr>
    </w:p>
    <w:p w14:paraId="28DA5F81" w14:textId="77777777" w:rsidR="00D71CCF" w:rsidRPr="002332F8" w:rsidRDefault="00D71CCF" w:rsidP="00D71CCF">
      <w:pPr>
        <w:rPr>
          <w:rFonts w:ascii="Arial" w:hAnsi="Arial" w:cs="Arial"/>
        </w:rPr>
      </w:pPr>
    </w:p>
    <w:p w14:paraId="5C8E8E7C" w14:textId="77777777" w:rsidR="00D71CCF" w:rsidRPr="002332F8" w:rsidRDefault="00D71CCF" w:rsidP="00D71CCF">
      <w:pPr>
        <w:rPr>
          <w:rFonts w:ascii="Arial" w:hAnsi="Arial" w:cs="Arial"/>
        </w:rPr>
      </w:pPr>
    </w:p>
    <w:p w14:paraId="63FD14D8" w14:textId="77777777" w:rsidR="00D71CCF" w:rsidRPr="002332F8" w:rsidRDefault="00D71CCF" w:rsidP="00D71CCF">
      <w:pPr>
        <w:rPr>
          <w:rFonts w:ascii="Arial" w:hAnsi="Arial" w:cs="Arial"/>
        </w:rPr>
      </w:pPr>
    </w:p>
    <w:p w14:paraId="7F158E96" w14:textId="77777777" w:rsidR="00D71CCF" w:rsidRPr="002332F8" w:rsidRDefault="00D71CCF" w:rsidP="00D71CCF">
      <w:pPr>
        <w:tabs>
          <w:tab w:val="left" w:pos="2130"/>
        </w:tabs>
        <w:rPr>
          <w:rFonts w:ascii="Arial" w:hAnsi="Arial" w:cs="Arial"/>
          <w:b/>
          <w:bCs/>
          <w:i/>
          <w:iCs/>
        </w:rPr>
      </w:pPr>
      <w:r w:rsidRPr="002332F8">
        <w:rPr>
          <w:rFonts w:ascii="Arial" w:hAnsi="Arial" w:cs="Arial"/>
        </w:rPr>
        <w:tab/>
      </w:r>
      <w:r w:rsidRPr="002332F8">
        <w:rPr>
          <w:rFonts w:ascii="Arial" w:hAnsi="Arial" w:cs="Arial"/>
          <w:b/>
          <w:bCs/>
          <w:i/>
          <w:iCs/>
        </w:rPr>
        <w:t>Please Turn Over the Page</w:t>
      </w:r>
    </w:p>
    <w:p w14:paraId="790C14D0" w14:textId="77777777" w:rsidR="00D71CCF" w:rsidRPr="002332F8" w:rsidRDefault="00D71CCF" w:rsidP="00D71CCF">
      <w:pPr>
        <w:tabs>
          <w:tab w:val="left" w:pos="2130"/>
        </w:tabs>
        <w:rPr>
          <w:rFonts w:ascii="Arial" w:hAnsi="Arial" w:cs="Arial"/>
        </w:rPr>
        <w:sectPr w:rsidR="00D71CCF" w:rsidRPr="002332F8" w:rsidSect="007B613E">
          <w:footerReference w:type="default" r:id="rId65"/>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r w:rsidRPr="002332F8">
        <w:rPr>
          <w:rFonts w:ascii="Arial" w:hAnsi="Arial" w:cs="Arial"/>
        </w:rPr>
        <w:tab/>
      </w:r>
    </w:p>
    <w:p w14:paraId="5F87675F" w14:textId="77777777" w:rsidR="00D71CCF" w:rsidRPr="002332F8" w:rsidRDefault="00D71CCF" w:rsidP="00D71CCF">
      <w:pPr>
        <w:pStyle w:val="Heading2"/>
        <w:pageBreakBefore/>
        <w:rPr>
          <w:rFonts w:ascii="Arial" w:hAnsi="Arial" w:cs="Arial"/>
          <w:color w:val="auto"/>
        </w:rPr>
      </w:pPr>
      <w:bookmarkStart w:id="364" w:name="_Toc241093527"/>
      <w:bookmarkStart w:id="365" w:name="_Toc241113348"/>
      <w:r w:rsidRPr="002332F8">
        <w:rPr>
          <w:rFonts w:ascii="Arial" w:hAnsi="Arial" w:cs="Arial"/>
          <w:color w:val="auto"/>
        </w:rPr>
        <w:lastRenderedPageBreak/>
        <w:t>Appendix F: Variables Operationalisation and Measurement</w:t>
      </w:r>
      <w:bookmarkEnd w:id="358"/>
      <w:bookmarkEnd w:id="362"/>
      <w:bookmarkEnd w:id="363"/>
      <w:bookmarkEnd w:id="364"/>
      <w:bookmarkEnd w:id="365"/>
    </w:p>
    <w:p w14:paraId="6895926F" w14:textId="77777777" w:rsidR="00D71CCF" w:rsidRPr="002332F8" w:rsidRDefault="00D71CCF" w:rsidP="00D71CCF">
      <w:pPr>
        <w:keepNext/>
        <w:spacing w:after="60" w:line="240" w:lineRule="auto"/>
        <w:jc w:val="center"/>
        <w:rPr>
          <w:rFonts w:ascii="Arial" w:hAnsi="Arial" w:cs="Arial"/>
        </w:rPr>
      </w:pPr>
      <w:bookmarkStart w:id="366" w:name="tblE_1"/>
      <w:r w:rsidRPr="002332F8">
        <w:rPr>
          <w:rFonts w:ascii="Arial" w:hAnsi="Arial" w:cs="Arial"/>
          <w:i/>
          <w:sz w:val="18"/>
        </w:rPr>
        <w:t>Table E.1: Variables Operationalisation and Measurement</w:t>
      </w:r>
      <w:bookmarkEnd w:id="366"/>
    </w:p>
    <w:tbl>
      <w:tblPr>
        <w:tblW w:w="5000" w:type="pct"/>
        <w:jc w:val="center"/>
        <w:tblCellMar>
          <w:left w:w="10" w:type="dxa"/>
          <w:right w:w="10" w:type="dxa"/>
        </w:tblCellMar>
        <w:tblLook w:val="04A0" w:firstRow="1" w:lastRow="0" w:firstColumn="1" w:lastColumn="0" w:noHBand="0" w:noVBand="1"/>
      </w:tblPr>
      <w:tblGrid>
        <w:gridCol w:w="1693"/>
        <w:gridCol w:w="1364"/>
        <w:gridCol w:w="2418"/>
        <w:gridCol w:w="2538"/>
        <w:gridCol w:w="1458"/>
        <w:gridCol w:w="2058"/>
        <w:gridCol w:w="2419"/>
      </w:tblGrid>
      <w:tr w:rsidR="00D71CCF" w:rsidRPr="002332F8" w14:paraId="6D880822" w14:textId="77777777" w:rsidTr="002D2DAA">
        <w:trPr>
          <w:tblHeader/>
          <w:jc w:val="center"/>
        </w:trPr>
        <w:tc>
          <w:tcPr>
            <w:tcW w:w="1693" w:type="dxa"/>
            <w:tcBorders>
              <w:top w:val="single" w:sz="4" w:space="0" w:color="808080"/>
              <w:left w:val="single" w:sz="4" w:space="0" w:color="808080"/>
              <w:bottom w:val="single" w:sz="4" w:space="0" w:color="808080"/>
              <w:right w:val="single" w:sz="4" w:space="0" w:color="808080"/>
            </w:tcBorders>
            <w:shd w:val="clear" w:color="auto" w:fill="D9E2F3"/>
            <w:tcMar>
              <w:top w:w="70" w:type="dxa"/>
              <w:left w:w="70" w:type="dxa"/>
              <w:bottom w:w="70" w:type="dxa"/>
              <w:right w:w="70" w:type="dxa"/>
            </w:tcMar>
            <w:vAlign w:val="center"/>
          </w:tcPr>
          <w:p w14:paraId="4D1F8DE1"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22"/>
              </w:rPr>
              <w:t>Variable</w:t>
            </w:r>
          </w:p>
        </w:tc>
        <w:tc>
          <w:tcPr>
            <w:tcW w:w="1364" w:type="dxa"/>
            <w:tcBorders>
              <w:top w:val="single" w:sz="4" w:space="0" w:color="808080"/>
              <w:left w:val="single" w:sz="4" w:space="0" w:color="808080"/>
              <w:bottom w:val="single" w:sz="4" w:space="0" w:color="808080"/>
              <w:right w:val="single" w:sz="4" w:space="0" w:color="808080"/>
            </w:tcBorders>
            <w:shd w:val="clear" w:color="auto" w:fill="D9E2F3"/>
            <w:tcMar>
              <w:top w:w="70" w:type="dxa"/>
              <w:left w:w="70" w:type="dxa"/>
              <w:bottom w:w="70" w:type="dxa"/>
              <w:right w:w="70" w:type="dxa"/>
            </w:tcMar>
            <w:vAlign w:val="center"/>
          </w:tcPr>
          <w:p w14:paraId="4E92DD9C"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22"/>
              </w:rPr>
              <w:t>Role</w:t>
            </w:r>
          </w:p>
        </w:tc>
        <w:tc>
          <w:tcPr>
            <w:tcW w:w="2418" w:type="dxa"/>
            <w:tcBorders>
              <w:top w:val="single" w:sz="4" w:space="0" w:color="808080"/>
              <w:left w:val="single" w:sz="4" w:space="0" w:color="808080"/>
              <w:bottom w:val="single" w:sz="4" w:space="0" w:color="808080"/>
              <w:right w:val="single" w:sz="4" w:space="0" w:color="808080"/>
            </w:tcBorders>
            <w:shd w:val="clear" w:color="auto" w:fill="D9E2F3"/>
            <w:tcMar>
              <w:top w:w="70" w:type="dxa"/>
              <w:left w:w="70" w:type="dxa"/>
              <w:bottom w:w="70" w:type="dxa"/>
              <w:right w:w="70" w:type="dxa"/>
            </w:tcMar>
            <w:vAlign w:val="center"/>
          </w:tcPr>
          <w:p w14:paraId="734C8096"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22"/>
              </w:rPr>
              <w:t>Conceptual definition</w:t>
            </w:r>
          </w:p>
        </w:tc>
        <w:tc>
          <w:tcPr>
            <w:tcW w:w="2538" w:type="dxa"/>
            <w:tcBorders>
              <w:top w:val="single" w:sz="4" w:space="0" w:color="808080"/>
              <w:left w:val="single" w:sz="4" w:space="0" w:color="808080"/>
              <w:bottom w:val="single" w:sz="4" w:space="0" w:color="808080"/>
              <w:right w:val="single" w:sz="4" w:space="0" w:color="808080"/>
            </w:tcBorders>
            <w:shd w:val="clear" w:color="auto" w:fill="D9E2F3"/>
            <w:tcMar>
              <w:top w:w="70" w:type="dxa"/>
              <w:left w:w="70" w:type="dxa"/>
              <w:bottom w:w="70" w:type="dxa"/>
              <w:right w:w="70" w:type="dxa"/>
            </w:tcMar>
            <w:vAlign w:val="center"/>
          </w:tcPr>
          <w:p w14:paraId="58EDEF4E"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22"/>
              </w:rPr>
              <w:t>Items and operationalisation</w:t>
            </w:r>
          </w:p>
        </w:tc>
        <w:tc>
          <w:tcPr>
            <w:tcW w:w="1458" w:type="dxa"/>
            <w:tcBorders>
              <w:top w:val="single" w:sz="4" w:space="0" w:color="808080"/>
              <w:left w:val="single" w:sz="4" w:space="0" w:color="808080"/>
              <w:bottom w:val="single" w:sz="4" w:space="0" w:color="808080"/>
              <w:right w:val="single" w:sz="4" w:space="0" w:color="808080"/>
            </w:tcBorders>
            <w:shd w:val="clear" w:color="auto" w:fill="D9E2F3"/>
            <w:tcMar>
              <w:top w:w="70" w:type="dxa"/>
              <w:left w:w="70" w:type="dxa"/>
              <w:bottom w:w="70" w:type="dxa"/>
              <w:right w:w="70" w:type="dxa"/>
            </w:tcMar>
            <w:vAlign w:val="center"/>
          </w:tcPr>
          <w:p w14:paraId="3B026412"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22"/>
              </w:rPr>
              <w:t>Response scale</w:t>
            </w:r>
          </w:p>
        </w:tc>
        <w:tc>
          <w:tcPr>
            <w:tcW w:w="2058" w:type="dxa"/>
            <w:tcBorders>
              <w:top w:val="single" w:sz="4" w:space="0" w:color="808080"/>
              <w:left w:val="single" w:sz="4" w:space="0" w:color="808080"/>
              <w:bottom w:val="single" w:sz="4" w:space="0" w:color="808080"/>
              <w:right w:val="single" w:sz="4" w:space="0" w:color="808080"/>
            </w:tcBorders>
            <w:shd w:val="clear" w:color="auto" w:fill="D9E2F3"/>
            <w:tcMar>
              <w:top w:w="70" w:type="dxa"/>
              <w:left w:w="70" w:type="dxa"/>
              <w:bottom w:w="70" w:type="dxa"/>
              <w:right w:w="70" w:type="dxa"/>
            </w:tcMar>
            <w:vAlign w:val="center"/>
          </w:tcPr>
          <w:p w14:paraId="65C5CD1F"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22"/>
              </w:rPr>
              <w:t>Score and interpretation</w:t>
            </w:r>
          </w:p>
        </w:tc>
        <w:tc>
          <w:tcPr>
            <w:tcW w:w="2419" w:type="dxa"/>
            <w:tcBorders>
              <w:top w:val="single" w:sz="4" w:space="0" w:color="808080"/>
              <w:left w:val="single" w:sz="4" w:space="0" w:color="808080"/>
              <w:bottom w:val="single" w:sz="4" w:space="0" w:color="808080"/>
              <w:right w:val="single" w:sz="4" w:space="0" w:color="808080"/>
            </w:tcBorders>
            <w:shd w:val="clear" w:color="auto" w:fill="D9E2F3"/>
            <w:tcMar>
              <w:top w:w="70" w:type="dxa"/>
              <w:left w:w="70" w:type="dxa"/>
              <w:bottom w:w="70" w:type="dxa"/>
              <w:right w:w="70" w:type="dxa"/>
            </w:tcMar>
            <w:vAlign w:val="center"/>
          </w:tcPr>
          <w:p w14:paraId="705AFC25" w14:textId="77777777" w:rsidR="00D71CCF" w:rsidRPr="002332F8" w:rsidRDefault="00D71CCF" w:rsidP="002D2DAA">
            <w:pPr>
              <w:spacing w:after="0" w:line="240" w:lineRule="auto"/>
              <w:jc w:val="center"/>
              <w:rPr>
                <w:rFonts w:ascii="Arial" w:hAnsi="Arial" w:cs="Arial"/>
              </w:rPr>
            </w:pPr>
            <w:r w:rsidRPr="002332F8">
              <w:rPr>
                <w:rFonts w:ascii="Arial" w:hAnsi="Arial" w:cs="Arial"/>
                <w:b/>
                <w:sz w:val="22"/>
              </w:rPr>
              <w:t>Evidence base</w:t>
            </w:r>
          </w:p>
        </w:tc>
      </w:tr>
      <w:tr w:rsidR="00D71CCF" w:rsidRPr="002332F8" w14:paraId="1884BA39" w14:textId="77777777" w:rsidTr="002D2DAA">
        <w:trPr>
          <w:cantSplit/>
          <w:jc w:val="center"/>
        </w:trPr>
        <w:tc>
          <w:tcPr>
            <w:tcW w:w="1693"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16ACE163"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Perceived schedule control (PSC)</w:t>
            </w:r>
          </w:p>
        </w:tc>
        <w:tc>
          <w:tcPr>
            <w:tcW w:w="1364"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014F4F23"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Independent variable</w:t>
            </w:r>
          </w:p>
        </w:tc>
        <w:tc>
          <w:tcPr>
            <w:tcW w:w="241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5A9B9FB8"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The extent to which an employee believes that influence can be exercised over work starting and finishing times, shift preferences and schedule changes.</w:t>
            </w:r>
          </w:p>
        </w:tc>
        <w:tc>
          <w:tcPr>
            <w:tcW w:w="253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1F4B43EB"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PSC1-PSC4. Four researcher-adapted items. A score is calculated when at least three items are completed.</w:t>
            </w:r>
          </w:p>
        </w:tc>
        <w:tc>
          <w:tcPr>
            <w:tcW w:w="14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257946CB"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1 = strongly disagree to 5 = strongly agree</w:t>
            </w:r>
          </w:p>
        </w:tc>
        <w:tc>
          <w:tcPr>
            <w:tcW w:w="20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389DAAF8"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Mean of completed PSC items. Higher scores indicate greater perceived control.</w:t>
            </w:r>
          </w:p>
        </w:tc>
        <w:tc>
          <w:tcPr>
            <w:tcW w:w="2419"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13B4C20A"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Items informed by Allen et al. (2013) and Kossek et al. (2023). Content review and pilot testing are required because the scale is adapted.</w:t>
            </w:r>
          </w:p>
        </w:tc>
      </w:tr>
      <w:tr w:rsidR="00D71CCF" w:rsidRPr="002332F8" w14:paraId="05C859A8" w14:textId="77777777" w:rsidTr="002D2DAA">
        <w:trPr>
          <w:cantSplit/>
          <w:jc w:val="center"/>
        </w:trPr>
        <w:tc>
          <w:tcPr>
            <w:tcW w:w="1693"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36E8E636"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Perceived schedule predictability (PSP)</w:t>
            </w:r>
          </w:p>
        </w:tc>
        <w:tc>
          <w:tcPr>
            <w:tcW w:w="1364"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1FD486BA"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Independent variable</w:t>
            </w:r>
          </w:p>
        </w:tc>
        <w:tc>
          <w:tcPr>
            <w:tcW w:w="241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374150A2"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The extent to which an employee receives adequate advance notice and experiences consistent, foreseeable working days and hours.</w:t>
            </w:r>
          </w:p>
        </w:tc>
        <w:tc>
          <w:tcPr>
            <w:tcW w:w="253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5FBF2021"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PSP1-PSP4. Four researcher-adapted items. A score is calculated when at least three items are completed.</w:t>
            </w:r>
          </w:p>
        </w:tc>
        <w:tc>
          <w:tcPr>
            <w:tcW w:w="14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4240848E"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1 = strongly disagree to 5 = strongly agree</w:t>
            </w:r>
          </w:p>
        </w:tc>
        <w:tc>
          <w:tcPr>
            <w:tcW w:w="20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402A0B03"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Mean of completed PSP items. Higher scores indicate greater predictability.</w:t>
            </w:r>
          </w:p>
        </w:tc>
        <w:tc>
          <w:tcPr>
            <w:tcW w:w="2419"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27F53A3F"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Items informed by Lambert et al. (2019) and scheduling literature. The study does not claim prior construct validation for this four-item scale.</w:t>
            </w:r>
          </w:p>
        </w:tc>
      </w:tr>
      <w:tr w:rsidR="00D71CCF" w:rsidRPr="002332F8" w14:paraId="01B40F10" w14:textId="77777777" w:rsidTr="002D2DAA">
        <w:trPr>
          <w:cantSplit/>
          <w:jc w:val="center"/>
        </w:trPr>
        <w:tc>
          <w:tcPr>
            <w:tcW w:w="1693"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7224428B"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Perceived shift accommodation (PSA)</w:t>
            </w:r>
          </w:p>
        </w:tc>
        <w:tc>
          <w:tcPr>
            <w:tcW w:w="1364"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7419B765"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Independent variable</w:t>
            </w:r>
          </w:p>
        </w:tc>
        <w:tc>
          <w:tcPr>
            <w:tcW w:w="241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199D82EC"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The extent to which reasonable requests for shift changes or schedule adjustments are heard, considered fairly and addressed respectfully where operations permit.</w:t>
            </w:r>
          </w:p>
        </w:tc>
        <w:tc>
          <w:tcPr>
            <w:tcW w:w="253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4AB45A7F"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PSA1-PSA4. Four researcher-adapted items. A score is calculated when at least three items are completed.</w:t>
            </w:r>
          </w:p>
        </w:tc>
        <w:tc>
          <w:tcPr>
            <w:tcW w:w="14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04008DE9"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1 = strongly disagree to 5 = strongly agree</w:t>
            </w:r>
          </w:p>
        </w:tc>
        <w:tc>
          <w:tcPr>
            <w:tcW w:w="20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2450D9F8"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Mean of completed PSA items. Higher scores indicate greater perceived accommodation.</w:t>
            </w:r>
          </w:p>
        </w:tc>
        <w:tc>
          <w:tcPr>
            <w:tcW w:w="2419"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4CC6CD05"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Items informed by flexibility implementation and boundary-control research, including Kossek et al. (2023). Expert review and pilot feedback provide content evidence only.</w:t>
            </w:r>
          </w:p>
        </w:tc>
      </w:tr>
      <w:tr w:rsidR="00D71CCF" w:rsidRPr="002332F8" w14:paraId="05A76611" w14:textId="77777777" w:rsidTr="002D2DAA">
        <w:trPr>
          <w:cantSplit/>
          <w:jc w:val="center"/>
        </w:trPr>
        <w:tc>
          <w:tcPr>
            <w:tcW w:w="1693"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73B28EE8"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lastRenderedPageBreak/>
              <w:t>Employee engagement (EE)</w:t>
            </w:r>
          </w:p>
        </w:tc>
        <w:tc>
          <w:tcPr>
            <w:tcW w:w="1364"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24216008"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Dependent variable</w:t>
            </w:r>
          </w:p>
        </w:tc>
        <w:tc>
          <w:tcPr>
            <w:tcW w:w="241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2F6DE627"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A positive work-related state represented by vigour, dedication and absorption.</w:t>
            </w:r>
          </w:p>
        </w:tc>
        <w:tc>
          <w:tcPr>
            <w:tcW w:w="253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26233871"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EE1-EE3 using UWES-3. All three items are required for scoring.</w:t>
            </w:r>
          </w:p>
        </w:tc>
        <w:tc>
          <w:tcPr>
            <w:tcW w:w="14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30390B76"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0 = never to 6 = always or every day</w:t>
            </w:r>
          </w:p>
        </w:tc>
        <w:tc>
          <w:tcPr>
            <w:tcW w:w="20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1779817D"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Mean of EE1-EE3. Higher scores indicate greater engagement.</w:t>
            </w:r>
          </w:p>
        </w:tc>
        <w:tc>
          <w:tcPr>
            <w:tcW w:w="2419"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2B696729"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Schaufeli et al. (2019). The published validation supports use of UWES-3, while reliability was reassessed in this sample.</w:t>
            </w:r>
          </w:p>
        </w:tc>
      </w:tr>
      <w:tr w:rsidR="00D71CCF" w:rsidRPr="002332F8" w14:paraId="0D012DDA" w14:textId="77777777" w:rsidTr="002D2DAA">
        <w:trPr>
          <w:cantSplit/>
          <w:jc w:val="center"/>
        </w:trPr>
        <w:tc>
          <w:tcPr>
            <w:tcW w:w="1693"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0203494F"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Age group</w:t>
            </w:r>
          </w:p>
        </w:tc>
        <w:tc>
          <w:tcPr>
            <w:tcW w:w="1364"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532018D7"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Potential control or descriptive variable</w:t>
            </w:r>
          </w:p>
        </w:tc>
        <w:tc>
          <w:tcPr>
            <w:tcW w:w="241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1165D258"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Respondent age represented in ordered categories.</w:t>
            </w:r>
          </w:p>
        </w:tc>
        <w:tc>
          <w:tcPr>
            <w:tcW w:w="253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0A43231C"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A1, five categories from 18-24 to 55 years or above.</w:t>
            </w:r>
          </w:p>
        </w:tc>
        <w:tc>
          <w:tcPr>
            <w:tcW w:w="14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4CA691EF"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Ordinal categorical</w:t>
            </w:r>
          </w:p>
        </w:tc>
        <w:tc>
          <w:tcPr>
            <w:tcW w:w="20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2D395079"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Frequencies and percentages. Any regression coding will be reported and used only if category sizes are adequate.</w:t>
            </w:r>
          </w:p>
        </w:tc>
        <w:tc>
          <w:tcPr>
            <w:tcW w:w="2419"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0AD0F2D9"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Questionnaire background variable.</w:t>
            </w:r>
          </w:p>
        </w:tc>
      </w:tr>
      <w:tr w:rsidR="00D71CCF" w:rsidRPr="002332F8" w14:paraId="33C694D6" w14:textId="77777777" w:rsidTr="002D2DAA">
        <w:trPr>
          <w:cantSplit/>
          <w:jc w:val="center"/>
        </w:trPr>
        <w:tc>
          <w:tcPr>
            <w:tcW w:w="1693"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0148AE76"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Gender</w:t>
            </w:r>
          </w:p>
        </w:tc>
        <w:tc>
          <w:tcPr>
            <w:tcW w:w="1364"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5C598310"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Potential control or descriptive variable</w:t>
            </w:r>
          </w:p>
        </w:tc>
        <w:tc>
          <w:tcPr>
            <w:tcW w:w="241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7105DE5E"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Self-reported gender category.</w:t>
            </w:r>
          </w:p>
        </w:tc>
        <w:tc>
          <w:tcPr>
            <w:tcW w:w="253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0930B47D"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A2, including prefer not to say.</w:t>
            </w:r>
          </w:p>
        </w:tc>
        <w:tc>
          <w:tcPr>
            <w:tcW w:w="14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2C88C819"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Nominal categorical</w:t>
            </w:r>
          </w:p>
        </w:tc>
        <w:tc>
          <w:tcPr>
            <w:tcW w:w="20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167132C3"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Frequencies and percentages. Sparse categories will not be combined in a way that compromises meaning or confidentiality.</w:t>
            </w:r>
          </w:p>
        </w:tc>
        <w:tc>
          <w:tcPr>
            <w:tcW w:w="2419"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0FB527DA"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Questionnaire background variable.</w:t>
            </w:r>
          </w:p>
        </w:tc>
      </w:tr>
      <w:tr w:rsidR="00D71CCF" w:rsidRPr="002332F8" w14:paraId="60F3F936" w14:textId="77777777" w:rsidTr="002D2DAA">
        <w:trPr>
          <w:cantSplit/>
          <w:jc w:val="center"/>
        </w:trPr>
        <w:tc>
          <w:tcPr>
            <w:tcW w:w="1693"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6448A9E3"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Education</w:t>
            </w:r>
          </w:p>
        </w:tc>
        <w:tc>
          <w:tcPr>
            <w:tcW w:w="1364"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52AA42A1"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Potential control or descriptive variable</w:t>
            </w:r>
          </w:p>
        </w:tc>
        <w:tc>
          <w:tcPr>
            <w:tcW w:w="241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68CAFA2B"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Highest completed educational level.</w:t>
            </w:r>
          </w:p>
        </w:tc>
        <w:tc>
          <w:tcPr>
            <w:tcW w:w="253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4DEC4219"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A3, six ordered categories.</w:t>
            </w:r>
          </w:p>
        </w:tc>
        <w:tc>
          <w:tcPr>
            <w:tcW w:w="14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7BB0AA4C"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Ordinal categorical</w:t>
            </w:r>
          </w:p>
        </w:tc>
        <w:tc>
          <w:tcPr>
            <w:tcW w:w="20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4382110F"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Frequencies and percentages. Use as a control requires theoretical justification and adequate distribution.</w:t>
            </w:r>
          </w:p>
        </w:tc>
        <w:tc>
          <w:tcPr>
            <w:tcW w:w="2419"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6FD53234"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Questionnaire background variable.</w:t>
            </w:r>
          </w:p>
        </w:tc>
      </w:tr>
      <w:tr w:rsidR="00D71CCF" w:rsidRPr="002332F8" w14:paraId="2DB0E13F" w14:textId="77777777" w:rsidTr="002D2DAA">
        <w:trPr>
          <w:cantSplit/>
          <w:jc w:val="center"/>
        </w:trPr>
        <w:tc>
          <w:tcPr>
            <w:tcW w:w="1693"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0AAC846E"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lastRenderedPageBreak/>
              <w:t>Job position</w:t>
            </w:r>
          </w:p>
        </w:tc>
        <w:tc>
          <w:tcPr>
            <w:tcW w:w="1364"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17613473"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Potential control or descriptive variable</w:t>
            </w:r>
          </w:p>
        </w:tc>
        <w:tc>
          <w:tcPr>
            <w:tcW w:w="241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0725D402"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Current factory-based production or operational role.</w:t>
            </w:r>
          </w:p>
        </w:tc>
        <w:tc>
          <w:tcPr>
            <w:tcW w:w="253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5142F4FE"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A4, six named roles and an other category.</w:t>
            </w:r>
          </w:p>
        </w:tc>
        <w:tc>
          <w:tcPr>
            <w:tcW w:w="14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10BD8AD2"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Nominal categorical</w:t>
            </w:r>
          </w:p>
        </w:tc>
        <w:tc>
          <w:tcPr>
            <w:tcW w:w="20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528345E6"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Frequencies and percentages. Similar roles may be grouped only where substantively defensible and confidentiality is protected.</w:t>
            </w:r>
          </w:p>
        </w:tc>
        <w:tc>
          <w:tcPr>
            <w:tcW w:w="2419"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111D5775"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Questionnaire background variable.</w:t>
            </w:r>
          </w:p>
        </w:tc>
      </w:tr>
      <w:tr w:rsidR="00D71CCF" w:rsidRPr="002332F8" w14:paraId="1C6C4066" w14:textId="77777777" w:rsidTr="002D2DAA">
        <w:trPr>
          <w:cantSplit/>
          <w:jc w:val="center"/>
        </w:trPr>
        <w:tc>
          <w:tcPr>
            <w:tcW w:w="1693"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75BDFB23"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Length of service</w:t>
            </w:r>
          </w:p>
        </w:tc>
        <w:tc>
          <w:tcPr>
            <w:tcW w:w="1364"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145851F9"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Potential control or descriptive variable</w:t>
            </w:r>
          </w:p>
        </w:tc>
        <w:tc>
          <w:tcPr>
            <w:tcW w:w="241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1B4D726F"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Duration of continuous employment at Natural Group Bangladesh.</w:t>
            </w:r>
          </w:p>
        </w:tc>
        <w:tc>
          <w:tcPr>
            <w:tcW w:w="253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052BCFEA"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A5, five ordered categories from 3-11 months to more than 10 years.</w:t>
            </w:r>
          </w:p>
        </w:tc>
        <w:tc>
          <w:tcPr>
            <w:tcW w:w="14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7CD3F156"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Ordinal categorical</w:t>
            </w:r>
          </w:p>
        </w:tc>
        <w:tc>
          <w:tcPr>
            <w:tcW w:w="20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69DE6C52"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Frequencies and percentages. May be used in a sensitivity model if sample size permits.</w:t>
            </w:r>
          </w:p>
        </w:tc>
        <w:tc>
          <w:tcPr>
            <w:tcW w:w="2419"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14EE7E34"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Questionnaire background variable.</w:t>
            </w:r>
          </w:p>
        </w:tc>
      </w:tr>
      <w:tr w:rsidR="00D71CCF" w:rsidRPr="002332F8" w14:paraId="43438042" w14:textId="77777777" w:rsidTr="002D2DAA">
        <w:trPr>
          <w:cantSplit/>
          <w:jc w:val="center"/>
        </w:trPr>
        <w:tc>
          <w:tcPr>
            <w:tcW w:w="1693"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7FEF42AC"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Work schedule, overtime, notice and adjustment request</w:t>
            </w:r>
          </w:p>
        </w:tc>
        <w:tc>
          <w:tcPr>
            <w:tcW w:w="1364"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18DDB47A"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Contextual variables</w:t>
            </w:r>
          </w:p>
        </w:tc>
        <w:tc>
          <w:tcPr>
            <w:tcW w:w="241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0C6166B1"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Current scheduling pattern and exposure to overtime, notice periods and schedule-change requests.</w:t>
            </w:r>
          </w:p>
        </w:tc>
        <w:tc>
          <w:tcPr>
            <w:tcW w:w="253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0FAD5AE3"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B1-B4.</w:t>
            </w:r>
          </w:p>
        </w:tc>
        <w:tc>
          <w:tcPr>
            <w:tcW w:w="14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08846DFE"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Nominal or ordinal categorical</w:t>
            </w:r>
          </w:p>
        </w:tc>
        <w:tc>
          <w:tcPr>
            <w:tcW w:w="2058"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5B7C4D3D"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Used to describe the work context and interpret the sample. They are not primary hypothesis variables.</w:t>
            </w:r>
          </w:p>
        </w:tc>
        <w:tc>
          <w:tcPr>
            <w:tcW w:w="2419" w:type="dxa"/>
            <w:tcBorders>
              <w:top w:val="single" w:sz="4" w:space="0" w:color="808080"/>
              <w:left w:val="single" w:sz="4" w:space="0" w:color="808080"/>
              <w:bottom w:val="single" w:sz="4" w:space="0" w:color="808080"/>
              <w:right w:val="single" w:sz="4" w:space="0" w:color="808080"/>
            </w:tcBorders>
            <w:tcMar>
              <w:top w:w="70" w:type="dxa"/>
              <w:left w:w="70" w:type="dxa"/>
              <w:bottom w:w="70" w:type="dxa"/>
              <w:right w:w="70" w:type="dxa"/>
            </w:tcMar>
            <w:vAlign w:val="center"/>
          </w:tcPr>
          <w:p w14:paraId="4AABFE31" w14:textId="77777777" w:rsidR="00D71CCF" w:rsidRPr="002332F8" w:rsidRDefault="00D71CCF" w:rsidP="002D2DAA">
            <w:pPr>
              <w:spacing w:after="0" w:line="240" w:lineRule="auto"/>
              <w:jc w:val="left"/>
              <w:rPr>
                <w:rFonts w:ascii="Arial" w:hAnsi="Arial" w:cs="Arial"/>
              </w:rPr>
            </w:pPr>
            <w:r w:rsidRPr="002332F8">
              <w:rPr>
                <w:rFonts w:ascii="Arial" w:hAnsi="Arial" w:cs="Arial"/>
                <w:sz w:val="22"/>
              </w:rPr>
              <w:t>Questionnaire background variables informed by the research context.</w:t>
            </w:r>
          </w:p>
        </w:tc>
      </w:tr>
    </w:tbl>
    <w:p w14:paraId="0F9C3161" w14:textId="77777777" w:rsidR="00D71CCF" w:rsidRPr="002332F8" w:rsidRDefault="00D71CCF" w:rsidP="00D71CCF">
      <w:pPr>
        <w:pStyle w:val="AppendixText"/>
        <w:rPr>
          <w:rFonts w:ascii="Arial" w:hAnsi="Arial" w:cs="Arial"/>
        </w:rPr>
      </w:pPr>
    </w:p>
    <w:p w14:paraId="761F2210" w14:textId="77777777" w:rsidR="00D71CCF" w:rsidRPr="002332F8" w:rsidRDefault="00D71CCF" w:rsidP="00D71CCF">
      <w:pPr>
        <w:pStyle w:val="References"/>
        <w:spacing w:line="360" w:lineRule="auto"/>
        <w:jc w:val="both"/>
        <w:rPr>
          <w:rFonts w:ascii="Arial" w:hAnsi="Arial" w:cs="Arial"/>
        </w:rPr>
      </w:pPr>
    </w:p>
    <w:p w14:paraId="236AB920" w14:textId="77777777" w:rsidR="00D71CCF" w:rsidRPr="002332F8" w:rsidRDefault="00D71CCF" w:rsidP="00D71CCF">
      <w:pPr>
        <w:rPr>
          <w:rFonts w:ascii="Arial" w:hAnsi="Arial" w:cs="Arial"/>
        </w:rPr>
      </w:pPr>
    </w:p>
    <w:p w14:paraId="504CB719" w14:textId="77777777" w:rsidR="000B6E52" w:rsidRDefault="000B6E52"/>
    <w:sectPr w:rsidR="000B6E52" w:rsidSect="007B613E">
      <w:pgSz w:w="16838" w:h="11906"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3A3D417" w14:textId="77777777" w:rsidR="00895700" w:rsidRDefault="00BC11C2">
      <w:pPr>
        <w:spacing w:after="0" w:line="240" w:lineRule="auto"/>
      </w:pPr>
      <w:r>
        <w:separator/>
      </w:r>
    </w:p>
  </w:endnote>
  <w:endnote w:type="continuationSeparator" w:id="0">
    <w:p w14:paraId="403B9703" w14:textId="77777777" w:rsidR="00895700" w:rsidRDefault="00BC1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altName w:val="Arial"/>
    <w:charset w:val="00"/>
    <w:family w:val="swiss"/>
    <w:pitch w:val="variable"/>
    <w:sig w:usb0="20000287" w:usb1="00000003" w:usb2="00000000" w:usb3="00000000" w:csb0="0000019F" w:csb1="00000000"/>
  </w:font>
  <w:font w:name="Aptos">
    <w:altName w:val="Arial"/>
    <w:charset w:val="00"/>
    <w:family w:val="swiss"/>
    <w:pitch w:val="variable"/>
    <w:sig w:usb0="20000287" w:usb1="00000003" w:usb2="00000000" w:usb3="00000000" w:csb0="0000019F" w:csb1="00000000"/>
  </w:font>
  <w:font w:name="Courier">
    <w:panose1 w:val="02070409020205020404"/>
    <w:charset w:val="00"/>
    <w:family w:val="auto"/>
    <w:pitch w:val="variable"/>
    <w:sig w:usb0="00000003"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F0E9A3" w14:textId="2046318E" w:rsidR="001149FC" w:rsidRDefault="00D71CCF">
    <w:pPr>
      <w:pStyle w:val="Footer"/>
      <w:jc w:val="center"/>
    </w:pPr>
    <w:r>
      <w:rPr>
        <w:sz w:val="20"/>
      </w:rPr>
      <w:t xml:space="preserve">Page </w:t>
    </w:r>
    <w:r>
      <w:rPr>
        <w:sz w:val="20"/>
      </w:rPr>
      <w:fldChar w:fldCharType="begin"/>
    </w:r>
    <w:r>
      <w:rPr>
        <w:sz w:val="20"/>
      </w:rPr>
      <w:instrText xml:space="preserve"> PAGE </w:instrText>
    </w:r>
    <w:r>
      <w:rPr>
        <w:sz w:val="20"/>
      </w:rPr>
      <w:fldChar w:fldCharType="separate"/>
    </w:r>
    <w:r w:rsidR="00F62741">
      <w:rPr>
        <w:noProof/>
        <w:sz w:val="20"/>
      </w:rPr>
      <w:t>89</w:t>
    </w:r>
    <w:r>
      <w:rPr>
        <w:sz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5AA3B6" w14:textId="7BFA226A" w:rsidR="001149FC" w:rsidRDefault="00D71CCF">
    <w:pPr>
      <w:pStyle w:val="Footer"/>
      <w:jc w:val="center"/>
    </w:pPr>
    <w:r>
      <w:rPr>
        <w:sz w:val="20"/>
      </w:rPr>
      <w:t xml:space="preserve">Page </w:t>
    </w:r>
    <w:r>
      <w:rPr>
        <w:sz w:val="20"/>
      </w:rPr>
      <w:fldChar w:fldCharType="begin"/>
    </w:r>
    <w:r>
      <w:rPr>
        <w:sz w:val="20"/>
      </w:rPr>
      <w:instrText xml:space="preserve"> PAGE </w:instrText>
    </w:r>
    <w:r>
      <w:rPr>
        <w:sz w:val="20"/>
      </w:rPr>
      <w:fldChar w:fldCharType="separate"/>
    </w:r>
    <w:r w:rsidR="00F62741">
      <w:rPr>
        <w:noProof/>
        <w:sz w:val="20"/>
      </w:rPr>
      <w:t>99</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5B613D" w14:textId="77777777" w:rsidR="00895700" w:rsidRDefault="00BC11C2">
      <w:pPr>
        <w:spacing w:after="0" w:line="240" w:lineRule="auto"/>
      </w:pPr>
      <w:r>
        <w:separator/>
      </w:r>
    </w:p>
  </w:footnote>
  <w:footnote w:type="continuationSeparator" w:id="0">
    <w:p w14:paraId="4D593666" w14:textId="77777777" w:rsidR="00895700" w:rsidRDefault="00BC11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295CF7"/>
    <w:multiLevelType w:val="multilevel"/>
    <w:tmpl w:val="7DDE2FE2"/>
    <w:styleLink w:val="LFO5"/>
    <w:lvl w:ilvl="0">
      <w:start w:val="1"/>
      <w:numFmt w:val="decimal"/>
      <w:pStyle w:val="ListNumber"/>
      <w:lvlText w:val="%1."/>
      <w:lvlJc w:val="left"/>
      <w:pPr>
        <w:ind w:left="36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 w15:restartNumberingAfterBreak="0">
    <w:nsid w:val="0B9F076A"/>
    <w:multiLevelType w:val="multilevel"/>
    <w:tmpl w:val="2946DD46"/>
    <w:styleLink w:val="LFO3"/>
    <w:lvl w:ilvl="0">
      <w:numFmt w:val="bullet"/>
      <w:pStyle w:val="ListBullet3"/>
      <w:lvlText w:val=""/>
      <w:lvlJc w:val="left"/>
      <w:pPr>
        <w:ind w:left="1080" w:hanging="360"/>
      </w:pPr>
      <w:rPr>
        <w:rFonts w:ascii="Symbol" w:hAnsi="Symbol"/>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2" w15:restartNumberingAfterBreak="0">
    <w:nsid w:val="0CD04943"/>
    <w:multiLevelType w:val="multilevel"/>
    <w:tmpl w:val="C21C4E1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5327F"/>
    <w:multiLevelType w:val="multilevel"/>
    <w:tmpl w:val="EB4A3182"/>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4" w15:restartNumberingAfterBreak="0">
    <w:nsid w:val="0E504B63"/>
    <w:multiLevelType w:val="multilevel"/>
    <w:tmpl w:val="C8D89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CB28A8"/>
    <w:multiLevelType w:val="multilevel"/>
    <w:tmpl w:val="CC50CA7E"/>
    <w:lvl w:ilvl="0">
      <w:start w:val="1"/>
      <w:numFmt w:val="decimal"/>
      <w:lvlText w:val="%1."/>
      <w:lvlJc w:val="left"/>
      <w:pPr>
        <w:ind w:left="860" w:hanging="50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C0216A"/>
    <w:multiLevelType w:val="hybridMultilevel"/>
    <w:tmpl w:val="3F5E7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DA32AF4"/>
    <w:multiLevelType w:val="multilevel"/>
    <w:tmpl w:val="2BA83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BA2997"/>
    <w:multiLevelType w:val="multilevel"/>
    <w:tmpl w:val="93083B28"/>
    <w:styleLink w:val="LFO7"/>
    <w:lvl w:ilvl="0">
      <w:start w:val="1"/>
      <w:numFmt w:val="decimal"/>
      <w:pStyle w:val="ListNumber3"/>
      <w:lvlText w:val="%1."/>
      <w:lvlJc w:val="left"/>
      <w:pPr>
        <w:ind w:left="108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1"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25EC0F68"/>
    <w:multiLevelType w:val="hybridMultilevel"/>
    <w:tmpl w:val="8F0427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6F3614E"/>
    <w:multiLevelType w:val="multilevel"/>
    <w:tmpl w:val="8ECE1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C85540"/>
    <w:multiLevelType w:val="multilevel"/>
    <w:tmpl w:val="A364E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7AE55AC"/>
    <w:multiLevelType w:val="multilevel"/>
    <w:tmpl w:val="FD3C8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899004B"/>
    <w:multiLevelType w:val="multilevel"/>
    <w:tmpl w:val="EA9CF7F2"/>
    <w:styleLink w:val="LFO2"/>
    <w:lvl w:ilvl="0">
      <w:numFmt w:val="bullet"/>
      <w:pStyle w:val="ListBullet2"/>
      <w:lvlText w:val=""/>
      <w:lvlJc w:val="left"/>
      <w:pPr>
        <w:ind w:left="720" w:hanging="360"/>
      </w:pPr>
      <w:rPr>
        <w:rFonts w:ascii="Symbol" w:hAnsi="Symbol"/>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2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572041"/>
    <w:multiLevelType w:val="multilevel"/>
    <w:tmpl w:val="24BA6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A822D2F"/>
    <w:multiLevelType w:val="multilevel"/>
    <w:tmpl w:val="477EFC8A"/>
    <w:styleLink w:val="LFO6"/>
    <w:lvl w:ilvl="0">
      <w:start w:val="1"/>
      <w:numFmt w:val="decimal"/>
      <w:pStyle w:val="ListNumber2"/>
      <w:lvlText w:val="%1."/>
      <w:lvlJc w:val="left"/>
      <w:pPr>
        <w:ind w:left="720" w:hanging="360"/>
      </w:p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31" w15:restartNumberingAfterBreak="0">
    <w:nsid w:val="4E1E1B28"/>
    <w:multiLevelType w:val="multilevel"/>
    <w:tmpl w:val="F6AA5D42"/>
    <w:styleLink w:val="LFO1"/>
    <w:lvl w:ilvl="0">
      <w:numFmt w:val="bullet"/>
      <w:pStyle w:val="ListBullet"/>
      <w:lvlText w:val=""/>
      <w:lvlJc w:val="left"/>
      <w:pPr>
        <w:ind w:left="360" w:hanging="360"/>
      </w:pPr>
      <w:rPr>
        <w:rFonts w:ascii="Symbol" w:hAnsi="Symbol"/>
      </w:rPr>
    </w:lvl>
    <w:lvl w:ilvl="1">
      <w:start w:val="1"/>
      <w:numFmt w:val="none"/>
      <w:lvlText w:val=""/>
      <w:lvlJc w:val="left"/>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32" w15:restartNumberingAfterBreak="0">
    <w:nsid w:val="512B2943"/>
    <w:multiLevelType w:val="multilevel"/>
    <w:tmpl w:val="4F4A42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4186F27"/>
    <w:multiLevelType w:val="multilevel"/>
    <w:tmpl w:val="DF22C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297066B"/>
    <w:multiLevelType w:val="hybridMultilevel"/>
    <w:tmpl w:val="CB0AF8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6E067E1"/>
    <w:multiLevelType w:val="multilevel"/>
    <w:tmpl w:val="E7A2B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DDD6809"/>
    <w:multiLevelType w:val="multilevel"/>
    <w:tmpl w:val="C2663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1"/>
  </w:num>
  <w:num w:numId="2">
    <w:abstractNumId w:val="23"/>
  </w:num>
  <w:num w:numId="3">
    <w:abstractNumId w:val="1"/>
  </w:num>
  <w:num w:numId="4">
    <w:abstractNumId w:val="0"/>
  </w:num>
  <w:num w:numId="5">
    <w:abstractNumId w:val="30"/>
  </w:num>
  <w:num w:numId="6">
    <w:abstractNumId w:val="10"/>
  </w:num>
  <w:num w:numId="7">
    <w:abstractNumId w:val="6"/>
  </w:num>
  <w:num w:numId="8">
    <w:abstractNumId w:val="3"/>
  </w:num>
  <w:num w:numId="9">
    <w:abstractNumId w:val="8"/>
  </w:num>
  <w:num w:numId="10">
    <w:abstractNumId w:val="24"/>
  </w:num>
  <w:num w:numId="11">
    <w:abstractNumId w:val="38"/>
  </w:num>
  <w:num w:numId="12">
    <w:abstractNumId w:val="11"/>
  </w:num>
  <w:num w:numId="13">
    <w:abstractNumId w:val="45"/>
  </w:num>
  <w:num w:numId="1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3"/>
  </w:num>
  <w:num w:numId="18">
    <w:abstractNumId w:val="19"/>
  </w:num>
  <w:num w:numId="19">
    <w:abstractNumId w:val="20"/>
  </w:num>
  <w:num w:numId="20">
    <w:abstractNumId w:val="43"/>
  </w:num>
  <w:num w:numId="21">
    <w:abstractNumId w:val="40"/>
  </w:num>
  <w:num w:numId="22">
    <w:abstractNumId w:val="42"/>
  </w:num>
  <w:num w:numId="23">
    <w:abstractNumId w:val="5"/>
  </w:num>
  <w:num w:numId="24">
    <w:abstractNumId w:val="16"/>
  </w:num>
  <w:num w:numId="25">
    <w:abstractNumId w:val="17"/>
  </w:num>
  <w:num w:numId="26">
    <w:abstractNumId w:val="25"/>
  </w:num>
  <w:num w:numId="27">
    <w:abstractNumId w:val="28"/>
  </w:num>
  <w:num w:numId="28">
    <w:abstractNumId w:val="44"/>
  </w:num>
  <w:num w:numId="29">
    <w:abstractNumId w:val="15"/>
  </w:num>
  <w:num w:numId="30">
    <w:abstractNumId w:val="29"/>
  </w:num>
  <w:num w:numId="31">
    <w:abstractNumId w:val="37"/>
  </w:num>
  <w:num w:numId="32">
    <w:abstractNumId w:val="7"/>
  </w:num>
  <w:num w:numId="33">
    <w:abstractNumId w:val="22"/>
  </w:num>
  <w:num w:numId="34">
    <w:abstractNumId w:val="27"/>
  </w:num>
  <w:num w:numId="35">
    <w:abstractNumId w:val="46"/>
  </w:num>
  <w:num w:numId="36">
    <w:abstractNumId w:val="36"/>
  </w:num>
  <w:num w:numId="37">
    <w:abstractNumId w:val="34"/>
  </w:num>
  <w:num w:numId="38">
    <w:abstractNumId w:val="21"/>
  </w:num>
  <w:num w:numId="39">
    <w:abstractNumId w:val="39"/>
  </w:num>
  <w:num w:numId="40">
    <w:abstractNumId w:val="9"/>
  </w:num>
  <w:num w:numId="41">
    <w:abstractNumId w:val="14"/>
  </w:num>
  <w:num w:numId="42">
    <w:abstractNumId w:val="18"/>
  </w:num>
  <w:num w:numId="43">
    <w:abstractNumId w:val="2"/>
  </w:num>
  <w:num w:numId="44">
    <w:abstractNumId w:val="32"/>
  </w:num>
  <w:num w:numId="45">
    <w:abstractNumId w:val="47"/>
  </w:num>
  <w:num w:numId="46">
    <w:abstractNumId w:val="4"/>
  </w:num>
  <w:num w:numId="47">
    <w:abstractNumId w:val="26"/>
  </w:num>
  <w:num w:numId="48">
    <w:abstractNumId w:val="41"/>
  </w:num>
  <w:num w:numId="4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131078" w:nlCheck="1" w:checkStyle="0"/>
  <w:activeWritingStyle w:appName="MSWord" w:lang="en-US"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1CCF"/>
    <w:rsid w:val="000B6E52"/>
    <w:rsid w:val="00895700"/>
    <w:rsid w:val="00997340"/>
    <w:rsid w:val="00BC11C2"/>
    <w:rsid w:val="00C33051"/>
    <w:rsid w:val="00C63F47"/>
    <w:rsid w:val="00D71CCF"/>
    <w:rsid w:val="00F627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C55E9CE"/>
  <w15:chartTrackingRefBased/>
  <w15:docId w15:val="{7EBF287E-ABF7-4D49-8A64-22D8D0BAB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iPriority="0" w:unhideWhenUsed="1"/>
    <w:lsdException w:name="toa heading" w:semiHidden="1" w:unhideWhenUsed="1"/>
    <w:lsdException w:name="List" w:semiHidden="1" w:uiPriority="0" w:unhideWhenUsed="1"/>
    <w:lsdException w:name="List Bullet" w:semiHidden="1" w:uiPriority="0" w:unhideWhenUsed="1"/>
    <w:lsdException w:name="List Number" w:semiHidden="1" w:uiPriority="0" w:unhideWhenUsed="1"/>
    <w:lsdException w:name="List 2" w:semiHidden="1" w:uiPriority="0" w:unhideWhenUsed="1"/>
    <w:lsdException w:name="List 3" w:semiHidden="1" w:uiPriority="0" w:unhideWhenUsed="1"/>
    <w:lsdException w:name="List 4" w:semiHidden="1" w:unhideWhenUsed="1"/>
    <w:lsdException w:name="List 5" w:semiHidden="1" w:unhideWhenUsed="1"/>
    <w:lsdException w:name="List Bullet 2" w:semiHidden="1" w:uiPriority="0" w:unhideWhenUsed="1"/>
    <w:lsdException w:name="List Bullet 3" w:semiHidden="1" w:uiPriority="0" w:unhideWhenUsed="1"/>
    <w:lsdException w:name="List Bullet 4" w:semiHidden="1" w:unhideWhenUsed="1"/>
    <w:lsdException w:name="List Bullet 5" w:semiHidden="1" w:unhideWhenUsed="1"/>
    <w:lsdException w:name="List Number 2" w:semiHidden="1" w:uiPriority="0" w:unhideWhenUsed="1"/>
    <w:lsdException w:name="List Number 3" w:semiHidden="1" w:uiPriority="0"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iPriority="0" w:unhideWhenUsed="1"/>
    <w:lsdException w:name="List Continue 2" w:semiHidden="1" w:uiPriority="0" w:unhideWhenUsed="1"/>
    <w:lsdException w:name="List Continue 3" w:semiHidden="1" w:uiPriority="0"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0" w:qFormat="1"/>
    <w:lsdException w:name="Intense Quote"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0" w:qFormat="1"/>
    <w:lsdException w:name="Intense Emphasis" w:uiPriority="0" w:qFormat="1"/>
    <w:lsdException w:name="Subtle Reference" w:uiPriority="0" w:qFormat="1"/>
    <w:lsdException w:name="Intense Reference" w:uiPriority="0" w:qFormat="1"/>
    <w:lsdException w:name="Book Title" w:uiPriority="0"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1CCF"/>
    <w:pPr>
      <w:suppressAutoHyphens/>
      <w:autoSpaceDN w:val="0"/>
      <w:spacing w:after="120" w:line="360" w:lineRule="auto"/>
      <w:jc w:val="both"/>
    </w:pPr>
    <w:rPr>
      <w:rFonts w:ascii="Times New Roman" w:eastAsia="Times New Roman" w:hAnsi="Times New Roman" w:cs="Times New Roman"/>
      <w:sz w:val="24"/>
    </w:rPr>
  </w:style>
  <w:style w:type="paragraph" w:styleId="Heading1">
    <w:name w:val="heading 1"/>
    <w:basedOn w:val="Normal"/>
    <w:next w:val="Normal"/>
    <w:link w:val="Heading1Char"/>
    <w:uiPriority w:val="99"/>
    <w:qFormat/>
    <w:rsid w:val="00D71CCF"/>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link w:val="Heading2Char"/>
    <w:uiPriority w:val="9"/>
    <w:unhideWhenUsed/>
    <w:qFormat/>
    <w:rsid w:val="00D71CCF"/>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link w:val="Heading3Char"/>
    <w:uiPriority w:val="9"/>
    <w:unhideWhenUsed/>
    <w:qFormat/>
    <w:rsid w:val="00D71CCF"/>
    <w:pPr>
      <w:keepNext/>
      <w:keepLines/>
      <w:spacing w:before="160" w:after="80"/>
      <w:outlineLvl w:val="2"/>
    </w:pPr>
    <w:rPr>
      <w:color w:val="0F4761"/>
      <w:sz w:val="28"/>
      <w:szCs w:val="28"/>
    </w:rPr>
  </w:style>
  <w:style w:type="paragraph" w:styleId="Heading4">
    <w:name w:val="heading 4"/>
    <w:basedOn w:val="Normal"/>
    <w:next w:val="Normal"/>
    <w:link w:val="Heading4Char"/>
    <w:uiPriority w:val="99"/>
    <w:unhideWhenUsed/>
    <w:qFormat/>
    <w:rsid w:val="00D71CCF"/>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rsid w:val="00D71CCF"/>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rsid w:val="00D71CCF"/>
    <w:pPr>
      <w:keepNext/>
      <w:keepLines/>
      <w:spacing w:before="40" w:after="0"/>
      <w:outlineLvl w:val="5"/>
    </w:pPr>
    <w:rPr>
      <w:i/>
      <w:iCs/>
      <w:color w:val="595959"/>
    </w:rPr>
  </w:style>
  <w:style w:type="paragraph" w:styleId="Heading7">
    <w:name w:val="heading 7"/>
    <w:basedOn w:val="Normal"/>
    <w:next w:val="Normal"/>
    <w:link w:val="Heading7Char"/>
    <w:rsid w:val="00D71CCF"/>
    <w:pPr>
      <w:keepNext/>
      <w:keepLines/>
      <w:spacing w:before="40" w:after="0"/>
      <w:outlineLvl w:val="6"/>
    </w:pPr>
    <w:rPr>
      <w:color w:val="595959"/>
    </w:rPr>
  </w:style>
  <w:style w:type="paragraph" w:styleId="Heading8">
    <w:name w:val="heading 8"/>
    <w:basedOn w:val="Normal"/>
    <w:next w:val="Normal"/>
    <w:link w:val="Heading8Char"/>
    <w:rsid w:val="00D71CCF"/>
    <w:pPr>
      <w:keepNext/>
      <w:keepLines/>
      <w:spacing w:after="0"/>
      <w:outlineLvl w:val="7"/>
    </w:pPr>
    <w:rPr>
      <w:i/>
      <w:iCs/>
      <w:color w:val="272727"/>
    </w:rPr>
  </w:style>
  <w:style w:type="paragraph" w:styleId="Heading9">
    <w:name w:val="heading 9"/>
    <w:basedOn w:val="Normal"/>
    <w:next w:val="Normal"/>
    <w:link w:val="Heading9Char"/>
    <w:rsid w:val="00D71CCF"/>
    <w:pPr>
      <w:keepNext/>
      <w:keepLines/>
      <w:spacing w:after="0"/>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71CCF"/>
    <w:rPr>
      <w:rFonts w:ascii="Aptos Display" w:eastAsia="Times New Roman" w:hAnsi="Aptos Display" w:cs="Times New Roman"/>
      <w:color w:val="0F4761"/>
      <w:sz w:val="40"/>
      <w:szCs w:val="40"/>
    </w:rPr>
  </w:style>
  <w:style w:type="character" w:customStyle="1" w:styleId="Heading2Char">
    <w:name w:val="Heading 2 Char"/>
    <w:basedOn w:val="DefaultParagraphFont"/>
    <w:link w:val="Heading2"/>
    <w:uiPriority w:val="9"/>
    <w:rsid w:val="00D71CCF"/>
    <w:rPr>
      <w:rFonts w:ascii="Aptos Display" w:eastAsia="Times New Roman" w:hAnsi="Aptos Display" w:cs="Times New Roman"/>
      <w:color w:val="0F4761"/>
      <w:sz w:val="32"/>
      <w:szCs w:val="32"/>
    </w:rPr>
  </w:style>
  <w:style w:type="character" w:customStyle="1" w:styleId="Heading3Char">
    <w:name w:val="Heading 3 Char"/>
    <w:basedOn w:val="DefaultParagraphFont"/>
    <w:link w:val="Heading3"/>
    <w:uiPriority w:val="9"/>
    <w:rsid w:val="00D71CCF"/>
    <w:rPr>
      <w:rFonts w:ascii="Times New Roman" w:eastAsia="Times New Roman" w:hAnsi="Times New Roman" w:cs="Times New Roman"/>
      <w:color w:val="0F4761"/>
      <w:sz w:val="28"/>
      <w:szCs w:val="28"/>
    </w:rPr>
  </w:style>
  <w:style w:type="character" w:customStyle="1" w:styleId="Heading4Char">
    <w:name w:val="Heading 4 Char"/>
    <w:basedOn w:val="DefaultParagraphFont"/>
    <w:link w:val="Heading4"/>
    <w:uiPriority w:val="99"/>
    <w:rsid w:val="00D71CCF"/>
    <w:rPr>
      <w:rFonts w:ascii="Times New Roman" w:eastAsia="Times New Roman" w:hAnsi="Times New Roman" w:cs="Times New Roman"/>
      <w:i/>
      <w:iCs/>
      <w:color w:val="0F4761"/>
      <w:sz w:val="24"/>
    </w:rPr>
  </w:style>
  <w:style w:type="character" w:customStyle="1" w:styleId="Heading5Char">
    <w:name w:val="Heading 5 Char"/>
    <w:basedOn w:val="DefaultParagraphFont"/>
    <w:link w:val="Heading5"/>
    <w:uiPriority w:val="9"/>
    <w:semiHidden/>
    <w:rsid w:val="00D71CCF"/>
    <w:rPr>
      <w:rFonts w:ascii="Times New Roman" w:eastAsia="Times New Roman" w:hAnsi="Times New Roman" w:cs="Times New Roman"/>
      <w:color w:val="0F4761"/>
      <w:sz w:val="24"/>
    </w:rPr>
  </w:style>
  <w:style w:type="character" w:customStyle="1" w:styleId="Heading6Char">
    <w:name w:val="Heading 6 Char"/>
    <w:basedOn w:val="DefaultParagraphFont"/>
    <w:link w:val="Heading6"/>
    <w:uiPriority w:val="9"/>
    <w:semiHidden/>
    <w:rsid w:val="00D71CCF"/>
    <w:rPr>
      <w:rFonts w:ascii="Times New Roman" w:eastAsia="Times New Roman" w:hAnsi="Times New Roman" w:cs="Times New Roman"/>
      <w:i/>
      <w:iCs/>
      <w:color w:val="595959"/>
      <w:sz w:val="24"/>
    </w:rPr>
  </w:style>
  <w:style w:type="character" w:customStyle="1" w:styleId="Heading7Char">
    <w:name w:val="Heading 7 Char"/>
    <w:basedOn w:val="DefaultParagraphFont"/>
    <w:link w:val="Heading7"/>
    <w:rsid w:val="00D71CCF"/>
    <w:rPr>
      <w:rFonts w:ascii="Times New Roman" w:eastAsia="Times New Roman" w:hAnsi="Times New Roman" w:cs="Times New Roman"/>
      <w:color w:val="595959"/>
      <w:sz w:val="24"/>
    </w:rPr>
  </w:style>
  <w:style w:type="character" w:customStyle="1" w:styleId="Heading8Char">
    <w:name w:val="Heading 8 Char"/>
    <w:basedOn w:val="DefaultParagraphFont"/>
    <w:link w:val="Heading8"/>
    <w:rsid w:val="00D71CCF"/>
    <w:rPr>
      <w:rFonts w:ascii="Times New Roman" w:eastAsia="Times New Roman" w:hAnsi="Times New Roman" w:cs="Times New Roman"/>
      <w:i/>
      <w:iCs/>
      <w:color w:val="272727"/>
      <w:sz w:val="24"/>
    </w:rPr>
  </w:style>
  <w:style w:type="character" w:customStyle="1" w:styleId="Heading9Char">
    <w:name w:val="Heading 9 Char"/>
    <w:basedOn w:val="DefaultParagraphFont"/>
    <w:link w:val="Heading9"/>
    <w:rsid w:val="00D71CCF"/>
    <w:rPr>
      <w:rFonts w:ascii="Times New Roman" w:eastAsia="Times New Roman" w:hAnsi="Times New Roman" w:cs="Times New Roman"/>
      <w:color w:val="272727"/>
      <w:sz w:val="24"/>
    </w:rPr>
  </w:style>
  <w:style w:type="paragraph" w:styleId="Title">
    <w:name w:val="Title"/>
    <w:basedOn w:val="Normal"/>
    <w:next w:val="Normal"/>
    <w:link w:val="TitleChar"/>
    <w:uiPriority w:val="10"/>
    <w:qFormat/>
    <w:rsid w:val="00D71CCF"/>
    <w:pPr>
      <w:spacing w:after="80" w:line="240" w:lineRule="auto"/>
      <w:contextualSpacing/>
    </w:pPr>
    <w:rPr>
      <w:rFonts w:ascii="Aptos Display" w:hAnsi="Aptos Display"/>
      <w:spacing w:val="-10"/>
      <w:kern w:val="3"/>
      <w:sz w:val="56"/>
      <w:szCs w:val="56"/>
    </w:rPr>
  </w:style>
  <w:style w:type="character" w:customStyle="1" w:styleId="TitleChar">
    <w:name w:val="Title Char"/>
    <w:basedOn w:val="DefaultParagraphFont"/>
    <w:link w:val="Title"/>
    <w:uiPriority w:val="10"/>
    <w:rsid w:val="00D71CCF"/>
    <w:rPr>
      <w:rFonts w:ascii="Aptos Display" w:eastAsia="Times New Roman" w:hAnsi="Aptos Display" w:cs="Times New Roman"/>
      <w:spacing w:val="-10"/>
      <w:kern w:val="3"/>
      <w:sz w:val="56"/>
      <w:szCs w:val="56"/>
    </w:rPr>
  </w:style>
  <w:style w:type="paragraph" w:styleId="Subtitle">
    <w:name w:val="Subtitle"/>
    <w:basedOn w:val="Normal"/>
    <w:next w:val="Normal"/>
    <w:link w:val="SubtitleChar"/>
    <w:uiPriority w:val="11"/>
    <w:qFormat/>
    <w:rsid w:val="00D71CCF"/>
    <w:rPr>
      <w:color w:val="595959"/>
      <w:spacing w:val="15"/>
      <w:sz w:val="28"/>
      <w:szCs w:val="28"/>
    </w:rPr>
  </w:style>
  <w:style w:type="character" w:customStyle="1" w:styleId="SubtitleChar">
    <w:name w:val="Subtitle Char"/>
    <w:basedOn w:val="DefaultParagraphFont"/>
    <w:link w:val="Subtitle"/>
    <w:uiPriority w:val="11"/>
    <w:rsid w:val="00D71CCF"/>
    <w:rPr>
      <w:rFonts w:ascii="Times New Roman" w:eastAsia="Times New Roman" w:hAnsi="Times New Roman" w:cs="Times New Roman"/>
      <w:color w:val="595959"/>
      <w:spacing w:val="15"/>
      <w:sz w:val="28"/>
      <w:szCs w:val="28"/>
    </w:rPr>
  </w:style>
  <w:style w:type="paragraph" w:styleId="Quote">
    <w:name w:val="Quote"/>
    <w:basedOn w:val="Normal"/>
    <w:next w:val="Normal"/>
    <w:link w:val="QuoteChar"/>
    <w:rsid w:val="00D71CCF"/>
    <w:pPr>
      <w:spacing w:before="160"/>
      <w:jc w:val="center"/>
    </w:pPr>
    <w:rPr>
      <w:i/>
      <w:iCs/>
      <w:color w:val="404040"/>
    </w:rPr>
  </w:style>
  <w:style w:type="character" w:customStyle="1" w:styleId="QuoteChar">
    <w:name w:val="Quote Char"/>
    <w:basedOn w:val="DefaultParagraphFont"/>
    <w:link w:val="Quote"/>
    <w:rsid w:val="00D71CCF"/>
    <w:rPr>
      <w:rFonts w:ascii="Times New Roman" w:eastAsia="Times New Roman" w:hAnsi="Times New Roman" w:cs="Times New Roman"/>
      <w:i/>
      <w:iCs/>
      <w:color w:val="404040"/>
      <w:sz w:val="24"/>
    </w:rPr>
  </w:style>
  <w:style w:type="paragraph" w:styleId="ListParagraph">
    <w:name w:val="List Paragraph"/>
    <w:basedOn w:val="Normal"/>
    <w:uiPriority w:val="34"/>
    <w:qFormat/>
    <w:rsid w:val="00D71CCF"/>
    <w:pPr>
      <w:ind w:left="720"/>
      <w:contextualSpacing/>
    </w:pPr>
  </w:style>
  <w:style w:type="character" w:styleId="IntenseEmphasis">
    <w:name w:val="Intense Emphasis"/>
    <w:basedOn w:val="DefaultParagraphFont"/>
    <w:rsid w:val="00D71CCF"/>
    <w:rPr>
      <w:i/>
      <w:iCs/>
      <w:color w:val="0F4761"/>
    </w:rPr>
  </w:style>
  <w:style w:type="paragraph" w:styleId="IntenseQuote">
    <w:name w:val="Intense Quote"/>
    <w:basedOn w:val="Normal"/>
    <w:next w:val="Normal"/>
    <w:link w:val="IntenseQuoteChar"/>
    <w:rsid w:val="00D71CCF"/>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link w:val="IntenseQuote"/>
    <w:rsid w:val="00D71CCF"/>
    <w:rPr>
      <w:rFonts w:ascii="Times New Roman" w:eastAsia="Times New Roman" w:hAnsi="Times New Roman" w:cs="Times New Roman"/>
      <w:i/>
      <w:iCs/>
      <w:color w:val="0F4761"/>
      <w:sz w:val="24"/>
    </w:rPr>
  </w:style>
  <w:style w:type="character" w:styleId="IntenseReference">
    <w:name w:val="Intense Reference"/>
    <w:basedOn w:val="DefaultParagraphFont"/>
    <w:rsid w:val="00D71CCF"/>
    <w:rPr>
      <w:b/>
      <w:bCs/>
      <w:smallCaps/>
      <w:color w:val="0F4761"/>
      <w:spacing w:val="5"/>
    </w:rPr>
  </w:style>
  <w:style w:type="paragraph" w:styleId="Header">
    <w:name w:val="header"/>
    <w:basedOn w:val="Normal"/>
    <w:link w:val="HeaderChar"/>
    <w:uiPriority w:val="99"/>
    <w:rsid w:val="00D71C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1CCF"/>
    <w:rPr>
      <w:rFonts w:ascii="Times New Roman" w:eastAsia="Times New Roman" w:hAnsi="Times New Roman" w:cs="Times New Roman"/>
      <w:sz w:val="24"/>
    </w:rPr>
  </w:style>
  <w:style w:type="paragraph" w:styleId="Footer">
    <w:name w:val="footer"/>
    <w:basedOn w:val="Normal"/>
    <w:link w:val="FooterChar"/>
    <w:uiPriority w:val="99"/>
    <w:rsid w:val="00D71C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1CCF"/>
    <w:rPr>
      <w:rFonts w:ascii="Times New Roman" w:eastAsia="Times New Roman" w:hAnsi="Times New Roman" w:cs="Times New Roman"/>
      <w:sz w:val="24"/>
    </w:rPr>
  </w:style>
  <w:style w:type="paragraph" w:styleId="NoSpacing">
    <w:name w:val="No Spacing"/>
    <w:rsid w:val="00D71CCF"/>
    <w:pPr>
      <w:suppressAutoHyphens/>
      <w:autoSpaceDN w:val="0"/>
      <w:spacing w:after="0" w:line="240" w:lineRule="auto"/>
    </w:pPr>
    <w:rPr>
      <w:rFonts w:ascii="Aptos" w:eastAsia="Times New Roman" w:hAnsi="Aptos" w:cs="Times New Roman"/>
    </w:rPr>
  </w:style>
  <w:style w:type="paragraph" w:styleId="BodyText">
    <w:name w:val="Body Text"/>
    <w:basedOn w:val="Normal"/>
    <w:link w:val="BodyTextChar"/>
    <w:rsid w:val="00D71CCF"/>
  </w:style>
  <w:style w:type="character" w:customStyle="1" w:styleId="BodyTextChar">
    <w:name w:val="Body Text Char"/>
    <w:basedOn w:val="DefaultParagraphFont"/>
    <w:link w:val="BodyText"/>
    <w:rsid w:val="00D71CCF"/>
    <w:rPr>
      <w:rFonts w:ascii="Times New Roman" w:eastAsia="Times New Roman" w:hAnsi="Times New Roman" w:cs="Times New Roman"/>
      <w:sz w:val="24"/>
    </w:rPr>
  </w:style>
  <w:style w:type="paragraph" w:styleId="BodyText2">
    <w:name w:val="Body Text 2"/>
    <w:basedOn w:val="Normal"/>
    <w:link w:val="BodyText2Char"/>
    <w:uiPriority w:val="99"/>
    <w:rsid w:val="00D71CCF"/>
    <w:pPr>
      <w:spacing w:line="480" w:lineRule="auto"/>
    </w:pPr>
  </w:style>
  <w:style w:type="character" w:customStyle="1" w:styleId="BodyText2Char">
    <w:name w:val="Body Text 2 Char"/>
    <w:basedOn w:val="DefaultParagraphFont"/>
    <w:link w:val="BodyText2"/>
    <w:uiPriority w:val="99"/>
    <w:rsid w:val="00D71CCF"/>
    <w:rPr>
      <w:rFonts w:ascii="Times New Roman" w:eastAsia="Times New Roman" w:hAnsi="Times New Roman" w:cs="Times New Roman"/>
      <w:sz w:val="24"/>
    </w:rPr>
  </w:style>
  <w:style w:type="paragraph" w:styleId="BodyText3">
    <w:name w:val="Body Text 3"/>
    <w:basedOn w:val="Normal"/>
    <w:link w:val="BodyText3Char"/>
    <w:rsid w:val="00D71CCF"/>
    <w:rPr>
      <w:sz w:val="16"/>
      <w:szCs w:val="16"/>
    </w:rPr>
  </w:style>
  <w:style w:type="character" w:customStyle="1" w:styleId="BodyText3Char">
    <w:name w:val="Body Text 3 Char"/>
    <w:basedOn w:val="DefaultParagraphFont"/>
    <w:link w:val="BodyText3"/>
    <w:rsid w:val="00D71CCF"/>
    <w:rPr>
      <w:rFonts w:ascii="Times New Roman" w:eastAsia="Times New Roman" w:hAnsi="Times New Roman" w:cs="Times New Roman"/>
      <w:sz w:val="16"/>
      <w:szCs w:val="16"/>
    </w:rPr>
  </w:style>
  <w:style w:type="paragraph" w:styleId="List">
    <w:name w:val="List"/>
    <w:basedOn w:val="Normal"/>
    <w:rsid w:val="00D71CCF"/>
    <w:pPr>
      <w:ind w:left="360" w:hanging="360"/>
      <w:contextualSpacing/>
    </w:pPr>
  </w:style>
  <w:style w:type="paragraph" w:styleId="List2">
    <w:name w:val="List 2"/>
    <w:basedOn w:val="Normal"/>
    <w:rsid w:val="00D71CCF"/>
    <w:pPr>
      <w:ind w:left="720" w:hanging="360"/>
      <w:contextualSpacing/>
    </w:pPr>
  </w:style>
  <w:style w:type="paragraph" w:styleId="List3">
    <w:name w:val="List 3"/>
    <w:basedOn w:val="Normal"/>
    <w:rsid w:val="00D71CCF"/>
    <w:pPr>
      <w:ind w:left="1080" w:hanging="360"/>
      <w:contextualSpacing/>
    </w:pPr>
  </w:style>
  <w:style w:type="paragraph" w:styleId="ListBullet">
    <w:name w:val="List Bullet"/>
    <w:basedOn w:val="Normal"/>
    <w:rsid w:val="00D71CCF"/>
    <w:pPr>
      <w:numPr>
        <w:numId w:val="1"/>
      </w:numPr>
      <w:contextualSpacing/>
    </w:pPr>
  </w:style>
  <w:style w:type="paragraph" w:styleId="ListBullet2">
    <w:name w:val="List Bullet 2"/>
    <w:basedOn w:val="Normal"/>
    <w:rsid w:val="00D71CCF"/>
    <w:pPr>
      <w:numPr>
        <w:numId w:val="2"/>
      </w:numPr>
      <w:contextualSpacing/>
    </w:pPr>
  </w:style>
  <w:style w:type="paragraph" w:styleId="ListBullet3">
    <w:name w:val="List Bullet 3"/>
    <w:basedOn w:val="Normal"/>
    <w:rsid w:val="00D71CCF"/>
    <w:pPr>
      <w:numPr>
        <w:numId w:val="3"/>
      </w:numPr>
      <w:contextualSpacing/>
    </w:pPr>
  </w:style>
  <w:style w:type="paragraph" w:styleId="ListNumber">
    <w:name w:val="List Number"/>
    <w:basedOn w:val="Normal"/>
    <w:rsid w:val="00D71CCF"/>
    <w:pPr>
      <w:numPr>
        <w:numId w:val="4"/>
      </w:numPr>
      <w:contextualSpacing/>
    </w:pPr>
  </w:style>
  <w:style w:type="paragraph" w:styleId="ListNumber2">
    <w:name w:val="List Number 2"/>
    <w:basedOn w:val="Normal"/>
    <w:rsid w:val="00D71CCF"/>
    <w:pPr>
      <w:numPr>
        <w:numId w:val="5"/>
      </w:numPr>
      <w:contextualSpacing/>
    </w:pPr>
  </w:style>
  <w:style w:type="paragraph" w:styleId="ListNumber3">
    <w:name w:val="List Number 3"/>
    <w:basedOn w:val="Normal"/>
    <w:rsid w:val="00D71CCF"/>
    <w:pPr>
      <w:numPr>
        <w:numId w:val="6"/>
      </w:numPr>
      <w:contextualSpacing/>
    </w:pPr>
  </w:style>
  <w:style w:type="paragraph" w:styleId="ListContinue">
    <w:name w:val="List Continue"/>
    <w:basedOn w:val="Normal"/>
    <w:rsid w:val="00D71CCF"/>
    <w:pPr>
      <w:ind w:left="360"/>
      <w:contextualSpacing/>
    </w:pPr>
  </w:style>
  <w:style w:type="paragraph" w:styleId="ListContinue2">
    <w:name w:val="List Continue 2"/>
    <w:basedOn w:val="Normal"/>
    <w:rsid w:val="00D71CCF"/>
    <w:pPr>
      <w:ind w:left="720"/>
      <w:contextualSpacing/>
    </w:pPr>
  </w:style>
  <w:style w:type="paragraph" w:styleId="ListContinue3">
    <w:name w:val="List Continue 3"/>
    <w:basedOn w:val="Normal"/>
    <w:rsid w:val="00D71CCF"/>
    <w:pPr>
      <w:ind w:left="1080"/>
      <w:contextualSpacing/>
    </w:pPr>
  </w:style>
  <w:style w:type="paragraph" w:styleId="MacroText">
    <w:name w:val="macro"/>
    <w:link w:val="MacroTextChar"/>
    <w:rsid w:val="00D71CCF"/>
    <w:pPr>
      <w:tabs>
        <w:tab w:val="left" w:pos="576"/>
        <w:tab w:val="left" w:pos="1152"/>
        <w:tab w:val="left" w:pos="1728"/>
        <w:tab w:val="left" w:pos="2304"/>
        <w:tab w:val="left" w:pos="2880"/>
        <w:tab w:val="left" w:pos="3456"/>
        <w:tab w:val="left" w:pos="4032"/>
      </w:tabs>
      <w:suppressAutoHyphens/>
      <w:autoSpaceDN w:val="0"/>
      <w:spacing w:after="200" w:line="276" w:lineRule="auto"/>
    </w:pPr>
    <w:rPr>
      <w:rFonts w:ascii="Courier" w:eastAsia="Times New Roman" w:hAnsi="Courier" w:cs="Times New Roman"/>
      <w:sz w:val="20"/>
      <w:szCs w:val="20"/>
    </w:rPr>
  </w:style>
  <w:style w:type="character" w:customStyle="1" w:styleId="MacroTextChar">
    <w:name w:val="Macro Text Char"/>
    <w:basedOn w:val="DefaultParagraphFont"/>
    <w:link w:val="MacroText"/>
    <w:rsid w:val="00D71CCF"/>
    <w:rPr>
      <w:rFonts w:ascii="Courier" w:eastAsia="Times New Roman" w:hAnsi="Courier" w:cs="Times New Roman"/>
      <w:sz w:val="20"/>
      <w:szCs w:val="20"/>
    </w:rPr>
  </w:style>
  <w:style w:type="paragraph" w:styleId="Caption">
    <w:name w:val="caption"/>
    <w:basedOn w:val="Normal"/>
    <w:next w:val="Normal"/>
    <w:rsid w:val="00D71CCF"/>
    <w:pPr>
      <w:spacing w:line="240" w:lineRule="auto"/>
    </w:pPr>
    <w:rPr>
      <w:b/>
      <w:bCs/>
      <w:color w:val="156082"/>
      <w:sz w:val="18"/>
      <w:szCs w:val="18"/>
    </w:rPr>
  </w:style>
  <w:style w:type="character" w:styleId="Strong">
    <w:name w:val="Strong"/>
    <w:basedOn w:val="DefaultParagraphFont"/>
    <w:uiPriority w:val="22"/>
    <w:qFormat/>
    <w:rsid w:val="00D71CCF"/>
    <w:rPr>
      <w:b/>
      <w:bCs/>
    </w:rPr>
  </w:style>
  <w:style w:type="character" w:styleId="Emphasis">
    <w:name w:val="Emphasis"/>
    <w:basedOn w:val="DefaultParagraphFont"/>
    <w:rsid w:val="00D71CCF"/>
    <w:rPr>
      <w:i/>
      <w:iCs/>
    </w:rPr>
  </w:style>
  <w:style w:type="character" w:styleId="SubtleEmphasis">
    <w:name w:val="Subtle Emphasis"/>
    <w:basedOn w:val="DefaultParagraphFont"/>
    <w:rsid w:val="00D71CCF"/>
    <w:rPr>
      <w:i/>
      <w:iCs/>
      <w:color w:val="808080"/>
    </w:rPr>
  </w:style>
  <w:style w:type="character" w:styleId="SubtleReference">
    <w:name w:val="Subtle Reference"/>
    <w:basedOn w:val="DefaultParagraphFont"/>
    <w:rsid w:val="00D71CCF"/>
    <w:rPr>
      <w:smallCaps/>
      <w:color w:val="E97132"/>
      <w:u w:val="single"/>
    </w:rPr>
  </w:style>
  <w:style w:type="character" w:styleId="BookTitle">
    <w:name w:val="Book Title"/>
    <w:basedOn w:val="DefaultParagraphFont"/>
    <w:rsid w:val="00D71CCF"/>
    <w:rPr>
      <w:b/>
      <w:bCs/>
      <w:smallCaps/>
      <w:spacing w:val="5"/>
    </w:rPr>
  </w:style>
  <w:style w:type="paragraph" w:styleId="TOCHeading">
    <w:name w:val="TOC Heading"/>
    <w:basedOn w:val="Heading1"/>
    <w:next w:val="Normal"/>
    <w:uiPriority w:val="39"/>
    <w:qFormat/>
    <w:rsid w:val="00D71CCF"/>
    <w:pPr>
      <w:spacing w:before="0" w:after="240"/>
      <w:jc w:val="center"/>
    </w:pPr>
    <w:rPr>
      <w:rFonts w:ascii="Times New Roman" w:hAnsi="Times New Roman"/>
      <w:b/>
      <w:bCs/>
      <w:color w:val="000000"/>
      <w:sz w:val="32"/>
      <w:szCs w:val="28"/>
    </w:rPr>
  </w:style>
  <w:style w:type="paragraph" w:customStyle="1" w:styleId="References">
    <w:name w:val="References"/>
    <w:rsid w:val="00D71CCF"/>
    <w:pPr>
      <w:suppressAutoHyphens/>
      <w:autoSpaceDN w:val="0"/>
      <w:spacing w:after="80" w:line="240" w:lineRule="auto"/>
      <w:ind w:left="720" w:hanging="720"/>
    </w:pPr>
    <w:rPr>
      <w:rFonts w:ascii="Times New Roman" w:eastAsia="Times New Roman" w:hAnsi="Times New Roman" w:cs="Times New Roman"/>
      <w:sz w:val="24"/>
    </w:rPr>
  </w:style>
  <w:style w:type="paragraph" w:styleId="TOC1">
    <w:name w:val="toc 1"/>
    <w:basedOn w:val="Normal"/>
    <w:next w:val="Normal"/>
    <w:autoRedefine/>
    <w:uiPriority w:val="39"/>
    <w:rsid w:val="00D71CCF"/>
    <w:pPr>
      <w:tabs>
        <w:tab w:val="right" w:leader="dot" w:pos="9016"/>
      </w:tabs>
      <w:spacing w:after="100"/>
    </w:pPr>
    <w:rPr>
      <w:b/>
      <w:bCs/>
    </w:rPr>
  </w:style>
  <w:style w:type="character" w:styleId="Hyperlink">
    <w:name w:val="Hyperlink"/>
    <w:uiPriority w:val="99"/>
    <w:rsid w:val="00D71CCF"/>
    <w:rPr>
      <w:color w:val="0563C1"/>
      <w:u w:val="single"/>
    </w:rPr>
  </w:style>
  <w:style w:type="paragraph" w:styleId="TOC2">
    <w:name w:val="toc 2"/>
    <w:basedOn w:val="Normal"/>
    <w:next w:val="Normal"/>
    <w:autoRedefine/>
    <w:uiPriority w:val="39"/>
    <w:rsid w:val="00D71CCF"/>
    <w:pPr>
      <w:spacing w:after="100" w:line="240" w:lineRule="auto"/>
      <w:ind w:left="240"/>
      <w:jc w:val="left"/>
    </w:pPr>
    <w:rPr>
      <w:szCs w:val="24"/>
      <w:lang w:val="en-GB" w:eastAsia="zh-TW"/>
    </w:rPr>
  </w:style>
  <w:style w:type="paragraph" w:styleId="TOC3">
    <w:name w:val="toc 3"/>
    <w:basedOn w:val="Normal"/>
    <w:next w:val="Normal"/>
    <w:autoRedefine/>
    <w:uiPriority w:val="39"/>
    <w:rsid w:val="00D71CCF"/>
    <w:pPr>
      <w:spacing w:after="100"/>
      <w:ind w:left="480"/>
    </w:pPr>
  </w:style>
  <w:style w:type="paragraph" w:customStyle="1" w:styleId="FigureCaption">
    <w:name w:val="Figure Caption"/>
    <w:rsid w:val="00D71CCF"/>
    <w:pPr>
      <w:keepNext/>
      <w:suppressAutoHyphens/>
      <w:autoSpaceDN w:val="0"/>
      <w:spacing w:before="80" w:after="40" w:line="276" w:lineRule="auto"/>
      <w:jc w:val="center"/>
    </w:pPr>
    <w:rPr>
      <w:rFonts w:ascii="Times New Roman" w:eastAsia="Times New Roman" w:hAnsi="Times New Roman" w:cs="Times New Roman"/>
      <w:b/>
    </w:rPr>
  </w:style>
  <w:style w:type="paragraph" w:customStyle="1" w:styleId="FigureSource">
    <w:name w:val="Figure Source"/>
    <w:rsid w:val="00D71CCF"/>
    <w:pPr>
      <w:suppressAutoHyphens/>
      <w:autoSpaceDN w:val="0"/>
      <w:spacing w:line="276" w:lineRule="auto"/>
      <w:jc w:val="center"/>
    </w:pPr>
    <w:rPr>
      <w:rFonts w:ascii="Times New Roman" w:eastAsia="Times New Roman" w:hAnsi="Times New Roman" w:cs="Times New Roman"/>
      <w:i/>
      <w:sz w:val="20"/>
    </w:rPr>
  </w:style>
  <w:style w:type="paragraph" w:customStyle="1" w:styleId="AppendixText">
    <w:name w:val="Appendix Text"/>
    <w:rsid w:val="00D71CCF"/>
    <w:pPr>
      <w:suppressAutoHyphens/>
      <w:autoSpaceDN w:val="0"/>
      <w:spacing w:after="80" w:line="240" w:lineRule="auto"/>
    </w:pPr>
    <w:rPr>
      <w:rFonts w:ascii="Times New Roman" w:eastAsia="Times New Roman" w:hAnsi="Times New Roman" w:cs="Times New Roman"/>
    </w:rPr>
  </w:style>
  <w:style w:type="character" w:customStyle="1" w:styleId="UnresolvedMention">
    <w:name w:val="Unresolved Mention"/>
    <w:basedOn w:val="DefaultParagraphFont"/>
    <w:rsid w:val="00D71CCF"/>
    <w:rPr>
      <w:color w:val="605E5C"/>
      <w:shd w:val="clear" w:color="auto" w:fill="E1DFDD"/>
    </w:rPr>
  </w:style>
  <w:style w:type="character" w:customStyle="1" w:styleId="apple-style-span">
    <w:name w:val="apple-style-span"/>
    <w:rsid w:val="00D71CCF"/>
  </w:style>
  <w:style w:type="character" w:customStyle="1" w:styleId="nw1">
    <w:name w:val="nw1"/>
    <w:rsid w:val="00D71CCF"/>
  </w:style>
  <w:style w:type="paragraph" w:styleId="NormalWeb">
    <w:name w:val="Normal (Web)"/>
    <w:basedOn w:val="Normal"/>
    <w:uiPriority w:val="99"/>
    <w:rsid w:val="00D71CCF"/>
    <w:rPr>
      <w:szCs w:val="24"/>
    </w:rPr>
  </w:style>
  <w:style w:type="paragraph" w:styleId="TOC4">
    <w:name w:val="toc 4"/>
    <w:basedOn w:val="Normal"/>
    <w:next w:val="Normal"/>
    <w:autoRedefine/>
    <w:rsid w:val="00D71CCF"/>
    <w:pPr>
      <w:spacing w:after="100" w:line="240" w:lineRule="auto"/>
      <w:ind w:left="720"/>
      <w:jc w:val="left"/>
    </w:pPr>
    <w:rPr>
      <w:rFonts w:ascii="Aptos" w:hAnsi="Aptos"/>
      <w:kern w:val="3"/>
      <w:szCs w:val="24"/>
      <w:lang w:eastAsia="zh-TW"/>
    </w:rPr>
  </w:style>
  <w:style w:type="paragraph" w:styleId="TOC5">
    <w:name w:val="toc 5"/>
    <w:basedOn w:val="Normal"/>
    <w:next w:val="Normal"/>
    <w:autoRedefine/>
    <w:rsid w:val="00D71CCF"/>
    <w:pPr>
      <w:spacing w:after="100" w:line="240" w:lineRule="auto"/>
      <w:ind w:left="960"/>
      <w:jc w:val="left"/>
    </w:pPr>
    <w:rPr>
      <w:rFonts w:ascii="Aptos" w:hAnsi="Aptos"/>
      <w:kern w:val="3"/>
      <w:szCs w:val="24"/>
      <w:lang w:eastAsia="zh-TW"/>
    </w:rPr>
  </w:style>
  <w:style w:type="paragraph" w:styleId="TOC6">
    <w:name w:val="toc 6"/>
    <w:basedOn w:val="Normal"/>
    <w:next w:val="Normal"/>
    <w:autoRedefine/>
    <w:rsid w:val="00D71CCF"/>
    <w:pPr>
      <w:spacing w:after="100" w:line="240" w:lineRule="auto"/>
      <w:ind w:left="1200"/>
      <w:jc w:val="left"/>
    </w:pPr>
    <w:rPr>
      <w:rFonts w:ascii="Aptos" w:hAnsi="Aptos"/>
      <w:kern w:val="3"/>
      <w:szCs w:val="24"/>
      <w:lang w:eastAsia="zh-TW"/>
    </w:rPr>
  </w:style>
  <w:style w:type="paragraph" w:styleId="TOC7">
    <w:name w:val="toc 7"/>
    <w:basedOn w:val="Normal"/>
    <w:next w:val="Normal"/>
    <w:autoRedefine/>
    <w:rsid w:val="00D71CCF"/>
    <w:pPr>
      <w:spacing w:after="100" w:line="240" w:lineRule="auto"/>
      <w:ind w:left="1440"/>
      <w:jc w:val="left"/>
    </w:pPr>
    <w:rPr>
      <w:rFonts w:ascii="Aptos" w:hAnsi="Aptos"/>
      <w:kern w:val="3"/>
      <w:szCs w:val="24"/>
      <w:lang w:eastAsia="zh-TW"/>
    </w:rPr>
  </w:style>
  <w:style w:type="paragraph" w:styleId="TOC8">
    <w:name w:val="toc 8"/>
    <w:basedOn w:val="Normal"/>
    <w:next w:val="Normal"/>
    <w:autoRedefine/>
    <w:rsid w:val="00D71CCF"/>
    <w:pPr>
      <w:spacing w:after="100" w:line="240" w:lineRule="auto"/>
      <w:ind w:left="1680"/>
      <w:jc w:val="left"/>
    </w:pPr>
    <w:rPr>
      <w:rFonts w:ascii="Aptos" w:hAnsi="Aptos"/>
      <w:kern w:val="3"/>
      <w:szCs w:val="24"/>
      <w:lang w:eastAsia="zh-TW"/>
    </w:rPr>
  </w:style>
  <w:style w:type="paragraph" w:styleId="TOC9">
    <w:name w:val="toc 9"/>
    <w:basedOn w:val="Normal"/>
    <w:next w:val="Normal"/>
    <w:autoRedefine/>
    <w:rsid w:val="00D71CCF"/>
    <w:pPr>
      <w:spacing w:after="100" w:line="240" w:lineRule="auto"/>
      <w:ind w:left="1920"/>
      <w:jc w:val="left"/>
    </w:pPr>
    <w:rPr>
      <w:rFonts w:ascii="Aptos" w:hAnsi="Aptos"/>
      <w:kern w:val="3"/>
      <w:szCs w:val="24"/>
      <w:lang w:eastAsia="zh-TW"/>
    </w:rPr>
  </w:style>
  <w:style w:type="numbering" w:customStyle="1" w:styleId="LFO1">
    <w:name w:val="LFO1"/>
    <w:basedOn w:val="NoList"/>
    <w:rsid w:val="00D71CCF"/>
    <w:pPr>
      <w:numPr>
        <w:numId w:val="1"/>
      </w:numPr>
    </w:pPr>
  </w:style>
  <w:style w:type="numbering" w:customStyle="1" w:styleId="LFO2">
    <w:name w:val="LFO2"/>
    <w:basedOn w:val="NoList"/>
    <w:rsid w:val="00D71CCF"/>
    <w:pPr>
      <w:numPr>
        <w:numId w:val="2"/>
      </w:numPr>
    </w:pPr>
  </w:style>
  <w:style w:type="numbering" w:customStyle="1" w:styleId="LFO3">
    <w:name w:val="LFO3"/>
    <w:basedOn w:val="NoList"/>
    <w:rsid w:val="00D71CCF"/>
    <w:pPr>
      <w:numPr>
        <w:numId w:val="3"/>
      </w:numPr>
    </w:pPr>
  </w:style>
  <w:style w:type="numbering" w:customStyle="1" w:styleId="LFO5">
    <w:name w:val="LFO5"/>
    <w:basedOn w:val="NoList"/>
    <w:rsid w:val="00D71CCF"/>
    <w:pPr>
      <w:numPr>
        <w:numId w:val="4"/>
      </w:numPr>
    </w:pPr>
  </w:style>
  <w:style w:type="numbering" w:customStyle="1" w:styleId="LFO6">
    <w:name w:val="LFO6"/>
    <w:basedOn w:val="NoList"/>
    <w:rsid w:val="00D71CCF"/>
    <w:pPr>
      <w:numPr>
        <w:numId w:val="5"/>
      </w:numPr>
    </w:pPr>
  </w:style>
  <w:style w:type="numbering" w:customStyle="1" w:styleId="LFO7">
    <w:name w:val="LFO7"/>
    <w:basedOn w:val="NoList"/>
    <w:rsid w:val="00D71CCF"/>
    <w:pPr>
      <w:numPr>
        <w:numId w:val="6"/>
      </w:numPr>
    </w:pPr>
  </w:style>
  <w:style w:type="character" w:styleId="CommentReference">
    <w:name w:val="annotation reference"/>
    <w:basedOn w:val="DefaultParagraphFont"/>
    <w:uiPriority w:val="99"/>
    <w:semiHidden/>
    <w:unhideWhenUsed/>
    <w:rsid w:val="00D71CCF"/>
    <w:rPr>
      <w:sz w:val="16"/>
      <w:szCs w:val="16"/>
    </w:rPr>
  </w:style>
  <w:style w:type="paragraph" w:styleId="CommentText">
    <w:name w:val="annotation text"/>
    <w:basedOn w:val="Normal"/>
    <w:link w:val="CommentTextChar"/>
    <w:uiPriority w:val="99"/>
    <w:unhideWhenUsed/>
    <w:rsid w:val="00D71CCF"/>
    <w:pPr>
      <w:spacing w:line="240" w:lineRule="auto"/>
    </w:pPr>
    <w:rPr>
      <w:sz w:val="20"/>
      <w:szCs w:val="20"/>
    </w:rPr>
  </w:style>
  <w:style w:type="character" w:customStyle="1" w:styleId="CommentTextChar">
    <w:name w:val="Comment Text Char"/>
    <w:basedOn w:val="DefaultParagraphFont"/>
    <w:link w:val="CommentText"/>
    <w:uiPriority w:val="99"/>
    <w:rsid w:val="00D71CC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D71CCF"/>
    <w:rPr>
      <w:b/>
      <w:bCs/>
    </w:rPr>
  </w:style>
  <w:style w:type="character" w:customStyle="1" w:styleId="CommentSubjectChar">
    <w:name w:val="Comment Subject Char"/>
    <w:basedOn w:val="CommentTextChar"/>
    <w:link w:val="CommentSubject"/>
    <w:uiPriority w:val="99"/>
    <w:semiHidden/>
    <w:rsid w:val="00D71CCF"/>
    <w:rPr>
      <w:rFonts w:ascii="Times New Roman" w:eastAsia="Times New Roman" w:hAnsi="Times New Roman" w:cs="Times New Roman"/>
      <w:b/>
      <w:bCs/>
      <w:sz w:val="20"/>
      <w:szCs w:val="20"/>
    </w:rPr>
  </w:style>
  <w:style w:type="paragraph" w:styleId="Revision">
    <w:name w:val="Revision"/>
    <w:hidden/>
    <w:uiPriority w:val="99"/>
    <w:semiHidden/>
    <w:rsid w:val="00D71CCF"/>
    <w:pPr>
      <w:spacing w:after="0" w:line="240" w:lineRule="auto"/>
    </w:pPr>
    <w:rPr>
      <w:rFonts w:ascii="Times New Roman" w:eastAsia="Times New Roman" w:hAnsi="Times New Roman" w:cs="Times New Roman"/>
      <w:sz w:val="24"/>
    </w:rPr>
  </w:style>
  <w:style w:type="paragraph" w:customStyle="1" w:styleId="deannah1">
    <w:name w:val="deannah1"/>
    <w:basedOn w:val="Normal"/>
    <w:uiPriority w:val="99"/>
    <w:rsid w:val="00D71CCF"/>
    <w:pPr>
      <w:keepNext/>
      <w:suppressAutoHyphens w:val="0"/>
      <w:autoSpaceDN/>
      <w:spacing w:after="240" w:line="240" w:lineRule="auto"/>
      <w:jc w:val="left"/>
    </w:pPr>
    <w:rPr>
      <w:b/>
      <w:bCs/>
      <w:szCs w:val="24"/>
      <w:lang w:val="en-GB"/>
    </w:rPr>
  </w:style>
  <w:style w:type="paragraph" w:styleId="BalloonText">
    <w:name w:val="Balloon Text"/>
    <w:basedOn w:val="Normal"/>
    <w:link w:val="BalloonTextChar"/>
    <w:uiPriority w:val="99"/>
    <w:semiHidden/>
    <w:rsid w:val="00D71CCF"/>
    <w:pPr>
      <w:suppressAutoHyphens w:val="0"/>
      <w:autoSpaceDN/>
      <w:spacing w:after="0" w:line="240" w:lineRule="auto"/>
      <w:jc w:val="left"/>
    </w:pPr>
    <w:rPr>
      <w:rFonts w:ascii="Tahoma" w:hAnsi="Tahoma" w:cs="Tahoma"/>
      <w:sz w:val="16"/>
      <w:szCs w:val="16"/>
      <w:lang w:val="en-GB"/>
    </w:rPr>
  </w:style>
  <w:style w:type="character" w:customStyle="1" w:styleId="BalloonTextChar">
    <w:name w:val="Balloon Text Char"/>
    <w:basedOn w:val="DefaultParagraphFont"/>
    <w:link w:val="BalloonText"/>
    <w:uiPriority w:val="99"/>
    <w:semiHidden/>
    <w:rsid w:val="00D71CCF"/>
    <w:rPr>
      <w:rFonts w:ascii="Tahoma" w:eastAsia="Times New Roman" w:hAnsi="Tahoma" w:cs="Tahoma"/>
      <w:sz w:val="16"/>
      <w:szCs w:val="16"/>
      <w:lang w:val="en-GB"/>
    </w:rPr>
  </w:style>
  <w:style w:type="table" w:styleId="TableGrid">
    <w:name w:val="Table Grid"/>
    <w:basedOn w:val="TableNormal"/>
    <w:uiPriority w:val="39"/>
    <w:rsid w:val="00D71CCF"/>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71CCF"/>
    <w:rPr>
      <w:color w:val="800080"/>
      <w:u w:val="single"/>
    </w:rPr>
  </w:style>
  <w:style w:type="character" w:customStyle="1" w:styleId="Hyperlink1">
    <w:name w:val="Hyperlink1"/>
    <w:uiPriority w:val="99"/>
    <w:rsid w:val="00D71CCF"/>
    <w:rPr>
      <w:color w:val="535353"/>
      <w:u w:val="single"/>
      <w:effect w:val="none"/>
    </w:rPr>
  </w:style>
  <w:style w:type="paragraph" w:customStyle="1" w:styleId="NormalWeb1">
    <w:name w:val="Normal (Web)1"/>
    <w:basedOn w:val="Normal"/>
    <w:uiPriority w:val="99"/>
    <w:rsid w:val="00D71CCF"/>
    <w:pPr>
      <w:suppressAutoHyphens w:val="0"/>
      <w:autoSpaceDN/>
      <w:spacing w:before="100" w:beforeAutospacing="1" w:after="300" w:line="240" w:lineRule="auto"/>
      <w:jc w:val="left"/>
    </w:pPr>
    <w:rPr>
      <w:szCs w:val="24"/>
      <w:lang w:val="en-GB" w:eastAsia="en-GB"/>
    </w:rPr>
  </w:style>
  <w:style w:type="character" w:styleId="PageNumber">
    <w:name w:val="page number"/>
    <w:basedOn w:val="DefaultParagraphFont"/>
    <w:uiPriority w:val="99"/>
    <w:rsid w:val="00D71CCF"/>
  </w:style>
  <w:style w:type="paragraph" w:customStyle="1" w:styleId="pdq2pgselectionanchorcontainer">
    <w:name w:val="pdq2pg_selectionanchorcontainer"/>
    <w:basedOn w:val="Normal"/>
    <w:rsid w:val="00D71CCF"/>
    <w:pPr>
      <w:suppressAutoHyphens w:val="0"/>
      <w:autoSpaceDN/>
      <w:spacing w:before="100" w:beforeAutospacing="1" w:after="100" w:afterAutospacing="1" w:line="240" w:lineRule="auto"/>
      <w:jc w:val="left"/>
    </w:pPr>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8.png"/><Relationship Id="rId63" Type="http://schemas.openxmlformats.org/officeDocument/2006/relationships/image" Target="media/image52.emf"/><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emf"/><Relationship Id="rId58" Type="http://schemas.openxmlformats.org/officeDocument/2006/relationships/image" Target="media/image50.emf"/><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docs.google.com/forms/d/e/1FAIpQLSefJ1rVoCEdIQLH8JEcoa3vnEdYMHC3szTUmZj_s7sfZQQBSQ/viewform?usp=dialog" TargetMode="External"/><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49.jpeg"/><Relationship Id="rId64" Type="http://schemas.openxmlformats.org/officeDocument/2006/relationships/package" Target="embeddings/Microsoft_Excel_Worksheet.xlsx"/><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oleObject" Target="embeddings/oleObject1.bin"/><Relationship Id="rId67" Type="http://schemas.openxmlformats.org/officeDocument/2006/relationships/theme" Target="theme/theme1.xm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package" Target="embeddings/Microsoft_Word_Document.docx"/><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hyperlink" Target="https://www.uwtsd.ac.uk/media/uwtsd-website/content-assets/documents/strategies-policies/RDM-Policy-2022-v3-28-04-22.pdf"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1.png"/><Relationship Id="rId65"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101</Pages>
  <Words>24429</Words>
  <Characters>139251</Characters>
  <Application>Microsoft Office Word</Application>
  <DocSecurity>0</DocSecurity>
  <Lines>1160</Lines>
  <Paragraphs>326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moinul Hasan</dc:creator>
  <cp:keywords/>
  <dc:description/>
  <cp:lastModifiedBy>Md moinul Hasan</cp:lastModifiedBy>
  <cp:revision>4</cp:revision>
  <dcterms:created xsi:type="dcterms:W3CDTF">2026-09-24T14:31:00Z</dcterms:created>
  <dcterms:modified xsi:type="dcterms:W3CDTF">2026-09-24T14:49:00Z</dcterms:modified>
</cp:coreProperties>
</file>