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A3817" w:rsidRPr="00397EA4" w:rsidRDefault="0085590B" w:rsidP="00D944CA">
      <w:pPr>
        <w:pStyle w:val="Heading1"/>
        <w:bidi/>
        <w:rPr>
          <w:shd w:val="clear" w:color="auto" w:fill="FFFFFF"/>
        </w:rPr>
      </w:pPr>
      <w:r>
        <w:rPr>
          <w:shd w:val="clear" w:color="auto" w:fill="FFFFFF"/>
        </w:rPr>
        <w:t>Studen</w:t>
      </w:r>
      <w:r w:rsidR="00B53B84">
        <w:rPr>
          <w:shd w:val="clear" w:color="auto" w:fill="FFFFFF"/>
        </w:rPr>
        <w:t>t</w:t>
      </w:r>
      <w:r w:rsidR="00463B05">
        <w:rPr>
          <w:shd w:val="clear" w:color="auto" w:fill="FFFFFF"/>
        </w:rPr>
        <w:t xml:space="preserve"> </w:t>
      </w:r>
      <w:r>
        <w:rPr>
          <w:shd w:val="clear" w:color="auto" w:fill="FFFFFF"/>
        </w:rPr>
        <w:t>name</w:t>
      </w:r>
      <w:r w:rsidR="00644CB9">
        <w:rPr>
          <w:shd w:val="clear" w:color="auto" w:fill="FFFFFF"/>
        </w:rPr>
        <w:t>:</w:t>
      </w:r>
      <w:r w:rsidR="00D944CA">
        <w:rPr>
          <w:shd w:val="clear" w:color="auto" w:fill="FFFFFF"/>
        </w:rPr>
        <w:t xml:space="preserve">  </w:t>
      </w:r>
      <w:r w:rsidR="00372A06">
        <w:rPr>
          <w:shd w:val="clear" w:color="auto" w:fill="FFFFFF"/>
        </w:rPr>
        <w:t xml:space="preserve"> </w:t>
      </w:r>
      <w:proofErr w:type="spellStart"/>
      <w:r w:rsidR="00110468">
        <w:rPr>
          <w:shd w:val="clear" w:color="auto" w:fill="FFFFFF"/>
        </w:rPr>
        <w:t>Dimtar</w:t>
      </w:r>
      <w:proofErr w:type="spellEnd"/>
      <w:r w:rsidR="00A0474B">
        <w:rPr>
          <w:shd w:val="clear" w:color="auto" w:fill="FFFFFF"/>
        </w:rPr>
        <w:t xml:space="preserve"> </w:t>
      </w:r>
      <w:r w:rsidR="00AC531B">
        <w:rPr>
          <w:shd w:val="clear" w:color="auto" w:fill="FFFFFF"/>
        </w:rPr>
        <w:t>Slavov</w:t>
      </w:r>
      <w:r w:rsidR="001C0D0D">
        <w:rPr>
          <w:shd w:val="clear" w:color="auto" w:fill="FFFFFF"/>
        </w:rPr>
        <w:t xml:space="preserve">  </w:t>
      </w:r>
      <w:r w:rsidR="00397EA4">
        <w:rPr>
          <w:shd w:val="clear" w:color="auto" w:fill="FFFFFF"/>
        </w:rPr>
        <w:t xml:space="preserve">       </w:t>
      </w:r>
      <w:r w:rsidR="00921D2A">
        <w:rPr>
          <w:shd w:val="clear" w:color="auto" w:fill="FFFFFF"/>
        </w:rPr>
        <w:t>Lecturer</w:t>
      </w:r>
      <w:r w:rsidR="00463B05">
        <w:rPr>
          <w:shd w:val="clear" w:color="auto" w:fill="FFFFFF"/>
        </w:rPr>
        <w:t xml:space="preserve">  </w:t>
      </w:r>
      <w:r w:rsidR="00921D2A">
        <w:rPr>
          <w:shd w:val="clear" w:color="auto" w:fill="FFFFFF"/>
        </w:rPr>
        <w:t xml:space="preserve"> name:</w:t>
      </w:r>
      <w:r w:rsidR="000F5FB2">
        <w:rPr>
          <w:shd w:val="clear" w:color="auto" w:fill="FFFFFF"/>
        </w:rPr>
        <w:t>Dr</w:t>
      </w:r>
      <w:r w:rsidR="00AE16FA">
        <w:rPr>
          <w:shd w:val="clear" w:color="auto" w:fill="FFFFFF"/>
        </w:rPr>
        <w:t>.</w:t>
      </w:r>
      <w:r w:rsidR="003557F3">
        <w:rPr>
          <w:shd w:val="clear" w:color="auto" w:fill="FFFFFF"/>
        </w:rPr>
        <w:t xml:space="preserve"> </w:t>
      </w:r>
      <w:r w:rsidR="006A6DF6">
        <w:rPr>
          <w:shd w:val="clear" w:color="auto" w:fill="FFFFFF"/>
        </w:rPr>
        <w:t xml:space="preserve"> </w:t>
      </w:r>
      <w:proofErr w:type="spellStart"/>
      <w:r w:rsidR="006A6DF6">
        <w:rPr>
          <w:shd w:val="clear" w:color="auto" w:fill="FFFFFF"/>
        </w:rPr>
        <w:t>Hossein</w:t>
      </w:r>
      <w:proofErr w:type="spellEnd"/>
      <w:r w:rsidR="00A0474B">
        <w:rPr>
          <w:shd w:val="clear" w:color="auto" w:fill="FFFFFF"/>
        </w:rPr>
        <w:t xml:space="preserve"> </w:t>
      </w:r>
      <w:proofErr w:type="spellStart"/>
      <w:r w:rsidR="00CC715D">
        <w:rPr>
          <w:shd w:val="clear" w:color="auto" w:fill="FFFFFF"/>
        </w:rPr>
        <w:t>Shokri</w:t>
      </w:r>
      <w:proofErr w:type="spellEnd"/>
      <w:r w:rsidR="00463B05">
        <w:rPr>
          <w:shd w:val="clear" w:color="auto" w:fill="FFFFFF"/>
        </w:rPr>
        <w:t xml:space="preserve">  </w:t>
      </w:r>
      <w:r w:rsidR="00644CB9">
        <w:rPr>
          <w:shd w:val="clear" w:color="auto" w:fill="FFFFFF"/>
        </w:rPr>
        <w:t xml:space="preserve"> </w:t>
      </w:r>
    </w:p>
    <w:p w:rsidR="002E28B9" w:rsidRPr="00D72609" w:rsidRDefault="00EA3817" w:rsidP="00EA3817">
      <w:pPr>
        <w:jc w:val="center"/>
        <w:rPr>
          <w:rFonts w:cs="Times New Roman"/>
          <w:b/>
          <w:color w:val="000000"/>
          <w:sz w:val="72"/>
          <w:szCs w:val="72"/>
          <w:shd w:val="clear" w:color="auto" w:fill="FFFFFF"/>
        </w:rPr>
      </w:pPr>
      <w:r w:rsidRPr="00D72609">
        <w:rPr>
          <w:rFonts w:cs="Times New Roman"/>
          <w:b/>
          <w:color w:val="000000"/>
          <w:sz w:val="72"/>
          <w:szCs w:val="72"/>
          <w:shd w:val="clear" w:color="auto" w:fill="FFFFFF"/>
        </w:rPr>
        <w:t>Strategic Management &amp; Sustainabil</w:t>
      </w:r>
      <w:r w:rsidR="005F7CC1">
        <w:rPr>
          <w:rFonts w:cs="Times New Roman"/>
          <w:b/>
          <w:color w:val="000000"/>
          <w:sz w:val="72"/>
          <w:szCs w:val="72"/>
          <w:shd w:val="clear" w:color="auto" w:fill="FFFFFF"/>
        </w:rPr>
        <w:t>ity</w:t>
      </w:r>
    </w:p>
    <w:p w:rsidR="00EA3817" w:rsidRDefault="00EA3817" w:rsidP="00EA3817">
      <w:pPr>
        <w:jc w:val="center"/>
        <w:rPr>
          <w:rFonts w:cs="Times New Roman"/>
          <w:color w:val="000000"/>
          <w:sz w:val="72"/>
          <w:szCs w:val="72"/>
          <w:shd w:val="clear" w:color="auto" w:fill="FFFFFF"/>
        </w:rPr>
      </w:pPr>
    </w:p>
    <w:p w:rsidR="00EA3817" w:rsidRPr="00B273E8" w:rsidRDefault="00EA3817" w:rsidP="00B273E8">
      <w:pPr>
        <w:spacing w:line="276" w:lineRule="auto"/>
        <w:ind w:left="720"/>
        <w:jc w:val="left"/>
        <w:rPr>
          <w:rFonts w:cs="Times New Roman"/>
          <w:color w:val="000000"/>
          <w:sz w:val="72"/>
          <w:szCs w:val="72"/>
          <w:shd w:val="clear" w:color="auto" w:fill="FFFFFF"/>
        </w:rPr>
      </w:pPr>
      <w:r w:rsidRPr="00B273E8">
        <w:rPr>
          <w:rFonts w:cs="Times New Roman"/>
          <w:color w:val="000000"/>
          <w:sz w:val="72"/>
          <w:szCs w:val="72"/>
          <w:shd w:val="clear" w:color="auto" w:fill="FFFFFF"/>
        </w:rPr>
        <w:br w:type="page"/>
      </w:r>
    </w:p>
    <w:sdt>
      <w:sdtPr>
        <w:rPr>
          <w:rFonts w:ascii="Times New Roman" w:eastAsiaTheme="minorHAnsi" w:hAnsi="Times New Roman" w:cstheme="minorBidi"/>
          <w:b w:val="0"/>
          <w:bCs w:val="0"/>
          <w:color w:val="auto"/>
          <w:sz w:val="24"/>
          <w:szCs w:val="22"/>
          <w:lang w:val="en-GB"/>
        </w:rPr>
        <w:id w:val="-136193318"/>
        <w:docPartObj>
          <w:docPartGallery w:val="Table of Contents"/>
          <w:docPartUnique/>
        </w:docPartObj>
      </w:sdtPr>
      <w:sdtEndPr>
        <w:rPr>
          <w:noProof/>
        </w:rPr>
      </w:sdtEndPr>
      <w:sdtContent>
        <w:p w:rsidR="00D72609" w:rsidRPr="00D72609" w:rsidRDefault="00D72609" w:rsidP="00D72609">
          <w:pPr>
            <w:pStyle w:val="TOCHeading"/>
            <w:jc w:val="center"/>
            <w:rPr>
              <w:rFonts w:ascii="Times New Roman" w:hAnsi="Times New Roman" w:cs="Times New Roman"/>
              <w:color w:val="auto"/>
            </w:rPr>
          </w:pPr>
          <w:r w:rsidRPr="00D72609">
            <w:rPr>
              <w:rFonts w:ascii="Times New Roman" w:hAnsi="Times New Roman" w:cs="Times New Roman"/>
              <w:color w:val="auto"/>
            </w:rPr>
            <w:t>Table of Contents</w:t>
          </w:r>
        </w:p>
        <w:p w:rsidR="00D72609" w:rsidRDefault="00D72609">
          <w:pPr>
            <w:pStyle w:val="TOC1"/>
            <w:tabs>
              <w:tab w:val="right" w:leader="dot" w:pos="9350"/>
            </w:tabs>
            <w:rPr>
              <w:rFonts w:asciiTheme="minorHAnsi" w:eastAsiaTheme="minorEastAsia" w:hAnsiTheme="minorHAnsi"/>
              <w:noProof/>
              <w:sz w:val="22"/>
              <w:lang w:val="en-IN" w:eastAsia="en-IN"/>
            </w:rPr>
          </w:pPr>
          <w:r>
            <w:rPr>
              <w:b/>
              <w:bCs/>
              <w:noProof/>
            </w:rPr>
            <w:fldChar w:fldCharType="begin"/>
          </w:r>
          <w:r>
            <w:rPr>
              <w:b/>
              <w:bCs/>
              <w:noProof/>
            </w:rPr>
            <w:instrText xml:space="preserve"> TOC \o "1-3" \h \z \u </w:instrText>
          </w:r>
          <w:r>
            <w:rPr>
              <w:b/>
              <w:bCs/>
              <w:noProof/>
            </w:rPr>
            <w:fldChar w:fldCharType="separate"/>
          </w:r>
          <w:hyperlink w:anchor="_Toc151396694" w:history="1">
            <w:r w:rsidRPr="00A90228">
              <w:rPr>
                <w:rStyle w:val="Hyperlink"/>
                <w:noProof/>
              </w:rPr>
              <w:t>INTRODUCTION</w:t>
            </w:r>
            <w:r>
              <w:rPr>
                <w:noProof/>
                <w:webHidden/>
              </w:rPr>
              <w:tab/>
            </w:r>
            <w:r>
              <w:rPr>
                <w:noProof/>
                <w:webHidden/>
              </w:rPr>
              <w:fldChar w:fldCharType="begin"/>
            </w:r>
            <w:r>
              <w:rPr>
                <w:noProof/>
                <w:webHidden/>
              </w:rPr>
              <w:instrText xml:space="preserve"> PAGEREF _Toc151396694 \h </w:instrText>
            </w:r>
            <w:r>
              <w:rPr>
                <w:noProof/>
                <w:webHidden/>
              </w:rPr>
            </w:r>
            <w:r>
              <w:rPr>
                <w:noProof/>
                <w:webHidden/>
              </w:rPr>
              <w:fldChar w:fldCharType="separate"/>
            </w:r>
            <w:r>
              <w:rPr>
                <w:noProof/>
                <w:webHidden/>
              </w:rPr>
              <w:t>3</w:t>
            </w:r>
            <w:r>
              <w:rPr>
                <w:noProof/>
                <w:webHidden/>
              </w:rPr>
              <w:fldChar w:fldCharType="end"/>
            </w:r>
          </w:hyperlink>
        </w:p>
        <w:p w:rsidR="00D72609" w:rsidRDefault="00E24F21">
          <w:pPr>
            <w:pStyle w:val="TOC1"/>
            <w:tabs>
              <w:tab w:val="right" w:leader="dot" w:pos="9350"/>
            </w:tabs>
            <w:rPr>
              <w:rFonts w:asciiTheme="minorHAnsi" w:eastAsiaTheme="minorEastAsia" w:hAnsiTheme="minorHAnsi"/>
              <w:noProof/>
              <w:sz w:val="22"/>
              <w:lang w:val="en-IN" w:eastAsia="en-IN"/>
            </w:rPr>
          </w:pPr>
          <w:hyperlink w:anchor="_Toc151396695" w:history="1">
            <w:r w:rsidR="00D72609" w:rsidRPr="00A90228">
              <w:rPr>
                <w:rStyle w:val="Hyperlink"/>
                <w:noProof/>
              </w:rPr>
              <w:t>MAIN BODY</w:t>
            </w:r>
            <w:r w:rsidR="00D72609">
              <w:rPr>
                <w:noProof/>
                <w:webHidden/>
              </w:rPr>
              <w:tab/>
            </w:r>
            <w:r w:rsidR="00D72609">
              <w:rPr>
                <w:noProof/>
                <w:webHidden/>
              </w:rPr>
              <w:fldChar w:fldCharType="begin"/>
            </w:r>
            <w:r w:rsidR="00D72609">
              <w:rPr>
                <w:noProof/>
                <w:webHidden/>
              </w:rPr>
              <w:instrText xml:space="preserve"> PAGEREF _Toc151396695 \h </w:instrText>
            </w:r>
            <w:r w:rsidR="00D72609">
              <w:rPr>
                <w:noProof/>
                <w:webHidden/>
              </w:rPr>
            </w:r>
            <w:r w:rsidR="00D72609">
              <w:rPr>
                <w:noProof/>
                <w:webHidden/>
              </w:rPr>
              <w:fldChar w:fldCharType="separate"/>
            </w:r>
            <w:r w:rsidR="00D72609">
              <w:rPr>
                <w:noProof/>
                <w:webHidden/>
              </w:rPr>
              <w:t>3</w:t>
            </w:r>
            <w:r w:rsidR="00D72609">
              <w:rPr>
                <w:noProof/>
                <w:webHidden/>
              </w:rPr>
              <w:fldChar w:fldCharType="end"/>
            </w:r>
          </w:hyperlink>
        </w:p>
        <w:p w:rsidR="00D72609" w:rsidRDefault="00E24F21">
          <w:pPr>
            <w:pStyle w:val="TOC2"/>
            <w:tabs>
              <w:tab w:val="right" w:leader="dot" w:pos="9350"/>
            </w:tabs>
            <w:rPr>
              <w:rFonts w:asciiTheme="minorHAnsi" w:eastAsiaTheme="minorEastAsia" w:hAnsiTheme="minorHAnsi"/>
              <w:noProof/>
              <w:sz w:val="22"/>
              <w:lang w:val="en-IN" w:eastAsia="en-IN"/>
            </w:rPr>
          </w:pPr>
          <w:hyperlink w:anchor="_Toc151396696" w:history="1">
            <w:r w:rsidR="00D72609" w:rsidRPr="00A90228">
              <w:rPr>
                <w:rStyle w:val="Hyperlink"/>
                <w:noProof/>
              </w:rPr>
              <w:t>Organisational Overview</w:t>
            </w:r>
            <w:r w:rsidR="00D72609">
              <w:rPr>
                <w:noProof/>
                <w:webHidden/>
              </w:rPr>
              <w:tab/>
            </w:r>
            <w:r w:rsidR="00D72609">
              <w:rPr>
                <w:noProof/>
                <w:webHidden/>
              </w:rPr>
              <w:fldChar w:fldCharType="begin"/>
            </w:r>
            <w:r w:rsidR="00D72609">
              <w:rPr>
                <w:noProof/>
                <w:webHidden/>
              </w:rPr>
              <w:instrText xml:space="preserve"> PAGEREF _Toc151396696 \h </w:instrText>
            </w:r>
            <w:r w:rsidR="00D72609">
              <w:rPr>
                <w:noProof/>
                <w:webHidden/>
              </w:rPr>
            </w:r>
            <w:r w:rsidR="00D72609">
              <w:rPr>
                <w:noProof/>
                <w:webHidden/>
              </w:rPr>
              <w:fldChar w:fldCharType="separate"/>
            </w:r>
            <w:r w:rsidR="00D72609">
              <w:rPr>
                <w:noProof/>
                <w:webHidden/>
              </w:rPr>
              <w:t>3</w:t>
            </w:r>
            <w:r w:rsidR="00D72609">
              <w:rPr>
                <w:noProof/>
                <w:webHidden/>
              </w:rPr>
              <w:fldChar w:fldCharType="end"/>
            </w:r>
          </w:hyperlink>
        </w:p>
        <w:p w:rsidR="00D72609" w:rsidRDefault="00E24F21">
          <w:pPr>
            <w:pStyle w:val="TOC2"/>
            <w:tabs>
              <w:tab w:val="right" w:leader="dot" w:pos="9350"/>
            </w:tabs>
            <w:rPr>
              <w:rFonts w:asciiTheme="minorHAnsi" w:eastAsiaTheme="minorEastAsia" w:hAnsiTheme="minorHAnsi"/>
              <w:noProof/>
              <w:sz w:val="22"/>
              <w:lang w:val="en-IN" w:eastAsia="en-IN"/>
            </w:rPr>
          </w:pPr>
          <w:hyperlink w:anchor="_Toc151396697" w:history="1">
            <w:r w:rsidR="00D72609" w:rsidRPr="00A90228">
              <w:rPr>
                <w:rStyle w:val="Hyperlink"/>
                <w:noProof/>
                <w:lang w:val="en-IN" w:eastAsia="en-IN"/>
              </w:rPr>
              <w:t>Porter generic strategies of Sainsbury</w:t>
            </w:r>
            <w:r w:rsidR="00D72609">
              <w:rPr>
                <w:noProof/>
                <w:webHidden/>
              </w:rPr>
              <w:tab/>
            </w:r>
            <w:r w:rsidR="00D72609">
              <w:rPr>
                <w:noProof/>
                <w:webHidden/>
              </w:rPr>
              <w:fldChar w:fldCharType="begin"/>
            </w:r>
            <w:r w:rsidR="00D72609">
              <w:rPr>
                <w:noProof/>
                <w:webHidden/>
              </w:rPr>
              <w:instrText xml:space="preserve"> PAGEREF _Toc151396697 \h </w:instrText>
            </w:r>
            <w:r w:rsidR="00D72609">
              <w:rPr>
                <w:noProof/>
                <w:webHidden/>
              </w:rPr>
            </w:r>
            <w:r w:rsidR="00D72609">
              <w:rPr>
                <w:noProof/>
                <w:webHidden/>
              </w:rPr>
              <w:fldChar w:fldCharType="separate"/>
            </w:r>
            <w:r w:rsidR="00D72609">
              <w:rPr>
                <w:noProof/>
                <w:webHidden/>
              </w:rPr>
              <w:t>3</w:t>
            </w:r>
            <w:r w:rsidR="00D72609">
              <w:rPr>
                <w:noProof/>
                <w:webHidden/>
              </w:rPr>
              <w:fldChar w:fldCharType="end"/>
            </w:r>
          </w:hyperlink>
        </w:p>
        <w:p w:rsidR="00D72609" w:rsidRDefault="00E24F21">
          <w:pPr>
            <w:pStyle w:val="TOC2"/>
            <w:tabs>
              <w:tab w:val="right" w:leader="dot" w:pos="9350"/>
            </w:tabs>
            <w:rPr>
              <w:rFonts w:asciiTheme="minorHAnsi" w:eastAsiaTheme="minorEastAsia" w:hAnsiTheme="minorHAnsi"/>
              <w:noProof/>
              <w:sz w:val="22"/>
              <w:lang w:val="en-IN" w:eastAsia="en-IN"/>
            </w:rPr>
          </w:pPr>
          <w:hyperlink w:anchor="_Toc151396698" w:history="1">
            <w:r w:rsidR="00D72609" w:rsidRPr="00A90228">
              <w:rPr>
                <w:rStyle w:val="Hyperlink"/>
                <w:noProof/>
                <w:lang w:val="en-IN" w:eastAsia="en-IN"/>
              </w:rPr>
              <w:t>Ansoff matrix for Sainsbury organisation</w:t>
            </w:r>
            <w:r w:rsidR="00D72609">
              <w:rPr>
                <w:noProof/>
                <w:webHidden/>
              </w:rPr>
              <w:tab/>
            </w:r>
            <w:r w:rsidR="00D72609">
              <w:rPr>
                <w:noProof/>
                <w:webHidden/>
              </w:rPr>
              <w:fldChar w:fldCharType="begin"/>
            </w:r>
            <w:r w:rsidR="00D72609">
              <w:rPr>
                <w:noProof/>
                <w:webHidden/>
              </w:rPr>
              <w:instrText xml:space="preserve"> PAGEREF _Toc151396698 \h </w:instrText>
            </w:r>
            <w:r w:rsidR="00D72609">
              <w:rPr>
                <w:noProof/>
                <w:webHidden/>
              </w:rPr>
            </w:r>
            <w:r w:rsidR="00D72609">
              <w:rPr>
                <w:noProof/>
                <w:webHidden/>
              </w:rPr>
              <w:fldChar w:fldCharType="separate"/>
            </w:r>
            <w:r w:rsidR="00D72609">
              <w:rPr>
                <w:noProof/>
                <w:webHidden/>
              </w:rPr>
              <w:t>4</w:t>
            </w:r>
            <w:r w:rsidR="00D72609">
              <w:rPr>
                <w:noProof/>
                <w:webHidden/>
              </w:rPr>
              <w:fldChar w:fldCharType="end"/>
            </w:r>
          </w:hyperlink>
        </w:p>
        <w:p w:rsidR="00D72609" w:rsidRDefault="00E24F21">
          <w:pPr>
            <w:pStyle w:val="TOC2"/>
            <w:tabs>
              <w:tab w:val="right" w:leader="dot" w:pos="9350"/>
            </w:tabs>
            <w:rPr>
              <w:rFonts w:asciiTheme="minorHAnsi" w:eastAsiaTheme="minorEastAsia" w:hAnsiTheme="minorHAnsi"/>
              <w:noProof/>
              <w:sz w:val="22"/>
              <w:lang w:val="en-IN" w:eastAsia="en-IN"/>
            </w:rPr>
          </w:pPr>
          <w:hyperlink w:anchor="_Toc151396699" w:history="1">
            <w:r w:rsidR="00D72609" w:rsidRPr="00A90228">
              <w:rPr>
                <w:rStyle w:val="Hyperlink"/>
                <w:noProof/>
              </w:rPr>
              <w:t>Resources and Capabilities</w:t>
            </w:r>
            <w:r w:rsidR="00D72609">
              <w:rPr>
                <w:noProof/>
                <w:webHidden/>
              </w:rPr>
              <w:tab/>
            </w:r>
            <w:r w:rsidR="00D72609">
              <w:rPr>
                <w:noProof/>
                <w:webHidden/>
              </w:rPr>
              <w:fldChar w:fldCharType="begin"/>
            </w:r>
            <w:r w:rsidR="00D72609">
              <w:rPr>
                <w:noProof/>
                <w:webHidden/>
              </w:rPr>
              <w:instrText xml:space="preserve"> PAGEREF _Toc151396699 \h </w:instrText>
            </w:r>
            <w:r w:rsidR="00D72609">
              <w:rPr>
                <w:noProof/>
                <w:webHidden/>
              </w:rPr>
            </w:r>
            <w:r w:rsidR="00D72609">
              <w:rPr>
                <w:noProof/>
                <w:webHidden/>
              </w:rPr>
              <w:fldChar w:fldCharType="separate"/>
            </w:r>
            <w:r w:rsidR="00D72609">
              <w:rPr>
                <w:noProof/>
                <w:webHidden/>
              </w:rPr>
              <w:t>5</w:t>
            </w:r>
            <w:r w:rsidR="00D72609">
              <w:rPr>
                <w:noProof/>
                <w:webHidden/>
              </w:rPr>
              <w:fldChar w:fldCharType="end"/>
            </w:r>
          </w:hyperlink>
        </w:p>
        <w:p w:rsidR="00D72609" w:rsidRDefault="00E24F21">
          <w:pPr>
            <w:pStyle w:val="TOC2"/>
            <w:tabs>
              <w:tab w:val="right" w:leader="dot" w:pos="9350"/>
            </w:tabs>
            <w:rPr>
              <w:rFonts w:asciiTheme="minorHAnsi" w:eastAsiaTheme="minorEastAsia" w:hAnsiTheme="minorHAnsi"/>
              <w:noProof/>
              <w:sz w:val="22"/>
              <w:lang w:val="en-IN" w:eastAsia="en-IN"/>
            </w:rPr>
          </w:pPr>
          <w:hyperlink w:anchor="_Toc151396700" w:history="1">
            <w:r w:rsidR="00D72609" w:rsidRPr="00A90228">
              <w:rPr>
                <w:rStyle w:val="Hyperlink"/>
                <w:noProof/>
              </w:rPr>
              <w:t>SAF Framework for Evaluation of current strategies</w:t>
            </w:r>
            <w:r w:rsidR="00D72609">
              <w:rPr>
                <w:noProof/>
                <w:webHidden/>
              </w:rPr>
              <w:tab/>
            </w:r>
            <w:r w:rsidR="00D72609">
              <w:rPr>
                <w:noProof/>
                <w:webHidden/>
              </w:rPr>
              <w:fldChar w:fldCharType="begin"/>
            </w:r>
            <w:r w:rsidR="00D72609">
              <w:rPr>
                <w:noProof/>
                <w:webHidden/>
              </w:rPr>
              <w:instrText xml:space="preserve"> PAGEREF _Toc151396700 \h </w:instrText>
            </w:r>
            <w:r w:rsidR="00D72609">
              <w:rPr>
                <w:noProof/>
                <w:webHidden/>
              </w:rPr>
            </w:r>
            <w:r w:rsidR="00D72609">
              <w:rPr>
                <w:noProof/>
                <w:webHidden/>
              </w:rPr>
              <w:fldChar w:fldCharType="separate"/>
            </w:r>
            <w:r w:rsidR="00D72609">
              <w:rPr>
                <w:noProof/>
                <w:webHidden/>
              </w:rPr>
              <w:t>7</w:t>
            </w:r>
            <w:r w:rsidR="00D72609">
              <w:rPr>
                <w:noProof/>
                <w:webHidden/>
              </w:rPr>
              <w:fldChar w:fldCharType="end"/>
            </w:r>
          </w:hyperlink>
        </w:p>
        <w:p w:rsidR="00D72609" w:rsidRDefault="00E24F21">
          <w:pPr>
            <w:pStyle w:val="TOC2"/>
            <w:tabs>
              <w:tab w:val="right" w:leader="dot" w:pos="9350"/>
            </w:tabs>
            <w:rPr>
              <w:rFonts w:asciiTheme="minorHAnsi" w:eastAsiaTheme="minorEastAsia" w:hAnsiTheme="minorHAnsi"/>
              <w:noProof/>
              <w:sz w:val="22"/>
              <w:lang w:val="en-IN" w:eastAsia="en-IN"/>
            </w:rPr>
          </w:pPr>
          <w:hyperlink w:anchor="_Toc151396701" w:history="1">
            <w:r w:rsidR="00D72609" w:rsidRPr="00A90228">
              <w:rPr>
                <w:rStyle w:val="Hyperlink"/>
                <w:noProof/>
              </w:rPr>
              <w:t>Evaluation of Sustainability Efforts</w:t>
            </w:r>
            <w:r w:rsidR="00D72609">
              <w:rPr>
                <w:noProof/>
                <w:webHidden/>
              </w:rPr>
              <w:tab/>
            </w:r>
            <w:r w:rsidR="00D72609">
              <w:rPr>
                <w:noProof/>
                <w:webHidden/>
              </w:rPr>
              <w:fldChar w:fldCharType="begin"/>
            </w:r>
            <w:r w:rsidR="00D72609">
              <w:rPr>
                <w:noProof/>
                <w:webHidden/>
              </w:rPr>
              <w:instrText xml:space="preserve"> PAGEREF _Toc151396701 \h </w:instrText>
            </w:r>
            <w:r w:rsidR="00D72609">
              <w:rPr>
                <w:noProof/>
                <w:webHidden/>
              </w:rPr>
            </w:r>
            <w:r w:rsidR="00D72609">
              <w:rPr>
                <w:noProof/>
                <w:webHidden/>
              </w:rPr>
              <w:fldChar w:fldCharType="separate"/>
            </w:r>
            <w:r w:rsidR="00D72609">
              <w:rPr>
                <w:noProof/>
                <w:webHidden/>
              </w:rPr>
              <w:t>8</w:t>
            </w:r>
            <w:r w:rsidR="00D72609">
              <w:rPr>
                <w:noProof/>
                <w:webHidden/>
              </w:rPr>
              <w:fldChar w:fldCharType="end"/>
            </w:r>
          </w:hyperlink>
        </w:p>
        <w:p w:rsidR="00D72609" w:rsidRDefault="00E24F21">
          <w:pPr>
            <w:pStyle w:val="TOC1"/>
            <w:tabs>
              <w:tab w:val="right" w:leader="dot" w:pos="9350"/>
            </w:tabs>
            <w:rPr>
              <w:rFonts w:asciiTheme="minorHAnsi" w:eastAsiaTheme="minorEastAsia" w:hAnsiTheme="minorHAnsi"/>
              <w:noProof/>
              <w:sz w:val="22"/>
              <w:lang w:val="en-IN" w:eastAsia="en-IN"/>
            </w:rPr>
          </w:pPr>
          <w:hyperlink w:anchor="_Toc151396702" w:history="1">
            <w:r w:rsidR="00D72609" w:rsidRPr="00A90228">
              <w:rPr>
                <w:rStyle w:val="Hyperlink"/>
                <w:noProof/>
              </w:rPr>
              <w:t>CONCLUSION</w:t>
            </w:r>
            <w:r w:rsidR="00D72609">
              <w:rPr>
                <w:noProof/>
                <w:webHidden/>
              </w:rPr>
              <w:tab/>
            </w:r>
            <w:r w:rsidR="00D72609">
              <w:rPr>
                <w:noProof/>
                <w:webHidden/>
              </w:rPr>
              <w:fldChar w:fldCharType="begin"/>
            </w:r>
            <w:r w:rsidR="00D72609">
              <w:rPr>
                <w:noProof/>
                <w:webHidden/>
              </w:rPr>
              <w:instrText xml:space="preserve"> PAGEREF _Toc151396702 \h </w:instrText>
            </w:r>
            <w:r w:rsidR="00D72609">
              <w:rPr>
                <w:noProof/>
                <w:webHidden/>
              </w:rPr>
            </w:r>
            <w:r w:rsidR="00D72609">
              <w:rPr>
                <w:noProof/>
                <w:webHidden/>
              </w:rPr>
              <w:fldChar w:fldCharType="separate"/>
            </w:r>
            <w:r w:rsidR="00D72609">
              <w:rPr>
                <w:noProof/>
                <w:webHidden/>
              </w:rPr>
              <w:t>9</w:t>
            </w:r>
            <w:r w:rsidR="00D72609">
              <w:rPr>
                <w:noProof/>
                <w:webHidden/>
              </w:rPr>
              <w:fldChar w:fldCharType="end"/>
            </w:r>
          </w:hyperlink>
        </w:p>
        <w:p w:rsidR="00D72609" w:rsidRDefault="00E24F21">
          <w:pPr>
            <w:pStyle w:val="TOC1"/>
            <w:tabs>
              <w:tab w:val="right" w:leader="dot" w:pos="9350"/>
            </w:tabs>
            <w:rPr>
              <w:rFonts w:asciiTheme="minorHAnsi" w:eastAsiaTheme="minorEastAsia" w:hAnsiTheme="minorHAnsi"/>
              <w:noProof/>
              <w:sz w:val="22"/>
              <w:lang w:val="en-IN" w:eastAsia="en-IN"/>
            </w:rPr>
          </w:pPr>
          <w:hyperlink w:anchor="_Toc151396703" w:history="1">
            <w:r w:rsidR="00D72609" w:rsidRPr="00A90228">
              <w:rPr>
                <w:rStyle w:val="Hyperlink"/>
                <w:noProof/>
              </w:rPr>
              <w:t>REFERENCES</w:t>
            </w:r>
            <w:r w:rsidR="00D72609">
              <w:rPr>
                <w:noProof/>
                <w:webHidden/>
              </w:rPr>
              <w:tab/>
            </w:r>
            <w:r w:rsidR="00D72609">
              <w:rPr>
                <w:noProof/>
                <w:webHidden/>
              </w:rPr>
              <w:fldChar w:fldCharType="begin"/>
            </w:r>
            <w:r w:rsidR="00D72609">
              <w:rPr>
                <w:noProof/>
                <w:webHidden/>
              </w:rPr>
              <w:instrText xml:space="preserve"> PAGEREF _Toc151396703 \h </w:instrText>
            </w:r>
            <w:r w:rsidR="00D72609">
              <w:rPr>
                <w:noProof/>
                <w:webHidden/>
              </w:rPr>
            </w:r>
            <w:r w:rsidR="00D72609">
              <w:rPr>
                <w:noProof/>
                <w:webHidden/>
              </w:rPr>
              <w:fldChar w:fldCharType="separate"/>
            </w:r>
            <w:r w:rsidR="00D72609">
              <w:rPr>
                <w:noProof/>
                <w:webHidden/>
              </w:rPr>
              <w:t>10</w:t>
            </w:r>
            <w:r w:rsidR="00D72609">
              <w:rPr>
                <w:noProof/>
                <w:webHidden/>
              </w:rPr>
              <w:fldChar w:fldCharType="end"/>
            </w:r>
          </w:hyperlink>
        </w:p>
        <w:p w:rsidR="00D72609" w:rsidRDefault="00D72609">
          <w:r>
            <w:rPr>
              <w:b/>
              <w:bCs/>
              <w:noProof/>
            </w:rPr>
            <w:fldChar w:fldCharType="end"/>
          </w:r>
        </w:p>
      </w:sdtContent>
    </w:sdt>
    <w:p w:rsidR="00D72609" w:rsidRDefault="00D72609" w:rsidP="00EA3817">
      <w:pPr>
        <w:pStyle w:val="Heading1"/>
      </w:pPr>
    </w:p>
    <w:p w:rsidR="00D72609" w:rsidRDefault="00D72609">
      <w:pPr>
        <w:spacing w:line="276" w:lineRule="auto"/>
        <w:jc w:val="left"/>
        <w:rPr>
          <w:rFonts w:eastAsiaTheme="majorEastAsia" w:cstheme="majorBidi"/>
          <w:b/>
          <w:bCs/>
          <w:sz w:val="28"/>
          <w:szCs w:val="28"/>
        </w:rPr>
      </w:pPr>
      <w:r>
        <w:br w:type="page"/>
      </w:r>
    </w:p>
    <w:p w:rsidR="00EA3817" w:rsidRDefault="00EA3817" w:rsidP="00EA3817">
      <w:pPr>
        <w:pStyle w:val="Heading1"/>
      </w:pPr>
      <w:bookmarkStart w:id="0" w:name="_Toc151396694"/>
      <w:r>
        <w:t>INTRODUCTION</w:t>
      </w:r>
      <w:bookmarkEnd w:id="0"/>
    </w:p>
    <w:p w:rsidR="00EA3817" w:rsidRDefault="00D43020" w:rsidP="00EA3817">
      <w:r>
        <w:t>Strategic management is process that consists of development and implementation of a number of plans in order to support the organisation with the accomplishment of desired goals and missions</w:t>
      </w:r>
      <w:r w:rsidR="00A30049">
        <w:t>. The process may further comprise of formulation of various important strategies, organisational structures, allocation of resources, monitoring and control of the operations, managing change initiatives and much more</w:t>
      </w:r>
      <w:r w:rsidR="00FD7CC9">
        <w:t xml:space="preserve"> (</w:t>
      </w:r>
      <w:proofErr w:type="spellStart"/>
      <w:r w:rsidR="00FD7CC9" w:rsidRPr="00CB2310">
        <w:rPr>
          <w:rFonts w:cs="Times New Roman"/>
          <w:color w:val="222222"/>
          <w:szCs w:val="24"/>
          <w:shd w:val="clear" w:color="auto" w:fill="FFFFFF"/>
        </w:rPr>
        <w:t>Fuertes</w:t>
      </w:r>
      <w:proofErr w:type="spellEnd"/>
      <w:r w:rsidR="00FD7CC9">
        <w:rPr>
          <w:rFonts w:cs="Times New Roman"/>
          <w:color w:val="222222"/>
          <w:szCs w:val="24"/>
          <w:shd w:val="clear" w:color="auto" w:fill="FFFFFF"/>
        </w:rPr>
        <w:t>, 2020</w:t>
      </w:r>
      <w:r w:rsidR="00FD7CC9">
        <w:t>)</w:t>
      </w:r>
      <w:r w:rsidR="00A30049">
        <w:t xml:space="preserve">. Sustainability is the term that refers to the capabilities of an entity to sustain or enhance the present state and future availability of required resources or conditions over a long time. From the context of a business organisation, sustainability refers to the strategies made to reduce negative impact in any area due to the company’s operations in specific market. The report will discuss about the organisational strategies of Sainsbury Plc which is one of the listed companies in LSE. It will discuss the resources and capabilities of the company along with the evaluation of its present strategies and sustainability efforts.  </w:t>
      </w:r>
    </w:p>
    <w:p w:rsidR="00EA3817" w:rsidRDefault="00D72609" w:rsidP="00EA3817">
      <w:pPr>
        <w:pStyle w:val="Heading1"/>
      </w:pPr>
      <w:bookmarkStart w:id="1" w:name="_Toc151396695"/>
      <w:r>
        <w:t>MAIN BODY</w:t>
      </w:r>
      <w:bookmarkEnd w:id="1"/>
    </w:p>
    <w:p w:rsidR="00A30049" w:rsidRDefault="00A30049" w:rsidP="00A30049">
      <w:pPr>
        <w:pStyle w:val="Heading2"/>
      </w:pPr>
      <w:bookmarkStart w:id="2" w:name="_Toc151396696"/>
      <w:r>
        <w:t>Organisational Overview</w:t>
      </w:r>
      <w:bookmarkEnd w:id="2"/>
    </w:p>
    <w:p w:rsidR="00A30049" w:rsidRDefault="008848C2" w:rsidP="00A30049">
      <w:r>
        <w:t>Sainsbury Plc is one of the biggest multi-channel retail company offering products related to groceries, merchandise and clothing options. Established in 1869, this wholesale and retail company have its outlets in various formats such as stores and supermarkets across the country</w:t>
      </w:r>
      <w:r w:rsidR="00FD7CC9">
        <w:t xml:space="preserve"> (</w:t>
      </w:r>
      <w:proofErr w:type="spellStart"/>
      <w:r w:rsidR="00FD7CC9" w:rsidRPr="00CB2310">
        <w:rPr>
          <w:rFonts w:cs="Times New Roman"/>
          <w:color w:val="222222"/>
          <w:szCs w:val="24"/>
          <w:shd w:val="clear" w:color="auto" w:fill="FFFFFF"/>
        </w:rPr>
        <w:t>Fengyi</w:t>
      </w:r>
      <w:proofErr w:type="spellEnd"/>
      <w:r w:rsidR="00FD7CC9">
        <w:rPr>
          <w:rFonts w:cs="Times New Roman"/>
          <w:color w:val="222222"/>
          <w:szCs w:val="24"/>
          <w:shd w:val="clear" w:color="auto" w:fill="FFFFFF"/>
        </w:rPr>
        <w:t>, 2021</w:t>
      </w:r>
      <w:r w:rsidR="00FD7CC9">
        <w:t>)</w:t>
      </w:r>
      <w:r>
        <w:t xml:space="preserve">. The company’s main aim is to increase the availability of </w:t>
      </w:r>
      <w:r w:rsidR="00AC398F">
        <w:t xml:space="preserve">quality food choices </w:t>
      </w:r>
      <w:r w:rsidR="001B383B">
        <w:t xml:space="preserve">and consistent innovation and delivery of value to the potential customers. It also provides support to essential food businesses. </w:t>
      </w:r>
    </w:p>
    <w:p w:rsidR="00D72609" w:rsidRDefault="00D72609" w:rsidP="00D72609">
      <w:pPr>
        <w:pStyle w:val="Heading2"/>
        <w:rPr>
          <w:lang w:val="en-IN" w:eastAsia="en-IN"/>
        </w:rPr>
      </w:pPr>
      <w:bookmarkStart w:id="3" w:name="_Toc151396697"/>
      <w:r>
        <w:rPr>
          <w:lang w:val="en-IN" w:eastAsia="en-IN"/>
        </w:rPr>
        <w:t>Porter generic strategies of Sainsbury</w:t>
      </w:r>
      <w:bookmarkEnd w:id="3"/>
      <w:r>
        <w:rPr>
          <w:lang w:val="en-IN" w:eastAsia="en-IN"/>
        </w:rPr>
        <w:t xml:space="preserve"> </w:t>
      </w:r>
    </w:p>
    <w:p w:rsidR="00D72609" w:rsidRDefault="00D72609" w:rsidP="00D72609">
      <w:pPr>
        <w:rPr>
          <w:lang w:val="en-IN" w:eastAsia="en-IN"/>
        </w:rPr>
      </w:pPr>
      <w:r w:rsidRPr="00FD3B78">
        <w:rPr>
          <w:b/>
          <w:i/>
          <w:lang w:val="en-IN" w:eastAsia="en-IN"/>
        </w:rPr>
        <w:t>Cost leadership</w:t>
      </w:r>
      <w:r>
        <w:rPr>
          <w:lang w:val="en-IN" w:eastAsia="en-IN"/>
        </w:rPr>
        <w:t xml:space="preserve">: Sainsbury is currently using the strategy of cost leadership for increasing its market shares. For example, organisation gives constant offers like summer sales and festive sales in their stores and facilitates discount of above 50%. Sainsbury needs this strategy for becoming successful. There is one major risk that is associated with its strategy, which is reduction in its profit margin. </w:t>
      </w:r>
    </w:p>
    <w:p w:rsidR="00D72609" w:rsidRDefault="00D72609" w:rsidP="00D72609">
      <w:pPr>
        <w:rPr>
          <w:lang w:val="en-IN" w:eastAsia="en-IN"/>
        </w:rPr>
      </w:pPr>
      <w:r w:rsidRPr="003D7766">
        <w:rPr>
          <w:b/>
          <w:i/>
          <w:lang w:val="en-IN" w:eastAsia="en-IN"/>
        </w:rPr>
        <w:t>Differentiation</w:t>
      </w:r>
      <w:r>
        <w:rPr>
          <w:lang w:val="en-IN" w:eastAsia="en-IN"/>
        </w:rPr>
        <w:t>: Sainsbury offers diversified products to customers for increasing its differentiation and targeting customers from different market segments of market. The organisation can differentiate further by investing resources in research and analysis to know about demand in market</w:t>
      </w:r>
      <w:r w:rsidRPr="00FF342C">
        <w:rPr>
          <w:shd w:val="clear" w:color="auto" w:fill="FFFFFF"/>
        </w:rPr>
        <w:t xml:space="preserve"> </w:t>
      </w:r>
      <w:r>
        <w:rPr>
          <w:shd w:val="clear" w:color="auto" w:fill="FFFFFF"/>
        </w:rPr>
        <w:t>(</w:t>
      </w:r>
      <w:proofErr w:type="spellStart"/>
      <w:r>
        <w:rPr>
          <w:shd w:val="clear" w:color="auto" w:fill="FFFFFF"/>
        </w:rPr>
        <w:t>Keiningham</w:t>
      </w:r>
      <w:proofErr w:type="spellEnd"/>
      <w:r>
        <w:rPr>
          <w:shd w:val="clear" w:color="auto" w:fill="FFFFFF"/>
        </w:rPr>
        <w:t>, 2020)</w:t>
      </w:r>
      <w:r>
        <w:rPr>
          <w:lang w:val="en-IN" w:eastAsia="en-IN"/>
        </w:rPr>
        <w:t xml:space="preserve">. This analysis allows Sainsbury to innovate brands according to prevailing needs of customers. When company produce goods by considering market demand then it enhances probability of earning high incomes. </w:t>
      </w:r>
    </w:p>
    <w:p w:rsidR="00D72609" w:rsidRDefault="00D72609" w:rsidP="00D72609">
      <w:pPr>
        <w:rPr>
          <w:lang w:val="en-IN" w:eastAsia="en-IN"/>
        </w:rPr>
      </w:pPr>
      <w:r w:rsidRPr="00E439C1">
        <w:rPr>
          <w:b/>
          <w:i/>
          <w:lang w:val="en-IN" w:eastAsia="en-IN"/>
        </w:rPr>
        <w:t>Cost- focus</w:t>
      </w:r>
      <w:r>
        <w:rPr>
          <w:lang w:val="en-IN" w:eastAsia="en-IN"/>
        </w:rPr>
        <w:t xml:space="preserve">: Sainsbury focuses on its cost through keeping the cost low from its competitors. Consumers are highly rational and they wants high quality product at reasonable prices. The organisation provides the product through taking advantage from economies of scale while procuring raw materials for production. </w:t>
      </w:r>
    </w:p>
    <w:p w:rsidR="00D72609" w:rsidRPr="00CC1399" w:rsidRDefault="00D72609" w:rsidP="00D72609">
      <w:pPr>
        <w:rPr>
          <w:lang w:val="en-IN" w:eastAsia="en-IN"/>
        </w:rPr>
      </w:pPr>
      <w:r w:rsidRPr="00E439C1">
        <w:rPr>
          <w:b/>
          <w:i/>
          <w:lang w:val="en-IN" w:eastAsia="en-IN"/>
        </w:rPr>
        <w:t>Differentiation-focus</w:t>
      </w:r>
      <w:r>
        <w:rPr>
          <w:lang w:val="en-IN" w:eastAsia="en-IN"/>
        </w:rPr>
        <w:t xml:space="preserve">: The differentiation strategy of Sainsbury mainly emphasises on its food product. The company has now launched more than 3000 product under its own brand name. The company tries to bring improvement constantly in their food products. This is strength of Sainsbury, which enhances its profits and gives lead in market among the competitors. </w:t>
      </w:r>
    </w:p>
    <w:p w:rsidR="00D72609" w:rsidRDefault="00D72609" w:rsidP="00D72609">
      <w:pPr>
        <w:pStyle w:val="Heading2"/>
        <w:rPr>
          <w:lang w:val="en-IN" w:eastAsia="en-IN"/>
        </w:rPr>
      </w:pPr>
      <w:bookmarkStart w:id="4" w:name="_Toc151396698"/>
      <w:proofErr w:type="spellStart"/>
      <w:r>
        <w:rPr>
          <w:lang w:val="en-IN" w:eastAsia="en-IN"/>
        </w:rPr>
        <w:t>Ansoff</w:t>
      </w:r>
      <w:proofErr w:type="spellEnd"/>
      <w:r>
        <w:rPr>
          <w:lang w:val="en-IN" w:eastAsia="en-IN"/>
        </w:rPr>
        <w:t xml:space="preserve"> matrix for Sainsbury organisation</w:t>
      </w:r>
      <w:bookmarkEnd w:id="4"/>
      <w:r>
        <w:rPr>
          <w:lang w:val="en-IN" w:eastAsia="en-IN"/>
        </w:rPr>
        <w:t xml:space="preserve"> </w:t>
      </w:r>
    </w:p>
    <w:p w:rsidR="00D72609" w:rsidRDefault="00D72609" w:rsidP="00D72609">
      <w:pPr>
        <w:rPr>
          <w:lang w:val="en-IN" w:eastAsia="en-IN"/>
        </w:rPr>
      </w:pPr>
      <w:r w:rsidRPr="005966BE">
        <w:rPr>
          <w:b/>
          <w:i/>
          <w:lang w:val="en-IN" w:eastAsia="en-IN"/>
        </w:rPr>
        <w:t>Market penetration</w:t>
      </w:r>
      <w:r>
        <w:rPr>
          <w:lang w:val="en-IN" w:eastAsia="en-IN"/>
        </w:rPr>
        <w:t>: This policy of Sainsbury assist organisation to increase its sales by targeting customers from existing markets. This strategy is least risky, Sainsbury opted this tactic after Asda, and Tesco came into competition</w:t>
      </w:r>
      <w:r w:rsidRPr="0053795F">
        <w:rPr>
          <w:shd w:val="clear" w:color="auto" w:fill="FFFFFF"/>
        </w:rPr>
        <w:t xml:space="preserve"> </w:t>
      </w:r>
      <w:r>
        <w:rPr>
          <w:shd w:val="clear" w:color="auto" w:fill="FFFFFF"/>
        </w:rPr>
        <w:t>(</w:t>
      </w:r>
      <w:proofErr w:type="spellStart"/>
      <w:r>
        <w:rPr>
          <w:shd w:val="clear" w:color="auto" w:fill="FFFFFF"/>
        </w:rPr>
        <w:t>Zugay</w:t>
      </w:r>
      <w:proofErr w:type="spellEnd"/>
      <w:r>
        <w:rPr>
          <w:shd w:val="clear" w:color="auto" w:fill="FFFFFF"/>
        </w:rPr>
        <w:t xml:space="preserve">, and </w:t>
      </w:r>
      <w:proofErr w:type="spellStart"/>
      <w:r>
        <w:rPr>
          <w:shd w:val="clear" w:color="auto" w:fill="FFFFFF"/>
        </w:rPr>
        <w:t>Zakaria</w:t>
      </w:r>
      <w:proofErr w:type="spellEnd"/>
      <w:r>
        <w:rPr>
          <w:shd w:val="clear" w:color="auto" w:fill="FFFFFF"/>
        </w:rPr>
        <w:t>, 2023)</w:t>
      </w:r>
      <w:r>
        <w:rPr>
          <w:lang w:val="en-IN" w:eastAsia="en-IN"/>
        </w:rPr>
        <w:t xml:space="preserve">. Sainsbury started opting competitive strategy for pricing and reduced costs of many products. Organisation also started giving offers and focused on advertising to attract existing market with existing products. </w:t>
      </w:r>
    </w:p>
    <w:p w:rsidR="00D72609" w:rsidRDefault="00D72609" w:rsidP="00D72609">
      <w:pPr>
        <w:rPr>
          <w:lang w:val="en-IN" w:eastAsia="en-IN"/>
        </w:rPr>
      </w:pPr>
      <w:r w:rsidRPr="00882BF8">
        <w:rPr>
          <w:b/>
          <w:i/>
          <w:lang w:val="en-IN" w:eastAsia="en-IN"/>
        </w:rPr>
        <w:t>Product development</w:t>
      </w:r>
      <w:r>
        <w:rPr>
          <w:lang w:val="en-IN" w:eastAsia="en-IN"/>
        </w:rPr>
        <w:t>: This growth strategy is optimised by Sainsbury for introducing new and innovative products to give more options to existing audience. Sainsbury realised that adopting product development strategy is important for increasing revenues and attaining growth. Sainsbury introduced new product under name of “Sainsbury Central” for increasing product portfolios. This project provided new facilities to experience new shopping formats in small town. This also provided expansion in nations stores of Sainsbury.</w:t>
      </w:r>
    </w:p>
    <w:p w:rsidR="00D72609" w:rsidRDefault="00D72609" w:rsidP="00D72609">
      <w:pPr>
        <w:rPr>
          <w:lang w:val="en-IN" w:eastAsia="en-IN"/>
        </w:rPr>
      </w:pPr>
      <w:r w:rsidRPr="007B5026">
        <w:rPr>
          <w:b/>
          <w:i/>
          <w:lang w:val="en-IN" w:eastAsia="en-IN"/>
        </w:rPr>
        <w:t>Market development</w:t>
      </w:r>
      <w:r>
        <w:rPr>
          <w:lang w:val="en-IN" w:eastAsia="en-IN"/>
        </w:rPr>
        <w:t xml:space="preserve">: This strategy of </w:t>
      </w:r>
      <w:proofErr w:type="spellStart"/>
      <w:r>
        <w:rPr>
          <w:lang w:val="en-IN" w:eastAsia="en-IN"/>
        </w:rPr>
        <w:t>Ansoff</w:t>
      </w:r>
      <w:proofErr w:type="spellEnd"/>
      <w:r>
        <w:rPr>
          <w:lang w:val="en-IN" w:eastAsia="en-IN"/>
        </w:rPr>
        <w:t xml:space="preserve"> is considered when organisation requires expanding in foreign markets. Sainsbury still lacks strategy for expansion because it operates in specific limits only. Sainsbury should increase the services in other areas too. This can mean targeting international customers through expansion and opening stores in international market. The organisation has not yet expanded in international trade. </w:t>
      </w:r>
    </w:p>
    <w:p w:rsidR="00D72609" w:rsidRPr="00D72609" w:rsidRDefault="00D72609" w:rsidP="00A30049">
      <w:pPr>
        <w:rPr>
          <w:lang w:val="en-IN" w:eastAsia="en-IN"/>
        </w:rPr>
      </w:pPr>
      <w:r w:rsidRPr="00FB2611">
        <w:rPr>
          <w:b/>
          <w:i/>
          <w:lang w:val="en-IN" w:eastAsia="en-IN"/>
        </w:rPr>
        <w:t>Diversification</w:t>
      </w:r>
      <w:r>
        <w:rPr>
          <w:lang w:val="en-IN" w:eastAsia="en-IN"/>
        </w:rPr>
        <w:t xml:space="preserve">: Sainsbury was used to be only grocery retailer, but it diversified its business and started selling clothes by Sainsbury brand name. The organisation also diversified operations in financial market by providing credit card and insurance facilities to people. The organisation is planning to diversify its services in other sectors also for increasing income and capturing large customer base. </w:t>
      </w:r>
    </w:p>
    <w:p w:rsidR="00EA3817" w:rsidRDefault="00EA3817" w:rsidP="00EA3817">
      <w:pPr>
        <w:pStyle w:val="Heading2"/>
      </w:pPr>
      <w:bookmarkStart w:id="5" w:name="_Toc151396699"/>
      <w:r>
        <w:t>Resources and Capabilities</w:t>
      </w:r>
      <w:bookmarkEnd w:id="5"/>
    </w:p>
    <w:p w:rsidR="00EA3817" w:rsidRPr="001B383B" w:rsidRDefault="001B383B" w:rsidP="00EA3817">
      <w:r w:rsidRPr="001B383B">
        <w:t>The company posses</w:t>
      </w:r>
      <w:r>
        <w:t>ses</w:t>
      </w:r>
      <w:r w:rsidRPr="001B383B">
        <w:t xml:space="preserve"> </w:t>
      </w:r>
      <w:r>
        <w:t xml:space="preserve">a number of valuable resources and capabilities that makes it one of the biggest retail brand in the UK and provides the company valuable competitive advantage in alignment with the core mission and strategies of the organisation. This can be evaluated with the help of VRIO and value chain analysis of the company. </w:t>
      </w:r>
    </w:p>
    <w:p w:rsidR="00EA3817" w:rsidRPr="001B383B" w:rsidRDefault="001B383B" w:rsidP="00EA3817">
      <w:pPr>
        <w:rPr>
          <w:b/>
        </w:rPr>
      </w:pPr>
      <w:r w:rsidRPr="001B383B">
        <w:rPr>
          <w:b/>
        </w:rPr>
        <w:t>VALUE CHAIN ANALYSIS</w:t>
      </w:r>
    </w:p>
    <w:p w:rsidR="001B383B" w:rsidRDefault="001B383B" w:rsidP="00EA3817">
      <w:r w:rsidRPr="001B383B">
        <w:rPr>
          <w:b/>
          <w:i/>
        </w:rPr>
        <w:t>Primary Activities</w:t>
      </w:r>
      <w:r>
        <w:rPr>
          <w:b/>
          <w:i/>
        </w:rPr>
        <w:t xml:space="preserve"> – </w:t>
      </w:r>
      <w:r>
        <w:t>The primary activities of the company includes its inbound and outbound logistics, operations</w:t>
      </w:r>
      <w:r w:rsidR="00EA0CDB">
        <w:t>,</w:t>
      </w:r>
      <w:r>
        <w:t xml:space="preserve"> marketing processes and services offered. </w:t>
      </w:r>
      <w:r w:rsidR="00EA0CDB">
        <w:t xml:space="preserve">With </w:t>
      </w:r>
      <w:r w:rsidR="00EA0CDB" w:rsidRPr="00EA0CDB">
        <w:rPr>
          <w:i/>
        </w:rPr>
        <w:t>inbound logistics</w:t>
      </w:r>
      <w:r w:rsidR="00EA0CDB">
        <w:t xml:space="preserve">, Sainsbury maintain a great relationship with its suppliers so as to keep the flow of raw materials unhindered. The company pays attention to the process that is taking place from the possession of raw materials to the final product. The </w:t>
      </w:r>
      <w:r w:rsidR="00EA0CDB" w:rsidRPr="00EA0CDB">
        <w:rPr>
          <w:i/>
        </w:rPr>
        <w:t>operation</w:t>
      </w:r>
      <w:r w:rsidR="00EA0CDB">
        <w:t xml:space="preserve"> of Sainsbury includes production and service processes. It makes consistent evaluation of its operations so as to enhance its productivity and improve its efficiency which helps in making sure that the company is ahead of its competitors in the retail market. </w:t>
      </w:r>
      <w:r w:rsidR="003D591A">
        <w:t xml:space="preserve">High level of productivity helps the company to maintain economic growth and support with the establishment of powerful basis regarding the competition in the business. The </w:t>
      </w:r>
      <w:r w:rsidR="003D591A" w:rsidRPr="003D591A">
        <w:rPr>
          <w:i/>
        </w:rPr>
        <w:t>outbound logistics</w:t>
      </w:r>
      <w:r w:rsidR="003D591A">
        <w:t xml:space="preserve"> consists of the processes that are responsible for the distribution of the goods and services to potential customer with the help of various intermediaries</w:t>
      </w:r>
      <w:r w:rsidR="00FD7CC9">
        <w:t xml:space="preserve"> (</w:t>
      </w:r>
      <w:proofErr w:type="spellStart"/>
      <w:r w:rsidR="00FD7CC9" w:rsidRPr="00CB2310">
        <w:rPr>
          <w:rFonts w:cs="Times New Roman"/>
          <w:color w:val="222222"/>
          <w:szCs w:val="24"/>
          <w:shd w:val="clear" w:color="auto" w:fill="FFFFFF"/>
        </w:rPr>
        <w:t>Muflikh</w:t>
      </w:r>
      <w:proofErr w:type="spellEnd"/>
      <w:r w:rsidR="00FD7CC9">
        <w:rPr>
          <w:rFonts w:cs="Times New Roman"/>
          <w:color w:val="222222"/>
          <w:szCs w:val="24"/>
          <w:shd w:val="clear" w:color="auto" w:fill="FFFFFF"/>
        </w:rPr>
        <w:t>, 2021</w:t>
      </w:r>
      <w:r w:rsidR="00FD7CC9">
        <w:t>)</w:t>
      </w:r>
      <w:r w:rsidR="003D591A">
        <w:t xml:space="preserve">. Some of the activities of Sainsbury on outbound also includes warehousing, order processing, etc. The retail company continuously monitors and work towards the optimisation of these activities as these can provide competitive benefits for the business growth and supports effective accomplishment of the organisational goals. </w:t>
      </w:r>
    </w:p>
    <w:p w:rsidR="001B383B" w:rsidRPr="0051603F" w:rsidRDefault="003D591A" w:rsidP="00EA3817">
      <w:r>
        <w:t xml:space="preserve">The timely optimisation and consistent monitoring of outbound activities allows minimum negative effect on the quality of products and a service offered by Sainsbury and therefore increases the satisfaction among the customers and clients. </w:t>
      </w:r>
      <w:r w:rsidR="00761E3D">
        <w:t>Marketing along with sales activities are also considered as major primary activities of the company that support the cost strategy and product development strategy of the company. The company make valuable investment in such activities to accomplish the objectives of the formulated strategies for the success of the business in the competitive market. The marketing department of the company effectively integrate the strategies so as to develop company’s brand equity which ensures the company to stand out in the retail market</w:t>
      </w:r>
      <w:r w:rsidR="00FD7CC9">
        <w:t xml:space="preserve"> (</w:t>
      </w:r>
      <w:r w:rsidR="00FD7CC9" w:rsidRPr="00CB2310">
        <w:rPr>
          <w:rFonts w:cs="Times New Roman"/>
          <w:color w:val="222222"/>
          <w:szCs w:val="24"/>
          <w:shd w:val="clear" w:color="auto" w:fill="FFFFFF"/>
        </w:rPr>
        <w:t>Hasan</w:t>
      </w:r>
      <w:r w:rsidR="00FD7CC9">
        <w:rPr>
          <w:rFonts w:cs="Times New Roman"/>
          <w:color w:val="222222"/>
          <w:szCs w:val="24"/>
          <w:shd w:val="clear" w:color="auto" w:fill="FFFFFF"/>
        </w:rPr>
        <w:t>, 2019</w:t>
      </w:r>
      <w:r w:rsidR="00FD7CC9">
        <w:t>)</w:t>
      </w:r>
      <w:r w:rsidR="00761E3D">
        <w:t xml:space="preserve">. The last primary activity is related to the </w:t>
      </w:r>
      <w:r w:rsidR="00761E3D" w:rsidRPr="00761E3D">
        <w:rPr>
          <w:i/>
        </w:rPr>
        <w:t>service</w:t>
      </w:r>
      <w:r w:rsidR="00761E3D">
        <w:t xml:space="preserve"> offered by the company. The effectiveness of the </w:t>
      </w:r>
      <w:r w:rsidR="0051603F">
        <w:t>Sainsbury’s services</w:t>
      </w:r>
      <w:r w:rsidR="00761E3D">
        <w:t xml:space="preserve"> </w:t>
      </w:r>
      <w:r w:rsidR="0051603F">
        <w:t>is</w:t>
      </w:r>
      <w:r w:rsidR="00761E3D">
        <w:t xml:space="preserve"> accountable for the development of customer loyalty which </w:t>
      </w:r>
      <w:r w:rsidR="0051603F">
        <w:t xml:space="preserve">contributes to the long-term sustainability of the organisation in the market. </w:t>
      </w:r>
    </w:p>
    <w:p w:rsidR="001B383B" w:rsidRPr="001B383B" w:rsidRDefault="001B383B" w:rsidP="00EA3817">
      <w:r w:rsidRPr="001B383B">
        <w:rPr>
          <w:b/>
          <w:i/>
        </w:rPr>
        <w:t>Secondary Activities</w:t>
      </w:r>
      <w:r>
        <w:t xml:space="preserve"> – The secondary activities of Sainsbury includes </w:t>
      </w:r>
      <w:r w:rsidR="00EA0CDB">
        <w:t xml:space="preserve">its infrastructure, technological development in the organisation, HRM and procurement. </w:t>
      </w:r>
      <w:r w:rsidR="0051603F">
        <w:t xml:space="preserve">The </w:t>
      </w:r>
      <w:r w:rsidR="0051603F" w:rsidRPr="0051603F">
        <w:rPr>
          <w:i/>
        </w:rPr>
        <w:t>infrastructure</w:t>
      </w:r>
      <w:r w:rsidR="0051603F">
        <w:t xml:space="preserve"> of Sainsbury focuses effectively on the management of quality of products, legal issues face by the company, financial aspects and strategic management. These activities are responsible for supporting the major business strategies of Sainsbury like product development, cost leadership, sales penetration, innovation strategies and much more. The company effective controls its infrastructure activities in order to toughen its competitive position in retail market. </w:t>
      </w:r>
      <w:r w:rsidR="00CD0553">
        <w:t>The company also make analysis of its HRM activities and its various aspects like recruitment and selection, training and development, etc. for effective internal growth of the company which eventually supports the motivation and commitment among its workforce, therefore increasing the productivity and efficiency</w:t>
      </w:r>
      <w:r w:rsidR="00FD7CC9">
        <w:t xml:space="preserve"> (</w:t>
      </w:r>
      <w:r w:rsidR="00FD7CC9" w:rsidRPr="00CB2310">
        <w:rPr>
          <w:rFonts w:cs="Times New Roman"/>
          <w:color w:val="222222"/>
          <w:szCs w:val="24"/>
          <w:shd w:val="clear" w:color="auto" w:fill="FFFFFF"/>
        </w:rPr>
        <w:t>Xiao</w:t>
      </w:r>
      <w:r w:rsidR="00FD7CC9">
        <w:rPr>
          <w:rFonts w:cs="Times New Roman"/>
          <w:color w:val="222222"/>
          <w:szCs w:val="24"/>
          <w:shd w:val="clear" w:color="auto" w:fill="FFFFFF"/>
        </w:rPr>
        <w:t>, 2021</w:t>
      </w:r>
      <w:r w:rsidR="00FD7CC9">
        <w:t>)</w:t>
      </w:r>
      <w:r w:rsidR="00CD0553">
        <w:t xml:space="preserve">. This simply allows Sainsbury to have competitive edge in the market and enables strategic accomplishments. </w:t>
      </w:r>
      <w:r w:rsidR="00B23FCA">
        <w:t xml:space="preserve">Another secondary activity that showcases the resources and capabilities of the company is its </w:t>
      </w:r>
      <w:r w:rsidR="00B23FCA" w:rsidRPr="00B23FCA">
        <w:rPr>
          <w:i/>
        </w:rPr>
        <w:t>technological advancement</w:t>
      </w:r>
      <w:r w:rsidR="00B23FCA">
        <w:t xml:space="preserve">. The company divides the advance in two categories, i.e. product technological development and process development activities which are supported by integration of automation, data analytics and adaptation of AI in its process activities which eases the accomplishment of strategic goals of the company. </w:t>
      </w:r>
    </w:p>
    <w:p w:rsidR="00EA3817" w:rsidRPr="001B383B" w:rsidRDefault="001B383B" w:rsidP="00EA3817">
      <w:pPr>
        <w:rPr>
          <w:b/>
        </w:rPr>
      </w:pPr>
      <w:r w:rsidRPr="001B383B">
        <w:rPr>
          <w:b/>
        </w:rPr>
        <w:t>VRIO ANALYSIS</w:t>
      </w:r>
    </w:p>
    <w:p w:rsidR="00EA3817" w:rsidRDefault="00E93A7B" w:rsidP="00EA3817">
      <w:r w:rsidRPr="00BE5523">
        <w:rPr>
          <w:i/>
        </w:rPr>
        <w:t>Value</w:t>
      </w:r>
      <w:r>
        <w:t xml:space="preserve"> – The resources that are very valuable to the Sainsbury of effective accomplishment of its strategies are leadership which entails great value to </w:t>
      </w:r>
      <w:proofErr w:type="spellStart"/>
      <w:r>
        <w:t>te</w:t>
      </w:r>
      <w:proofErr w:type="spellEnd"/>
      <w:r>
        <w:t xml:space="preserve"> company in terms of decision-making and alignment of missions and values with the operational activities and formulated strategies. It customer community is valuable in co-creating the products of the company by participating through the feedbacks and reviews. The company’s digital strategy </w:t>
      </w:r>
      <w:r w:rsidR="00BD3AFC">
        <w:t>and</w:t>
      </w:r>
      <w:r>
        <w:t xml:space="preserve"> </w:t>
      </w:r>
      <w:r w:rsidR="00BD3AFC">
        <w:t>customer’s</w:t>
      </w:r>
      <w:r>
        <w:t xml:space="preserve"> </w:t>
      </w:r>
      <w:r w:rsidR="00BD3AFC">
        <w:t>network</w:t>
      </w:r>
      <w:r>
        <w:t xml:space="preserve"> </w:t>
      </w:r>
      <w:r w:rsidR="00BD3AFC">
        <w:t>is</w:t>
      </w:r>
      <w:r>
        <w:t xml:space="preserve"> other valuable </w:t>
      </w:r>
      <w:r w:rsidR="00BD3AFC">
        <w:t xml:space="preserve">resources that allow company to attain its short and long-term goals. </w:t>
      </w:r>
    </w:p>
    <w:p w:rsidR="00BD3AFC" w:rsidRDefault="00E93A7B" w:rsidP="00EA3817">
      <w:r w:rsidRPr="00BE5523">
        <w:rPr>
          <w:i/>
        </w:rPr>
        <w:t>Rare</w:t>
      </w:r>
      <w:r>
        <w:t xml:space="preserve"> – </w:t>
      </w:r>
      <w:r w:rsidR="00BD3AFC">
        <w:t>The rare resources of the retail organisation is its customer loyalty as the company is investing continuously for the maintenance of customer satisfaction and retention to make the loyalty stronger. Another aspect which rare for the company is its brand awareness as it is one of the biggest retail company in the industry.</w:t>
      </w:r>
    </w:p>
    <w:p w:rsidR="00E93A7B" w:rsidRDefault="00E93A7B" w:rsidP="00EA3817">
      <w:r w:rsidRPr="00BE5523">
        <w:rPr>
          <w:i/>
        </w:rPr>
        <w:t>Imitation</w:t>
      </w:r>
      <w:r>
        <w:t xml:space="preserve"> – </w:t>
      </w:r>
      <w:r w:rsidR="00FB0D8F">
        <w:t xml:space="preserve">Currently, the imitation of the resources of Sainsbury is costly for any other company as the industry is already facing potential issues with disruption. The core differentiation of the company is difficult for its rivals and new entrants to imitate. It unique leadership team, work culture, AI as well as in-house analytics, maintenance of customer network, etc. are the kind of resources that are very difficult to be imitated by the company’s competitors. </w:t>
      </w:r>
    </w:p>
    <w:p w:rsidR="00E93A7B" w:rsidRDefault="00E93A7B" w:rsidP="00EA3817">
      <w:r w:rsidRPr="00BE5523">
        <w:rPr>
          <w:i/>
        </w:rPr>
        <w:t>Organisation</w:t>
      </w:r>
      <w:r>
        <w:t xml:space="preserve"> – </w:t>
      </w:r>
      <w:r w:rsidR="00FB0D8F">
        <w:t>The capabilities and opportunities that the company can have are not yet completely utilised. The possession of organisational skills by the company helps to extract the best outcomes from its activities with effective alignment of corporate strategies of Sainsbury. It has successfully implemented its digital strategies in the business showcasing its capabilities of organisation in the area of technology</w:t>
      </w:r>
    </w:p>
    <w:p w:rsidR="00E93A7B" w:rsidRDefault="00BE5523" w:rsidP="00EA3817">
      <w:r>
        <w:t>With availability and effective ness of such resources, the company exploits many competitive advantages and effectiveness of its corporate strategies in the global retail market</w:t>
      </w:r>
      <w:r w:rsidR="00FD7CC9">
        <w:t xml:space="preserve"> (</w:t>
      </w:r>
      <w:r w:rsidR="00FD7CC9" w:rsidRPr="00CB2310">
        <w:rPr>
          <w:rFonts w:cs="Times New Roman"/>
          <w:color w:val="222222"/>
          <w:szCs w:val="24"/>
          <w:shd w:val="clear" w:color="auto" w:fill="FFFFFF"/>
        </w:rPr>
        <w:t>Johnson</w:t>
      </w:r>
      <w:r w:rsidR="00FD7CC9">
        <w:rPr>
          <w:rFonts w:cs="Times New Roman"/>
          <w:color w:val="222222"/>
          <w:szCs w:val="24"/>
          <w:shd w:val="clear" w:color="auto" w:fill="FFFFFF"/>
        </w:rPr>
        <w:t>, 2021</w:t>
      </w:r>
      <w:r w:rsidR="00FD7CC9">
        <w:t>)</w:t>
      </w:r>
      <w:r>
        <w:t xml:space="preserve">. The resources that offer strong competitive advantage to Sainsbury are its leadership, e-commerce opportunities with the help of current IT capabilities which will help the company to archive its long term strategies with greater sustainability, customer community which provides strong competitive benefit in the retail market with a number of strong rivals and brand awareness which also strengthens the company’s sustainability in the present and future. </w:t>
      </w:r>
    </w:p>
    <w:p w:rsidR="00EA3817" w:rsidRDefault="00EA3817" w:rsidP="00EA3817">
      <w:pPr>
        <w:pStyle w:val="Heading2"/>
      </w:pPr>
      <w:bookmarkStart w:id="6" w:name="_Toc151396700"/>
      <w:r>
        <w:t>SAF Framework for Evaluation of current strategies</w:t>
      </w:r>
      <w:bookmarkEnd w:id="6"/>
    </w:p>
    <w:p w:rsidR="00EA3817" w:rsidRDefault="00BE5523" w:rsidP="00EA3817">
      <w:r w:rsidRPr="00BE5523">
        <w:rPr>
          <w:b/>
          <w:i/>
        </w:rPr>
        <w:t>Suitability</w:t>
      </w:r>
      <w:r>
        <w:t xml:space="preserve"> – </w:t>
      </w:r>
      <w:r w:rsidR="00BC182C">
        <w:t xml:space="preserve">Sainsbury’s strategies regarding the product development and cost strategy directly aligns with the mission and goals of the company of the which prioritises the effective delivery of the services and product with better connectivity with the customers making the strategies suitable in nature. The strategies regarding market penetration which includes </w:t>
      </w:r>
      <w:r w:rsidR="001B7850">
        <w:t>effective</w:t>
      </w:r>
      <w:r w:rsidR="00BC182C">
        <w:t xml:space="preserve"> </w:t>
      </w:r>
      <w:r w:rsidR="001B7850">
        <w:t xml:space="preserve">advertise and campaigns are few of such elements that show the strengths of the corporate strategies of </w:t>
      </w:r>
      <w:proofErr w:type="spellStart"/>
      <w:r w:rsidR="001B7850">
        <w:t>te</w:t>
      </w:r>
      <w:proofErr w:type="spellEnd"/>
      <w:r w:rsidR="001B7850">
        <w:t xml:space="preserve"> company. It current strategy that values innovation and service quality is suitable for the effective development of the company and achievement of greater sustainability and competitiveness in the market. </w:t>
      </w:r>
    </w:p>
    <w:p w:rsidR="001B7850" w:rsidRDefault="001B7850" w:rsidP="00EA3817">
      <w:r>
        <w:rPr>
          <w:b/>
          <w:i/>
        </w:rPr>
        <w:t>Acceptability</w:t>
      </w:r>
      <w:r w:rsidR="00BE5523">
        <w:t xml:space="preserve"> – </w:t>
      </w:r>
      <w:r w:rsidR="001442F8">
        <w:t>The strategies are aligns with the mission of the company that contr</w:t>
      </w:r>
      <w:r>
        <w:t>ast on the greater accessibility</w:t>
      </w:r>
      <w:r w:rsidR="001442F8">
        <w:t xml:space="preserve"> of food products and services by Sainsbury, building trust among the customers, society and working for the preservation of the environment. </w:t>
      </w:r>
      <w:r>
        <w:t xml:space="preserve">This makes the corporate strategies of the company acceptable to great extent. </w:t>
      </w:r>
      <w:r w:rsidR="001442F8">
        <w:t>The company is accountable for making the services available in a</w:t>
      </w:r>
      <w:r>
        <w:t>n</w:t>
      </w:r>
      <w:r w:rsidR="001442F8">
        <w:t xml:space="preserve"> easy ways, on both online and offline ways so that the potential customer can take advantage of the cost effective services provided by the company</w:t>
      </w:r>
      <w:r w:rsidR="00FD7CC9">
        <w:t xml:space="preserve"> (</w:t>
      </w:r>
      <w:proofErr w:type="spellStart"/>
      <w:r w:rsidR="00FD7CC9" w:rsidRPr="00CB2310">
        <w:rPr>
          <w:rFonts w:cs="Times New Roman"/>
          <w:color w:val="222222"/>
          <w:szCs w:val="24"/>
          <w:shd w:val="clear" w:color="auto" w:fill="FFFFFF"/>
        </w:rPr>
        <w:t>Vinayavekhin</w:t>
      </w:r>
      <w:proofErr w:type="spellEnd"/>
      <w:r w:rsidR="00FD7CC9">
        <w:rPr>
          <w:rFonts w:cs="Times New Roman"/>
          <w:color w:val="222222"/>
          <w:szCs w:val="24"/>
          <w:shd w:val="clear" w:color="auto" w:fill="FFFFFF"/>
        </w:rPr>
        <w:t>, 2020</w:t>
      </w:r>
      <w:r w:rsidR="00FD7CC9">
        <w:t>)</w:t>
      </w:r>
      <w:r w:rsidR="001442F8">
        <w:t xml:space="preserve">. </w:t>
      </w:r>
      <w:r>
        <w:t xml:space="preserve">The company is also focusing on entering new market to increase the market share therefore increasing the acceptability of the strategies with new ways of performing the operations based on the laws of new region. The strategies are also acceptable on the basis of the cheap cost of implementation as compared to other organisations. </w:t>
      </w:r>
    </w:p>
    <w:p w:rsidR="00BE5523" w:rsidRDefault="00BE5523" w:rsidP="00EA3817">
      <w:r w:rsidRPr="00BE5523">
        <w:rPr>
          <w:b/>
          <w:i/>
        </w:rPr>
        <w:t>Feasibility</w:t>
      </w:r>
      <w:r>
        <w:t xml:space="preserve"> – </w:t>
      </w:r>
      <w:r w:rsidR="001B7850">
        <w:t xml:space="preserve">The strategies by Sainsbury are </w:t>
      </w:r>
      <w:r w:rsidR="00CB2310">
        <w:t>also</w:t>
      </w:r>
      <w:r w:rsidR="001B7850">
        <w:t xml:space="preserve"> feasible to some extent. It can be said on </w:t>
      </w:r>
      <w:proofErr w:type="spellStart"/>
      <w:r w:rsidR="001B7850">
        <w:t>te</w:t>
      </w:r>
      <w:proofErr w:type="spellEnd"/>
      <w:r w:rsidR="001B7850">
        <w:t xml:space="preserve"> basis of its current stra</w:t>
      </w:r>
      <w:r w:rsidR="00CB2310">
        <w:t>tegies which are, for example, based</w:t>
      </w:r>
      <w:r w:rsidR="001B7850">
        <w:t xml:space="preserve"> on the reduction of GHG emissions which is totally practical in nature and </w:t>
      </w:r>
      <w:r w:rsidR="00CB2310">
        <w:t>some</w:t>
      </w:r>
      <w:r w:rsidR="001B7850">
        <w:t xml:space="preserve"> of the green strategies have already been successful recently which showcases the feasibility of the </w:t>
      </w:r>
      <w:r w:rsidR="00CB2310">
        <w:t>company’s</w:t>
      </w:r>
      <w:r w:rsidR="001B7850">
        <w:t xml:space="preserve"> plans. With great brand awareness </w:t>
      </w:r>
      <w:r w:rsidR="00CB2310">
        <w:t>and</w:t>
      </w:r>
      <w:r w:rsidR="001B7850">
        <w:t xml:space="preserve"> </w:t>
      </w:r>
      <w:r w:rsidR="00CB2310">
        <w:t>effective</w:t>
      </w:r>
      <w:r w:rsidR="001B7850">
        <w:t xml:space="preserve"> generation of revenues through the market </w:t>
      </w:r>
      <w:r w:rsidR="00CB2310">
        <w:t>penetration</w:t>
      </w:r>
      <w:r w:rsidR="001B7850">
        <w:t xml:space="preserve"> </w:t>
      </w:r>
      <w:r w:rsidR="00CB2310">
        <w:t>strategies</w:t>
      </w:r>
      <w:r w:rsidR="001B7850">
        <w:t xml:space="preserve">, the </w:t>
      </w:r>
      <w:r w:rsidR="00CB2310">
        <w:t>other corporate</w:t>
      </w:r>
      <w:r w:rsidR="001B7850">
        <w:t xml:space="preserve"> and social strategies can be easily funded for implementation</w:t>
      </w:r>
      <w:r w:rsidR="00FD7CC9">
        <w:t xml:space="preserve"> (</w:t>
      </w:r>
      <w:proofErr w:type="spellStart"/>
      <w:r w:rsidR="00FD7CC9" w:rsidRPr="00CB2310">
        <w:rPr>
          <w:rFonts w:cs="Times New Roman"/>
          <w:color w:val="222222"/>
          <w:szCs w:val="24"/>
          <w:shd w:val="clear" w:color="auto" w:fill="FFFFFF"/>
        </w:rPr>
        <w:t>Bilińska</w:t>
      </w:r>
      <w:proofErr w:type="spellEnd"/>
      <w:r w:rsidR="00FD7CC9">
        <w:rPr>
          <w:rFonts w:cs="Times New Roman"/>
          <w:color w:val="222222"/>
          <w:szCs w:val="24"/>
          <w:shd w:val="clear" w:color="auto" w:fill="FFFFFF"/>
        </w:rPr>
        <w:t>, 2019</w:t>
      </w:r>
      <w:r w:rsidR="00FD7CC9">
        <w:t>)</w:t>
      </w:r>
      <w:r w:rsidR="001B7850">
        <w:t xml:space="preserve">. The infrastructure </w:t>
      </w:r>
      <w:r w:rsidR="00CB2310">
        <w:t>and</w:t>
      </w:r>
      <w:r w:rsidR="001B7850">
        <w:t xml:space="preserve"> culture of the organisation is also best fit for the strategies that supports the alignment of strategic goals to the personal </w:t>
      </w:r>
      <w:r w:rsidR="00CB2310">
        <w:t xml:space="preserve">goals of the workforce making the process affordable in nature. </w:t>
      </w:r>
    </w:p>
    <w:p w:rsidR="00EA3817" w:rsidRDefault="00EA3817" w:rsidP="00EA3817">
      <w:pPr>
        <w:pStyle w:val="Heading2"/>
      </w:pPr>
      <w:bookmarkStart w:id="7" w:name="_Toc151396701"/>
      <w:r>
        <w:t>Evaluation of Sustainability Efforts</w:t>
      </w:r>
      <w:bookmarkEnd w:id="7"/>
      <w:r>
        <w:t xml:space="preserve"> </w:t>
      </w:r>
    </w:p>
    <w:p w:rsidR="00EA3817" w:rsidRDefault="00A85ECE" w:rsidP="00EA3817">
      <w:r>
        <w:t xml:space="preserve">The company is making continuous efforts in the direction of greater sustainability with its current and futuristic initiative that are supporting the growth and image of the brand in a significant way. The company always have a sense of responsibility towards towards the society, </w:t>
      </w:r>
      <w:r w:rsidR="001442F8">
        <w:t>environment</w:t>
      </w:r>
      <w:r>
        <w:t xml:space="preserve"> and economy with a deep understanding of its dependability over these aspects for the success</w:t>
      </w:r>
      <w:r w:rsidR="001442F8">
        <w:t xml:space="preserve"> </w:t>
      </w:r>
      <w:r>
        <w:t xml:space="preserve">in the </w:t>
      </w:r>
      <w:r w:rsidR="001442F8">
        <w:t xml:space="preserve">business at national and global level. Its sustainability efforts includes focus on providing healthy and valuable diets based on the demand and consumer behaviour, having an environmental agenda that showcases the contribution that the company is making for the preservation of the planet and energy resources, robust corporate governance and sustainability governance structure that enhances the CSR activities allowing to build a better image with quality services. It also focuses on maintaining valuable transparency with the customers and other stakeholders so as to bring in investment and competitive opportunities for the retail company. </w:t>
      </w:r>
    </w:p>
    <w:p w:rsidR="001442F8" w:rsidRDefault="001442F8" w:rsidP="00EA3817">
      <w:r>
        <w:t>According to the Sainsbury’s progress report, various results have shown the effectiveness of the</w:t>
      </w:r>
      <w:r w:rsidR="00630648">
        <w:t xml:space="preserve"> current strategies towards sustainability in the future. </w:t>
      </w:r>
      <w:r w:rsidR="001649D9">
        <w:t>The</w:t>
      </w:r>
      <w:r w:rsidR="00630648">
        <w:t xml:space="preserve"> company donated </w:t>
      </w:r>
      <w:r w:rsidR="001649D9">
        <w:t>almost</w:t>
      </w:r>
      <w:r w:rsidR="00630648">
        <w:t xml:space="preserve"> 10M meals with </w:t>
      </w:r>
      <w:r w:rsidR="001649D9">
        <w:t xml:space="preserve">the </w:t>
      </w:r>
      <w:r w:rsidR="00630648">
        <w:t xml:space="preserve">help of its </w:t>
      </w:r>
      <w:r w:rsidR="001649D9">
        <w:t>Neighbourly</w:t>
      </w:r>
      <w:r w:rsidR="00630648">
        <w:t xml:space="preserve"> partnership till now which </w:t>
      </w:r>
      <w:r w:rsidR="001649D9">
        <w:t>started</w:t>
      </w:r>
      <w:r w:rsidR="00630648">
        <w:t xml:space="preserve"> in 2021,</w:t>
      </w:r>
      <w:r w:rsidR="001649D9">
        <w:t xml:space="preserve"> 17.5% reduction in the usage of plastic materials for packaging YoY, and much more</w:t>
      </w:r>
      <w:r w:rsidR="00FD7CC9">
        <w:t xml:space="preserve"> (</w:t>
      </w:r>
      <w:proofErr w:type="spellStart"/>
      <w:r w:rsidR="00FD7CC9" w:rsidRPr="00CB2310">
        <w:rPr>
          <w:rFonts w:cs="Times New Roman"/>
          <w:szCs w:val="24"/>
        </w:rPr>
        <w:t>Sainsburys</w:t>
      </w:r>
      <w:proofErr w:type="spellEnd"/>
      <w:r w:rsidR="00FD7CC9">
        <w:rPr>
          <w:rFonts w:cs="Times New Roman"/>
          <w:szCs w:val="24"/>
        </w:rPr>
        <w:t>, 2023</w:t>
      </w:r>
      <w:r w:rsidR="00FD7CC9">
        <w:t>)</w:t>
      </w:r>
      <w:r w:rsidR="001649D9">
        <w:t xml:space="preserve">. The company’s sustainability goals are regarding the preservation of environment, aiming at reduction in emissions due to operation of the company by the year 2035, which is step to limit global warming that aligns the corporate strategies which are one of the highest ambition mentioned in Paris agreement. The company is also focusing on decreasing the GHG emissions by 50% which will simply add to the brand value of the company in the society and market. </w:t>
      </w:r>
      <w:r w:rsidR="00BC182C">
        <w:t xml:space="preserve">The achievements of the company in the direction of greater sustainability includes commitment of investment of </w:t>
      </w:r>
      <w:r w:rsidR="00BC182C">
        <w:rPr>
          <w:rFonts w:cs="Times New Roman"/>
        </w:rPr>
        <w:t>£</w:t>
      </w:r>
      <w:r w:rsidR="00BC182C">
        <w:t>5M in its innovation programs, achievement of 100% LED lighting in all the company units, etc</w:t>
      </w:r>
      <w:r w:rsidR="00FD7CC9">
        <w:t>. (</w:t>
      </w:r>
      <w:proofErr w:type="spellStart"/>
      <w:r w:rsidR="00FD7CC9" w:rsidRPr="00CB2310">
        <w:rPr>
          <w:rFonts w:cs="Times New Roman"/>
          <w:szCs w:val="24"/>
        </w:rPr>
        <w:t>Sainsburys</w:t>
      </w:r>
      <w:proofErr w:type="spellEnd"/>
      <w:r w:rsidR="00FD7CC9">
        <w:rPr>
          <w:rFonts w:cs="Times New Roman"/>
          <w:szCs w:val="24"/>
        </w:rPr>
        <w:t>, 2023</w:t>
      </w:r>
      <w:r w:rsidR="00FD7CC9">
        <w:t>)</w:t>
      </w:r>
      <w:r w:rsidR="00BC182C">
        <w:t xml:space="preserve">. </w:t>
      </w:r>
    </w:p>
    <w:p w:rsidR="00EA3817" w:rsidRDefault="00EA3817" w:rsidP="00EA3817">
      <w:pPr>
        <w:pStyle w:val="Heading1"/>
      </w:pPr>
      <w:bookmarkStart w:id="8" w:name="_Toc151396702"/>
      <w:r>
        <w:t>CONCLUSION</w:t>
      </w:r>
      <w:bookmarkEnd w:id="8"/>
    </w:p>
    <w:p w:rsidR="00EA3817" w:rsidRDefault="00A85ECE" w:rsidP="00EA3817">
      <w:r>
        <w:t xml:space="preserve">The report has discussed about the corporate strategies of Sainsbury with the help of various models. It has identified business strategies with the help of Porter’s generic model and through </w:t>
      </w:r>
      <w:proofErr w:type="spellStart"/>
      <w:r>
        <w:t>Ansoff</w:t>
      </w:r>
      <w:proofErr w:type="spellEnd"/>
      <w:r>
        <w:t xml:space="preserve"> matrix for the effective illustration of strategic direction of the company. Further, the report analysed the capabilities and resource of the company through values chain and system analysis along with the application of VRIO analysis to the company for the determination of resources that provide sustainable advantage in the competitive market. In addition to that, the report covered a brief evaluation of the current strategies of the company in terms of their suitability, feasibility and acceptability. Towards the end, there was a brief evaluation of the efforts made by Sainsbury towards future sustainability and alignment of goals with the same. </w:t>
      </w:r>
    </w:p>
    <w:p w:rsidR="00CB2310" w:rsidRDefault="00CB2310">
      <w:pPr>
        <w:spacing w:line="276" w:lineRule="auto"/>
        <w:jc w:val="left"/>
      </w:pPr>
      <w:r>
        <w:br w:type="page"/>
      </w:r>
    </w:p>
    <w:p w:rsidR="00CB2310" w:rsidRDefault="00CB2310" w:rsidP="00CB2310">
      <w:pPr>
        <w:pStyle w:val="Heading1"/>
      </w:pPr>
      <w:bookmarkStart w:id="9" w:name="_Toc151396703"/>
      <w:r>
        <w:t>REFERENCES</w:t>
      </w:r>
      <w:bookmarkEnd w:id="9"/>
    </w:p>
    <w:p w:rsidR="00CB2310" w:rsidRDefault="00CB2310" w:rsidP="00EA3817">
      <w:pPr>
        <w:rPr>
          <w:u w:val="single"/>
        </w:rPr>
      </w:pPr>
      <w:r w:rsidRPr="00CB2310">
        <w:rPr>
          <w:u w:val="single"/>
        </w:rPr>
        <w:t>Books and Journals</w:t>
      </w:r>
    </w:p>
    <w:p w:rsidR="00D72609" w:rsidRDefault="00D72609" w:rsidP="00D72609">
      <w:pPr>
        <w:spacing w:line="240" w:lineRule="auto"/>
        <w:ind w:left="851" w:hanging="851"/>
        <w:rPr>
          <w:rFonts w:cs="Times New Roman"/>
          <w:color w:val="222222"/>
          <w:szCs w:val="24"/>
          <w:shd w:val="clear" w:color="auto" w:fill="FFFFFF"/>
        </w:rPr>
      </w:pPr>
      <w:proofErr w:type="spellStart"/>
      <w:r w:rsidRPr="00CB2310">
        <w:rPr>
          <w:rFonts w:cs="Times New Roman"/>
          <w:color w:val="222222"/>
          <w:szCs w:val="24"/>
          <w:shd w:val="clear" w:color="auto" w:fill="FFFFFF"/>
        </w:rPr>
        <w:t>Bilińska-Reformat</w:t>
      </w:r>
      <w:proofErr w:type="spellEnd"/>
      <w:r w:rsidRPr="00CB2310">
        <w:rPr>
          <w:rFonts w:cs="Times New Roman"/>
          <w:color w:val="222222"/>
          <w:szCs w:val="24"/>
          <w:shd w:val="clear" w:color="auto" w:fill="FFFFFF"/>
        </w:rPr>
        <w:t xml:space="preserve">, K., </w:t>
      </w:r>
      <w:r>
        <w:rPr>
          <w:rFonts w:cs="Times New Roman"/>
          <w:color w:val="222222"/>
          <w:szCs w:val="24"/>
          <w:shd w:val="clear" w:color="auto" w:fill="FFFFFF"/>
        </w:rPr>
        <w:t>and et.al</w:t>
      </w:r>
      <w:r w:rsidRPr="00CB2310">
        <w:rPr>
          <w:rFonts w:cs="Times New Roman"/>
          <w:color w:val="222222"/>
          <w:szCs w:val="24"/>
          <w:shd w:val="clear" w:color="auto" w:fill="FFFFFF"/>
        </w:rPr>
        <w:t xml:space="preserve">, </w:t>
      </w:r>
      <w:r>
        <w:rPr>
          <w:rFonts w:cs="Times New Roman"/>
          <w:color w:val="222222"/>
          <w:szCs w:val="24"/>
          <w:shd w:val="clear" w:color="auto" w:fill="FFFFFF"/>
        </w:rPr>
        <w:t>(</w:t>
      </w:r>
      <w:r w:rsidRPr="00CB2310">
        <w:rPr>
          <w:rFonts w:cs="Times New Roman"/>
          <w:color w:val="222222"/>
          <w:szCs w:val="24"/>
          <w:shd w:val="clear" w:color="auto" w:fill="FFFFFF"/>
        </w:rPr>
        <w:t>2019</w:t>
      </w:r>
      <w:r>
        <w:rPr>
          <w:rFonts w:cs="Times New Roman"/>
          <w:color w:val="222222"/>
          <w:szCs w:val="24"/>
          <w:shd w:val="clear" w:color="auto" w:fill="FFFFFF"/>
        </w:rPr>
        <w:t>)</w:t>
      </w:r>
      <w:r w:rsidRPr="00CB2310">
        <w:rPr>
          <w:rFonts w:cs="Times New Roman"/>
          <w:color w:val="222222"/>
          <w:szCs w:val="24"/>
          <w:shd w:val="clear" w:color="auto" w:fill="FFFFFF"/>
        </w:rPr>
        <w:t>. Sustainable development concept and creation of innovative business models by retail chains. </w:t>
      </w:r>
      <w:r w:rsidRPr="00CB2310">
        <w:rPr>
          <w:rFonts w:cs="Times New Roman"/>
          <w:i/>
          <w:iCs/>
          <w:color w:val="222222"/>
          <w:szCs w:val="24"/>
          <w:shd w:val="clear" w:color="auto" w:fill="FFFFFF"/>
        </w:rPr>
        <w:t>International Journal of Retail &amp; Distribution Management</w:t>
      </w:r>
      <w:r>
        <w:rPr>
          <w:rFonts w:cs="Times New Roman"/>
          <w:color w:val="222222"/>
          <w:szCs w:val="24"/>
          <w:shd w:val="clear" w:color="auto" w:fill="FFFFFF"/>
        </w:rPr>
        <w:t>.</w:t>
      </w:r>
      <w:r w:rsidRPr="00CB2310">
        <w:rPr>
          <w:rFonts w:cs="Times New Roman"/>
          <w:color w:val="222222"/>
          <w:szCs w:val="24"/>
          <w:shd w:val="clear" w:color="auto" w:fill="FFFFFF"/>
        </w:rPr>
        <w:t> </w:t>
      </w:r>
      <w:r w:rsidRPr="00FD7CC9">
        <w:rPr>
          <w:rFonts w:cs="Times New Roman"/>
          <w:iCs/>
          <w:color w:val="222222"/>
          <w:szCs w:val="24"/>
          <w:shd w:val="clear" w:color="auto" w:fill="FFFFFF"/>
        </w:rPr>
        <w:t>47</w:t>
      </w:r>
      <w:r>
        <w:rPr>
          <w:rFonts w:cs="Times New Roman"/>
          <w:color w:val="222222"/>
          <w:szCs w:val="24"/>
          <w:shd w:val="clear" w:color="auto" w:fill="FFFFFF"/>
        </w:rPr>
        <w:t>(1).</w:t>
      </w:r>
      <w:r w:rsidRPr="00CB2310">
        <w:rPr>
          <w:rFonts w:cs="Times New Roman"/>
          <w:color w:val="222222"/>
          <w:szCs w:val="24"/>
          <w:shd w:val="clear" w:color="auto" w:fill="FFFFFF"/>
        </w:rPr>
        <w:t xml:space="preserve"> pp.2-18.</w:t>
      </w:r>
    </w:p>
    <w:p w:rsidR="00D72609" w:rsidRPr="00CB2310" w:rsidRDefault="00D72609" w:rsidP="00D72609">
      <w:pPr>
        <w:spacing w:line="240" w:lineRule="auto"/>
        <w:ind w:left="851" w:hanging="851"/>
        <w:rPr>
          <w:rFonts w:cs="Times New Roman"/>
          <w:color w:val="222222"/>
          <w:szCs w:val="24"/>
          <w:shd w:val="clear" w:color="auto" w:fill="FFFFFF"/>
        </w:rPr>
      </w:pPr>
      <w:proofErr w:type="spellStart"/>
      <w:r w:rsidRPr="00CB2310">
        <w:rPr>
          <w:rFonts w:cs="Times New Roman"/>
          <w:color w:val="222222"/>
          <w:szCs w:val="24"/>
          <w:shd w:val="clear" w:color="auto" w:fill="FFFFFF"/>
        </w:rPr>
        <w:t>Fengyi</w:t>
      </w:r>
      <w:proofErr w:type="spellEnd"/>
      <w:r w:rsidRPr="00CB2310">
        <w:rPr>
          <w:rFonts w:cs="Times New Roman"/>
          <w:color w:val="222222"/>
          <w:szCs w:val="24"/>
          <w:shd w:val="clear" w:color="auto" w:fill="FFFFFF"/>
        </w:rPr>
        <w:t xml:space="preserve">, Z., </w:t>
      </w:r>
      <w:r>
        <w:rPr>
          <w:rFonts w:cs="Times New Roman"/>
          <w:color w:val="222222"/>
          <w:szCs w:val="24"/>
          <w:shd w:val="clear" w:color="auto" w:fill="FFFFFF"/>
        </w:rPr>
        <w:t>(</w:t>
      </w:r>
      <w:r w:rsidRPr="00CB2310">
        <w:rPr>
          <w:rFonts w:cs="Times New Roman"/>
          <w:color w:val="222222"/>
          <w:szCs w:val="24"/>
          <w:shd w:val="clear" w:color="auto" w:fill="FFFFFF"/>
        </w:rPr>
        <w:t>2021</w:t>
      </w:r>
      <w:r>
        <w:rPr>
          <w:rFonts w:cs="Times New Roman"/>
          <w:color w:val="222222"/>
          <w:szCs w:val="24"/>
          <w:shd w:val="clear" w:color="auto" w:fill="FFFFFF"/>
        </w:rPr>
        <w:t>)</w:t>
      </w:r>
      <w:r w:rsidRPr="00CB2310">
        <w:rPr>
          <w:rFonts w:cs="Times New Roman"/>
          <w:color w:val="222222"/>
          <w:szCs w:val="24"/>
          <w:shd w:val="clear" w:color="auto" w:fill="FFFFFF"/>
        </w:rPr>
        <w:t>. The Analysis of Asda-Sainsbury’s Merger/Acquisition. </w:t>
      </w:r>
      <w:r w:rsidRPr="00CB2310">
        <w:rPr>
          <w:rFonts w:cs="Times New Roman"/>
          <w:i/>
          <w:iCs/>
          <w:color w:val="222222"/>
          <w:szCs w:val="24"/>
          <w:shd w:val="clear" w:color="auto" w:fill="FFFFFF"/>
        </w:rPr>
        <w:t>Journal of Finance Research</w:t>
      </w:r>
      <w:r>
        <w:rPr>
          <w:rFonts w:cs="Times New Roman"/>
          <w:color w:val="222222"/>
          <w:szCs w:val="24"/>
          <w:shd w:val="clear" w:color="auto" w:fill="FFFFFF"/>
        </w:rPr>
        <w:t>.</w:t>
      </w:r>
      <w:r w:rsidRPr="00CB2310">
        <w:rPr>
          <w:rFonts w:cs="Times New Roman"/>
          <w:color w:val="222222"/>
          <w:szCs w:val="24"/>
          <w:shd w:val="clear" w:color="auto" w:fill="FFFFFF"/>
        </w:rPr>
        <w:t> </w:t>
      </w:r>
      <w:r w:rsidRPr="00FD7CC9">
        <w:rPr>
          <w:rFonts w:cs="Times New Roman"/>
          <w:iCs/>
          <w:color w:val="222222"/>
          <w:szCs w:val="24"/>
          <w:shd w:val="clear" w:color="auto" w:fill="FFFFFF"/>
        </w:rPr>
        <w:t>5</w:t>
      </w:r>
      <w:r w:rsidRPr="00FD7CC9">
        <w:rPr>
          <w:rFonts w:cs="Times New Roman"/>
          <w:color w:val="222222"/>
          <w:szCs w:val="24"/>
          <w:shd w:val="clear" w:color="auto" w:fill="FFFFFF"/>
        </w:rPr>
        <w:t>(</w:t>
      </w:r>
      <w:r>
        <w:rPr>
          <w:rFonts w:cs="Times New Roman"/>
          <w:color w:val="222222"/>
          <w:szCs w:val="24"/>
          <w:shd w:val="clear" w:color="auto" w:fill="FFFFFF"/>
        </w:rPr>
        <w:t>1).</w:t>
      </w:r>
      <w:r w:rsidRPr="00CB2310">
        <w:rPr>
          <w:rFonts w:cs="Times New Roman"/>
          <w:color w:val="222222"/>
          <w:szCs w:val="24"/>
          <w:shd w:val="clear" w:color="auto" w:fill="FFFFFF"/>
        </w:rPr>
        <w:t xml:space="preserve"> pp.1-6.</w:t>
      </w:r>
    </w:p>
    <w:p w:rsidR="00D72609" w:rsidRPr="00CB2310" w:rsidRDefault="00D72609" w:rsidP="00D72609">
      <w:pPr>
        <w:spacing w:line="240" w:lineRule="auto"/>
        <w:ind w:left="851" w:hanging="851"/>
        <w:rPr>
          <w:rFonts w:cs="Times New Roman"/>
          <w:color w:val="222222"/>
          <w:szCs w:val="24"/>
          <w:shd w:val="clear" w:color="auto" w:fill="FFFFFF"/>
        </w:rPr>
      </w:pPr>
      <w:proofErr w:type="spellStart"/>
      <w:r w:rsidRPr="00CB2310">
        <w:rPr>
          <w:rFonts w:cs="Times New Roman"/>
          <w:color w:val="222222"/>
          <w:szCs w:val="24"/>
          <w:shd w:val="clear" w:color="auto" w:fill="FFFFFF"/>
        </w:rPr>
        <w:t>Fuertes</w:t>
      </w:r>
      <w:proofErr w:type="spellEnd"/>
      <w:r w:rsidRPr="00CB2310">
        <w:rPr>
          <w:rFonts w:cs="Times New Roman"/>
          <w:color w:val="222222"/>
          <w:szCs w:val="24"/>
          <w:shd w:val="clear" w:color="auto" w:fill="FFFFFF"/>
        </w:rPr>
        <w:t xml:space="preserve">, G., </w:t>
      </w:r>
      <w:r>
        <w:rPr>
          <w:rFonts w:cs="Times New Roman"/>
          <w:color w:val="222222"/>
          <w:szCs w:val="24"/>
          <w:shd w:val="clear" w:color="auto" w:fill="FFFFFF"/>
        </w:rPr>
        <w:t>and et.al</w:t>
      </w:r>
      <w:r w:rsidRPr="00CB2310">
        <w:rPr>
          <w:rFonts w:cs="Times New Roman"/>
          <w:color w:val="222222"/>
          <w:szCs w:val="24"/>
          <w:shd w:val="clear" w:color="auto" w:fill="FFFFFF"/>
        </w:rPr>
        <w:t xml:space="preserve">, </w:t>
      </w:r>
      <w:r>
        <w:rPr>
          <w:rFonts w:cs="Times New Roman"/>
          <w:color w:val="222222"/>
          <w:szCs w:val="24"/>
          <w:shd w:val="clear" w:color="auto" w:fill="FFFFFF"/>
        </w:rPr>
        <w:t>(</w:t>
      </w:r>
      <w:r w:rsidRPr="00CB2310">
        <w:rPr>
          <w:rFonts w:cs="Times New Roman"/>
          <w:color w:val="222222"/>
          <w:szCs w:val="24"/>
          <w:shd w:val="clear" w:color="auto" w:fill="FFFFFF"/>
        </w:rPr>
        <w:t>2020</w:t>
      </w:r>
      <w:r>
        <w:rPr>
          <w:rFonts w:cs="Times New Roman"/>
          <w:color w:val="222222"/>
          <w:szCs w:val="24"/>
          <w:shd w:val="clear" w:color="auto" w:fill="FFFFFF"/>
        </w:rPr>
        <w:t>)</w:t>
      </w:r>
      <w:r w:rsidRPr="00CB2310">
        <w:rPr>
          <w:rFonts w:cs="Times New Roman"/>
          <w:color w:val="222222"/>
          <w:szCs w:val="24"/>
          <w:shd w:val="clear" w:color="auto" w:fill="FFFFFF"/>
        </w:rPr>
        <w:t>. Conceptual framework for the strategic management: a literature review—descriptive. </w:t>
      </w:r>
      <w:r w:rsidRPr="00CB2310">
        <w:rPr>
          <w:rFonts w:cs="Times New Roman"/>
          <w:i/>
          <w:iCs/>
          <w:color w:val="222222"/>
          <w:szCs w:val="24"/>
          <w:shd w:val="clear" w:color="auto" w:fill="FFFFFF"/>
        </w:rPr>
        <w:t>Journal of Engineering</w:t>
      </w:r>
      <w:r w:rsidRPr="00CB2310">
        <w:rPr>
          <w:rFonts w:cs="Times New Roman"/>
          <w:color w:val="222222"/>
          <w:szCs w:val="24"/>
          <w:shd w:val="clear" w:color="auto" w:fill="FFFFFF"/>
        </w:rPr>
        <w:t>, </w:t>
      </w:r>
      <w:r w:rsidRPr="00CB2310">
        <w:rPr>
          <w:rFonts w:cs="Times New Roman"/>
          <w:i/>
          <w:iCs/>
          <w:color w:val="222222"/>
          <w:szCs w:val="24"/>
          <w:shd w:val="clear" w:color="auto" w:fill="FFFFFF"/>
        </w:rPr>
        <w:t>2020</w:t>
      </w:r>
      <w:r w:rsidRPr="00CB2310">
        <w:rPr>
          <w:rFonts w:cs="Times New Roman"/>
          <w:color w:val="222222"/>
          <w:szCs w:val="24"/>
          <w:shd w:val="clear" w:color="auto" w:fill="FFFFFF"/>
        </w:rPr>
        <w:t>, pp.1-21.</w:t>
      </w:r>
    </w:p>
    <w:p w:rsidR="00D72609" w:rsidRPr="00CB2310" w:rsidRDefault="00D72609" w:rsidP="00D72609">
      <w:pPr>
        <w:spacing w:line="240" w:lineRule="auto"/>
        <w:ind w:left="851" w:hanging="851"/>
        <w:rPr>
          <w:rFonts w:cs="Times New Roman"/>
          <w:color w:val="222222"/>
          <w:szCs w:val="24"/>
          <w:shd w:val="clear" w:color="auto" w:fill="FFFFFF"/>
        </w:rPr>
      </w:pPr>
      <w:r w:rsidRPr="00CB2310">
        <w:rPr>
          <w:rFonts w:cs="Times New Roman"/>
          <w:color w:val="222222"/>
          <w:szCs w:val="24"/>
          <w:shd w:val="clear" w:color="auto" w:fill="FFFFFF"/>
        </w:rPr>
        <w:t xml:space="preserve">Hasan, M.M., </w:t>
      </w:r>
      <w:r>
        <w:rPr>
          <w:rFonts w:cs="Times New Roman"/>
          <w:color w:val="222222"/>
          <w:szCs w:val="24"/>
          <w:shd w:val="clear" w:color="auto" w:fill="FFFFFF"/>
        </w:rPr>
        <w:t>and et.al</w:t>
      </w:r>
      <w:r w:rsidRPr="00CB2310">
        <w:rPr>
          <w:rFonts w:cs="Times New Roman"/>
          <w:color w:val="222222"/>
          <w:szCs w:val="24"/>
          <w:shd w:val="clear" w:color="auto" w:fill="FFFFFF"/>
        </w:rPr>
        <w:t xml:space="preserve">, </w:t>
      </w:r>
      <w:r>
        <w:rPr>
          <w:rFonts w:cs="Times New Roman"/>
          <w:color w:val="222222"/>
          <w:szCs w:val="24"/>
          <w:shd w:val="clear" w:color="auto" w:fill="FFFFFF"/>
        </w:rPr>
        <w:t>(</w:t>
      </w:r>
      <w:r w:rsidRPr="00CB2310">
        <w:rPr>
          <w:rFonts w:cs="Times New Roman"/>
          <w:color w:val="222222"/>
          <w:szCs w:val="24"/>
          <w:shd w:val="clear" w:color="auto" w:fill="FFFFFF"/>
        </w:rPr>
        <w:t>2019</w:t>
      </w:r>
      <w:r>
        <w:rPr>
          <w:rFonts w:cs="Times New Roman"/>
          <w:color w:val="222222"/>
          <w:szCs w:val="24"/>
          <w:shd w:val="clear" w:color="auto" w:fill="FFFFFF"/>
        </w:rPr>
        <w:t>)</w:t>
      </w:r>
      <w:r w:rsidRPr="00CB2310">
        <w:rPr>
          <w:rFonts w:cs="Times New Roman"/>
          <w:color w:val="222222"/>
          <w:szCs w:val="24"/>
          <w:shd w:val="clear" w:color="auto" w:fill="FFFFFF"/>
        </w:rPr>
        <w:t>. Green business value chain: A systematic review. </w:t>
      </w:r>
      <w:r w:rsidRPr="00CB2310">
        <w:rPr>
          <w:rFonts w:cs="Times New Roman"/>
          <w:i/>
          <w:iCs/>
          <w:color w:val="222222"/>
          <w:szCs w:val="24"/>
          <w:shd w:val="clear" w:color="auto" w:fill="FFFFFF"/>
        </w:rPr>
        <w:t>Sustainable Production and Consumption</w:t>
      </w:r>
      <w:r>
        <w:rPr>
          <w:rFonts w:cs="Times New Roman"/>
          <w:color w:val="222222"/>
          <w:szCs w:val="24"/>
          <w:shd w:val="clear" w:color="auto" w:fill="FFFFFF"/>
        </w:rPr>
        <w:t>.</w:t>
      </w:r>
      <w:r w:rsidRPr="00CB2310">
        <w:rPr>
          <w:rFonts w:cs="Times New Roman"/>
          <w:color w:val="222222"/>
          <w:szCs w:val="24"/>
          <w:shd w:val="clear" w:color="auto" w:fill="FFFFFF"/>
        </w:rPr>
        <w:t> </w:t>
      </w:r>
      <w:r w:rsidRPr="00FD7CC9">
        <w:rPr>
          <w:rFonts w:cs="Times New Roman"/>
          <w:iCs/>
          <w:color w:val="222222"/>
          <w:szCs w:val="24"/>
          <w:shd w:val="clear" w:color="auto" w:fill="FFFFFF"/>
        </w:rPr>
        <w:t>20</w:t>
      </w:r>
      <w:r>
        <w:rPr>
          <w:rFonts w:cs="Times New Roman"/>
          <w:color w:val="222222"/>
          <w:szCs w:val="24"/>
          <w:shd w:val="clear" w:color="auto" w:fill="FFFFFF"/>
        </w:rPr>
        <w:t>.</w:t>
      </w:r>
      <w:r w:rsidRPr="00CB2310">
        <w:rPr>
          <w:rFonts w:cs="Times New Roman"/>
          <w:color w:val="222222"/>
          <w:szCs w:val="24"/>
          <w:shd w:val="clear" w:color="auto" w:fill="FFFFFF"/>
        </w:rPr>
        <w:t xml:space="preserve"> pp.326-339.</w:t>
      </w:r>
    </w:p>
    <w:p w:rsidR="00D72609" w:rsidRPr="00CB2310" w:rsidRDefault="00D72609" w:rsidP="00D72609">
      <w:pPr>
        <w:spacing w:line="240" w:lineRule="auto"/>
        <w:ind w:left="851" w:hanging="851"/>
        <w:rPr>
          <w:rFonts w:cs="Times New Roman"/>
          <w:color w:val="222222"/>
          <w:szCs w:val="24"/>
          <w:shd w:val="clear" w:color="auto" w:fill="FFFFFF"/>
        </w:rPr>
      </w:pPr>
      <w:r w:rsidRPr="00CB2310">
        <w:rPr>
          <w:rFonts w:cs="Times New Roman"/>
          <w:color w:val="222222"/>
          <w:szCs w:val="24"/>
          <w:shd w:val="clear" w:color="auto" w:fill="FFFFFF"/>
        </w:rPr>
        <w:t xml:space="preserve">Johnson, J., </w:t>
      </w:r>
      <w:r>
        <w:rPr>
          <w:rFonts w:cs="Times New Roman"/>
          <w:color w:val="222222"/>
          <w:szCs w:val="24"/>
          <w:shd w:val="clear" w:color="auto" w:fill="FFFFFF"/>
        </w:rPr>
        <w:t>and et.al</w:t>
      </w:r>
      <w:r w:rsidRPr="00CB2310">
        <w:rPr>
          <w:rFonts w:cs="Times New Roman"/>
          <w:color w:val="222222"/>
          <w:szCs w:val="24"/>
          <w:shd w:val="clear" w:color="auto" w:fill="FFFFFF"/>
        </w:rPr>
        <w:t xml:space="preserve">, </w:t>
      </w:r>
      <w:r>
        <w:rPr>
          <w:rFonts w:cs="Times New Roman"/>
          <w:color w:val="222222"/>
          <w:szCs w:val="24"/>
          <w:shd w:val="clear" w:color="auto" w:fill="FFFFFF"/>
        </w:rPr>
        <w:t>(</w:t>
      </w:r>
      <w:r w:rsidRPr="00CB2310">
        <w:rPr>
          <w:rFonts w:cs="Times New Roman"/>
          <w:color w:val="222222"/>
          <w:szCs w:val="24"/>
          <w:shd w:val="clear" w:color="auto" w:fill="FFFFFF"/>
        </w:rPr>
        <w:t>2020</w:t>
      </w:r>
      <w:r>
        <w:rPr>
          <w:rFonts w:cs="Times New Roman"/>
          <w:color w:val="222222"/>
          <w:szCs w:val="24"/>
          <w:shd w:val="clear" w:color="auto" w:fill="FFFFFF"/>
        </w:rPr>
        <w:t>)</w:t>
      </w:r>
      <w:r w:rsidRPr="00CB2310">
        <w:rPr>
          <w:rFonts w:cs="Times New Roman"/>
          <w:color w:val="222222"/>
          <w:szCs w:val="24"/>
          <w:shd w:val="clear" w:color="auto" w:fill="FFFFFF"/>
        </w:rPr>
        <w:t>. </w:t>
      </w:r>
      <w:r w:rsidRPr="00CB2310">
        <w:rPr>
          <w:rFonts w:cs="Times New Roman"/>
          <w:i/>
          <w:iCs/>
          <w:color w:val="222222"/>
          <w:szCs w:val="24"/>
          <w:shd w:val="clear" w:color="auto" w:fill="FFFFFF"/>
        </w:rPr>
        <w:t>Exploring strategy</w:t>
      </w:r>
      <w:r w:rsidRPr="00CB2310">
        <w:rPr>
          <w:rFonts w:cs="Times New Roman"/>
          <w:color w:val="222222"/>
          <w:szCs w:val="24"/>
          <w:shd w:val="clear" w:color="auto" w:fill="FFFFFF"/>
        </w:rPr>
        <w:t>. Pearson UK.</w:t>
      </w:r>
    </w:p>
    <w:p w:rsidR="00D72609" w:rsidRDefault="00D72609" w:rsidP="00D72609">
      <w:pPr>
        <w:spacing w:line="240" w:lineRule="auto"/>
        <w:ind w:left="851" w:hanging="851"/>
        <w:rPr>
          <w:shd w:val="clear" w:color="auto" w:fill="FFFFFF"/>
        </w:rPr>
      </w:pPr>
      <w:proofErr w:type="spellStart"/>
      <w:r>
        <w:rPr>
          <w:shd w:val="clear" w:color="auto" w:fill="FFFFFF"/>
        </w:rPr>
        <w:t>Keiningham</w:t>
      </w:r>
      <w:proofErr w:type="spellEnd"/>
      <w:r>
        <w:rPr>
          <w:shd w:val="clear" w:color="auto" w:fill="FFFFFF"/>
        </w:rPr>
        <w:t>, T., and . et. al., (2020). Customer experience driven business model innovation. </w:t>
      </w:r>
      <w:r>
        <w:rPr>
          <w:i/>
          <w:iCs/>
          <w:shd w:val="clear" w:color="auto" w:fill="FFFFFF"/>
        </w:rPr>
        <w:t>Journal of Business Research</w:t>
      </w:r>
      <w:r>
        <w:rPr>
          <w:shd w:val="clear" w:color="auto" w:fill="FFFFFF"/>
        </w:rPr>
        <w:t>. </w:t>
      </w:r>
      <w:r w:rsidRPr="00A455CB">
        <w:rPr>
          <w:iCs/>
          <w:shd w:val="clear" w:color="auto" w:fill="FFFFFF"/>
        </w:rPr>
        <w:t>116</w:t>
      </w:r>
      <w:r>
        <w:rPr>
          <w:iCs/>
          <w:shd w:val="clear" w:color="auto" w:fill="FFFFFF"/>
        </w:rPr>
        <w:t>.</w:t>
      </w:r>
      <w:r>
        <w:rPr>
          <w:shd w:val="clear" w:color="auto" w:fill="FFFFFF"/>
        </w:rPr>
        <w:t xml:space="preserve"> pp.431-440.</w:t>
      </w:r>
    </w:p>
    <w:p w:rsidR="00D72609" w:rsidRPr="00CB2310" w:rsidRDefault="00D72609" w:rsidP="00D72609">
      <w:pPr>
        <w:spacing w:line="240" w:lineRule="auto"/>
        <w:ind w:left="851" w:hanging="851"/>
        <w:rPr>
          <w:rFonts w:cs="Times New Roman"/>
          <w:color w:val="222222"/>
          <w:szCs w:val="24"/>
          <w:shd w:val="clear" w:color="auto" w:fill="FFFFFF"/>
        </w:rPr>
      </w:pPr>
      <w:proofErr w:type="spellStart"/>
      <w:r w:rsidRPr="00CB2310">
        <w:rPr>
          <w:rFonts w:cs="Times New Roman"/>
          <w:color w:val="222222"/>
          <w:szCs w:val="24"/>
          <w:shd w:val="clear" w:color="auto" w:fill="FFFFFF"/>
        </w:rPr>
        <w:t>Muflikh</w:t>
      </w:r>
      <w:proofErr w:type="spellEnd"/>
      <w:r w:rsidRPr="00CB2310">
        <w:rPr>
          <w:rFonts w:cs="Times New Roman"/>
          <w:color w:val="222222"/>
          <w:szCs w:val="24"/>
          <w:shd w:val="clear" w:color="auto" w:fill="FFFFFF"/>
        </w:rPr>
        <w:t xml:space="preserve">, Y.N., </w:t>
      </w:r>
      <w:r>
        <w:rPr>
          <w:rFonts w:cs="Times New Roman"/>
          <w:color w:val="222222"/>
          <w:szCs w:val="24"/>
          <w:shd w:val="clear" w:color="auto" w:fill="FFFFFF"/>
        </w:rPr>
        <w:t>and et.al</w:t>
      </w:r>
      <w:r w:rsidRPr="00CB2310">
        <w:rPr>
          <w:rFonts w:cs="Times New Roman"/>
          <w:color w:val="222222"/>
          <w:szCs w:val="24"/>
          <w:shd w:val="clear" w:color="auto" w:fill="FFFFFF"/>
        </w:rPr>
        <w:t xml:space="preserve">, </w:t>
      </w:r>
      <w:r>
        <w:rPr>
          <w:rFonts w:cs="Times New Roman"/>
          <w:color w:val="222222"/>
          <w:szCs w:val="24"/>
          <w:shd w:val="clear" w:color="auto" w:fill="FFFFFF"/>
        </w:rPr>
        <w:t>(</w:t>
      </w:r>
      <w:r w:rsidRPr="00CB2310">
        <w:rPr>
          <w:rFonts w:cs="Times New Roman"/>
          <w:color w:val="222222"/>
          <w:szCs w:val="24"/>
          <w:shd w:val="clear" w:color="auto" w:fill="FFFFFF"/>
        </w:rPr>
        <w:t>2021</w:t>
      </w:r>
      <w:r>
        <w:rPr>
          <w:rFonts w:cs="Times New Roman"/>
          <w:color w:val="222222"/>
          <w:szCs w:val="24"/>
          <w:shd w:val="clear" w:color="auto" w:fill="FFFFFF"/>
        </w:rPr>
        <w:t>)</w:t>
      </w:r>
      <w:r w:rsidRPr="00CB2310">
        <w:rPr>
          <w:rFonts w:cs="Times New Roman"/>
          <w:color w:val="222222"/>
          <w:szCs w:val="24"/>
          <w:shd w:val="clear" w:color="auto" w:fill="FFFFFF"/>
        </w:rPr>
        <w:t>. Analysing price volatility in agricultural value chains using systems thinking: A case study of the Indonesian chilli value chain. </w:t>
      </w:r>
      <w:r w:rsidRPr="00CB2310">
        <w:rPr>
          <w:rFonts w:cs="Times New Roman"/>
          <w:i/>
          <w:iCs/>
          <w:color w:val="222222"/>
          <w:szCs w:val="24"/>
          <w:shd w:val="clear" w:color="auto" w:fill="FFFFFF"/>
        </w:rPr>
        <w:t>Agricultural Systems</w:t>
      </w:r>
      <w:r>
        <w:rPr>
          <w:rFonts w:cs="Times New Roman"/>
          <w:color w:val="222222"/>
          <w:szCs w:val="24"/>
          <w:shd w:val="clear" w:color="auto" w:fill="FFFFFF"/>
        </w:rPr>
        <w:t>.</w:t>
      </w:r>
      <w:r w:rsidRPr="00CB2310">
        <w:rPr>
          <w:rFonts w:cs="Times New Roman"/>
          <w:color w:val="222222"/>
          <w:szCs w:val="24"/>
          <w:shd w:val="clear" w:color="auto" w:fill="FFFFFF"/>
        </w:rPr>
        <w:t> </w:t>
      </w:r>
      <w:r w:rsidRPr="00FD7CC9">
        <w:rPr>
          <w:rFonts w:cs="Times New Roman"/>
          <w:iCs/>
          <w:color w:val="222222"/>
          <w:szCs w:val="24"/>
          <w:shd w:val="clear" w:color="auto" w:fill="FFFFFF"/>
        </w:rPr>
        <w:t>192</w:t>
      </w:r>
      <w:r>
        <w:rPr>
          <w:rFonts w:cs="Times New Roman"/>
          <w:color w:val="222222"/>
          <w:szCs w:val="24"/>
          <w:shd w:val="clear" w:color="auto" w:fill="FFFFFF"/>
        </w:rPr>
        <w:t>.</w:t>
      </w:r>
      <w:r w:rsidRPr="00CB2310">
        <w:rPr>
          <w:rFonts w:cs="Times New Roman"/>
          <w:color w:val="222222"/>
          <w:szCs w:val="24"/>
          <w:shd w:val="clear" w:color="auto" w:fill="FFFFFF"/>
        </w:rPr>
        <w:t xml:space="preserve"> p.103179.</w:t>
      </w:r>
    </w:p>
    <w:p w:rsidR="00D72609" w:rsidRPr="00CB2310" w:rsidRDefault="00D72609" w:rsidP="00D72609">
      <w:pPr>
        <w:spacing w:line="240" w:lineRule="auto"/>
        <w:ind w:left="851" w:hanging="851"/>
        <w:rPr>
          <w:rFonts w:cs="Times New Roman"/>
          <w:color w:val="222222"/>
          <w:szCs w:val="24"/>
          <w:shd w:val="clear" w:color="auto" w:fill="FFFFFF"/>
        </w:rPr>
      </w:pPr>
      <w:proofErr w:type="spellStart"/>
      <w:r w:rsidRPr="00CB2310">
        <w:rPr>
          <w:rFonts w:cs="Times New Roman"/>
          <w:color w:val="222222"/>
          <w:szCs w:val="24"/>
          <w:shd w:val="clear" w:color="auto" w:fill="FFFFFF"/>
        </w:rPr>
        <w:t>Vinayavekhin</w:t>
      </w:r>
      <w:proofErr w:type="spellEnd"/>
      <w:r w:rsidRPr="00CB2310">
        <w:rPr>
          <w:rFonts w:cs="Times New Roman"/>
          <w:color w:val="222222"/>
          <w:szCs w:val="24"/>
          <w:shd w:val="clear" w:color="auto" w:fill="FFFFFF"/>
        </w:rPr>
        <w:t xml:space="preserve">, S. and </w:t>
      </w:r>
      <w:proofErr w:type="spellStart"/>
      <w:r w:rsidRPr="00CB2310">
        <w:rPr>
          <w:rFonts w:cs="Times New Roman"/>
          <w:color w:val="222222"/>
          <w:szCs w:val="24"/>
          <w:shd w:val="clear" w:color="auto" w:fill="FFFFFF"/>
        </w:rPr>
        <w:t>Phaal</w:t>
      </w:r>
      <w:proofErr w:type="spellEnd"/>
      <w:r w:rsidRPr="00CB2310">
        <w:rPr>
          <w:rFonts w:cs="Times New Roman"/>
          <w:color w:val="222222"/>
          <w:szCs w:val="24"/>
          <w:shd w:val="clear" w:color="auto" w:fill="FFFFFF"/>
        </w:rPr>
        <w:t xml:space="preserve">, R., </w:t>
      </w:r>
      <w:r>
        <w:rPr>
          <w:rFonts w:cs="Times New Roman"/>
          <w:color w:val="222222"/>
          <w:szCs w:val="24"/>
          <w:shd w:val="clear" w:color="auto" w:fill="FFFFFF"/>
        </w:rPr>
        <w:t>(</w:t>
      </w:r>
      <w:r w:rsidRPr="00CB2310">
        <w:rPr>
          <w:rFonts w:cs="Times New Roman"/>
          <w:color w:val="222222"/>
          <w:szCs w:val="24"/>
          <w:shd w:val="clear" w:color="auto" w:fill="FFFFFF"/>
        </w:rPr>
        <w:t>2020</w:t>
      </w:r>
      <w:r>
        <w:rPr>
          <w:rFonts w:cs="Times New Roman"/>
          <w:color w:val="222222"/>
          <w:szCs w:val="24"/>
          <w:shd w:val="clear" w:color="auto" w:fill="FFFFFF"/>
        </w:rPr>
        <w:t>)</w:t>
      </w:r>
      <w:r w:rsidRPr="00CB2310">
        <w:rPr>
          <w:rFonts w:cs="Times New Roman"/>
          <w:color w:val="222222"/>
          <w:szCs w:val="24"/>
          <w:shd w:val="clear" w:color="auto" w:fill="FFFFFF"/>
        </w:rPr>
        <w:t xml:space="preserve">. Improving synergy in strategic planning: Enablers and </w:t>
      </w:r>
      <w:proofErr w:type="spellStart"/>
      <w:r w:rsidRPr="00CB2310">
        <w:rPr>
          <w:rFonts w:cs="Times New Roman"/>
          <w:color w:val="222222"/>
          <w:szCs w:val="24"/>
          <w:shd w:val="clear" w:color="auto" w:fill="FFFFFF"/>
        </w:rPr>
        <w:t>synchronization</w:t>
      </w:r>
      <w:proofErr w:type="spellEnd"/>
      <w:r w:rsidRPr="00CB2310">
        <w:rPr>
          <w:rFonts w:cs="Times New Roman"/>
          <w:color w:val="222222"/>
          <w:szCs w:val="24"/>
          <w:shd w:val="clear" w:color="auto" w:fill="FFFFFF"/>
        </w:rPr>
        <w:t xml:space="preserve"> assessment framework (SAF). </w:t>
      </w:r>
      <w:r w:rsidRPr="00CB2310">
        <w:rPr>
          <w:rFonts w:cs="Times New Roman"/>
          <w:i/>
          <w:iCs/>
          <w:color w:val="222222"/>
          <w:szCs w:val="24"/>
          <w:shd w:val="clear" w:color="auto" w:fill="FFFFFF"/>
        </w:rPr>
        <w:t>International Journal of Innovation and Technology Management</w:t>
      </w:r>
      <w:r>
        <w:rPr>
          <w:rFonts w:cs="Times New Roman"/>
          <w:color w:val="222222"/>
          <w:szCs w:val="24"/>
          <w:shd w:val="clear" w:color="auto" w:fill="FFFFFF"/>
        </w:rPr>
        <w:t>.</w:t>
      </w:r>
      <w:r w:rsidRPr="00CB2310">
        <w:rPr>
          <w:rFonts w:cs="Times New Roman"/>
          <w:color w:val="222222"/>
          <w:szCs w:val="24"/>
          <w:shd w:val="clear" w:color="auto" w:fill="FFFFFF"/>
        </w:rPr>
        <w:t> </w:t>
      </w:r>
      <w:r w:rsidRPr="00FD7CC9">
        <w:rPr>
          <w:rFonts w:cs="Times New Roman"/>
          <w:iCs/>
          <w:color w:val="222222"/>
          <w:szCs w:val="24"/>
          <w:shd w:val="clear" w:color="auto" w:fill="FFFFFF"/>
        </w:rPr>
        <w:t>17</w:t>
      </w:r>
      <w:r w:rsidRPr="00FD7CC9">
        <w:rPr>
          <w:rFonts w:cs="Times New Roman"/>
          <w:color w:val="222222"/>
          <w:szCs w:val="24"/>
          <w:shd w:val="clear" w:color="auto" w:fill="FFFFFF"/>
        </w:rPr>
        <w:t>(</w:t>
      </w:r>
      <w:r>
        <w:rPr>
          <w:rFonts w:cs="Times New Roman"/>
          <w:color w:val="222222"/>
          <w:szCs w:val="24"/>
          <w:shd w:val="clear" w:color="auto" w:fill="FFFFFF"/>
        </w:rPr>
        <w:t>02).</w:t>
      </w:r>
      <w:r w:rsidRPr="00CB2310">
        <w:rPr>
          <w:rFonts w:cs="Times New Roman"/>
          <w:color w:val="222222"/>
          <w:szCs w:val="24"/>
          <w:shd w:val="clear" w:color="auto" w:fill="FFFFFF"/>
        </w:rPr>
        <w:t xml:space="preserve"> p.2050009.</w:t>
      </w:r>
    </w:p>
    <w:p w:rsidR="00D72609" w:rsidRPr="00CB2310" w:rsidRDefault="00D72609" w:rsidP="00D72609">
      <w:pPr>
        <w:spacing w:line="240" w:lineRule="auto"/>
        <w:ind w:left="851" w:hanging="851"/>
        <w:rPr>
          <w:rFonts w:cs="Times New Roman"/>
          <w:color w:val="222222"/>
          <w:szCs w:val="24"/>
          <w:shd w:val="clear" w:color="auto" w:fill="FFFFFF"/>
        </w:rPr>
      </w:pPr>
      <w:r w:rsidRPr="00CB2310">
        <w:rPr>
          <w:rFonts w:cs="Times New Roman"/>
          <w:color w:val="222222"/>
          <w:szCs w:val="24"/>
          <w:shd w:val="clear" w:color="auto" w:fill="FFFFFF"/>
        </w:rPr>
        <w:t xml:space="preserve">Xiao, B., Chen, Q. and </w:t>
      </w:r>
      <w:proofErr w:type="spellStart"/>
      <w:r w:rsidRPr="00CB2310">
        <w:rPr>
          <w:rFonts w:cs="Times New Roman"/>
          <w:color w:val="222222"/>
          <w:szCs w:val="24"/>
          <w:shd w:val="clear" w:color="auto" w:fill="FFFFFF"/>
        </w:rPr>
        <w:t>Yu</w:t>
      </w:r>
      <w:proofErr w:type="spellEnd"/>
      <w:r w:rsidRPr="00CB2310">
        <w:rPr>
          <w:rFonts w:cs="Times New Roman"/>
          <w:color w:val="222222"/>
          <w:szCs w:val="24"/>
          <w:shd w:val="clear" w:color="auto" w:fill="FFFFFF"/>
        </w:rPr>
        <w:t xml:space="preserve">, Z., </w:t>
      </w:r>
      <w:r>
        <w:rPr>
          <w:rFonts w:cs="Times New Roman"/>
          <w:color w:val="222222"/>
          <w:szCs w:val="24"/>
          <w:shd w:val="clear" w:color="auto" w:fill="FFFFFF"/>
        </w:rPr>
        <w:t>(</w:t>
      </w:r>
      <w:r w:rsidRPr="00CB2310">
        <w:rPr>
          <w:rFonts w:cs="Times New Roman"/>
          <w:color w:val="222222"/>
          <w:szCs w:val="24"/>
          <w:shd w:val="clear" w:color="auto" w:fill="FFFFFF"/>
        </w:rPr>
        <w:t>2021</w:t>
      </w:r>
      <w:r>
        <w:rPr>
          <w:rFonts w:cs="Times New Roman"/>
          <w:color w:val="222222"/>
          <w:szCs w:val="24"/>
          <w:shd w:val="clear" w:color="auto" w:fill="FFFFFF"/>
        </w:rPr>
        <w:t>)</w:t>
      </w:r>
      <w:r w:rsidRPr="00CB2310">
        <w:rPr>
          <w:rFonts w:cs="Times New Roman"/>
          <w:color w:val="222222"/>
          <w:szCs w:val="24"/>
          <w:shd w:val="clear" w:color="auto" w:fill="FFFFFF"/>
        </w:rPr>
        <w:t>, April. Research on the Investment Value of Sainsbury’s. In </w:t>
      </w:r>
      <w:r w:rsidRPr="00CB2310">
        <w:rPr>
          <w:rFonts w:cs="Times New Roman"/>
          <w:i/>
          <w:iCs/>
          <w:color w:val="222222"/>
          <w:szCs w:val="24"/>
          <w:shd w:val="clear" w:color="auto" w:fill="FFFFFF"/>
        </w:rPr>
        <w:t>2021 6th International Conference on Social Sciences and Economic Development (ICSSED 2021)</w:t>
      </w:r>
      <w:r w:rsidRPr="00CB2310">
        <w:rPr>
          <w:rFonts w:cs="Times New Roman"/>
          <w:color w:val="222222"/>
          <w:szCs w:val="24"/>
          <w:shd w:val="clear" w:color="auto" w:fill="FFFFFF"/>
        </w:rPr>
        <w:t> (pp. 108-115). Atlantis Press.</w:t>
      </w:r>
    </w:p>
    <w:p w:rsidR="00D72609" w:rsidRPr="00D72609" w:rsidRDefault="00D72609" w:rsidP="00D72609">
      <w:pPr>
        <w:spacing w:line="240" w:lineRule="auto"/>
        <w:ind w:left="851" w:hanging="851"/>
        <w:rPr>
          <w:u w:val="single"/>
          <w:lang w:val="en-IN" w:eastAsia="en-IN"/>
        </w:rPr>
      </w:pPr>
      <w:proofErr w:type="spellStart"/>
      <w:r>
        <w:rPr>
          <w:shd w:val="clear" w:color="auto" w:fill="FFFFFF"/>
        </w:rPr>
        <w:t>Zugay</w:t>
      </w:r>
      <w:proofErr w:type="spellEnd"/>
      <w:r>
        <w:rPr>
          <w:shd w:val="clear" w:color="auto" w:fill="FFFFFF"/>
        </w:rPr>
        <w:t xml:space="preserve">, B. and </w:t>
      </w:r>
      <w:proofErr w:type="spellStart"/>
      <w:r>
        <w:rPr>
          <w:shd w:val="clear" w:color="auto" w:fill="FFFFFF"/>
        </w:rPr>
        <w:t>Zakaria</w:t>
      </w:r>
      <w:proofErr w:type="spellEnd"/>
      <w:r>
        <w:rPr>
          <w:shd w:val="clear" w:color="auto" w:fill="FFFFFF"/>
        </w:rPr>
        <w:t xml:space="preserve">, R., (2023). </w:t>
      </w:r>
      <w:proofErr w:type="spellStart"/>
      <w:r>
        <w:rPr>
          <w:shd w:val="clear" w:color="auto" w:fill="FFFFFF"/>
        </w:rPr>
        <w:t>Ansoff</w:t>
      </w:r>
      <w:proofErr w:type="spellEnd"/>
      <w:r>
        <w:rPr>
          <w:shd w:val="clear" w:color="auto" w:fill="FFFFFF"/>
        </w:rPr>
        <w:t xml:space="preserve"> Matrix.</w:t>
      </w:r>
    </w:p>
    <w:p w:rsidR="00CB2310" w:rsidRPr="00CB2310" w:rsidRDefault="00CB2310" w:rsidP="00CB2310">
      <w:pPr>
        <w:spacing w:line="240" w:lineRule="auto"/>
        <w:ind w:left="851" w:hanging="851"/>
        <w:rPr>
          <w:rFonts w:cs="Times New Roman"/>
          <w:szCs w:val="24"/>
          <w:u w:val="single"/>
        </w:rPr>
      </w:pPr>
      <w:r w:rsidRPr="00CB2310">
        <w:rPr>
          <w:rFonts w:cs="Times New Roman"/>
          <w:szCs w:val="24"/>
          <w:u w:val="single"/>
        </w:rPr>
        <w:t>Online</w:t>
      </w:r>
    </w:p>
    <w:p w:rsidR="00CB2310" w:rsidRPr="00CB2310" w:rsidRDefault="00CB2310" w:rsidP="00CB2310">
      <w:pPr>
        <w:spacing w:line="240" w:lineRule="auto"/>
        <w:ind w:left="851" w:hanging="851"/>
        <w:rPr>
          <w:rFonts w:cs="Times New Roman"/>
          <w:szCs w:val="24"/>
        </w:rPr>
      </w:pPr>
      <w:proofErr w:type="spellStart"/>
      <w:r w:rsidRPr="00CB2310">
        <w:rPr>
          <w:rFonts w:cs="Times New Roman"/>
          <w:szCs w:val="24"/>
        </w:rPr>
        <w:t>Sainsburys</w:t>
      </w:r>
      <w:proofErr w:type="spellEnd"/>
      <w:r w:rsidRPr="00CB2310">
        <w:rPr>
          <w:rFonts w:cs="Times New Roman"/>
          <w:szCs w:val="24"/>
        </w:rPr>
        <w:t>, (2023), Better for the planet, [Online][Accessed through]&lt;</w:t>
      </w:r>
      <w:r w:rsidRPr="00CB2310">
        <w:rPr>
          <w:rFonts w:cs="Times New Roman"/>
          <w:color w:val="000000"/>
          <w:szCs w:val="24"/>
          <w:shd w:val="clear" w:color="auto" w:fill="FFFFFF"/>
        </w:rPr>
        <w:t xml:space="preserve"> Strategic Management &amp; Sustainability</w:t>
      </w:r>
      <w:r w:rsidRPr="00CB2310">
        <w:rPr>
          <w:rFonts w:cs="Times New Roman"/>
          <w:szCs w:val="24"/>
        </w:rPr>
        <w:t>&gt;</w:t>
      </w:r>
    </w:p>
    <w:p w:rsidR="00CB2310" w:rsidRPr="00CB2310" w:rsidRDefault="00CB2310" w:rsidP="00CB2310">
      <w:pPr>
        <w:spacing w:line="240" w:lineRule="auto"/>
        <w:ind w:left="851" w:hanging="851"/>
        <w:rPr>
          <w:rFonts w:cs="Times New Roman"/>
          <w:szCs w:val="24"/>
        </w:rPr>
      </w:pPr>
      <w:proofErr w:type="spellStart"/>
      <w:r w:rsidRPr="00CB2310">
        <w:rPr>
          <w:rFonts w:cs="Times New Roman"/>
          <w:szCs w:val="24"/>
        </w:rPr>
        <w:t>Sainsburys</w:t>
      </w:r>
      <w:proofErr w:type="spellEnd"/>
      <w:r w:rsidRPr="00CB2310">
        <w:rPr>
          <w:rFonts w:cs="Times New Roman"/>
          <w:szCs w:val="24"/>
        </w:rPr>
        <w:t>, (2023), Sustainability, [Online][Accessed through]&lt; https://www.about.sainsburys.co.uk/sustainability&gt;</w:t>
      </w:r>
    </w:p>
    <w:sectPr w:rsidR="00CB2310" w:rsidRPr="00CB2310" w:rsidSect="009802D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7D30B4"/>
    <w:multiLevelType w:val="hybridMultilevel"/>
    <w:tmpl w:val="52ACEC3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9890632"/>
    <w:multiLevelType w:val="hybridMultilevel"/>
    <w:tmpl w:val="D5025B8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EB57B31"/>
    <w:multiLevelType w:val="hybridMultilevel"/>
    <w:tmpl w:val="A29A9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FF6864"/>
    <w:multiLevelType w:val="hybridMultilevel"/>
    <w:tmpl w:val="343C5AD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26736A8"/>
    <w:multiLevelType w:val="hybridMultilevel"/>
    <w:tmpl w:val="8F565B7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3A13C24"/>
    <w:multiLevelType w:val="hybridMultilevel"/>
    <w:tmpl w:val="F99ED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184EB4"/>
    <w:multiLevelType w:val="hybridMultilevel"/>
    <w:tmpl w:val="3146B6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E6170F"/>
    <w:multiLevelType w:val="hybridMultilevel"/>
    <w:tmpl w:val="84D083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C5A5611"/>
    <w:multiLevelType w:val="hybridMultilevel"/>
    <w:tmpl w:val="EE98F654"/>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251965C5"/>
    <w:multiLevelType w:val="hybridMultilevel"/>
    <w:tmpl w:val="230840AE"/>
    <w:lvl w:ilvl="0" w:tplc="08090001">
      <w:start w:val="1"/>
      <w:numFmt w:val="bullet"/>
      <w:lvlText w:val=""/>
      <w:lvlJc w:val="left"/>
      <w:pPr>
        <w:ind w:left="6274" w:hanging="360"/>
      </w:pPr>
      <w:rPr>
        <w:rFonts w:ascii="Symbol" w:hAnsi="Symbol" w:hint="default"/>
      </w:rPr>
    </w:lvl>
    <w:lvl w:ilvl="1" w:tplc="08090003" w:tentative="1">
      <w:start w:val="1"/>
      <w:numFmt w:val="bullet"/>
      <w:lvlText w:val="o"/>
      <w:lvlJc w:val="left"/>
      <w:pPr>
        <w:ind w:left="6994" w:hanging="360"/>
      </w:pPr>
      <w:rPr>
        <w:rFonts w:ascii="Courier New" w:hAnsi="Courier New" w:cs="Courier New" w:hint="default"/>
      </w:rPr>
    </w:lvl>
    <w:lvl w:ilvl="2" w:tplc="08090005" w:tentative="1">
      <w:start w:val="1"/>
      <w:numFmt w:val="bullet"/>
      <w:lvlText w:val=""/>
      <w:lvlJc w:val="left"/>
      <w:pPr>
        <w:ind w:left="7714" w:hanging="360"/>
      </w:pPr>
      <w:rPr>
        <w:rFonts w:ascii="Wingdings" w:hAnsi="Wingdings" w:hint="default"/>
      </w:rPr>
    </w:lvl>
    <w:lvl w:ilvl="3" w:tplc="08090001" w:tentative="1">
      <w:start w:val="1"/>
      <w:numFmt w:val="bullet"/>
      <w:lvlText w:val=""/>
      <w:lvlJc w:val="left"/>
      <w:pPr>
        <w:ind w:left="8434" w:hanging="360"/>
      </w:pPr>
      <w:rPr>
        <w:rFonts w:ascii="Symbol" w:hAnsi="Symbol" w:hint="default"/>
      </w:rPr>
    </w:lvl>
    <w:lvl w:ilvl="4" w:tplc="08090003" w:tentative="1">
      <w:start w:val="1"/>
      <w:numFmt w:val="bullet"/>
      <w:lvlText w:val="o"/>
      <w:lvlJc w:val="left"/>
      <w:pPr>
        <w:ind w:left="9154" w:hanging="360"/>
      </w:pPr>
      <w:rPr>
        <w:rFonts w:ascii="Courier New" w:hAnsi="Courier New" w:cs="Courier New" w:hint="default"/>
      </w:rPr>
    </w:lvl>
    <w:lvl w:ilvl="5" w:tplc="08090005" w:tentative="1">
      <w:start w:val="1"/>
      <w:numFmt w:val="bullet"/>
      <w:lvlText w:val=""/>
      <w:lvlJc w:val="left"/>
      <w:pPr>
        <w:ind w:left="9874" w:hanging="360"/>
      </w:pPr>
      <w:rPr>
        <w:rFonts w:ascii="Wingdings" w:hAnsi="Wingdings" w:hint="default"/>
      </w:rPr>
    </w:lvl>
    <w:lvl w:ilvl="6" w:tplc="08090001" w:tentative="1">
      <w:start w:val="1"/>
      <w:numFmt w:val="bullet"/>
      <w:lvlText w:val=""/>
      <w:lvlJc w:val="left"/>
      <w:pPr>
        <w:ind w:left="10594" w:hanging="360"/>
      </w:pPr>
      <w:rPr>
        <w:rFonts w:ascii="Symbol" w:hAnsi="Symbol" w:hint="default"/>
      </w:rPr>
    </w:lvl>
    <w:lvl w:ilvl="7" w:tplc="08090003" w:tentative="1">
      <w:start w:val="1"/>
      <w:numFmt w:val="bullet"/>
      <w:lvlText w:val="o"/>
      <w:lvlJc w:val="left"/>
      <w:pPr>
        <w:ind w:left="11314" w:hanging="360"/>
      </w:pPr>
      <w:rPr>
        <w:rFonts w:ascii="Courier New" w:hAnsi="Courier New" w:cs="Courier New" w:hint="default"/>
      </w:rPr>
    </w:lvl>
    <w:lvl w:ilvl="8" w:tplc="08090005" w:tentative="1">
      <w:start w:val="1"/>
      <w:numFmt w:val="bullet"/>
      <w:lvlText w:val=""/>
      <w:lvlJc w:val="left"/>
      <w:pPr>
        <w:ind w:left="12034" w:hanging="360"/>
      </w:pPr>
      <w:rPr>
        <w:rFonts w:ascii="Wingdings" w:hAnsi="Wingdings" w:hint="default"/>
      </w:rPr>
    </w:lvl>
  </w:abstractNum>
  <w:abstractNum w:abstractNumId="10" w15:restartNumberingAfterBreak="0">
    <w:nsid w:val="30DA5964"/>
    <w:multiLevelType w:val="hybridMultilevel"/>
    <w:tmpl w:val="158276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22D1C5C"/>
    <w:multiLevelType w:val="hybridMultilevel"/>
    <w:tmpl w:val="7574642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2A653E8"/>
    <w:multiLevelType w:val="hybridMultilevel"/>
    <w:tmpl w:val="4F3AE174"/>
    <w:lvl w:ilvl="0" w:tplc="08090001">
      <w:start w:val="1"/>
      <w:numFmt w:val="bullet"/>
      <w:lvlText w:val=""/>
      <w:lvlJc w:val="left"/>
      <w:pPr>
        <w:ind w:left="6274" w:hanging="360"/>
      </w:pPr>
      <w:rPr>
        <w:rFonts w:ascii="Symbol" w:hAnsi="Symbol" w:hint="default"/>
      </w:rPr>
    </w:lvl>
    <w:lvl w:ilvl="1" w:tplc="08090003" w:tentative="1">
      <w:start w:val="1"/>
      <w:numFmt w:val="bullet"/>
      <w:lvlText w:val="o"/>
      <w:lvlJc w:val="left"/>
      <w:pPr>
        <w:ind w:left="6994" w:hanging="360"/>
      </w:pPr>
      <w:rPr>
        <w:rFonts w:ascii="Courier New" w:hAnsi="Courier New" w:cs="Courier New" w:hint="default"/>
      </w:rPr>
    </w:lvl>
    <w:lvl w:ilvl="2" w:tplc="08090005" w:tentative="1">
      <w:start w:val="1"/>
      <w:numFmt w:val="bullet"/>
      <w:lvlText w:val=""/>
      <w:lvlJc w:val="left"/>
      <w:pPr>
        <w:ind w:left="7714" w:hanging="360"/>
      </w:pPr>
      <w:rPr>
        <w:rFonts w:ascii="Wingdings" w:hAnsi="Wingdings" w:hint="default"/>
      </w:rPr>
    </w:lvl>
    <w:lvl w:ilvl="3" w:tplc="08090001" w:tentative="1">
      <w:start w:val="1"/>
      <w:numFmt w:val="bullet"/>
      <w:lvlText w:val=""/>
      <w:lvlJc w:val="left"/>
      <w:pPr>
        <w:ind w:left="8434" w:hanging="360"/>
      </w:pPr>
      <w:rPr>
        <w:rFonts w:ascii="Symbol" w:hAnsi="Symbol" w:hint="default"/>
      </w:rPr>
    </w:lvl>
    <w:lvl w:ilvl="4" w:tplc="08090003" w:tentative="1">
      <w:start w:val="1"/>
      <w:numFmt w:val="bullet"/>
      <w:lvlText w:val="o"/>
      <w:lvlJc w:val="left"/>
      <w:pPr>
        <w:ind w:left="9154" w:hanging="360"/>
      </w:pPr>
      <w:rPr>
        <w:rFonts w:ascii="Courier New" w:hAnsi="Courier New" w:cs="Courier New" w:hint="default"/>
      </w:rPr>
    </w:lvl>
    <w:lvl w:ilvl="5" w:tplc="08090005" w:tentative="1">
      <w:start w:val="1"/>
      <w:numFmt w:val="bullet"/>
      <w:lvlText w:val=""/>
      <w:lvlJc w:val="left"/>
      <w:pPr>
        <w:ind w:left="9874" w:hanging="360"/>
      </w:pPr>
      <w:rPr>
        <w:rFonts w:ascii="Wingdings" w:hAnsi="Wingdings" w:hint="default"/>
      </w:rPr>
    </w:lvl>
    <w:lvl w:ilvl="6" w:tplc="08090001" w:tentative="1">
      <w:start w:val="1"/>
      <w:numFmt w:val="bullet"/>
      <w:lvlText w:val=""/>
      <w:lvlJc w:val="left"/>
      <w:pPr>
        <w:ind w:left="10594" w:hanging="360"/>
      </w:pPr>
      <w:rPr>
        <w:rFonts w:ascii="Symbol" w:hAnsi="Symbol" w:hint="default"/>
      </w:rPr>
    </w:lvl>
    <w:lvl w:ilvl="7" w:tplc="08090003" w:tentative="1">
      <w:start w:val="1"/>
      <w:numFmt w:val="bullet"/>
      <w:lvlText w:val="o"/>
      <w:lvlJc w:val="left"/>
      <w:pPr>
        <w:ind w:left="11314" w:hanging="360"/>
      </w:pPr>
      <w:rPr>
        <w:rFonts w:ascii="Courier New" w:hAnsi="Courier New" w:cs="Courier New" w:hint="default"/>
      </w:rPr>
    </w:lvl>
    <w:lvl w:ilvl="8" w:tplc="08090005" w:tentative="1">
      <w:start w:val="1"/>
      <w:numFmt w:val="bullet"/>
      <w:lvlText w:val=""/>
      <w:lvlJc w:val="left"/>
      <w:pPr>
        <w:ind w:left="12034" w:hanging="360"/>
      </w:pPr>
      <w:rPr>
        <w:rFonts w:ascii="Wingdings" w:hAnsi="Wingdings" w:hint="default"/>
      </w:rPr>
    </w:lvl>
  </w:abstractNum>
  <w:abstractNum w:abstractNumId="13" w15:restartNumberingAfterBreak="0">
    <w:nsid w:val="338B0EA4"/>
    <w:multiLevelType w:val="hybridMultilevel"/>
    <w:tmpl w:val="CDAAAF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351A66EF"/>
    <w:multiLevelType w:val="hybridMultilevel"/>
    <w:tmpl w:val="6794F0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3C6774A2"/>
    <w:multiLevelType w:val="hybridMultilevel"/>
    <w:tmpl w:val="9580BF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4BE562C8"/>
    <w:multiLevelType w:val="hybridMultilevel"/>
    <w:tmpl w:val="CAC46334"/>
    <w:lvl w:ilvl="0" w:tplc="08090001">
      <w:start w:val="1"/>
      <w:numFmt w:val="bullet"/>
      <w:lvlText w:val=""/>
      <w:lvlJc w:val="left"/>
      <w:pPr>
        <w:ind w:left="6274" w:hanging="360"/>
      </w:pPr>
      <w:rPr>
        <w:rFonts w:ascii="Symbol" w:hAnsi="Symbol" w:hint="default"/>
      </w:rPr>
    </w:lvl>
    <w:lvl w:ilvl="1" w:tplc="08090003" w:tentative="1">
      <w:start w:val="1"/>
      <w:numFmt w:val="bullet"/>
      <w:lvlText w:val="o"/>
      <w:lvlJc w:val="left"/>
      <w:pPr>
        <w:ind w:left="6994" w:hanging="360"/>
      </w:pPr>
      <w:rPr>
        <w:rFonts w:ascii="Courier New" w:hAnsi="Courier New" w:cs="Courier New" w:hint="default"/>
      </w:rPr>
    </w:lvl>
    <w:lvl w:ilvl="2" w:tplc="08090005" w:tentative="1">
      <w:start w:val="1"/>
      <w:numFmt w:val="bullet"/>
      <w:lvlText w:val=""/>
      <w:lvlJc w:val="left"/>
      <w:pPr>
        <w:ind w:left="7714" w:hanging="360"/>
      </w:pPr>
      <w:rPr>
        <w:rFonts w:ascii="Wingdings" w:hAnsi="Wingdings" w:hint="default"/>
      </w:rPr>
    </w:lvl>
    <w:lvl w:ilvl="3" w:tplc="08090001" w:tentative="1">
      <w:start w:val="1"/>
      <w:numFmt w:val="bullet"/>
      <w:lvlText w:val=""/>
      <w:lvlJc w:val="left"/>
      <w:pPr>
        <w:ind w:left="8434" w:hanging="360"/>
      </w:pPr>
      <w:rPr>
        <w:rFonts w:ascii="Symbol" w:hAnsi="Symbol" w:hint="default"/>
      </w:rPr>
    </w:lvl>
    <w:lvl w:ilvl="4" w:tplc="08090003" w:tentative="1">
      <w:start w:val="1"/>
      <w:numFmt w:val="bullet"/>
      <w:lvlText w:val="o"/>
      <w:lvlJc w:val="left"/>
      <w:pPr>
        <w:ind w:left="9154" w:hanging="360"/>
      </w:pPr>
      <w:rPr>
        <w:rFonts w:ascii="Courier New" w:hAnsi="Courier New" w:cs="Courier New" w:hint="default"/>
      </w:rPr>
    </w:lvl>
    <w:lvl w:ilvl="5" w:tplc="08090005" w:tentative="1">
      <w:start w:val="1"/>
      <w:numFmt w:val="bullet"/>
      <w:lvlText w:val=""/>
      <w:lvlJc w:val="left"/>
      <w:pPr>
        <w:ind w:left="9874" w:hanging="360"/>
      </w:pPr>
      <w:rPr>
        <w:rFonts w:ascii="Wingdings" w:hAnsi="Wingdings" w:hint="default"/>
      </w:rPr>
    </w:lvl>
    <w:lvl w:ilvl="6" w:tplc="08090001" w:tentative="1">
      <w:start w:val="1"/>
      <w:numFmt w:val="bullet"/>
      <w:lvlText w:val=""/>
      <w:lvlJc w:val="left"/>
      <w:pPr>
        <w:ind w:left="10594" w:hanging="360"/>
      </w:pPr>
      <w:rPr>
        <w:rFonts w:ascii="Symbol" w:hAnsi="Symbol" w:hint="default"/>
      </w:rPr>
    </w:lvl>
    <w:lvl w:ilvl="7" w:tplc="08090003" w:tentative="1">
      <w:start w:val="1"/>
      <w:numFmt w:val="bullet"/>
      <w:lvlText w:val="o"/>
      <w:lvlJc w:val="left"/>
      <w:pPr>
        <w:ind w:left="11314" w:hanging="360"/>
      </w:pPr>
      <w:rPr>
        <w:rFonts w:ascii="Courier New" w:hAnsi="Courier New" w:cs="Courier New" w:hint="default"/>
      </w:rPr>
    </w:lvl>
    <w:lvl w:ilvl="8" w:tplc="08090005" w:tentative="1">
      <w:start w:val="1"/>
      <w:numFmt w:val="bullet"/>
      <w:lvlText w:val=""/>
      <w:lvlJc w:val="left"/>
      <w:pPr>
        <w:ind w:left="12034" w:hanging="360"/>
      </w:pPr>
      <w:rPr>
        <w:rFonts w:ascii="Wingdings" w:hAnsi="Wingdings" w:hint="default"/>
      </w:rPr>
    </w:lvl>
  </w:abstractNum>
  <w:abstractNum w:abstractNumId="17" w15:restartNumberingAfterBreak="0">
    <w:nsid w:val="51253907"/>
    <w:multiLevelType w:val="hybridMultilevel"/>
    <w:tmpl w:val="037E37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1F56904"/>
    <w:multiLevelType w:val="hybridMultilevel"/>
    <w:tmpl w:val="1ADCDD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D26BB7"/>
    <w:multiLevelType w:val="hybridMultilevel"/>
    <w:tmpl w:val="57A8466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5E8D0697"/>
    <w:multiLevelType w:val="hybridMultilevel"/>
    <w:tmpl w:val="F8D005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AF7A20"/>
    <w:multiLevelType w:val="hybridMultilevel"/>
    <w:tmpl w:val="D55496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5853228"/>
    <w:multiLevelType w:val="hybridMultilevel"/>
    <w:tmpl w:val="6B7E4388"/>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3" w15:restartNumberingAfterBreak="0">
    <w:nsid w:val="76F84A15"/>
    <w:multiLevelType w:val="hybridMultilevel"/>
    <w:tmpl w:val="7F186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7605DC1"/>
    <w:multiLevelType w:val="hybridMultilevel"/>
    <w:tmpl w:val="59DCE474"/>
    <w:lvl w:ilvl="0" w:tplc="EDBCCD52">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5" w15:restartNumberingAfterBreak="0">
    <w:nsid w:val="7A974D9A"/>
    <w:multiLevelType w:val="hybridMultilevel"/>
    <w:tmpl w:val="8BFCC1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7E957417"/>
    <w:multiLevelType w:val="hybridMultilevel"/>
    <w:tmpl w:val="F378FB7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877153145">
    <w:abstractNumId w:val="10"/>
  </w:num>
  <w:num w:numId="2" w16cid:durableId="2006787337">
    <w:abstractNumId w:val="7"/>
  </w:num>
  <w:num w:numId="3" w16cid:durableId="112940710">
    <w:abstractNumId w:val="21"/>
  </w:num>
  <w:num w:numId="4" w16cid:durableId="344013531">
    <w:abstractNumId w:val="25"/>
  </w:num>
  <w:num w:numId="5" w16cid:durableId="2018531104">
    <w:abstractNumId w:val="22"/>
  </w:num>
  <w:num w:numId="6" w16cid:durableId="297492966">
    <w:abstractNumId w:val="8"/>
  </w:num>
  <w:num w:numId="7" w16cid:durableId="1398286757">
    <w:abstractNumId w:val="24"/>
  </w:num>
  <w:num w:numId="8" w16cid:durableId="1810047907">
    <w:abstractNumId w:val="20"/>
  </w:num>
  <w:num w:numId="9" w16cid:durableId="230580963">
    <w:abstractNumId w:val="23"/>
  </w:num>
  <w:num w:numId="10" w16cid:durableId="952394602">
    <w:abstractNumId w:val="5"/>
  </w:num>
  <w:num w:numId="11" w16cid:durableId="1631082908">
    <w:abstractNumId w:val="2"/>
  </w:num>
  <w:num w:numId="12" w16cid:durableId="2064323865">
    <w:abstractNumId w:val="6"/>
  </w:num>
  <w:num w:numId="13" w16cid:durableId="819687968">
    <w:abstractNumId w:val="26"/>
  </w:num>
  <w:num w:numId="14" w16cid:durableId="47190385">
    <w:abstractNumId w:val="15"/>
  </w:num>
  <w:num w:numId="15" w16cid:durableId="55248397">
    <w:abstractNumId w:val="17"/>
  </w:num>
  <w:num w:numId="16" w16cid:durableId="479155963">
    <w:abstractNumId w:val="14"/>
  </w:num>
  <w:num w:numId="17" w16cid:durableId="580917870">
    <w:abstractNumId w:val="13"/>
  </w:num>
  <w:num w:numId="18" w16cid:durableId="1926962484">
    <w:abstractNumId w:val="1"/>
  </w:num>
  <w:num w:numId="19" w16cid:durableId="743798531">
    <w:abstractNumId w:val="0"/>
  </w:num>
  <w:num w:numId="20" w16cid:durableId="1234971011">
    <w:abstractNumId w:val="11"/>
  </w:num>
  <w:num w:numId="21" w16cid:durableId="1140851794">
    <w:abstractNumId w:val="19"/>
  </w:num>
  <w:num w:numId="22" w16cid:durableId="1476558069">
    <w:abstractNumId w:val="3"/>
  </w:num>
  <w:num w:numId="23" w16cid:durableId="1403135128">
    <w:abstractNumId w:val="4"/>
  </w:num>
  <w:num w:numId="24" w16cid:durableId="1063482984">
    <w:abstractNumId w:val="12"/>
  </w:num>
  <w:num w:numId="25" w16cid:durableId="847594784">
    <w:abstractNumId w:val="9"/>
  </w:num>
  <w:num w:numId="26" w16cid:durableId="1323243165">
    <w:abstractNumId w:val="16"/>
  </w:num>
  <w:num w:numId="27" w16cid:durableId="13153109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1182"/>
    <w:rsid w:val="00024E2E"/>
    <w:rsid w:val="000270FC"/>
    <w:rsid w:val="000721E7"/>
    <w:rsid w:val="0008575D"/>
    <w:rsid w:val="000876AB"/>
    <w:rsid w:val="000A207D"/>
    <w:rsid w:val="000C1985"/>
    <w:rsid w:val="000C7404"/>
    <w:rsid w:val="000D26AF"/>
    <w:rsid w:val="000D66E5"/>
    <w:rsid w:val="000D7E6A"/>
    <w:rsid w:val="000F3073"/>
    <w:rsid w:val="000F5FB2"/>
    <w:rsid w:val="000F600E"/>
    <w:rsid w:val="000F7903"/>
    <w:rsid w:val="00110468"/>
    <w:rsid w:val="00113EC1"/>
    <w:rsid w:val="00117940"/>
    <w:rsid w:val="001217BB"/>
    <w:rsid w:val="001442F8"/>
    <w:rsid w:val="001649D9"/>
    <w:rsid w:val="00171AAE"/>
    <w:rsid w:val="00173D25"/>
    <w:rsid w:val="00181945"/>
    <w:rsid w:val="00186219"/>
    <w:rsid w:val="00196CAE"/>
    <w:rsid w:val="001A5C84"/>
    <w:rsid w:val="001B383B"/>
    <w:rsid w:val="001B5DDB"/>
    <w:rsid w:val="001B7850"/>
    <w:rsid w:val="001C0D0D"/>
    <w:rsid w:val="001C6653"/>
    <w:rsid w:val="001E0401"/>
    <w:rsid w:val="001F1EE5"/>
    <w:rsid w:val="001F330B"/>
    <w:rsid w:val="002236B9"/>
    <w:rsid w:val="0023176E"/>
    <w:rsid w:val="0023300F"/>
    <w:rsid w:val="002438DD"/>
    <w:rsid w:val="0024562E"/>
    <w:rsid w:val="00275639"/>
    <w:rsid w:val="002A4FB3"/>
    <w:rsid w:val="002A588E"/>
    <w:rsid w:val="002B0ABA"/>
    <w:rsid w:val="002B4083"/>
    <w:rsid w:val="002D735F"/>
    <w:rsid w:val="002E28B9"/>
    <w:rsid w:val="002F01D8"/>
    <w:rsid w:val="002F135D"/>
    <w:rsid w:val="0030341B"/>
    <w:rsid w:val="003226D9"/>
    <w:rsid w:val="0032293A"/>
    <w:rsid w:val="00340F1B"/>
    <w:rsid w:val="0034420C"/>
    <w:rsid w:val="003557F3"/>
    <w:rsid w:val="003609AF"/>
    <w:rsid w:val="00371869"/>
    <w:rsid w:val="00372A06"/>
    <w:rsid w:val="00397EA4"/>
    <w:rsid w:val="003A616B"/>
    <w:rsid w:val="003A6231"/>
    <w:rsid w:val="003D4F4F"/>
    <w:rsid w:val="003D591A"/>
    <w:rsid w:val="003E60EE"/>
    <w:rsid w:val="0040227B"/>
    <w:rsid w:val="00431582"/>
    <w:rsid w:val="0043536E"/>
    <w:rsid w:val="00452B78"/>
    <w:rsid w:val="0045598D"/>
    <w:rsid w:val="004563C1"/>
    <w:rsid w:val="00463B05"/>
    <w:rsid w:val="004874F7"/>
    <w:rsid w:val="004A5AD2"/>
    <w:rsid w:val="004C1094"/>
    <w:rsid w:val="004C41BB"/>
    <w:rsid w:val="004D5421"/>
    <w:rsid w:val="004E3613"/>
    <w:rsid w:val="004F03ED"/>
    <w:rsid w:val="004F37AE"/>
    <w:rsid w:val="005104DF"/>
    <w:rsid w:val="0051603F"/>
    <w:rsid w:val="005240A9"/>
    <w:rsid w:val="0052411E"/>
    <w:rsid w:val="00524819"/>
    <w:rsid w:val="00536F40"/>
    <w:rsid w:val="00557BB9"/>
    <w:rsid w:val="00561D2E"/>
    <w:rsid w:val="00565457"/>
    <w:rsid w:val="00591182"/>
    <w:rsid w:val="005A566C"/>
    <w:rsid w:val="005A77CA"/>
    <w:rsid w:val="005B3A3A"/>
    <w:rsid w:val="005F7CC1"/>
    <w:rsid w:val="00615B24"/>
    <w:rsid w:val="00630648"/>
    <w:rsid w:val="00631DA9"/>
    <w:rsid w:val="0064219B"/>
    <w:rsid w:val="00644CB9"/>
    <w:rsid w:val="00651269"/>
    <w:rsid w:val="00657045"/>
    <w:rsid w:val="00674024"/>
    <w:rsid w:val="00690548"/>
    <w:rsid w:val="006A6DF6"/>
    <w:rsid w:val="006D6D09"/>
    <w:rsid w:val="006F305B"/>
    <w:rsid w:val="006F5B9F"/>
    <w:rsid w:val="007241C0"/>
    <w:rsid w:val="00733D6B"/>
    <w:rsid w:val="007355B5"/>
    <w:rsid w:val="00761E3D"/>
    <w:rsid w:val="00776FEA"/>
    <w:rsid w:val="00782250"/>
    <w:rsid w:val="00790FF9"/>
    <w:rsid w:val="007B592D"/>
    <w:rsid w:val="007C29F5"/>
    <w:rsid w:val="007D4776"/>
    <w:rsid w:val="007D7909"/>
    <w:rsid w:val="007F2A17"/>
    <w:rsid w:val="007F6535"/>
    <w:rsid w:val="0080306B"/>
    <w:rsid w:val="008074C8"/>
    <w:rsid w:val="00813E23"/>
    <w:rsid w:val="0082200B"/>
    <w:rsid w:val="00823784"/>
    <w:rsid w:val="00832FC9"/>
    <w:rsid w:val="00840B00"/>
    <w:rsid w:val="00847A64"/>
    <w:rsid w:val="0085590B"/>
    <w:rsid w:val="0085632C"/>
    <w:rsid w:val="008677E8"/>
    <w:rsid w:val="008848C2"/>
    <w:rsid w:val="008A6A85"/>
    <w:rsid w:val="008B5526"/>
    <w:rsid w:val="009130BF"/>
    <w:rsid w:val="0091408A"/>
    <w:rsid w:val="00921D2A"/>
    <w:rsid w:val="0093725D"/>
    <w:rsid w:val="009652A6"/>
    <w:rsid w:val="00965B0C"/>
    <w:rsid w:val="009802DB"/>
    <w:rsid w:val="009A447A"/>
    <w:rsid w:val="009B4E5D"/>
    <w:rsid w:val="009C473B"/>
    <w:rsid w:val="009D3261"/>
    <w:rsid w:val="00A0474B"/>
    <w:rsid w:val="00A15DCD"/>
    <w:rsid w:val="00A30049"/>
    <w:rsid w:val="00A67A8E"/>
    <w:rsid w:val="00A735D3"/>
    <w:rsid w:val="00A805C2"/>
    <w:rsid w:val="00A85ECE"/>
    <w:rsid w:val="00A8767A"/>
    <w:rsid w:val="00A92BD1"/>
    <w:rsid w:val="00AA4BD2"/>
    <w:rsid w:val="00AB3C4F"/>
    <w:rsid w:val="00AB5C77"/>
    <w:rsid w:val="00AC0A0B"/>
    <w:rsid w:val="00AC398F"/>
    <w:rsid w:val="00AC531B"/>
    <w:rsid w:val="00AD2FF1"/>
    <w:rsid w:val="00AE16FA"/>
    <w:rsid w:val="00B00914"/>
    <w:rsid w:val="00B102FA"/>
    <w:rsid w:val="00B15007"/>
    <w:rsid w:val="00B23FCA"/>
    <w:rsid w:val="00B265BB"/>
    <w:rsid w:val="00B273E8"/>
    <w:rsid w:val="00B501E6"/>
    <w:rsid w:val="00B53B84"/>
    <w:rsid w:val="00B554FA"/>
    <w:rsid w:val="00B56FC5"/>
    <w:rsid w:val="00B70222"/>
    <w:rsid w:val="00B74266"/>
    <w:rsid w:val="00B80064"/>
    <w:rsid w:val="00B80EF0"/>
    <w:rsid w:val="00B91486"/>
    <w:rsid w:val="00BB718E"/>
    <w:rsid w:val="00BC182C"/>
    <w:rsid w:val="00BD3AFC"/>
    <w:rsid w:val="00BE3DD5"/>
    <w:rsid w:val="00BE5523"/>
    <w:rsid w:val="00BF43AB"/>
    <w:rsid w:val="00C04260"/>
    <w:rsid w:val="00C11333"/>
    <w:rsid w:val="00C34562"/>
    <w:rsid w:val="00C367D4"/>
    <w:rsid w:val="00C506EC"/>
    <w:rsid w:val="00C935B9"/>
    <w:rsid w:val="00CA4E1E"/>
    <w:rsid w:val="00CB2310"/>
    <w:rsid w:val="00CC715D"/>
    <w:rsid w:val="00CD0553"/>
    <w:rsid w:val="00CD3860"/>
    <w:rsid w:val="00CE74EA"/>
    <w:rsid w:val="00CF1A6D"/>
    <w:rsid w:val="00D03AF5"/>
    <w:rsid w:val="00D07935"/>
    <w:rsid w:val="00D1345E"/>
    <w:rsid w:val="00D21A7C"/>
    <w:rsid w:val="00D23804"/>
    <w:rsid w:val="00D42333"/>
    <w:rsid w:val="00D43020"/>
    <w:rsid w:val="00D51C48"/>
    <w:rsid w:val="00D618D6"/>
    <w:rsid w:val="00D72609"/>
    <w:rsid w:val="00D73281"/>
    <w:rsid w:val="00D944CA"/>
    <w:rsid w:val="00D955D0"/>
    <w:rsid w:val="00DA0813"/>
    <w:rsid w:val="00DA4792"/>
    <w:rsid w:val="00DA5A98"/>
    <w:rsid w:val="00DC7F98"/>
    <w:rsid w:val="00DD2F59"/>
    <w:rsid w:val="00DD5FB1"/>
    <w:rsid w:val="00DF52DD"/>
    <w:rsid w:val="00E229A4"/>
    <w:rsid w:val="00E24F21"/>
    <w:rsid w:val="00E332B1"/>
    <w:rsid w:val="00E64F54"/>
    <w:rsid w:val="00E80D5F"/>
    <w:rsid w:val="00E93A7B"/>
    <w:rsid w:val="00EA071C"/>
    <w:rsid w:val="00EA0CDB"/>
    <w:rsid w:val="00EA3817"/>
    <w:rsid w:val="00EB07DB"/>
    <w:rsid w:val="00EC4A2A"/>
    <w:rsid w:val="00F2263C"/>
    <w:rsid w:val="00F2312B"/>
    <w:rsid w:val="00F4602F"/>
    <w:rsid w:val="00F47F33"/>
    <w:rsid w:val="00F97462"/>
    <w:rsid w:val="00FB0D8F"/>
    <w:rsid w:val="00FC2D08"/>
    <w:rsid w:val="00FC33ED"/>
    <w:rsid w:val="00FC6E42"/>
    <w:rsid w:val="00FD2D5C"/>
    <w:rsid w:val="00FD7CC9"/>
    <w:rsid w:val="00FE6C2B"/>
    <w:rsid w:val="00FF5DAC"/>
    <w:rsid w:val="00FF5EB0"/>
    <w:rsid w:val="00FF6A16"/>
  </w:rsids>
  <m:mathPr>
    <m:mathFont m:val="Cambria Math"/>
    <m:brkBin m:val="before"/>
    <m:brkBinSub m:val="--"/>
    <m:smallFrac/>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76CB951-1EBA-40F5-ABA2-4630334FAE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2B4083"/>
    <w:pPr>
      <w:ind w:left="720"/>
      <w:contextualSpacing/>
    </w:pPr>
  </w:style>
  <w:style w:type="table" w:styleId="TableGrid">
    <w:name w:val="Table Grid"/>
    <w:basedOn w:val="TableNormal"/>
    <w:uiPriority w:val="59"/>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E8ADB8C-A124-4ACF-AD6C-3248C01D895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3020</Words>
  <Characters>17216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Lenova</dc:creator>
  <cp:lastModifiedBy>Dimitar Slavov (2029610)</cp:lastModifiedBy>
  <cp:revision>2</cp:revision>
  <dcterms:created xsi:type="dcterms:W3CDTF">2023-12-20T08:47:00Z</dcterms:created>
  <dcterms:modified xsi:type="dcterms:W3CDTF">2023-12-20T08:47:00Z</dcterms:modified>
</cp:coreProperties>
</file>