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4478435" w14:textId="0E041A44" w:rsidR="00ED1049" w:rsidRPr="00046A7C" w:rsidRDefault="00ED1049" w:rsidP="00046A7C">
      <w:pPr>
        <w:pStyle w:val="ListParagraph"/>
        <w:ind w:left="1210"/>
        <w:rPr>
          <w:rFonts w:ascii="Arial" w:hAnsi="Arial" w:cs="Arial"/>
        </w:rPr>
      </w:pPr>
    </w:p>
    <w:p w14:paraId="3A253CFB" w14:textId="77777777" w:rsidR="00ED1049" w:rsidRPr="007D1E05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7D1E05">
        <w:rPr>
          <w:rFonts w:ascii="Arial" w:hAnsi="Arial" w:cs="Arial"/>
          <w:noProof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7D1E05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7D1E05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7D1E05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Pr="007D1E05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30EE32DB" w:rsidR="00ED1049" w:rsidRPr="00032BE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  <w:r w:rsidRPr="00032BE3">
        <w:rPr>
          <w:rFonts w:ascii="Arial" w:hAnsi="Arial" w:cs="Arial"/>
          <w:b/>
          <w:bCs/>
          <w:sz w:val="32"/>
          <w:szCs w:val="32"/>
        </w:rPr>
        <w:t>Student name</w:t>
      </w:r>
      <w:r w:rsidRPr="00032BE3">
        <w:rPr>
          <w:rFonts w:ascii="Arial" w:hAnsi="Arial" w:cs="Arial"/>
          <w:sz w:val="32"/>
          <w:szCs w:val="32"/>
        </w:rPr>
        <w:t>:</w:t>
      </w:r>
      <w:r w:rsidR="00C336D6" w:rsidRPr="00032BE3">
        <w:rPr>
          <w:rFonts w:ascii="Arial" w:hAnsi="Arial" w:cs="Arial"/>
          <w:sz w:val="32"/>
          <w:szCs w:val="32"/>
        </w:rPr>
        <w:t xml:space="preserve"> Sindatche Baldé</w:t>
      </w:r>
    </w:p>
    <w:p w14:paraId="00429E76" w14:textId="6AAC33C1" w:rsidR="00ED1049" w:rsidRPr="00032BE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  <w:r w:rsidRPr="00032BE3">
        <w:rPr>
          <w:rFonts w:ascii="Arial" w:hAnsi="Arial" w:cs="Arial"/>
          <w:b/>
          <w:bCs/>
          <w:sz w:val="32"/>
          <w:szCs w:val="32"/>
        </w:rPr>
        <w:t>Student ID</w:t>
      </w:r>
      <w:r w:rsidRPr="00032BE3">
        <w:rPr>
          <w:rFonts w:ascii="Arial" w:hAnsi="Arial" w:cs="Arial"/>
          <w:sz w:val="32"/>
          <w:szCs w:val="32"/>
        </w:rPr>
        <w:t>:</w:t>
      </w:r>
      <w:r w:rsidR="00C336D6" w:rsidRPr="00032BE3">
        <w:rPr>
          <w:rFonts w:ascii="Arial" w:hAnsi="Arial" w:cs="Arial"/>
          <w:sz w:val="32"/>
          <w:szCs w:val="32"/>
        </w:rPr>
        <w:t xml:space="preserve"> 2233643</w:t>
      </w:r>
    </w:p>
    <w:p w14:paraId="16C5D4A2" w14:textId="77777777" w:rsidR="00ED1049" w:rsidRPr="00032BE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</w:p>
    <w:p w14:paraId="3E7B146F" w14:textId="0B3A5D04" w:rsidR="00ED1049" w:rsidRPr="00032BE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  <w:r w:rsidRPr="00032BE3">
        <w:rPr>
          <w:rFonts w:ascii="Arial" w:hAnsi="Arial" w:cs="Arial"/>
          <w:b/>
          <w:bCs/>
          <w:sz w:val="32"/>
          <w:szCs w:val="32"/>
        </w:rPr>
        <w:t>Module name</w:t>
      </w:r>
      <w:r w:rsidRPr="00032BE3">
        <w:rPr>
          <w:rFonts w:ascii="Arial" w:hAnsi="Arial" w:cs="Arial"/>
          <w:sz w:val="32"/>
          <w:szCs w:val="32"/>
        </w:rPr>
        <w:t xml:space="preserve">: </w:t>
      </w:r>
      <w:r w:rsidR="00C336D6" w:rsidRPr="00032BE3">
        <w:rPr>
          <w:rFonts w:ascii="Arial" w:hAnsi="Arial" w:cs="Arial"/>
          <w:sz w:val="32"/>
          <w:szCs w:val="32"/>
        </w:rPr>
        <w:t>Independent Project</w:t>
      </w:r>
    </w:p>
    <w:p w14:paraId="12CBB668" w14:textId="667E9978" w:rsidR="00ED1049" w:rsidRPr="00032BE3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  <w:r w:rsidRPr="00032BE3">
        <w:rPr>
          <w:rFonts w:ascii="Arial" w:hAnsi="Arial" w:cs="Arial"/>
          <w:b/>
          <w:bCs/>
          <w:sz w:val="32"/>
          <w:szCs w:val="32"/>
        </w:rPr>
        <w:t>Module code</w:t>
      </w:r>
      <w:r w:rsidRPr="00032BE3">
        <w:rPr>
          <w:rFonts w:ascii="Arial" w:hAnsi="Arial" w:cs="Arial"/>
          <w:sz w:val="32"/>
          <w:szCs w:val="32"/>
        </w:rPr>
        <w:t>:</w:t>
      </w:r>
      <w:r w:rsidR="0038119C" w:rsidRPr="00032BE3">
        <w:rPr>
          <w:rFonts w:ascii="Arial" w:hAnsi="Arial" w:cs="Arial"/>
          <w:sz w:val="32"/>
          <w:szCs w:val="32"/>
        </w:rPr>
        <w:t xml:space="preserve"> </w:t>
      </w:r>
      <w:r w:rsidR="00C336D6" w:rsidRPr="00032BE3">
        <w:rPr>
          <w:rFonts w:ascii="Arial" w:hAnsi="Arial" w:cs="Arial"/>
          <w:sz w:val="32"/>
          <w:szCs w:val="32"/>
        </w:rPr>
        <w:t>BMHP6020</w:t>
      </w:r>
    </w:p>
    <w:p w14:paraId="2C2175CB" w14:textId="5DFBCEB8" w:rsidR="00ED1049" w:rsidRPr="00032BE3" w:rsidRDefault="00C336D6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32"/>
          <w:szCs w:val="32"/>
        </w:rPr>
      </w:pPr>
      <w:r w:rsidRPr="00032BE3">
        <w:rPr>
          <w:rFonts w:ascii="Arial" w:hAnsi="Arial" w:cs="Arial"/>
          <w:b/>
          <w:bCs/>
          <w:sz w:val="32"/>
          <w:szCs w:val="32"/>
        </w:rPr>
        <w:t xml:space="preserve">Lecturer: </w:t>
      </w:r>
      <w:r w:rsidRPr="00032BE3">
        <w:rPr>
          <w:rFonts w:ascii="Arial" w:hAnsi="Arial" w:cs="Arial"/>
          <w:bCs/>
          <w:sz w:val="32"/>
          <w:szCs w:val="32"/>
        </w:rPr>
        <w:t>Jolly Nwankwo</w:t>
      </w:r>
    </w:p>
    <w:p w14:paraId="543861DF" w14:textId="77777777" w:rsidR="00ED1049" w:rsidRPr="00F30972" w:rsidRDefault="00ED1049">
      <w:pPr>
        <w:rPr>
          <w:rFonts w:ascii="Arial" w:hAnsi="Arial" w:cs="Arial"/>
          <w:color w:val="FF0000"/>
        </w:rPr>
      </w:pPr>
    </w:p>
    <w:p w14:paraId="6DDBF556" w14:textId="77777777" w:rsidR="00081C9F" w:rsidRDefault="00081C9F" w:rsidP="00C46111">
      <w:pPr>
        <w:rPr>
          <w:color w:val="FF0000"/>
        </w:rPr>
      </w:pPr>
    </w:p>
    <w:p w14:paraId="790ED89F" w14:textId="6BF8CA15" w:rsidR="00081C9F" w:rsidRPr="00081C9F" w:rsidRDefault="00081C9F" w:rsidP="00081C9F">
      <w:pPr>
        <w:jc w:val="center"/>
        <w:rPr>
          <w:color w:val="FF0000"/>
          <w:sz w:val="36"/>
          <w:szCs w:val="36"/>
        </w:rPr>
      </w:pPr>
      <w:r w:rsidRPr="00081C9F">
        <w:rPr>
          <w:rFonts w:ascii="Arial" w:hAnsi="Arial" w:cs="Arial"/>
          <w:b/>
          <w:sz w:val="36"/>
          <w:szCs w:val="36"/>
        </w:rPr>
        <w:t>Exploring</w:t>
      </w:r>
      <w:r w:rsidRPr="00081C9F">
        <w:rPr>
          <w:sz w:val="36"/>
          <w:szCs w:val="36"/>
        </w:rPr>
        <w:t xml:space="preserve"> </w:t>
      </w:r>
      <w:r w:rsidRPr="00081C9F">
        <w:rPr>
          <w:rFonts w:ascii="Arial" w:hAnsi="Arial" w:cs="Arial"/>
          <w:b/>
          <w:bCs/>
          <w:sz w:val="36"/>
          <w:szCs w:val="36"/>
        </w:rPr>
        <w:t>the Role of Health and Social Care Professionals in Addressing Health Inequalities among Low-Income Families in the UK</w:t>
      </w:r>
    </w:p>
    <w:p w14:paraId="160FF05C" w14:textId="58B6D4CE" w:rsidR="00CC0A8F" w:rsidRPr="007D1E05" w:rsidRDefault="00CC0A8F" w:rsidP="00C46111">
      <w:r w:rsidRPr="007D1E05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7D1E05" w14:paraId="600B3A42" w14:textId="77777777" w:rsidTr="0048223F">
        <w:trPr>
          <w:trHeight w:val="2150"/>
          <w:jc w:val="center"/>
        </w:trPr>
        <w:tc>
          <w:tcPr>
            <w:tcW w:w="4534" w:type="dxa"/>
            <w:shd w:val="clear" w:color="auto" w:fill="8EAADB" w:themeFill="accent1" w:themeFillTint="99"/>
          </w:tcPr>
          <w:p w14:paraId="505098AA" w14:textId="19433E82" w:rsidR="00EB6F36" w:rsidRPr="0048223F" w:rsidRDefault="0048223F" w:rsidP="0048223F">
            <w:pPr>
              <w:tabs>
                <w:tab w:val="left" w:pos="3440"/>
              </w:tabs>
              <w:rPr>
                <w:rFonts w:ascii="Arial" w:hAnsi="Arial" w:cs="Arial"/>
                <w:color w:val="E7E6E6" w:themeColor="background2"/>
              </w:rPr>
            </w:pPr>
            <w:r>
              <w:rPr>
                <w:rFonts w:ascii="Arial" w:hAnsi="Arial" w:cs="Arial"/>
                <w:color w:val="E7E6E6" w:themeColor="background2"/>
              </w:rPr>
              <w:lastRenderedPageBreak/>
              <w:tab/>
            </w:r>
          </w:p>
          <w:p w14:paraId="6094E3B0" w14:textId="77777777" w:rsidR="004F43E8" w:rsidRDefault="004F43E8" w:rsidP="004F43E8">
            <w:pPr>
              <w:keepNext/>
              <w:jc w:val="center"/>
            </w:pPr>
            <w:r w:rsidRPr="00BE5EC1">
              <w:rPr>
                <w:noProof/>
                <w:lang w:eastAsia="en-GB"/>
              </w:rPr>
              <w:drawing>
                <wp:inline distT="0" distB="0" distL="0" distR="0" wp14:anchorId="0CE6DCAF" wp14:editId="5D64CE57">
                  <wp:extent cx="2715538" cy="1844040"/>
                  <wp:effectExtent l="0" t="0" r="8890" b="3810"/>
                  <wp:docPr id="10546363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4636355" name=""/>
                          <pic:cNvPicPr/>
                        </pic:nvPicPr>
                        <pic:blipFill rotWithShape="1">
                          <a:blip r:embed="rId13"/>
                          <a:srcRect l="2458" t="12137" b="703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5538" cy="18440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AEFB652" w14:textId="40A2C908" w:rsidR="004F43E8" w:rsidRPr="004F43E8" w:rsidRDefault="004F43E8" w:rsidP="004F43E8">
            <w:pPr>
              <w:pStyle w:val="Caption"/>
              <w:jc w:val="center"/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</w:pP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t xml:space="preserve">Figure </w: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begin"/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instrText xml:space="preserve"> SEQ Figure \* ARABIC </w:instrTex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separate"/>
            </w:r>
            <w:r w:rsidRPr="004F43E8">
              <w:rPr>
                <w:rFonts w:ascii="Arial" w:hAnsi="Arial" w:cs="Arial"/>
                <w:i w:val="0"/>
                <w:iCs w:val="0"/>
                <w:noProof/>
                <w:color w:val="auto"/>
                <w:sz w:val="22"/>
                <w:szCs w:val="22"/>
              </w:rPr>
              <w:t>1</w: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end"/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t>: Use of Relevant Keywords and Boolean Operators</w:t>
            </w:r>
          </w:p>
          <w:p w14:paraId="7C84B224" w14:textId="2165FC83" w:rsidR="00346FFA" w:rsidRPr="007D1E05" w:rsidRDefault="00346FFA" w:rsidP="004F43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6" w:type="dxa"/>
            <w:vMerge w:val="restart"/>
            <w:shd w:val="clear" w:color="auto" w:fill="E7E6E6" w:themeFill="background2"/>
          </w:tcPr>
          <w:p w14:paraId="09B2FC2D" w14:textId="77777777" w:rsidR="00346FFA" w:rsidRPr="007D1E05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00" w:type="dxa"/>
            <w:vMerge w:val="restart"/>
            <w:shd w:val="clear" w:color="auto" w:fill="FBE4D5" w:themeFill="accent2" w:themeFillTint="33"/>
          </w:tcPr>
          <w:p w14:paraId="32810FCF" w14:textId="466CBE9D" w:rsidR="00B67824" w:rsidRPr="00081C9F" w:rsidRDefault="00081C9F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FF0000"/>
                <w:sz w:val="20"/>
                <w:szCs w:val="20"/>
              </w:rPr>
            </w:pPr>
            <w:r w:rsidRPr="00081C9F">
              <w:rPr>
                <w:rStyle w:val="Heading1Char"/>
                <w:rFonts w:ascii="Arial" w:hAnsi="Arial" w:cs="Arial"/>
                <w:b/>
                <w:color w:val="FF0000"/>
                <w:sz w:val="20"/>
                <w:szCs w:val="20"/>
              </w:rPr>
              <w:t>Exploring the Role of Health and Social Care Professionals in Addressing Health Inequalities among Low-Income Families in the UK</w:t>
            </w:r>
          </w:p>
          <w:p w14:paraId="0411DC5A" w14:textId="7C7BE06F" w:rsidR="00A452C8" w:rsidRPr="007D1E05" w:rsidRDefault="00A452C8" w:rsidP="00161B41">
            <w:pPr>
              <w:jc w:val="both"/>
              <w:rPr>
                <w:rFonts w:ascii="Arial" w:eastAsia="Times New Roman" w:hAnsi="Arial" w:cs="Arial"/>
              </w:rPr>
            </w:pPr>
            <w:r w:rsidRPr="007D1E05">
              <w:rPr>
                <w:rFonts w:ascii="Arial" w:eastAsia="Times New Roman" w:hAnsi="Arial" w:cs="Arial"/>
              </w:rPr>
              <w:t>The study aims to explore how frontline health and social care professionals in the UK address health inequalities among low-income families, which a particular focus on their engagement with social determinants of health, interventions strategies and the implications for equitable healthcare policy and access.</w:t>
            </w:r>
          </w:p>
          <w:p w14:paraId="204930E5" w14:textId="605C65C1" w:rsidR="001E5877" w:rsidRPr="001E5877" w:rsidRDefault="001E5877" w:rsidP="00E67B41">
            <w:pPr>
              <w:jc w:val="both"/>
              <w:rPr>
                <w:rFonts w:ascii="Arial" w:hAnsi="Arial" w:cs="Arial"/>
                <w:b/>
              </w:rPr>
            </w:pPr>
            <w:r w:rsidRPr="001E5877">
              <w:rPr>
                <w:rFonts w:ascii="Arial" w:hAnsi="Arial" w:cs="Arial"/>
                <w:b/>
              </w:rPr>
              <w:t>Objective:</w:t>
            </w:r>
          </w:p>
          <w:p w14:paraId="5FCD41A6" w14:textId="0FB2A37D" w:rsidR="001E5877" w:rsidRPr="00A61702" w:rsidRDefault="00A61702" w:rsidP="00A61702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A61702">
              <w:rPr>
                <w:rFonts w:ascii="Arial" w:hAnsi="Arial" w:cs="Arial"/>
                <w:bCs/>
                <w:sz w:val="20"/>
                <w:szCs w:val="20"/>
              </w:rPr>
              <w:t>To critically explore the role of health and social care professional in addressing health inequalities affecting low income families in the UK</w:t>
            </w:r>
            <w:r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  <w:p w14:paraId="498C2556" w14:textId="77777777" w:rsidR="00A61702" w:rsidRPr="00A61702" w:rsidRDefault="00A61702" w:rsidP="00A61702">
            <w:pPr>
              <w:pStyle w:val="ListParagraph"/>
              <w:numPr>
                <w:ilvl w:val="0"/>
                <w:numId w:val="8"/>
              </w:numPr>
              <w:spacing w:after="160" w:line="36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61702">
              <w:rPr>
                <w:rFonts w:ascii="Arial" w:hAnsi="Arial" w:cs="Arial"/>
                <w:bCs/>
                <w:sz w:val="20"/>
                <w:szCs w:val="20"/>
              </w:rPr>
              <w:t>To analyze how social determinants of health such as housing, education, income, and employment influence professional practice and health outcomes.</w:t>
            </w:r>
          </w:p>
          <w:p w14:paraId="14C112C7" w14:textId="2B46990A" w:rsidR="00A61702" w:rsidRPr="00A61702" w:rsidRDefault="00A61702" w:rsidP="00A61702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A61702">
              <w:rPr>
                <w:rFonts w:ascii="Arial" w:hAnsi="Arial" w:cs="Arial"/>
                <w:bCs/>
                <w:sz w:val="20"/>
                <w:szCs w:val="20"/>
              </w:rPr>
              <w:t>To evaluate the effectiveness of current policies and community based interventions in addressing health disparities.</w:t>
            </w:r>
          </w:p>
          <w:p w14:paraId="54832BB5" w14:textId="77777777" w:rsidR="00A61702" w:rsidRPr="00D25443" w:rsidRDefault="00A61702" w:rsidP="00A61702">
            <w:pPr>
              <w:pStyle w:val="ListParagraph"/>
              <w:numPr>
                <w:ilvl w:val="0"/>
                <w:numId w:val="8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A61702">
              <w:rPr>
                <w:rFonts w:ascii="Arial" w:hAnsi="Arial" w:cs="Arial"/>
                <w:bCs/>
                <w:sz w:val="20"/>
                <w:szCs w:val="20"/>
              </w:rPr>
              <w:t>To identify barriers and enablers in frontline service delivery and propose practitioner informed strategies to promote health equity</w:t>
            </w:r>
            <w:r w:rsidRPr="00D25443">
              <w:rPr>
                <w:rFonts w:ascii="Arial" w:hAnsi="Arial" w:cs="Arial"/>
                <w:bCs/>
              </w:rPr>
              <w:t xml:space="preserve">.  </w:t>
            </w:r>
          </w:p>
          <w:p w14:paraId="1C0D0EB8" w14:textId="77777777" w:rsidR="00A61702" w:rsidRPr="00A61702" w:rsidRDefault="00A61702" w:rsidP="00A61702">
            <w:pPr>
              <w:pStyle w:val="ListParagraph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F4FC027" w14:textId="77777777" w:rsidR="0048223F" w:rsidRDefault="0048223F" w:rsidP="0048223F">
            <w:pPr>
              <w:rPr>
                <w:rFonts w:ascii="Arial" w:hAnsi="Arial" w:cs="Arial"/>
              </w:rPr>
            </w:pPr>
          </w:p>
          <w:p w14:paraId="646D5584" w14:textId="46B393BD" w:rsidR="0048223F" w:rsidRPr="0048223F" w:rsidRDefault="0048223F" w:rsidP="0048223F">
            <w:pPr>
              <w:ind w:firstLine="720"/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  <w:shd w:val="clear" w:color="auto" w:fill="E7E6E6" w:themeFill="background2"/>
          </w:tcPr>
          <w:p w14:paraId="51769EE4" w14:textId="77777777" w:rsidR="00346FFA" w:rsidRPr="007D1E05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90" w:type="dxa"/>
            <w:shd w:val="clear" w:color="auto" w:fill="8EAADB" w:themeFill="accent1" w:themeFillTint="99"/>
            <w:vAlign w:val="center"/>
          </w:tcPr>
          <w:p w14:paraId="3BC258AD" w14:textId="77777777" w:rsidR="004F43E8" w:rsidRDefault="00475A22" w:rsidP="004F43E8">
            <w:pPr>
              <w:keepNext/>
              <w:jc w:val="center"/>
            </w:pPr>
            <w:r w:rsidRPr="00F30F74">
              <w:rPr>
                <w:noProof/>
                <w:lang w:eastAsia="en-GB"/>
              </w:rPr>
              <w:drawing>
                <wp:inline distT="0" distB="0" distL="0" distR="0" wp14:anchorId="471D004A" wp14:editId="1701F8AB">
                  <wp:extent cx="2565400" cy="2235200"/>
                  <wp:effectExtent l="76200" t="76200" r="139700" b="127000"/>
                  <wp:docPr id="4616253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6162534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9670" cy="2247633"/>
                          </a:xfrm>
                          <a:prstGeom prst="rect">
                            <a:avLst/>
                          </a:prstGeom>
                          <a:ln w="38100" cap="sq">
                            <a:solidFill>
                              <a:srgbClr val="000000"/>
                            </a:solidFill>
                            <a:prstDash val="solid"/>
                            <a:miter lim="800000"/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717B913E" w14:textId="39CA7309" w:rsidR="00475A22" w:rsidRPr="004F43E8" w:rsidRDefault="004F43E8" w:rsidP="004F43E8">
            <w:pPr>
              <w:pStyle w:val="Caption"/>
              <w:jc w:val="center"/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</w:pP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t xml:space="preserve">Figure </w: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begin"/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instrText xml:space="preserve"> SEQ Figure \* ARABIC </w:instrTex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separate"/>
            </w:r>
            <w:r w:rsidRPr="004F43E8">
              <w:rPr>
                <w:rFonts w:ascii="Arial" w:hAnsi="Arial" w:cs="Arial"/>
                <w:i w:val="0"/>
                <w:iCs w:val="0"/>
                <w:noProof/>
                <w:color w:val="auto"/>
                <w:sz w:val="22"/>
                <w:szCs w:val="22"/>
              </w:rPr>
              <w:t>2</w:t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fldChar w:fldCharType="end"/>
            </w:r>
            <w:r w:rsidRPr="004F43E8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</w:rPr>
              <w:t>: Braun and Clarke Six-Step Thematic Analysis Framework</w:t>
            </w:r>
          </w:p>
          <w:p w14:paraId="4EBA66EC" w14:textId="25C201A6" w:rsidR="00475A22" w:rsidRPr="007D1E05" w:rsidRDefault="00475A22" w:rsidP="00475A22">
            <w:pPr>
              <w:jc w:val="center"/>
              <w:rPr>
                <w:rFonts w:ascii="Arial" w:hAnsi="Arial" w:cs="Arial"/>
              </w:rPr>
            </w:pPr>
            <w:r>
              <w:t xml:space="preserve">Source: </w:t>
            </w:r>
            <w:r w:rsidRPr="00137A92">
              <w:t>McInerney</w:t>
            </w:r>
            <w:r>
              <w:t xml:space="preserve"> et al. (2022)</w:t>
            </w:r>
          </w:p>
        </w:tc>
      </w:tr>
      <w:tr w:rsidR="00346FFA" w:rsidRPr="007D1E05" w14:paraId="6595EC5A" w14:textId="77777777" w:rsidTr="0048223F">
        <w:trPr>
          <w:trHeight w:val="272"/>
          <w:jc w:val="center"/>
        </w:trPr>
        <w:tc>
          <w:tcPr>
            <w:tcW w:w="4534" w:type="dxa"/>
            <w:shd w:val="clear" w:color="auto" w:fill="E7E6E6" w:themeFill="background2"/>
          </w:tcPr>
          <w:p w14:paraId="29C6DD9B" w14:textId="77777777" w:rsidR="00346FFA" w:rsidRPr="007D1E05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shd w:val="clear" w:color="auto" w:fill="E7E6E6" w:themeFill="background2"/>
          </w:tcPr>
          <w:p w14:paraId="4D303ECD" w14:textId="77777777" w:rsidR="00346FFA" w:rsidRPr="007D1E05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00" w:type="dxa"/>
            <w:vMerge/>
            <w:shd w:val="clear" w:color="auto" w:fill="FBE4D5" w:themeFill="accent2" w:themeFillTint="33"/>
          </w:tcPr>
          <w:p w14:paraId="4EE620DA" w14:textId="77777777" w:rsidR="00346FFA" w:rsidRPr="007D1E05" w:rsidRDefault="00346FFA" w:rsidP="00B67824">
            <w:pPr>
              <w:rPr>
                <w:rFonts w:ascii="Arial" w:eastAsia="Century Gothic" w:hAnsi="Arial" w:cs="Arial"/>
                <w:b/>
                <w:color w:val="FFFFFF"/>
                <w:sz w:val="24"/>
              </w:rPr>
            </w:pPr>
          </w:p>
        </w:tc>
        <w:tc>
          <w:tcPr>
            <w:tcW w:w="360" w:type="dxa"/>
            <w:vMerge/>
            <w:shd w:val="clear" w:color="auto" w:fill="E7E6E6" w:themeFill="background2"/>
          </w:tcPr>
          <w:p w14:paraId="6D8737FD" w14:textId="77777777" w:rsidR="00346FFA" w:rsidRPr="007D1E05" w:rsidRDefault="00346FFA" w:rsidP="00B67824">
            <w:pPr>
              <w:rPr>
                <w:rFonts w:ascii="Arial" w:hAnsi="Arial" w:cs="Arial"/>
              </w:rPr>
            </w:pPr>
          </w:p>
        </w:tc>
        <w:tc>
          <w:tcPr>
            <w:tcW w:w="4590" w:type="dxa"/>
            <w:shd w:val="clear" w:color="auto" w:fill="E7E6E6" w:themeFill="background2"/>
          </w:tcPr>
          <w:p w14:paraId="777BDB38" w14:textId="77777777" w:rsidR="00346FFA" w:rsidRPr="0048223F" w:rsidRDefault="00346FFA" w:rsidP="00346FFA">
            <w:pPr>
              <w:pStyle w:val="NoSpacing"/>
              <w:rPr>
                <w:rFonts w:ascii="Arial" w:hAnsi="Arial" w:cs="Arial"/>
                <w:color w:val="E7E6E6" w:themeColor="background2"/>
                <w:lang w:val="en-GB"/>
              </w:rPr>
            </w:pPr>
          </w:p>
        </w:tc>
      </w:tr>
      <w:tr w:rsidR="004642F0" w:rsidRPr="007D1E05" w14:paraId="6C436F7A" w14:textId="77777777" w:rsidTr="0048223F">
        <w:trPr>
          <w:trHeight w:val="2841"/>
          <w:jc w:val="center"/>
        </w:trPr>
        <w:tc>
          <w:tcPr>
            <w:tcW w:w="4534" w:type="dxa"/>
            <w:vMerge w:val="restart"/>
            <w:shd w:val="clear" w:color="auto" w:fill="FFD966" w:themeFill="accent4" w:themeFillTint="99"/>
          </w:tcPr>
          <w:p w14:paraId="43992006" w14:textId="6217EA4B" w:rsidR="00B67824" w:rsidRPr="007D1E05" w:rsidRDefault="00AB14C5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7D1E05">
              <w:rPr>
                <w:rFonts w:ascii="Arial" w:hAnsi="Arial" w:cs="Arial"/>
              </w:rPr>
              <w:t>Methodology</w:t>
            </w:r>
          </w:p>
          <w:p w14:paraId="385AF75D" w14:textId="77777777" w:rsidR="00586352" w:rsidRPr="00182A56" w:rsidRDefault="00586352" w:rsidP="00586352">
            <w:pPr>
              <w:rPr>
                <w:rFonts w:ascii="Arial" w:hAnsi="Arial" w:cs="Arial"/>
                <w:b/>
                <w:bCs/>
                <w:color w:val="1F3864" w:themeColor="accent1" w:themeShade="80"/>
              </w:rPr>
            </w:pPr>
            <w:r w:rsidRPr="00182A56">
              <w:rPr>
                <w:rFonts w:ascii="Arial" w:hAnsi="Arial" w:cs="Arial"/>
                <w:b/>
                <w:bCs/>
                <w:color w:val="1F3864" w:themeColor="accent1" w:themeShade="80"/>
              </w:rPr>
              <w:t>Search Strategy</w:t>
            </w:r>
          </w:p>
          <w:p w14:paraId="14D08DEB" w14:textId="77777777" w:rsidR="00586352" w:rsidRPr="00586352" w:rsidRDefault="00586352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 xml:space="preserve">Clear and comprehensive identification of relevant literature was applied as a search strategy. </w:t>
            </w:r>
          </w:p>
          <w:p w14:paraId="500521C0" w14:textId="77777777" w:rsidR="00586352" w:rsidRPr="00586352" w:rsidRDefault="00586352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 xml:space="preserve">Three databases, PubMed, </w:t>
            </w:r>
            <w:proofErr w:type="spellStart"/>
            <w:r w:rsidRPr="00586352">
              <w:rPr>
                <w:rFonts w:ascii="Arial" w:hAnsi="Arial" w:cs="Arial"/>
                <w:sz w:val="20"/>
                <w:szCs w:val="20"/>
              </w:rPr>
              <w:t>ProQuest</w:t>
            </w:r>
            <w:proofErr w:type="spellEnd"/>
            <w:r w:rsidRPr="00586352">
              <w:rPr>
                <w:rFonts w:ascii="Arial" w:hAnsi="Arial" w:cs="Arial"/>
                <w:sz w:val="20"/>
                <w:szCs w:val="20"/>
              </w:rPr>
              <w:t xml:space="preserve">, and Google scholar, were chosen. </w:t>
            </w:r>
          </w:p>
          <w:p w14:paraId="6FECAD38" w14:textId="77777777" w:rsidR="00586352" w:rsidRDefault="00586352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>Advanced search functions and Boolean operators (AND, OR, NOT) were utilised</w:t>
            </w:r>
            <w:r w:rsidRPr="00A56092">
              <w:rPr>
                <w:rFonts w:ascii="Arial" w:hAnsi="Arial" w:cs="Arial"/>
              </w:rPr>
              <w:t>.</w:t>
            </w:r>
          </w:p>
          <w:p w14:paraId="6E9FC1B1" w14:textId="77777777" w:rsidR="00586352" w:rsidRDefault="00586352" w:rsidP="00586352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1F3864" w:themeColor="accent1" w:themeShade="80"/>
              </w:rPr>
            </w:pPr>
          </w:p>
          <w:p w14:paraId="01D69D83" w14:textId="77777777" w:rsidR="00586352" w:rsidRDefault="00586352" w:rsidP="00586352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1F3864" w:themeColor="accent1" w:themeShade="80"/>
              </w:rPr>
            </w:pPr>
          </w:p>
          <w:p w14:paraId="65BE41D1" w14:textId="77777777" w:rsidR="00586352" w:rsidRDefault="00586352" w:rsidP="0058635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D00B1">
              <w:rPr>
                <w:rFonts w:ascii="Arial" w:hAnsi="Arial" w:cs="Arial"/>
                <w:b/>
                <w:bCs/>
                <w:color w:val="1F3864" w:themeColor="accent1" w:themeShade="80"/>
              </w:rPr>
              <w:lastRenderedPageBreak/>
              <w:t xml:space="preserve">Relevant 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</w:rPr>
              <w:t>K</w:t>
            </w:r>
            <w:r w:rsidRPr="002D00B1">
              <w:rPr>
                <w:rFonts w:ascii="Arial" w:hAnsi="Arial" w:cs="Arial"/>
                <w:b/>
                <w:bCs/>
                <w:color w:val="1F3864" w:themeColor="accent1" w:themeShade="80"/>
              </w:rPr>
              <w:t>eywords</w:t>
            </w:r>
            <w:r w:rsidRPr="002D00B1">
              <w:rPr>
                <w:rFonts w:ascii="Arial" w:hAnsi="Arial" w:cs="Arial"/>
                <w:color w:val="1F3864" w:themeColor="accent1" w:themeShade="80"/>
              </w:rPr>
              <w:t xml:space="preserve"> </w:t>
            </w:r>
          </w:p>
          <w:p w14:paraId="4EEFCE29" w14:textId="77777777" w:rsidR="00586352" w:rsidRPr="00586352" w:rsidRDefault="00586352" w:rsidP="00586352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 xml:space="preserve">Health inequalities, social determinants of health, low-income families, health and social care professionals, policy frameworks, UK healthcare, and health equity. </w:t>
            </w:r>
          </w:p>
          <w:p w14:paraId="60C4CF90" w14:textId="77777777" w:rsidR="00586352" w:rsidRPr="00551F65" w:rsidRDefault="00586352" w:rsidP="00586352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1F3864" w:themeColor="accent1" w:themeShade="80"/>
              </w:rPr>
            </w:pPr>
            <w:r w:rsidRPr="00551F65">
              <w:rPr>
                <w:rFonts w:ascii="Arial" w:hAnsi="Arial" w:cs="Arial"/>
                <w:b/>
                <w:bCs/>
                <w:color w:val="1F3864" w:themeColor="accent1" w:themeShade="80"/>
              </w:rPr>
              <w:t>Inclusion and Exclusion Criteria</w:t>
            </w:r>
          </w:p>
          <w:p w14:paraId="795BAAE4" w14:textId="77777777" w:rsidR="00586352" w:rsidRPr="00586352" w:rsidRDefault="00586352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>The inclusion criteria were based on peer-reviewed articles published in 2015-2025, in the UK, and discussing health disparities of low-income families.</w:t>
            </w:r>
          </w:p>
          <w:p w14:paraId="4CB7D607" w14:textId="3E11E915" w:rsidR="00586352" w:rsidRPr="00586352" w:rsidRDefault="00586352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 xml:space="preserve">The exclusion criteria included pre-2015 research, non-English languages, </w:t>
            </w:r>
            <w:r w:rsidR="0081736C" w:rsidRPr="00586352">
              <w:rPr>
                <w:rFonts w:ascii="Arial" w:hAnsi="Arial" w:cs="Arial"/>
                <w:sz w:val="20"/>
                <w:szCs w:val="20"/>
              </w:rPr>
              <w:t>and studies</w:t>
            </w:r>
            <w:r w:rsidRPr="00586352">
              <w:rPr>
                <w:rFonts w:ascii="Arial" w:hAnsi="Arial" w:cs="Arial"/>
                <w:sz w:val="20"/>
                <w:szCs w:val="20"/>
              </w:rPr>
              <w:t xml:space="preserve"> on a global basis.</w:t>
            </w:r>
          </w:p>
          <w:p w14:paraId="439AA548" w14:textId="13434906" w:rsidR="00586352" w:rsidRPr="00586352" w:rsidRDefault="0081736C" w:rsidP="00586352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586352">
              <w:rPr>
                <w:rFonts w:ascii="Arial" w:hAnsi="Arial" w:cs="Arial"/>
                <w:sz w:val="20"/>
                <w:szCs w:val="20"/>
              </w:rPr>
              <w:t>Reliability</w:t>
            </w:r>
            <w:r w:rsidR="00586352" w:rsidRPr="00586352">
              <w:rPr>
                <w:rFonts w:ascii="Arial" w:hAnsi="Arial" w:cs="Arial"/>
                <w:sz w:val="20"/>
                <w:szCs w:val="20"/>
              </w:rPr>
              <w:t xml:space="preserve"> was ensured through number of searches to guarantee reliability and inclusion of newly published studies (</w:t>
            </w:r>
            <w:proofErr w:type="spellStart"/>
            <w:r w:rsidR="00586352" w:rsidRPr="00586352">
              <w:rPr>
                <w:rFonts w:ascii="Arial" w:hAnsi="Arial" w:cs="Arial"/>
                <w:sz w:val="20"/>
                <w:szCs w:val="20"/>
              </w:rPr>
              <w:t>Gusenbauer</w:t>
            </w:r>
            <w:proofErr w:type="spellEnd"/>
            <w:r w:rsidR="00586352" w:rsidRPr="00586352">
              <w:rPr>
                <w:rFonts w:ascii="Arial" w:hAnsi="Arial" w:cs="Arial"/>
                <w:sz w:val="20"/>
                <w:szCs w:val="20"/>
              </w:rPr>
              <w:t xml:space="preserve"> and </w:t>
            </w:r>
            <w:proofErr w:type="spellStart"/>
            <w:r w:rsidR="00586352" w:rsidRPr="00586352">
              <w:rPr>
                <w:rFonts w:ascii="Arial" w:hAnsi="Arial" w:cs="Arial"/>
                <w:sz w:val="20"/>
                <w:szCs w:val="20"/>
              </w:rPr>
              <w:t>Haddaway</w:t>
            </w:r>
            <w:proofErr w:type="spellEnd"/>
            <w:r w:rsidR="00586352" w:rsidRPr="00586352">
              <w:rPr>
                <w:rFonts w:ascii="Arial" w:hAnsi="Arial" w:cs="Arial"/>
                <w:sz w:val="20"/>
                <w:szCs w:val="20"/>
              </w:rPr>
              <w:t xml:space="preserve">, 2020). </w:t>
            </w:r>
          </w:p>
          <w:p w14:paraId="5DC46BF7" w14:textId="055C8B02" w:rsidR="00EB6F36" w:rsidRPr="00586352" w:rsidRDefault="00EB6F36" w:rsidP="00AB14C5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1B0DF6F" w14:textId="4E09B887" w:rsidR="00586352" w:rsidRPr="00586352" w:rsidRDefault="00586352" w:rsidP="00586352">
            <w:pPr>
              <w:pStyle w:val="ListParagraph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766CB3C2" w14:textId="24E786B8" w:rsidR="00EB6F36" w:rsidRPr="007D1E05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shd w:val="clear" w:color="auto" w:fill="E7E6E6" w:themeFill="background2"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7D1E05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4500" w:type="dxa"/>
            <w:vMerge/>
            <w:shd w:val="clear" w:color="auto" w:fill="FBE4D5" w:themeFill="accent2" w:themeFillTint="33"/>
            <w:vAlign w:val="center"/>
          </w:tcPr>
          <w:p w14:paraId="7D78FDF6" w14:textId="77777777" w:rsidR="004642F0" w:rsidRPr="007D1E05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360" w:type="dxa"/>
            <w:vMerge/>
            <w:shd w:val="clear" w:color="auto" w:fill="E7E6E6" w:themeFill="background2"/>
            <w:vAlign w:val="center"/>
          </w:tcPr>
          <w:p w14:paraId="25B3C4FF" w14:textId="77777777" w:rsidR="004642F0" w:rsidRPr="007D1E05" w:rsidRDefault="004642F0" w:rsidP="00B67824">
            <w:pPr>
              <w:pStyle w:val="NoSpacing"/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4590" w:type="dxa"/>
            <w:vMerge w:val="restart"/>
            <w:shd w:val="clear" w:color="auto" w:fill="C5E0B3" w:themeFill="accent6" w:themeFillTint="66"/>
          </w:tcPr>
          <w:p w14:paraId="7C994393" w14:textId="5EED730A" w:rsidR="00B67824" w:rsidRPr="007D1E05" w:rsidRDefault="00AB14C5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7D1E05">
              <w:rPr>
                <w:rFonts w:ascii="Arial" w:hAnsi="Arial" w:cs="Arial"/>
              </w:rPr>
              <w:t>Data Analysis</w:t>
            </w:r>
          </w:p>
          <w:p w14:paraId="0D24E644" w14:textId="77777777" w:rsidR="0081736C" w:rsidRPr="0081736C" w:rsidRDefault="0081736C" w:rsidP="0081736C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>The thematic analysis was done through the six-phase approach suggested by Braun and Clarke (2006, 2019).</w:t>
            </w:r>
          </w:p>
          <w:p w14:paraId="5BA278C5" w14:textId="77777777" w:rsidR="0081736C" w:rsidRPr="0081736C" w:rsidRDefault="0081736C" w:rsidP="0081736C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 xml:space="preserve">The studies were read to become familiar with the content, essential passages were coded as per the objectives of the research, and probable themes were examined and corrected (Byrne, 2022). </w:t>
            </w:r>
          </w:p>
          <w:p w14:paraId="22F45882" w14:textId="77777777" w:rsidR="0081736C" w:rsidRDefault="0081736C" w:rsidP="0081736C">
            <w:pPr>
              <w:pStyle w:val="ListParagraph"/>
              <w:spacing w:after="0" w:line="360" w:lineRule="auto"/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2F43072" w14:textId="77777777" w:rsidR="0081736C" w:rsidRDefault="0081736C" w:rsidP="0081736C">
            <w:pPr>
              <w:pStyle w:val="ListParagraph"/>
              <w:spacing w:after="0" w:line="360" w:lineRule="auto"/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CF34840" w14:textId="77777777" w:rsidR="0081736C" w:rsidRDefault="0081736C" w:rsidP="0081736C">
            <w:pPr>
              <w:pStyle w:val="ListParagraph"/>
              <w:spacing w:after="0" w:line="360" w:lineRule="auto"/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0F37485" w14:textId="7A252010" w:rsidR="0081736C" w:rsidRDefault="0081736C" w:rsidP="00F37523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lastRenderedPageBreak/>
              <w:t>Themes including "Professional Interventions" and "Socioeconomic Barriers" were outlined to show how health and social care practitioners would maintain low-income families and health equity.</w:t>
            </w:r>
          </w:p>
          <w:p w14:paraId="7D4BFD9F" w14:textId="77777777" w:rsidR="0081736C" w:rsidRPr="0081736C" w:rsidRDefault="0081736C" w:rsidP="0081736C">
            <w:pPr>
              <w:pStyle w:val="ListParagraph"/>
              <w:spacing w:after="0" w:line="360" w:lineRule="auto"/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3AADF4C" w14:textId="1F942BAC" w:rsidR="00B67824" w:rsidRPr="007D1E05" w:rsidRDefault="00D05A2F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7D1E05">
              <w:rPr>
                <w:rFonts w:ascii="Arial" w:hAnsi="Arial" w:cs="Arial"/>
              </w:rPr>
              <w:t>Ethical Considerations</w:t>
            </w:r>
          </w:p>
          <w:p w14:paraId="2F6D976A" w14:textId="3A9AAD87" w:rsidR="00586352" w:rsidRPr="0075646A" w:rsidRDefault="00586352" w:rsidP="00586352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5646A">
              <w:rPr>
                <w:rFonts w:ascii="Arial" w:hAnsi="Arial" w:cs="Arial"/>
              </w:rPr>
              <w:t xml:space="preserve">The research study used secondary data, eliminating </w:t>
            </w:r>
            <w:r w:rsidR="0081736C">
              <w:rPr>
                <w:rFonts w:ascii="Arial" w:hAnsi="Arial" w:cs="Arial"/>
              </w:rPr>
              <w:t xml:space="preserve">the risks of human involvement </w:t>
            </w:r>
            <w:r w:rsidRPr="0075646A">
              <w:rPr>
                <w:rFonts w:ascii="Arial" w:hAnsi="Arial" w:cs="Arial"/>
              </w:rPr>
              <w:t xml:space="preserve">and respecting ethical principles. </w:t>
            </w:r>
          </w:p>
          <w:p w14:paraId="1A56890A" w14:textId="1AAC4C80" w:rsidR="00586352" w:rsidRPr="0075646A" w:rsidRDefault="00586352" w:rsidP="00586352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5646A">
              <w:rPr>
                <w:rFonts w:ascii="Arial" w:hAnsi="Arial" w:cs="Arial"/>
              </w:rPr>
              <w:t xml:space="preserve">Approval for this study was obtained from the University </w:t>
            </w:r>
            <w:proofErr w:type="gramStart"/>
            <w:r w:rsidR="00081C9F">
              <w:rPr>
                <w:rFonts w:ascii="Arial" w:hAnsi="Arial" w:cs="Arial"/>
              </w:rPr>
              <w:t>of</w:t>
            </w:r>
            <w:proofErr w:type="gramEnd"/>
            <w:r w:rsidR="00081C9F">
              <w:rPr>
                <w:rFonts w:ascii="Arial" w:hAnsi="Arial" w:cs="Arial"/>
              </w:rPr>
              <w:t xml:space="preserve"> </w:t>
            </w:r>
            <w:r w:rsidRPr="0075646A">
              <w:rPr>
                <w:rFonts w:ascii="Arial" w:hAnsi="Arial" w:cs="Arial"/>
              </w:rPr>
              <w:t>Wales Trinity Saint David (UWSTD) and the research supervisor.</w:t>
            </w:r>
          </w:p>
          <w:p w14:paraId="4D4507A7" w14:textId="04D3FBB6" w:rsidR="00B67824" w:rsidRPr="00586352" w:rsidRDefault="00586352" w:rsidP="00586352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586352">
              <w:rPr>
                <w:rFonts w:ascii="Arial" w:hAnsi="Arial" w:cs="Arial"/>
              </w:rPr>
              <w:t>The use of peer-reviewed materials minimised the threats associated with the quality of the study (</w:t>
            </w:r>
            <w:proofErr w:type="spellStart"/>
            <w:r w:rsidRPr="00586352">
              <w:rPr>
                <w:rFonts w:ascii="Arial" w:hAnsi="Arial" w:cs="Arial"/>
              </w:rPr>
              <w:t>Tamuhla</w:t>
            </w:r>
            <w:proofErr w:type="spellEnd"/>
            <w:r w:rsidRPr="00586352">
              <w:rPr>
                <w:rFonts w:ascii="Arial" w:hAnsi="Arial" w:cs="Arial"/>
              </w:rPr>
              <w:t xml:space="preserve"> et al., 2023).</w:t>
            </w:r>
          </w:p>
        </w:tc>
      </w:tr>
      <w:tr w:rsidR="004642F0" w:rsidRPr="007D1E05" w14:paraId="7D852EB3" w14:textId="77777777" w:rsidTr="0048223F">
        <w:trPr>
          <w:trHeight w:val="60"/>
          <w:jc w:val="center"/>
        </w:trPr>
        <w:tc>
          <w:tcPr>
            <w:tcW w:w="4534" w:type="dxa"/>
            <w:vMerge/>
            <w:shd w:val="clear" w:color="auto" w:fill="FFD966" w:themeFill="accent4" w:themeFillTint="99"/>
          </w:tcPr>
          <w:p w14:paraId="7218850B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shd w:val="clear" w:color="auto" w:fill="E7E6E6" w:themeFill="background2"/>
          </w:tcPr>
          <w:p w14:paraId="31B4DC3A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00" w:type="dxa"/>
            <w:shd w:val="clear" w:color="auto" w:fill="E7E6E6" w:themeFill="background2"/>
          </w:tcPr>
          <w:p w14:paraId="02715FD6" w14:textId="77777777" w:rsidR="004642F0" w:rsidRPr="007D1E05" w:rsidRDefault="004642F0" w:rsidP="00C46111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/>
            <w:shd w:val="clear" w:color="auto" w:fill="E7E6E6" w:themeFill="background2"/>
          </w:tcPr>
          <w:p w14:paraId="52764226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90" w:type="dxa"/>
            <w:vMerge/>
            <w:shd w:val="clear" w:color="auto" w:fill="C5E0B3" w:themeFill="accent6" w:themeFillTint="66"/>
          </w:tcPr>
          <w:p w14:paraId="1DD4887F" w14:textId="77777777" w:rsidR="004642F0" w:rsidRPr="007D1E05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7D1E05" w14:paraId="6FE6E81E" w14:textId="77777777" w:rsidTr="0048223F">
        <w:trPr>
          <w:trHeight w:val="6431"/>
          <w:jc w:val="center"/>
        </w:trPr>
        <w:tc>
          <w:tcPr>
            <w:tcW w:w="4534" w:type="dxa"/>
            <w:vMerge/>
            <w:shd w:val="clear" w:color="auto" w:fill="FFD966" w:themeFill="accent4" w:themeFillTint="99"/>
          </w:tcPr>
          <w:p w14:paraId="795D7C90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shd w:val="clear" w:color="auto" w:fill="E7E6E6" w:themeFill="background2"/>
          </w:tcPr>
          <w:p w14:paraId="1280A41D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00" w:type="dxa"/>
            <w:shd w:val="clear" w:color="auto" w:fill="D9E2F3" w:themeFill="accent1" w:themeFillTint="33"/>
          </w:tcPr>
          <w:p w14:paraId="61CFAC3B" w14:textId="2FA9836D" w:rsidR="00081C9F" w:rsidRDefault="00450E91" w:rsidP="00EB6F36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drawing>
                <wp:inline distT="0" distB="0" distL="0" distR="0" wp14:anchorId="2F75A72C" wp14:editId="152E6370">
                  <wp:extent cx="2709545" cy="198120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ocial-determinants-of-health-2239x1473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9545" cy="1981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9B8F03" w14:textId="79454CE3" w:rsidR="00EB6F36" w:rsidRPr="007D1E05" w:rsidRDefault="007D1E05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7D1E05">
              <w:rPr>
                <w:rFonts w:ascii="Arial" w:hAnsi="Arial" w:cs="Arial"/>
              </w:rPr>
              <w:t>Data Collection</w:t>
            </w:r>
          </w:p>
          <w:p w14:paraId="7329E79C" w14:textId="77777777" w:rsidR="0081736C" w:rsidRPr="0081736C" w:rsidRDefault="0081736C" w:rsidP="0081736C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>Systematic identification and screening of sources using inclusion and exclusion criteria were conducted for data collection.</w:t>
            </w:r>
          </w:p>
          <w:p w14:paraId="29A74369" w14:textId="77777777" w:rsidR="0081736C" w:rsidRPr="0081736C" w:rsidRDefault="0081736C" w:rsidP="0081736C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 xml:space="preserve">Selected sources were critically appraised through the Critical Appraisal Skills Program (CASP) tool (Long et al., 2020). </w:t>
            </w:r>
          </w:p>
          <w:p w14:paraId="10D1D0D0" w14:textId="77777777" w:rsidR="0081736C" w:rsidRPr="0081736C" w:rsidRDefault="0081736C" w:rsidP="0081736C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>To have in-depth evidence, at least, 10 peer-reviewed journal articles were used.</w:t>
            </w:r>
          </w:p>
          <w:p w14:paraId="6C24B37D" w14:textId="5C4481D8" w:rsidR="00EB6F36" w:rsidRPr="0081736C" w:rsidRDefault="0081736C" w:rsidP="0081736C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81736C">
              <w:rPr>
                <w:rFonts w:ascii="Arial" w:hAnsi="Arial" w:cs="Arial"/>
                <w:sz w:val="20"/>
                <w:szCs w:val="20"/>
              </w:rPr>
              <w:t>The selection conflicts were eliminated by repetition and re-evaluation of discussions.</w:t>
            </w:r>
          </w:p>
        </w:tc>
        <w:tc>
          <w:tcPr>
            <w:tcW w:w="360" w:type="dxa"/>
            <w:vMerge/>
            <w:shd w:val="clear" w:color="auto" w:fill="E7E6E6" w:themeFill="background2"/>
          </w:tcPr>
          <w:p w14:paraId="5706C323" w14:textId="77777777" w:rsidR="004642F0" w:rsidRPr="007D1E05" w:rsidRDefault="004642F0" w:rsidP="00B67824">
            <w:pPr>
              <w:rPr>
                <w:rFonts w:ascii="Arial" w:hAnsi="Arial" w:cs="Arial"/>
              </w:rPr>
            </w:pPr>
          </w:p>
        </w:tc>
        <w:tc>
          <w:tcPr>
            <w:tcW w:w="4590" w:type="dxa"/>
            <w:vMerge/>
            <w:shd w:val="clear" w:color="auto" w:fill="C5E0B3" w:themeFill="accent6" w:themeFillTint="66"/>
          </w:tcPr>
          <w:p w14:paraId="3978F1F4" w14:textId="77777777" w:rsidR="004642F0" w:rsidRPr="007D1E05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95A9D41" w14:textId="27914730" w:rsidR="00B67824" w:rsidRPr="007D1E05" w:rsidRDefault="00B67824" w:rsidP="00C46111"/>
    <w:p w14:paraId="7F4CBBB0" w14:textId="77777777" w:rsidR="00A61702" w:rsidRDefault="00A6170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AADCFFD" w14:textId="77777777" w:rsidR="00A61702" w:rsidRDefault="00A6170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1EC393B9" w14:textId="77777777" w:rsidR="00586352" w:rsidRDefault="0058635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006EE82" w14:textId="77777777" w:rsidR="00586352" w:rsidRDefault="0058635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4F8C3F3" w14:textId="77777777" w:rsidR="00586352" w:rsidRDefault="0058635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910F27B" w14:textId="77777777" w:rsidR="00A61702" w:rsidRDefault="00A6170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A331CCB" w14:textId="77777777" w:rsidR="00A61702" w:rsidRDefault="00A6170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7D1E05">
        <w:rPr>
          <w:rFonts w:ascii="Arial" w:hAnsi="Arial" w:cs="Arial"/>
          <w:b/>
          <w:bCs/>
          <w:sz w:val="28"/>
          <w:szCs w:val="28"/>
        </w:rPr>
        <w:t>References</w:t>
      </w:r>
    </w:p>
    <w:p w14:paraId="1011830D" w14:textId="3096BCE7" w:rsidR="00AF172F" w:rsidRPr="001175F8" w:rsidRDefault="00245AC0" w:rsidP="00AF172F">
      <w:pPr>
        <w:spacing w:line="360" w:lineRule="auto"/>
        <w:jc w:val="both"/>
        <w:rPr>
          <w:rFonts w:ascii="Arial" w:hAnsi="Arial" w:cs="Arial"/>
        </w:rPr>
      </w:pPr>
      <w:r w:rsidRPr="001175F8">
        <w:rPr>
          <w:rFonts w:ascii="Arial" w:hAnsi="Arial" w:cs="Arial"/>
        </w:rPr>
        <w:t>Byrne, D., 2022. A worked example of Braun and Clarke’s approach to reflexive thematic analysis. </w:t>
      </w:r>
      <w:r w:rsidRPr="001175F8">
        <w:rPr>
          <w:rFonts w:ascii="Arial" w:hAnsi="Arial" w:cs="Arial"/>
          <w:i/>
          <w:iCs/>
        </w:rPr>
        <w:t>Quality &amp; quantity</w:t>
      </w:r>
      <w:r w:rsidRPr="001175F8">
        <w:rPr>
          <w:rFonts w:ascii="Arial" w:hAnsi="Arial" w:cs="Arial"/>
        </w:rPr>
        <w:t>, </w:t>
      </w:r>
      <w:r w:rsidRPr="001175F8">
        <w:rPr>
          <w:rFonts w:ascii="Arial" w:hAnsi="Arial" w:cs="Arial"/>
          <w:i/>
          <w:iCs/>
        </w:rPr>
        <w:t>56</w:t>
      </w:r>
      <w:r w:rsidRPr="001175F8">
        <w:rPr>
          <w:rFonts w:ascii="Arial" w:hAnsi="Arial" w:cs="Arial"/>
        </w:rPr>
        <w:t xml:space="preserve">(3), pp.1391-1412. </w:t>
      </w:r>
      <w:r w:rsidR="00AF172F" w:rsidRPr="001175F8">
        <w:rPr>
          <w:rFonts w:ascii="Arial" w:hAnsi="Arial" w:cs="Arial"/>
        </w:rPr>
        <w:t xml:space="preserve">Available at: </w:t>
      </w:r>
      <w:hyperlink r:id="rId16" w:history="1">
        <w:r w:rsidRPr="001175F8">
          <w:rPr>
            <w:rStyle w:val="Hyperlink"/>
            <w:rFonts w:ascii="Arial" w:hAnsi="Arial" w:cs="Arial"/>
            <w:i/>
          </w:rPr>
          <w:t>https://link.springer.com/content/pdf/10.1007/s11135-021-01182-y.pdf</w:t>
        </w:r>
      </w:hyperlink>
      <w:r w:rsidRPr="001175F8">
        <w:rPr>
          <w:rFonts w:ascii="Arial" w:hAnsi="Arial" w:cs="Arial"/>
          <w:i/>
        </w:rPr>
        <w:t xml:space="preserve"> </w:t>
      </w:r>
      <w:r w:rsidR="00AF172F" w:rsidRPr="001175F8">
        <w:rPr>
          <w:rFonts w:ascii="Arial" w:hAnsi="Arial" w:cs="Arial"/>
        </w:rPr>
        <w:t>(Accessed: 22 September 2025</w:t>
      </w:r>
      <w:r w:rsidR="00AF172F" w:rsidRPr="001175F8">
        <w:rPr>
          <w:rFonts w:ascii="Arial" w:hAnsi="Arial" w:cs="Arial"/>
        </w:rPr>
        <w:t xml:space="preserve">). </w:t>
      </w:r>
    </w:p>
    <w:p w14:paraId="4ADA1916" w14:textId="43A7F7A4" w:rsidR="00245AC0" w:rsidRPr="001175F8" w:rsidRDefault="00245AC0" w:rsidP="00DD1E14">
      <w:pPr>
        <w:ind w:left="720" w:hanging="720"/>
        <w:rPr>
          <w:rFonts w:ascii="Arial" w:hAnsi="Arial" w:cs="Arial"/>
          <w:i/>
        </w:rPr>
      </w:pPr>
    </w:p>
    <w:p w14:paraId="2C014626" w14:textId="4A784DCF" w:rsidR="00245AC0" w:rsidRPr="001175F8" w:rsidRDefault="00245AC0" w:rsidP="00DD1E14">
      <w:pPr>
        <w:ind w:left="720" w:hanging="720"/>
        <w:rPr>
          <w:rFonts w:ascii="Arial" w:hAnsi="Arial" w:cs="Arial"/>
          <w:i/>
        </w:rPr>
      </w:pPr>
      <w:r w:rsidRPr="001175F8">
        <w:rPr>
          <w:rFonts w:ascii="Arial" w:hAnsi="Arial" w:cs="Arial"/>
        </w:rPr>
        <w:t>Cooper, C., Booth, A., Varley-Campbell, J., Britten, N. and Garside, R., 2018. Defining the process to literature searching in systematic reviews: a literature review of guidance and supporting studies. </w:t>
      </w:r>
      <w:r w:rsidRPr="001175F8">
        <w:rPr>
          <w:rFonts w:ascii="Arial" w:hAnsi="Arial" w:cs="Arial"/>
          <w:i/>
          <w:iCs/>
        </w:rPr>
        <w:t>BMC medical research methodology</w:t>
      </w:r>
      <w:r w:rsidRPr="001175F8">
        <w:rPr>
          <w:rFonts w:ascii="Arial" w:hAnsi="Arial" w:cs="Arial"/>
        </w:rPr>
        <w:t>, </w:t>
      </w:r>
      <w:r w:rsidRPr="001175F8">
        <w:rPr>
          <w:rFonts w:ascii="Arial" w:hAnsi="Arial" w:cs="Arial"/>
          <w:i/>
          <w:iCs/>
        </w:rPr>
        <w:t>18</w:t>
      </w:r>
      <w:r w:rsidRPr="001175F8">
        <w:rPr>
          <w:rFonts w:ascii="Arial" w:hAnsi="Arial" w:cs="Arial"/>
        </w:rPr>
        <w:t xml:space="preserve">(1), p.85. </w:t>
      </w:r>
      <w:r w:rsidR="00AF172F" w:rsidRPr="001175F8">
        <w:rPr>
          <w:rFonts w:ascii="Arial" w:hAnsi="Arial" w:cs="Arial"/>
        </w:rPr>
        <w:t xml:space="preserve">Available at: </w:t>
      </w:r>
      <w:hyperlink r:id="rId17" w:history="1">
        <w:r w:rsidRPr="001175F8">
          <w:rPr>
            <w:rStyle w:val="Hyperlink"/>
            <w:rFonts w:ascii="Arial" w:hAnsi="Arial" w:cs="Arial"/>
            <w:i/>
          </w:rPr>
          <w:t>https://link.springer.com/content/pdf/10.1186/s12874-018-0545-3.pdf</w:t>
        </w:r>
      </w:hyperlink>
      <w:r w:rsidRPr="001175F8">
        <w:rPr>
          <w:rFonts w:ascii="Arial" w:hAnsi="Arial" w:cs="Arial"/>
          <w:i/>
        </w:rPr>
        <w:t xml:space="preserve"> </w:t>
      </w:r>
      <w:r w:rsidR="001175F8" w:rsidRPr="001175F8">
        <w:rPr>
          <w:rFonts w:ascii="Arial" w:hAnsi="Arial" w:cs="Arial"/>
        </w:rPr>
        <w:t>(Accessed</w:t>
      </w:r>
      <w:r w:rsidR="00AF172F" w:rsidRPr="001175F8">
        <w:rPr>
          <w:rFonts w:ascii="Arial" w:hAnsi="Arial" w:cs="Arial"/>
        </w:rPr>
        <w:t>: 22 September 2025)</w:t>
      </w:r>
    </w:p>
    <w:p w14:paraId="47ECDB86" w14:textId="25FB336F" w:rsidR="00245AC0" w:rsidRPr="001175F8" w:rsidRDefault="00245AC0" w:rsidP="00DD1E14">
      <w:pPr>
        <w:ind w:left="720" w:hanging="720"/>
        <w:rPr>
          <w:rFonts w:ascii="Arial" w:hAnsi="Arial" w:cs="Arial"/>
        </w:rPr>
      </w:pPr>
      <w:r w:rsidRPr="001175F8">
        <w:rPr>
          <w:rFonts w:ascii="Arial" w:hAnsi="Arial" w:cs="Arial"/>
        </w:rPr>
        <w:t>Gusenbauer, M. and Haddaway, N.R., 2020. Which academic search systems are suitable for systematic reviews or meta</w:t>
      </w:r>
      <w:r w:rsidRPr="001175F8">
        <w:rPr>
          <w:rFonts w:ascii="Cambria Math" w:hAnsi="Cambria Math" w:cs="Cambria Math"/>
        </w:rPr>
        <w:t>‐</w:t>
      </w:r>
      <w:r w:rsidRPr="001175F8">
        <w:rPr>
          <w:rFonts w:ascii="Arial" w:hAnsi="Arial" w:cs="Arial"/>
        </w:rPr>
        <w:t>analyses? Evaluating retrieval qualities of Google Scholar, PubMed, and 26 other resources. </w:t>
      </w:r>
      <w:r w:rsidRPr="001175F8">
        <w:rPr>
          <w:rFonts w:ascii="Arial" w:hAnsi="Arial" w:cs="Arial"/>
          <w:i/>
          <w:iCs/>
        </w:rPr>
        <w:t>Research synthesis methods</w:t>
      </w:r>
      <w:r w:rsidRPr="001175F8">
        <w:rPr>
          <w:rFonts w:ascii="Arial" w:hAnsi="Arial" w:cs="Arial"/>
        </w:rPr>
        <w:t>, </w:t>
      </w:r>
      <w:r w:rsidRPr="001175F8">
        <w:rPr>
          <w:rFonts w:ascii="Arial" w:hAnsi="Arial" w:cs="Arial"/>
          <w:i/>
          <w:iCs/>
        </w:rPr>
        <w:t>11</w:t>
      </w:r>
      <w:r w:rsidRPr="001175F8">
        <w:rPr>
          <w:rFonts w:ascii="Arial" w:hAnsi="Arial" w:cs="Arial"/>
        </w:rPr>
        <w:t xml:space="preserve">(2), pp.181-217. </w:t>
      </w:r>
      <w:bookmarkStart w:id="0" w:name="_GoBack"/>
      <w:bookmarkEnd w:id="0"/>
      <w:r w:rsidR="001175F8" w:rsidRPr="001175F8">
        <w:rPr>
          <w:rFonts w:ascii="Arial" w:hAnsi="Arial" w:cs="Arial"/>
        </w:rPr>
        <w:t xml:space="preserve">Available at: </w:t>
      </w:r>
      <w:hyperlink r:id="rId18" w:history="1">
        <w:r w:rsidRPr="001175F8">
          <w:rPr>
            <w:rStyle w:val="Hyperlink"/>
            <w:rFonts w:ascii="Arial" w:hAnsi="Arial" w:cs="Arial"/>
            <w:i/>
          </w:rPr>
          <w:t>https://onlinelibrary.wiley.com/doi/pdf/10.1002%2Fjrsm.1378</w:t>
        </w:r>
      </w:hyperlink>
      <w:r w:rsidRPr="001175F8">
        <w:rPr>
          <w:rFonts w:ascii="Arial" w:hAnsi="Arial" w:cs="Arial"/>
          <w:i/>
        </w:rPr>
        <w:t xml:space="preserve"> </w:t>
      </w:r>
      <w:r w:rsidR="00AF172F" w:rsidRPr="001175F8">
        <w:rPr>
          <w:rFonts w:ascii="Arial" w:hAnsi="Arial" w:cs="Arial"/>
        </w:rPr>
        <w:t>(Accessed: 27september 2025)</w:t>
      </w:r>
    </w:p>
    <w:p w14:paraId="64AE749A" w14:textId="34BF0063" w:rsidR="00245AC0" w:rsidRPr="001175F8" w:rsidRDefault="00245AC0" w:rsidP="00DD1E14">
      <w:pPr>
        <w:ind w:left="720" w:hanging="720"/>
        <w:rPr>
          <w:rFonts w:ascii="Arial" w:hAnsi="Arial" w:cs="Arial"/>
          <w:i/>
        </w:rPr>
      </w:pPr>
      <w:r w:rsidRPr="001175F8">
        <w:rPr>
          <w:rFonts w:ascii="Arial" w:hAnsi="Arial" w:cs="Arial"/>
        </w:rPr>
        <w:t>Long, H.A., French, D.P. and Brooks, J.M., 2020. Optimising the value of the critical appraisal skills programme (CASP) tool for quality appraisal in qualitative evidence synthesis. </w:t>
      </w:r>
      <w:r w:rsidRPr="001175F8">
        <w:rPr>
          <w:rFonts w:ascii="Arial" w:hAnsi="Arial" w:cs="Arial"/>
          <w:i/>
          <w:iCs/>
        </w:rPr>
        <w:t>Research Methods in Medicine &amp; Health Sciences</w:t>
      </w:r>
      <w:r w:rsidRPr="001175F8">
        <w:rPr>
          <w:rFonts w:ascii="Arial" w:hAnsi="Arial" w:cs="Arial"/>
        </w:rPr>
        <w:t>, </w:t>
      </w:r>
      <w:r w:rsidRPr="001175F8">
        <w:rPr>
          <w:rFonts w:ascii="Arial" w:hAnsi="Arial" w:cs="Arial"/>
          <w:i/>
          <w:iCs/>
        </w:rPr>
        <w:t>1</w:t>
      </w:r>
      <w:r w:rsidRPr="001175F8">
        <w:rPr>
          <w:rFonts w:ascii="Arial" w:hAnsi="Arial" w:cs="Arial"/>
        </w:rPr>
        <w:t xml:space="preserve">(1), pp.31-42. </w:t>
      </w:r>
      <w:r w:rsidR="00AF172F" w:rsidRPr="001175F8">
        <w:rPr>
          <w:rFonts w:ascii="Arial" w:hAnsi="Arial" w:cs="Arial"/>
        </w:rPr>
        <w:t>Available at</w:t>
      </w:r>
      <w:r w:rsidR="00AF172F" w:rsidRPr="001175F8">
        <w:rPr>
          <w:rFonts w:ascii="Arial" w:hAnsi="Arial" w:cs="Arial"/>
        </w:rPr>
        <w:t xml:space="preserve">: </w:t>
      </w:r>
      <w:hyperlink r:id="rId19" w:history="1">
        <w:r w:rsidRPr="001175F8">
          <w:rPr>
            <w:rStyle w:val="Hyperlink"/>
            <w:rFonts w:ascii="Arial" w:hAnsi="Arial" w:cs="Arial"/>
            <w:i/>
          </w:rPr>
          <w:t>https://journals.sagepub.com/doi/pdf/10.1177/2632084320947559</w:t>
        </w:r>
      </w:hyperlink>
      <w:r w:rsidRPr="001175F8">
        <w:rPr>
          <w:rFonts w:ascii="Arial" w:hAnsi="Arial" w:cs="Arial"/>
          <w:i/>
        </w:rPr>
        <w:t xml:space="preserve"> </w:t>
      </w:r>
      <w:r w:rsidR="003524A6" w:rsidRPr="001175F8">
        <w:rPr>
          <w:rFonts w:ascii="Arial" w:hAnsi="Arial" w:cs="Arial"/>
        </w:rPr>
        <w:t>(Accessed: 23 September 2025)</w:t>
      </w:r>
    </w:p>
    <w:p w14:paraId="13BC1862" w14:textId="41E0DCE1" w:rsidR="00245AC0" w:rsidRPr="001175F8" w:rsidRDefault="00245AC0" w:rsidP="00DD1E14">
      <w:pPr>
        <w:ind w:left="720" w:hanging="720"/>
        <w:rPr>
          <w:rFonts w:ascii="Arial" w:hAnsi="Arial" w:cs="Arial"/>
        </w:rPr>
      </w:pPr>
      <w:proofErr w:type="spellStart"/>
      <w:r w:rsidRPr="001175F8">
        <w:rPr>
          <w:rFonts w:ascii="Arial" w:hAnsi="Arial" w:cs="Arial"/>
        </w:rPr>
        <w:t>Tamuhla</w:t>
      </w:r>
      <w:proofErr w:type="spellEnd"/>
      <w:r w:rsidRPr="001175F8">
        <w:rPr>
          <w:rFonts w:ascii="Arial" w:hAnsi="Arial" w:cs="Arial"/>
        </w:rPr>
        <w:t xml:space="preserve">, T., </w:t>
      </w:r>
      <w:proofErr w:type="spellStart"/>
      <w:r w:rsidRPr="001175F8">
        <w:rPr>
          <w:rFonts w:ascii="Arial" w:hAnsi="Arial" w:cs="Arial"/>
        </w:rPr>
        <w:t>Lulamba</w:t>
      </w:r>
      <w:proofErr w:type="spellEnd"/>
      <w:r w:rsidRPr="001175F8">
        <w:rPr>
          <w:rFonts w:ascii="Arial" w:hAnsi="Arial" w:cs="Arial"/>
        </w:rPr>
        <w:t xml:space="preserve">, E.T., </w:t>
      </w:r>
      <w:proofErr w:type="spellStart"/>
      <w:r w:rsidRPr="001175F8">
        <w:rPr>
          <w:rFonts w:ascii="Arial" w:hAnsi="Arial" w:cs="Arial"/>
        </w:rPr>
        <w:t>Mutemaringa</w:t>
      </w:r>
      <w:proofErr w:type="spellEnd"/>
      <w:r w:rsidRPr="001175F8">
        <w:rPr>
          <w:rFonts w:ascii="Arial" w:hAnsi="Arial" w:cs="Arial"/>
        </w:rPr>
        <w:t>, T. and Tiffin, N., 2023. Multiple modes of data sharing can facilitate secondary use of sensitive health data for research. </w:t>
      </w:r>
      <w:r w:rsidRPr="001175F8">
        <w:rPr>
          <w:rFonts w:ascii="Arial" w:hAnsi="Arial" w:cs="Arial"/>
          <w:i/>
          <w:iCs/>
        </w:rPr>
        <w:t>BMJ global health</w:t>
      </w:r>
      <w:r w:rsidRPr="001175F8">
        <w:rPr>
          <w:rFonts w:ascii="Arial" w:hAnsi="Arial" w:cs="Arial"/>
        </w:rPr>
        <w:t>, </w:t>
      </w:r>
      <w:r w:rsidRPr="001175F8">
        <w:rPr>
          <w:rFonts w:ascii="Arial" w:hAnsi="Arial" w:cs="Arial"/>
          <w:i/>
          <w:iCs/>
        </w:rPr>
        <w:t>8</w:t>
      </w:r>
      <w:r w:rsidRPr="001175F8">
        <w:rPr>
          <w:rFonts w:ascii="Arial" w:hAnsi="Arial" w:cs="Arial"/>
        </w:rPr>
        <w:t>(10), p.e013092.</w:t>
      </w:r>
      <w:r w:rsidR="003524A6" w:rsidRPr="001175F8">
        <w:rPr>
          <w:rFonts w:ascii="Arial" w:hAnsi="Arial" w:cs="Arial"/>
        </w:rPr>
        <w:t xml:space="preserve"> </w:t>
      </w:r>
      <w:r w:rsidR="003524A6" w:rsidRPr="001175F8">
        <w:rPr>
          <w:rFonts w:ascii="Arial" w:hAnsi="Arial" w:cs="Arial"/>
        </w:rPr>
        <w:t>Available at</w:t>
      </w:r>
      <w:r w:rsidR="003524A6" w:rsidRPr="001175F8">
        <w:rPr>
          <w:rFonts w:ascii="Arial" w:hAnsi="Arial" w:cs="Arial"/>
        </w:rPr>
        <w:t>:</w:t>
      </w:r>
      <w:r w:rsidRPr="001175F8">
        <w:rPr>
          <w:rFonts w:ascii="Arial" w:hAnsi="Arial" w:cs="Arial"/>
        </w:rPr>
        <w:t xml:space="preserve"> </w:t>
      </w:r>
      <w:hyperlink r:id="rId20" w:history="1">
        <w:r w:rsidRPr="001175F8">
          <w:rPr>
            <w:rStyle w:val="Hyperlink"/>
            <w:rFonts w:ascii="Arial" w:hAnsi="Arial" w:cs="Arial"/>
            <w:i/>
          </w:rPr>
          <w:t>https://gh.bmj.com/content/bmjgh/8/10/e013092.full.pdf</w:t>
        </w:r>
      </w:hyperlink>
      <w:r w:rsidRPr="001175F8">
        <w:rPr>
          <w:rFonts w:ascii="Arial" w:hAnsi="Arial" w:cs="Arial"/>
          <w:i/>
        </w:rPr>
        <w:t xml:space="preserve"> </w:t>
      </w:r>
      <w:r w:rsidR="003524A6" w:rsidRPr="001175F8">
        <w:rPr>
          <w:rFonts w:ascii="Arial" w:hAnsi="Arial" w:cs="Arial"/>
        </w:rPr>
        <w:t>(Accessed: 26 September)</w:t>
      </w:r>
    </w:p>
    <w:p w14:paraId="65DE3E0D" w14:textId="77777777" w:rsidR="00DD1E14" w:rsidRPr="001175F8" w:rsidRDefault="00DD1E14" w:rsidP="00C46111">
      <w:pPr>
        <w:rPr>
          <w:rFonts w:ascii="Arial" w:hAnsi="Arial" w:cs="Arial"/>
          <w:b/>
          <w:bCs/>
          <w:i/>
        </w:rPr>
      </w:pPr>
    </w:p>
    <w:p w14:paraId="364E780A" w14:textId="39940913" w:rsidR="00EB6F36" w:rsidRPr="007D1E05" w:rsidRDefault="00EB6F36" w:rsidP="00C46111">
      <w:pPr>
        <w:rPr>
          <w:rFonts w:ascii="Arial" w:hAnsi="Arial" w:cs="Arial"/>
          <w:sz w:val="24"/>
          <w:szCs w:val="24"/>
        </w:rPr>
      </w:pPr>
      <w:r w:rsidRPr="007D1E05"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Pr="007D1E05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1"/>
      <w:headerReference w:type="first" r:id="rId2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3624632" w14:textId="77777777" w:rsidR="00D848F4" w:rsidRPr="007D1E05" w:rsidRDefault="00D848F4" w:rsidP="00D210FA">
      <w:pPr>
        <w:spacing w:after="0"/>
      </w:pPr>
      <w:r w:rsidRPr="007D1E05">
        <w:separator/>
      </w:r>
    </w:p>
  </w:endnote>
  <w:endnote w:type="continuationSeparator" w:id="0">
    <w:p w14:paraId="16DEFFF6" w14:textId="77777777" w:rsidR="00D848F4" w:rsidRPr="007D1E05" w:rsidRDefault="00D848F4" w:rsidP="00D210FA">
      <w:pPr>
        <w:spacing w:after="0"/>
      </w:pPr>
      <w:r w:rsidRPr="007D1E0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43F66D" w14:textId="77777777" w:rsidR="00D848F4" w:rsidRPr="007D1E05" w:rsidRDefault="00D848F4" w:rsidP="00D210FA">
      <w:pPr>
        <w:spacing w:after="0"/>
      </w:pPr>
      <w:r w:rsidRPr="007D1E05">
        <w:separator/>
      </w:r>
    </w:p>
  </w:footnote>
  <w:footnote w:type="continuationSeparator" w:id="0">
    <w:p w14:paraId="2DB5CF0E" w14:textId="77777777" w:rsidR="00D848F4" w:rsidRPr="007D1E05" w:rsidRDefault="00D848F4" w:rsidP="00D210FA">
      <w:pPr>
        <w:spacing w:after="0"/>
      </w:pPr>
      <w:r w:rsidRPr="007D1E05"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20CB3" w14:textId="707AC385" w:rsidR="00CC0A8F" w:rsidRPr="007D1E05" w:rsidRDefault="00346FFA">
    <w:pPr>
      <w:pStyle w:val="Header"/>
    </w:pPr>
    <w:r w:rsidRPr="007D1E05">
      <w:t>`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0F81C2" w14:textId="7149B8E8" w:rsidR="008B0F18" w:rsidRPr="007D1E05" w:rsidRDefault="008B0F18">
    <w:pPr>
      <w:pStyle w:val="Header"/>
    </w:pPr>
  </w:p>
  <w:p w14:paraId="68BF0258" w14:textId="683785A9" w:rsidR="00D210FA" w:rsidRPr="007D1E05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EA0D79"/>
    <w:multiLevelType w:val="hybridMultilevel"/>
    <w:tmpl w:val="2318DB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6C6091E"/>
    <w:multiLevelType w:val="hybridMultilevel"/>
    <w:tmpl w:val="01323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>
    <w:nsid w:val="2A8A2EA0"/>
    <w:multiLevelType w:val="hybridMultilevel"/>
    <w:tmpl w:val="CDB67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212137E"/>
    <w:multiLevelType w:val="hybridMultilevel"/>
    <w:tmpl w:val="A6D6E90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5AF668F"/>
    <w:multiLevelType w:val="hybridMultilevel"/>
    <w:tmpl w:val="2BBE9436"/>
    <w:lvl w:ilvl="0" w:tplc="F5AC56B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BDA08CE"/>
    <w:multiLevelType w:val="hybridMultilevel"/>
    <w:tmpl w:val="D61473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68D614E3"/>
    <w:multiLevelType w:val="hybridMultilevel"/>
    <w:tmpl w:val="D9BC8726"/>
    <w:lvl w:ilvl="0" w:tplc="08090001">
      <w:start w:val="1"/>
      <w:numFmt w:val="bullet"/>
      <w:lvlText w:val=""/>
      <w:lvlJc w:val="left"/>
      <w:pPr>
        <w:ind w:left="12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0" w:hanging="360"/>
      </w:pPr>
      <w:rPr>
        <w:rFonts w:ascii="Wingdings" w:hAnsi="Wingdings" w:hint="default"/>
      </w:rPr>
    </w:lvl>
  </w:abstractNum>
  <w:abstractNum w:abstractNumId="12">
    <w:nsid w:val="6EE935BA"/>
    <w:multiLevelType w:val="hybridMultilevel"/>
    <w:tmpl w:val="12A8191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7C7F6E87"/>
    <w:multiLevelType w:val="hybridMultilevel"/>
    <w:tmpl w:val="4252C7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4"/>
  </w:num>
  <w:num w:numId="4">
    <w:abstractNumId w:val="15"/>
  </w:num>
  <w:num w:numId="5">
    <w:abstractNumId w:val="7"/>
  </w:num>
  <w:num w:numId="6">
    <w:abstractNumId w:val="5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1"/>
  </w:num>
  <w:num w:numId="12">
    <w:abstractNumId w:val="13"/>
  </w:num>
  <w:num w:numId="13">
    <w:abstractNumId w:val="9"/>
  </w:num>
  <w:num w:numId="14">
    <w:abstractNumId w:val="6"/>
  </w:num>
  <w:num w:numId="15">
    <w:abstractNumId w:val="0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doNotDisplayPageBoundarie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C19"/>
    <w:rsid w:val="00002366"/>
    <w:rsid w:val="00023293"/>
    <w:rsid w:val="00032BE3"/>
    <w:rsid w:val="00046A7C"/>
    <w:rsid w:val="00061977"/>
    <w:rsid w:val="00081C9F"/>
    <w:rsid w:val="0008782A"/>
    <w:rsid w:val="000A065A"/>
    <w:rsid w:val="000E359A"/>
    <w:rsid w:val="00106FC5"/>
    <w:rsid w:val="001175F8"/>
    <w:rsid w:val="00120DEC"/>
    <w:rsid w:val="00123C19"/>
    <w:rsid w:val="00161B41"/>
    <w:rsid w:val="001C55B6"/>
    <w:rsid w:val="001D6CC4"/>
    <w:rsid w:val="001D7C0A"/>
    <w:rsid w:val="001E5877"/>
    <w:rsid w:val="00206405"/>
    <w:rsid w:val="00245AC0"/>
    <w:rsid w:val="00253267"/>
    <w:rsid w:val="002823CD"/>
    <w:rsid w:val="00287787"/>
    <w:rsid w:val="00291685"/>
    <w:rsid w:val="002B0A3D"/>
    <w:rsid w:val="003007A7"/>
    <w:rsid w:val="003257E1"/>
    <w:rsid w:val="00325DEC"/>
    <w:rsid w:val="00337B3C"/>
    <w:rsid w:val="00346FFA"/>
    <w:rsid w:val="003524A6"/>
    <w:rsid w:val="0038119C"/>
    <w:rsid w:val="003A3069"/>
    <w:rsid w:val="003B2D42"/>
    <w:rsid w:val="003C20B5"/>
    <w:rsid w:val="003E545F"/>
    <w:rsid w:val="003F03D2"/>
    <w:rsid w:val="003F1E1A"/>
    <w:rsid w:val="00402454"/>
    <w:rsid w:val="004045E5"/>
    <w:rsid w:val="00421496"/>
    <w:rsid w:val="00422C27"/>
    <w:rsid w:val="0044367C"/>
    <w:rsid w:val="00450E91"/>
    <w:rsid w:val="004642F0"/>
    <w:rsid w:val="00475A22"/>
    <w:rsid w:val="0047624F"/>
    <w:rsid w:val="0048223F"/>
    <w:rsid w:val="004912D1"/>
    <w:rsid w:val="0049455A"/>
    <w:rsid w:val="004950DC"/>
    <w:rsid w:val="004F43E8"/>
    <w:rsid w:val="00500564"/>
    <w:rsid w:val="0051102B"/>
    <w:rsid w:val="005261D4"/>
    <w:rsid w:val="005838BC"/>
    <w:rsid w:val="00586352"/>
    <w:rsid w:val="005B57E1"/>
    <w:rsid w:val="005E61E0"/>
    <w:rsid w:val="005F0F31"/>
    <w:rsid w:val="006024ED"/>
    <w:rsid w:val="0061793F"/>
    <w:rsid w:val="0062123A"/>
    <w:rsid w:val="006261FD"/>
    <w:rsid w:val="006605F8"/>
    <w:rsid w:val="006676A1"/>
    <w:rsid w:val="00667CFB"/>
    <w:rsid w:val="006833BD"/>
    <w:rsid w:val="006A1254"/>
    <w:rsid w:val="006D2642"/>
    <w:rsid w:val="006E2D42"/>
    <w:rsid w:val="00720FEE"/>
    <w:rsid w:val="00764B6F"/>
    <w:rsid w:val="00783044"/>
    <w:rsid w:val="00784820"/>
    <w:rsid w:val="007C7319"/>
    <w:rsid w:val="007D1E05"/>
    <w:rsid w:val="007D43B3"/>
    <w:rsid w:val="007F20B4"/>
    <w:rsid w:val="007F525E"/>
    <w:rsid w:val="007F55D7"/>
    <w:rsid w:val="0081736C"/>
    <w:rsid w:val="0082695D"/>
    <w:rsid w:val="0083044C"/>
    <w:rsid w:val="0085182D"/>
    <w:rsid w:val="00854440"/>
    <w:rsid w:val="00867E5F"/>
    <w:rsid w:val="008709F5"/>
    <w:rsid w:val="00877A91"/>
    <w:rsid w:val="00884E86"/>
    <w:rsid w:val="008927FF"/>
    <w:rsid w:val="008B0F18"/>
    <w:rsid w:val="008E17B7"/>
    <w:rsid w:val="008E3921"/>
    <w:rsid w:val="008F4746"/>
    <w:rsid w:val="0090027B"/>
    <w:rsid w:val="00905238"/>
    <w:rsid w:val="0094702A"/>
    <w:rsid w:val="00967DAB"/>
    <w:rsid w:val="00990E76"/>
    <w:rsid w:val="00991A53"/>
    <w:rsid w:val="00996F4E"/>
    <w:rsid w:val="009A728C"/>
    <w:rsid w:val="009B538B"/>
    <w:rsid w:val="009F71FE"/>
    <w:rsid w:val="00A26F46"/>
    <w:rsid w:val="00A31F33"/>
    <w:rsid w:val="00A452C8"/>
    <w:rsid w:val="00A61702"/>
    <w:rsid w:val="00A70A62"/>
    <w:rsid w:val="00A71DA8"/>
    <w:rsid w:val="00AB1210"/>
    <w:rsid w:val="00AB14C5"/>
    <w:rsid w:val="00AB770D"/>
    <w:rsid w:val="00AF172F"/>
    <w:rsid w:val="00AF2088"/>
    <w:rsid w:val="00AF5FB0"/>
    <w:rsid w:val="00B0080A"/>
    <w:rsid w:val="00B0538C"/>
    <w:rsid w:val="00B37AB8"/>
    <w:rsid w:val="00B418DE"/>
    <w:rsid w:val="00B47FE7"/>
    <w:rsid w:val="00B67824"/>
    <w:rsid w:val="00B75621"/>
    <w:rsid w:val="00BD60F9"/>
    <w:rsid w:val="00BE15BA"/>
    <w:rsid w:val="00C20ED0"/>
    <w:rsid w:val="00C336D6"/>
    <w:rsid w:val="00C348A8"/>
    <w:rsid w:val="00C46111"/>
    <w:rsid w:val="00C83332"/>
    <w:rsid w:val="00C859B1"/>
    <w:rsid w:val="00C95E04"/>
    <w:rsid w:val="00CC0A8F"/>
    <w:rsid w:val="00CC24B6"/>
    <w:rsid w:val="00CD3A64"/>
    <w:rsid w:val="00CE08CD"/>
    <w:rsid w:val="00D05A2F"/>
    <w:rsid w:val="00D0664A"/>
    <w:rsid w:val="00D210FA"/>
    <w:rsid w:val="00D30F1D"/>
    <w:rsid w:val="00D57231"/>
    <w:rsid w:val="00D65F9B"/>
    <w:rsid w:val="00D848F4"/>
    <w:rsid w:val="00D87B48"/>
    <w:rsid w:val="00D91203"/>
    <w:rsid w:val="00D94FD1"/>
    <w:rsid w:val="00DD1E14"/>
    <w:rsid w:val="00E41692"/>
    <w:rsid w:val="00E55D74"/>
    <w:rsid w:val="00E67B41"/>
    <w:rsid w:val="00E81234"/>
    <w:rsid w:val="00E9037E"/>
    <w:rsid w:val="00EA120D"/>
    <w:rsid w:val="00EA22AB"/>
    <w:rsid w:val="00EA49C3"/>
    <w:rsid w:val="00EB5E14"/>
    <w:rsid w:val="00EB6F36"/>
    <w:rsid w:val="00ED1049"/>
    <w:rsid w:val="00EE19D9"/>
    <w:rsid w:val="00EF26FC"/>
    <w:rsid w:val="00F30972"/>
    <w:rsid w:val="00F37523"/>
    <w:rsid w:val="00F50168"/>
    <w:rsid w:val="00F50D34"/>
    <w:rsid w:val="00F61360"/>
    <w:rsid w:val="00F750D0"/>
    <w:rsid w:val="00FA076E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6111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DD1E1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F43E8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onlinelibrary.wiley.com/doi/pdf/10.1002%2Fjrsm.1378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link.springer.com/content/pdf/10.1186/s12874-018-0545-3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content/pdf/10.1007/s11135-021-01182-y.pdf" TargetMode="External"/><Relationship Id="rId20" Type="http://schemas.openxmlformats.org/officeDocument/2006/relationships/hyperlink" Target="https://gh.bmj.com/content/bmjgh/8/10/e013092.full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journals.sagepub.com/doi/pdf/10.1177/2632084320947559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8E4EE65-E8F6-41BB-B4AC-2D487A4C49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863</Words>
  <Characters>4923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2025-10-06T14:09:00Z</dcterms:created>
  <dcterms:modified xsi:type="dcterms:W3CDTF">2025-10-16T18:47:00Z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