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3F295" w14:textId="1EB3A58C" w:rsidR="000948AF" w:rsidRDefault="000948AF" w:rsidP="000948AF">
      <w:pPr>
        <w:pStyle w:val="NormalWeb"/>
        <w:shd w:val="clear" w:color="auto" w:fill="FFFFFF"/>
        <w:spacing w:before="360" w:beforeAutospacing="0" w:after="360" w:afterAutospacing="0"/>
        <w:jc w:val="both"/>
        <w:rPr>
          <w:rFonts w:ascii="Arial" w:hAnsi="Arial" w:cs="Arial"/>
          <w:b/>
          <w:bCs/>
          <w:color w:val="3A343A"/>
          <w:sz w:val="30"/>
          <w:szCs w:val="30"/>
        </w:rPr>
      </w:pPr>
      <w:r>
        <w:rPr>
          <w:rFonts w:ascii="Arial" w:hAnsi="Arial" w:cs="Arial"/>
          <w:b/>
          <w:bCs/>
          <w:color w:val="3A343A"/>
          <w:kern w:val="36"/>
          <w:sz w:val="48"/>
          <w:szCs w:val="48"/>
        </w:rPr>
        <w:t>L</w:t>
      </w:r>
      <w:r w:rsidRPr="000948AF">
        <w:rPr>
          <w:rFonts w:ascii="Arial" w:hAnsi="Arial" w:cs="Arial"/>
          <w:b/>
          <w:bCs/>
          <w:color w:val="3A343A"/>
          <w:kern w:val="36"/>
          <w:sz w:val="48"/>
          <w:szCs w:val="48"/>
        </w:rPr>
        <w:t xml:space="preserve">earner </w:t>
      </w:r>
      <w:r>
        <w:rPr>
          <w:rFonts w:ascii="Arial" w:hAnsi="Arial" w:cs="Arial"/>
          <w:b/>
          <w:bCs/>
          <w:color w:val="3A343A"/>
          <w:kern w:val="36"/>
          <w:sz w:val="48"/>
          <w:szCs w:val="48"/>
        </w:rPr>
        <w:t>A</w:t>
      </w:r>
      <w:r w:rsidRPr="000948AF">
        <w:rPr>
          <w:rFonts w:ascii="Arial" w:hAnsi="Arial" w:cs="Arial"/>
          <w:b/>
          <w:bCs/>
          <w:color w:val="3A343A"/>
          <w:kern w:val="36"/>
          <w:sz w:val="48"/>
          <w:szCs w:val="48"/>
        </w:rPr>
        <w:t>utonomy</w:t>
      </w:r>
      <w:r w:rsidRPr="000948AF">
        <w:rPr>
          <w:rFonts w:ascii="Arial" w:hAnsi="Arial" w:cs="Arial"/>
          <w:b/>
          <w:bCs/>
          <w:color w:val="3A343A"/>
          <w:sz w:val="30"/>
          <w:szCs w:val="30"/>
        </w:rPr>
        <w:t xml:space="preserve"> </w:t>
      </w:r>
    </w:p>
    <w:p w14:paraId="3CB29F38" w14:textId="51642FA0" w:rsidR="000948AF" w:rsidRDefault="000948AF" w:rsidP="000948AF">
      <w:pPr>
        <w:pStyle w:val="NormalWeb"/>
        <w:shd w:val="clear" w:color="auto" w:fill="FFFFFF"/>
        <w:spacing w:before="360" w:beforeAutospacing="0" w:after="360" w:afterAutospacing="0"/>
        <w:rPr>
          <w:rFonts w:ascii="Arial" w:hAnsi="Arial" w:cs="Arial"/>
          <w:b/>
          <w:bCs/>
          <w:color w:val="3A343A"/>
          <w:sz w:val="30"/>
          <w:szCs w:val="30"/>
        </w:rPr>
      </w:pPr>
      <w:r w:rsidRPr="000948AF">
        <w:rPr>
          <w:rFonts w:ascii="Arial" w:hAnsi="Arial" w:cs="Arial"/>
          <w:b/>
          <w:bCs/>
          <w:color w:val="3A343A"/>
          <w:sz w:val="30"/>
          <w:szCs w:val="30"/>
        </w:rPr>
        <w:t>If</w:t>
      </w:r>
      <w:r>
        <w:rPr>
          <w:rFonts w:ascii="Arial" w:hAnsi="Arial" w:cs="Arial"/>
          <w:b/>
          <w:bCs/>
          <w:color w:val="3A343A"/>
          <w:sz w:val="30"/>
          <w:szCs w:val="30"/>
        </w:rPr>
        <w:t xml:space="preserve"> you were to check a dictionary for the meaning of autonomy, you would likely find definitions that put some emphasis on ideas of independence and self-determination. Such ideas have informed how applied linguists have understood autonomy in the context of foreign and second language learning. However, as Phil Benson (2001) argues, learner autonomy in our field is viewed as a multifaceted concept which has been understood and promoted in a range of differing ways.</w:t>
      </w:r>
    </w:p>
    <w:p w14:paraId="2B930BC0"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Think about the sorts of classrooms you have experienced as a learner. Who was in control of the lessons? How would you describe your classroom experiences?</w:t>
      </w:r>
    </w:p>
    <w:p w14:paraId="43368783"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Style w:val="Strong"/>
          <w:rFonts w:ascii="Arial" w:hAnsi="Arial" w:cs="Arial"/>
          <w:color w:val="3A343A"/>
          <w:sz w:val="23"/>
          <w:szCs w:val="23"/>
          <w:vertAlign w:val="superscript"/>
        </w:rPr>
        <w:t>Reference</w:t>
      </w:r>
      <w:r>
        <w:rPr>
          <w:rFonts w:ascii="Arial" w:hAnsi="Arial" w:cs="Arial"/>
          <w:color w:val="3A343A"/>
          <w:sz w:val="23"/>
          <w:szCs w:val="23"/>
          <w:vertAlign w:val="superscript"/>
        </w:rPr>
        <w:t>: Benson, P. (2001) </w:t>
      </w:r>
      <w:r>
        <w:rPr>
          <w:rStyle w:val="Emphasis"/>
          <w:rFonts w:ascii="Arial" w:hAnsi="Arial" w:cs="Arial"/>
          <w:color w:val="3A343A"/>
          <w:sz w:val="23"/>
          <w:szCs w:val="23"/>
          <w:vertAlign w:val="superscript"/>
        </w:rPr>
        <w:t>Teaching and Researching Autonomy in Language Learning</w:t>
      </w:r>
      <w:r>
        <w:rPr>
          <w:rFonts w:ascii="Arial" w:hAnsi="Arial" w:cs="Arial"/>
          <w:color w:val="3A343A"/>
          <w:sz w:val="23"/>
          <w:szCs w:val="23"/>
          <w:vertAlign w:val="superscript"/>
        </w:rPr>
        <w:t>. Harlow: Longman.</w:t>
      </w:r>
    </w:p>
    <w:p w14:paraId="20530586" w14:textId="0AE1D714" w:rsidR="0018568B" w:rsidRDefault="0018568B"/>
    <w:p w14:paraId="1504DDDB" w14:textId="76BFC7E3" w:rsidR="000948AF" w:rsidRDefault="000948AF">
      <w:r>
        <w:br w:type="page"/>
      </w:r>
    </w:p>
    <w:p w14:paraId="03BD91E7" w14:textId="77777777" w:rsidR="000948AF" w:rsidRPr="000948AF" w:rsidRDefault="000948AF" w:rsidP="000948AF">
      <w:pPr>
        <w:shd w:val="clear" w:color="auto" w:fill="FFFFFF"/>
        <w:spacing w:before="100" w:beforeAutospacing="1" w:after="100" w:afterAutospacing="1" w:line="240" w:lineRule="auto"/>
        <w:outlineLvl w:val="0"/>
        <w:rPr>
          <w:rFonts w:ascii="Arial" w:eastAsia="Times New Roman" w:hAnsi="Arial" w:cs="Arial"/>
          <w:b/>
          <w:bCs/>
          <w:color w:val="3A343A"/>
          <w:kern w:val="36"/>
          <w:sz w:val="48"/>
          <w:szCs w:val="48"/>
          <w:lang w:eastAsia="en-GB"/>
        </w:rPr>
      </w:pPr>
      <w:r w:rsidRPr="000948AF">
        <w:rPr>
          <w:rFonts w:ascii="Arial" w:eastAsia="Times New Roman" w:hAnsi="Arial" w:cs="Arial"/>
          <w:b/>
          <w:bCs/>
          <w:color w:val="3A343A"/>
          <w:kern w:val="36"/>
          <w:sz w:val="48"/>
          <w:szCs w:val="48"/>
          <w:lang w:eastAsia="en-GB"/>
        </w:rPr>
        <w:lastRenderedPageBreak/>
        <w:t>Key definitions of learner autonomy</w:t>
      </w:r>
    </w:p>
    <w:p w14:paraId="3187E5D3" w14:textId="4CD5B5E2" w:rsidR="000948AF" w:rsidRDefault="000948AF" w:rsidP="000948AF">
      <w:pPr>
        <w:shd w:val="clear" w:color="auto" w:fill="FFFFFF"/>
        <w:spacing w:before="360" w:after="360" w:line="240" w:lineRule="auto"/>
        <w:rPr>
          <w:rFonts w:ascii="Arial" w:eastAsia="Times New Roman" w:hAnsi="Arial" w:cs="Arial"/>
          <w:b/>
          <w:bCs/>
          <w:color w:val="3A343A"/>
          <w:sz w:val="30"/>
          <w:szCs w:val="30"/>
          <w:lang w:eastAsia="en-GB"/>
        </w:rPr>
      </w:pPr>
      <w:r w:rsidRPr="000948AF">
        <w:rPr>
          <w:rFonts w:ascii="Arial" w:eastAsia="Times New Roman" w:hAnsi="Arial" w:cs="Arial"/>
          <w:b/>
          <w:bCs/>
          <w:color w:val="3A343A"/>
          <w:sz w:val="30"/>
          <w:szCs w:val="30"/>
          <w:lang w:eastAsia="en-GB"/>
        </w:rPr>
        <w:t xml:space="preserve">Let’s now consider some key definitions and insights. Benson (2001: 47) offers the following broad definition: “the capacity to take charge of, or responsibility for, one’s own learning”. While the idea of learner autonomy in education has a long history, it is generally recognised that interest emerged in our field in the 1970s with work by researchers at the Centre de </w:t>
      </w:r>
      <w:proofErr w:type="spellStart"/>
      <w:r w:rsidRPr="000948AF">
        <w:rPr>
          <w:rFonts w:ascii="Arial" w:eastAsia="Times New Roman" w:hAnsi="Arial" w:cs="Arial"/>
          <w:b/>
          <w:bCs/>
          <w:color w:val="3A343A"/>
          <w:sz w:val="30"/>
          <w:szCs w:val="30"/>
          <w:lang w:eastAsia="en-GB"/>
        </w:rPr>
        <w:t>Recherches</w:t>
      </w:r>
      <w:proofErr w:type="spellEnd"/>
      <w:r w:rsidRPr="000948AF">
        <w:rPr>
          <w:rFonts w:ascii="Arial" w:eastAsia="Times New Roman" w:hAnsi="Arial" w:cs="Arial"/>
          <w:b/>
          <w:bCs/>
          <w:color w:val="3A343A"/>
          <w:sz w:val="30"/>
          <w:szCs w:val="30"/>
          <w:lang w:eastAsia="en-GB"/>
        </w:rPr>
        <w:t xml:space="preserve"> et </w:t>
      </w:r>
      <w:proofErr w:type="spellStart"/>
      <w:r w:rsidRPr="000948AF">
        <w:rPr>
          <w:rFonts w:ascii="Arial" w:eastAsia="Times New Roman" w:hAnsi="Arial" w:cs="Arial"/>
          <w:b/>
          <w:bCs/>
          <w:color w:val="3A343A"/>
          <w:sz w:val="30"/>
          <w:szCs w:val="30"/>
          <w:lang w:eastAsia="en-GB"/>
        </w:rPr>
        <w:t>d’Applications</w:t>
      </w:r>
      <w:proofErr w:type="spellEnd"/>
      <w:r w:rsidRPr="000948AF">
        <w:rPr>
          <w:rFonts w:ascii="Arial" w:eastAsia="Times New Roman" w:hAnsi="Arial" w:cs="Arial"/>
          <w:b/>
          <w:bCs/>
          <w:color w:val="3A343A"/>
          <w:sz w:val="30"/>
          <w:szCs w:val="30"/>
          <w:lang w:eastAsia="en-GB"/>
        </w:rPr>
        <w:t xml:space="preserve"> </w:t>
      </w:r>
      <w:proofErr w:type="spellStart"/>
      <w:r w:rsidRPr="000948AF">
        <w:rPr>
          <w:rFonts w:ascii="Arial" w:eastAsia="Times New Roman" w:hAnsi="Arial" w:cs="Arial"/>
          <w:b/>
          <w:bCs/>
          <w:color w:val="3A343A"/>
          <w:sz w:val="30"/>
          <w:szCs w:val="30"/>
          <w:lang w:eastAsia="en-GB"/>
        </w:rPr>
        <w:t>Pédagogiques</w:t>
      </w:r>
      <w:proofErr w:type="spellEnd"/>
      <w:r w:rsidRPr="000948AF">
        <w:rPr>
          <w:rFonts w:ascii="Arial" w:eastAsia="Times New Roman" w:hAnsi="Arial" w:cs="Arial"/>
          <w:b/>
          <w:bCs/>
          <w:color w:val="3A343A"/>
          <w:sz w:val="30"/>
          <w:szCs w:val="30"/>
          <w:lang w:eastAsia="en-GB"/>
        </w:rPr>
        <w:t xml:space="preserve"> </w:t>
      </w:r>
      <w:proofErr w:type="spellStart"/>
      <w:r w:rsidRPr="000948AF">
        <w:rPr>
          <w:rFonts w:ascii="Arial" w:eastAsia="Times New Roman" w:hAnsi="Arial" w:cs="Arial"/>
          <w:b/>
          <w:bCs/>
          <w:color w:val="3A343A"/>
          <w:sz w:val="30"/>
          <w:szCs w:val="30"/>
          <w:lang w:eastAsia="en-GB"/>
        </w:rPr>
        <w:t>en</w:t>
      </w:r>
      <w:proofErr w:type="spellEnd"/>
      <w:r w:rsidRPr="000948AF">
        <w:rPr>
          <w:rFonts w:ascii="Arial" w:eastAsia="Times New Roman" w:hAnsi="Arial" w:cs="Arial"/>
          <w:b/>
          <w:bCs/>
          <w:color w:val="3A343A"/>
          <w:sz w:val="30"/>
          <w:szCs w:val="30"/>
          <w:lang w:eastAsia="en-GB"/>
        </w:rPr>
        <w:t xml:space="preserve"> </w:t>
      </w:r>
      <w:proofErr w:type="spellStart"/>
      <w:r w:rsidRPr="000948AF">
        <w:rPr>
          <w:rFonts w:ascii="Arial" w:eastAsia="Times New Roman" w:hAnsi="Arial" w:cs="Arial"/>
          <w:b/>
          <w:bCs/>
          <w:color w:val="3A343A"/>
          <w:sz w:val="30"/>
          <w:szCs w:val="30"/>
          <w:lang w:eastAsia="en-GB"/>
        </w:rPr>
        <w:t>Langues</w:t>
      </w:r>
      <w:proofErr w:type="spellEnd"/>
      <w:r w:rsidRPr="000948AF">
        <w:rPr>
          <w:rFonts w:ascii="Arial" w:eastAsia="Times New Roman" w:hAnsi="Arial" w:cs="Arial"/>
          <w:b/>
          <w:bCs/>
          <w:color w:val="3A343A"/>
          <w:sz w:val="30"/>
          <w:szCs w:val="30"/>
          <w:lang w:eastAsia="en-GB"/>
        </w:rPr>
        <w:t xml:space="preserve"> (CRAPEL), University of Nancy, France. Here the focus was on equipping language learners with the means to take control of their learning and to work on improved ways so that their learning could become more self-directed and active.</w:t>
      </w:r>
    </w:p>
    <w:p w14:paraId="63D68697"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proofErr w:type="spellStart"/>
      <w:r>
        <w:rPr>
          <w:rFonts w:ascii="Arial" w:hAnsi="Arial" w:cs="Arial"/>
          <w:color w:val="3A343A"/>
          <w:sz w:val="30"/>
          <w:szCs w:val="30"/>
        </w:rPr>
        <w:t>Holec’s</w:t>
      </w:r>
      <w:proofErr w:type="spellEnd"/>
      <w:r>
        <w:rPr>
          <w:rFonts w:ascii="Arial" w:hAnsi="Arial" w:cs="Arial"/>
          <w:color w:val="3A343A"/>
          <w:sz w:val="30"/>
          <w:szCs w:val="30"/>
        </w:rPr>
        <w:t xml:space="preserve"> (1981) important definition indicated that autonomy could be achieved by learners exercising control over all aspects of their learning, including the selection of learning objectives, control over learning methods and the monitoring and evaluation of what had been learned. Later work by scholars such as David Little (1991) added an important psychological dimension to such definitions, putting greater emphasis on the cognitive processes required for the self-management of the learning process. Learner autonomy, in Little’s (1991: 4) terms, is:</w:t>
      </w:r>
    </w:p>
    <w:p w14:paraId="37F64CA9"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w:t>
      </w:r>
      <w:r w:rsidRPr="00B87836">
        <w:rPr>
          <w:rFonts w:ascii="Arial" w:hAnsi="Arial" w:cs="Arial"/>
          <w:color w:val="3A343A"/>
          <w:sz w:val="30"/>
          <w:szCs w:val="30"/>
          <w:highlight w:val="cyan"/>
        </w:rPr>
        <w:t>a capacity – for detachment, critical reflection, decision-making and independent action. It presupposes, but also entails, that the learner will develop a particular psychological relation to the process and content of his learning.”</w:t>
      </w:r>
    </w:p>
    <w:p w14:paraId="7EE7C842"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 xml:space="preserve">Viewed in this way, effective language learners are seen as active in the learning process. More specifically, they </w:t>
      </w:r>
      <w:proofErr w:type="gramStart"/>
      <w:r>
        <w:rPr>
          <w:rFonts w:ascii="Arial" w:hAnsi="Arial" w:cs="Arial"/>
          <w:color w:val="3A343A"/>
          <w:sz w:val="30"/>
          <w:szCs w:val="30"/>
        </w:rPr>
        <w:t>are able to</w:t>
      </w:r>
      <w:proofErr w:type="gramEnd"/>
      <w:r>
        <w:rPr>
          <w:rFonts w:ascii="Arial" w:hAnsi="Arial" w:cs="Arial"/>
          <w:color w:val="3A343A"/>
          <w:sz w:val="30"/>
          <w:szCs w:val="30"/>
        </w:rPr>
        <w:t xml:space="preserve"> formulate relevant learning objectives, make effective use of learner strategies, and engage in the self-monitoring of their progress.</w:t>
      </w:r>
    </w:p>
    <w:p w14:paraId="1CFA7627" w14:textId="77777777" w:rsidR="000948AF" w:rsidRDefault="000948AF" w:rsidP="000948AF">
      <w:pPr>
        <w:pStyle w:val="Heading3"/>
        <w:shd w:val="clear" w:color="auto" w:fill="FFFFFF"/>
        <w:rPr>
          <w:rFonts w:ascii="Arial" w:hAnsi="Arial" w:cs="Arial"/>
          <w:color w:val="3A343A"/>
          <w:sz w:val="27"/>
          <w:szCs w:val="27"/>
        </w:rPr>
      </w:pPr>
      <w:r>
        <w:rPr>
          <w:rFonts w:ascii="Arial" w:hAnsi="Arial" w:cs="Arial"/>
          <w:color w:val="3A343A"/>
        </w:rPr>
        <w:t>Why is learner autonomy important?</w:t>
      </w:r>
    </w:p>
    <w:p w14:paraId="4F93787B" w14:textId="77777777" w:rsidR="000948AF" w:rsidRDefault="000948AF" w:rsidP="000948AF">
      <w:pPr>
        <w:pStyle w:val="NormalWeb"/>
        <w:shd w:val="clear" w:color="auto" w:fill="FFFFFF"/>
        <w:spacing w:before="0" w:beforeAutospacing="0" w:after="360" w:afterAutospacing="0"/>
        <w:rPr>
          <w:rFonts w:ascii="Arial" w:hAnsi="Arial" w:cs="Arial"/>
          <w:color w:val="3A343A"/>
          <w:sz w:val="30"/>
          <w:szCs w:val="30"/>
        </w:rPr>
      </w:pPr>
      <w:r>
        <w:rPr>
          <w:rFonts w:ascii="Arial" w:hAnsi="Arial" w:cs="Arial"/>
          <w:color w:val="3A343A"/>
          <w:sz w:val="30"/>
          <w:szCs w:val="30"/>
        </w:rPr>
        <w:t>Little (no date) highlights two main arguments for the promotion of learner autonomy in our field:</w:t>
      </w:r>
    </w:p>
    <w:p w14:paraId="6781D701" w14:textId="77777777" w:rsidR="000948AF" w:rsidRDefault="000948AF" w:rsidP="000948AF">
      <w:pPr>
        <w:numPr>
          <w:ilvl w:val="0"/>
          <w:numId w:val="1"/>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lastRenderedPageBreak/>
        <w:t>If we assume that learners are actively engaged with various aspects of their learning process, then their actual learning is likely to be enhanced.</w:t>
      </w:r>
    </w:p>
    <w:p w14:paraId="7B2236C6" w14:textId="77777777" w:rsidR="000948AF" w:rsidRDefault="000948AF" w:rsidP="000948AF">
      <w:pPr>
        <w:numPr>
          <w:ilvl w:val="0"/>
          <w:numId w:val="1"/>
        </w:numPr>
        <w:shd w:val="clear" w:color="auto" w:fill="FFFFFF"/>
        <w:spacing w:before="100" w:beforeAutospacing="1" w:after="180" w:line="240" w:lineRule="auto"/>
        <w:rPr>
          <w:rFonts w:ascii="Arial" w:hAnsi="Arial" w:cs="Arial"/>
          <w:color w:val="3A343A"/>
          <w:sz w:val="30"/>
          <w:szCs w:val="30"/>
        </w:rPr>
      </w:pPr>
      <w:r>
        <w:rPr>
          <w:rFonts w:ascii="Arial" w:hAnsi="Arial" w:cs="Arial"/>
          <w:color w:val="3A343A"/>
          <w:sz w:val="30"/>
          <w:szCs w:val="30"/>
        </w:rPr>
        <w:t>If we assume the above, then there will be a positive impact on motivation, with learners able to manage motivational strategies that will also lead to more effective learning.</w:t>
      </w:r>
    </w:p>
    <w:p w14:paraId="6A9C3BF8"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In short, such arguments identify learner autonomy and its promotion in language classrooms as making an important contribution to both the process and outcomes of learning.</w:t>
      </w:r>
    </w:p>
    <w:p w14:paraId="06B5849F" w14:textId="5246B1AB" w:rsidR="000948AF" w:rsidRDefault="000948AF" w:rsidP="000948AF">
      <w:pPr>
        <w:pStyle w:val="NormalWeb"/>
        <w:shd w:val="clear" w:color="auto" w:fill="FFFFFF"/>
        <w:spacing w:before="360" w:beforeAutospacing="0" w:after="360" w:afterAutospacing="0"/>
        <w:rPr>
          <w:rFonts w:ascii="Arial" w:hAnsi="Arial" w:cs="Arial"/>
          <w:color w:val="3A343A"/>
          <w:sz w:val="36"/>
          <w:szCs w:val="36"/>
          <w:vertAlign w:val="superscript"/>
        </w:rPr>
      </w:pPr>
      <w:r w:rsidRPr="000948AF">
        <w:rPr>
          <w:rStyle w:val="Strong"/>
          <w:rFonts w:ascii="Arial" w:hAnsi="Arial" w:cs="Arial"/>
          <w:color w:val="3A343A"/>
          <w:sz w:val="36"/>
          <w:szCs w:val="36"/>
          <w:vertAlign w:val="superscript"/>
        </w:rPr>
        <w:t>References</w:t>
      </w:r>
      <w:r w:rsidRPr="000948AF">
        <w:rPr>
          <w:rFonts w:ascii="Arial" w:hAnsi="Arial" w:cs="Arial"/>
          <w:color w:val="3A343A"/>
          <w:sz w:val="36"/>
          <w:szCs w:val="36"/>
        </w:rPr>
        <w:br/>
      </w:r>
      <w:r w:rsidRPr="000948AF">
        <w:rPr>
          <w:rFonts w:ascii="Arial" w:hAnsi="Arial" w:cs="Arial"/>
          <w:color w:val="3A343A"/>
          <w:sz w:val="36"/>
          <w:szCs w:val="36"/>
          <w:vertAlign w:val="superscript"/>
        </w:rPr>
        <w:t>Benson, P. (2001) </w:t>
      </w:r>
      <w:r w:rsidRPr="000948AF">
        <w:rPr>
          <w:rStyle w:val="Emphasis"/>
          <w:rFonts w:ascii="Arial" w:hAnsi="Arial" w:cs="Arial"/>
          <w:color w:val="3A343A"/>
          <w:sz w:val="36"/>
          <w:szCs w:val="36"/>
          <w:vertAlign w:val="superscript"/>
        </w:rPr>
        <w:t>Teaching and Researching Autonomy in Language Learning</w:t>
      </w:r>
      <w:r w:rsidRPr="000948AF">
        <w:rPr>
          <w:rFonts w:ascii="Arial" w:hAnsi="Arial" w:cs="Arial"/>
          <w:color w:val="3A343A"/>
          <w:sz w:val="36"/>
          <w:szCs w:val="36"/>
          <w:vertAlign w:val="superscript"/>
        </w:rPr>
        <w:t>. Harlow: Longman.</w:t>
      </w:r>
      <w:r w:rsidRPr="000948AF">
        <w:rPr>
          <w:rFonts w:ascii="Arial" w:hAnsi="Arial" w:cs="Arial"/>
          <w:color w:val="3A343A"/>
          <w:sz w:val="36"/>
          <w:szCs w:val="36"/>
        </w:rPr>
        <w:br/>
      </w:r>
      <w:proofErr w:type="spellStart"/>
      <w:r w:rsidRPr="000948AF">
        <w:rPr>
          <w:rFonts w:ascii="Arial" w:hAnsi="Arial" w:cs="Arial"/>
          <w:color w:val="3A343A"/>
          <w:sz w:val="36"/>
          <w:szCs w:val="36"/>
          <w:vertAlign w:val="superscript"/>
        </w:rPr>
        <w:t>Holec</w:t>
      </w:r>
      <w:proofErr w:type="spellEnd"/>
      <w:r w:rsidRPr="000948AF">
        <w:rPr>
          <w:rFonts w:ascii="Arial" w:hAnsi="Arial" w:cs="Arial"/>
          <w:color w:val="3A343A"/>
          <w:sz w:val="36"/>
          <w:szCs w:val="36"/>
          <w:vertAlign w:val="superscript"/>
        </w:rPr>
        <w:t>, H. (1981) </w:t>
      </w:r>
      <w:r w:rsidRPr="000948AF">
        <w:rPr>
          <w:rStyle w:val="Emphasis"/>
          <w:rFonts w:ascii="Arial" w:hAnsi="Arial" w:cs="Arial"/>
          <w:color w:val="3A343A"/>
          <w:sz w:val="36"/>
          <w:szCs w:val="36"/>
          <w:vertAlign w:val="superscript"/>
        </w:rPr>
        <w:t>Autonomy and Foreign Language Learning</w:t>
      </w:r>
      <w:r w:rsidRPr="000948AF">
        <w:rPr>
          <w:rFonts w:ascii="Arial" w:hAnsi="Arial" w:cs="Arial"/>
          <w:color w:val="3A343A"/>
          <w:sz w:val="36"/>
          <w:szCs w:val="36"/>
          <w:vertAlign w:val="superscript"/>
        </w:rPr>
        <w:t>. Oxford: Pergamon.</w:t>
      </w:r>
      <w:r w:rsidRPr="000948AF">
        <w:rPr>
          <w:rFonts w:ascii="Arial" w:hAnsi="Arial" w:cs="Arial"/>
          <w:color w:val="3A343A"/>
          <w:sz w:val="36"/>
          <w:szCs w:val="36"/>
        </w:rPr>
        <w:br/>
      </w:r>
      <w:r w:rsidRPr="000948AF">
        <w:rPr>
          <w:rFonts w:ascii="Arial" w:hAnsi="Arial" w:cs="Arial"/>
          <w:color w:val="3A343A"/>
          <w:sz w:val="36"/>
          <w:szCs w:val="36"/>
          <w:vertAlign w:val="superscript"/>
        </w:rPr>
        <w:t>Little, D. (1991) </w:t>
      </w:r>
      <w:r w:rsidRPr="000948AF">
        <w:rPr>
          <w:rStyle w:val="Emphasis"/>
          <w:rFonts w:ascii="Arial" w:hAnsi="Arial" w:cs="Arial"/>
          <w:color w:val="3A343A"/>
          <w:sz w:val="36"/>
          <w:szCs w:val="36"/>
          <w:vertAlign w:val="superscript"/>
        </w:rPr>
        <w:t>Learner Autonomy 1: Definitions, Issues and Problems</w:t>
      </w:r>
      <w:r w:rsidRPr="000948AF">
        <w:rPr>
          <w:rFonts w:ascii="Arial" w:hAnsi="Arial" w:cs="Arial"/>
          <w:color w:val="3A343A"/>
          <w:sz w:val="36"/>
          <w:szCs w:val="36"/>
          <w:vertAlign w:val="superscript"/>
        </w:rPr>
        <w:t xml:space="preserve">. Dublin: </w:t>
      </w:r>
      <w:proofErr w:type="spellStart"/>
      <w:r w:rsidRPr="000948AF">
        <w:rPr>
          <w:rFonts w:ascii="Arial" w:hAnsi="Arial" w:cs="Arial"/>
          <w:color w:val="3A343A"/>
          <w:sz w:val="36"/>
          <w:szCs w:val="36"/>
          <w:vertAlign w:val="superscript"/>
        </w:rPr>
        <w:t>Authentik</w:t>
      </w:r>
      <w:proofErr w:type="spellEnd"/>
      <w:r w:rsidRPr="000948AF">
        <w:rPr>
          <w:rFonts w:ascii="Arial" w:hAnsi="Arial" w:cs="Arial"/>
          <w:color w:val="3A343A"/>
          <w:sz w:val="36"/>
          <w:szCs w:val="36"/>
          <w:vertAlign w:val="superscript"/>
        </w:rPr>
        <w:t>.</w:t>
      </w:r>
      <w:r w:rsidRPr="000948AF">
        <w:rPr>
          <w:rFonts w:ascii="Arial" w:hAnsi="Arial" w:cs="Arial"/>
          <w:color w:val="3A343A"/>
          <w:sz w:val="36"/>
          <w:szCs w:val="36"/>
        </w:rPr>
        <w:br/>
      </w:r>
      <w:r w:rsidRPr="000948AF">
        <w:rPr>
          <w:rFonts w:ascii="Arial" w:hAnsi="Arial" w:cs="Arial"/>
          <w:color w:val="3A343A"/>
          <w:sz w:val="36"/>
          <w:szCs w:val="36"/>
          <w:vertAlign w:val="superscript"/>
        </w:rPr>
        <w:t>Little, D. (No date) </w:t>
      </w:r>
      <w:hyperlink r:id="rId6" w:history="1">
        <w:r w:rsidRPr="000948AF">
          <w:rPr>
            <w:rStyle w:val="Hyperlink"/>
            <w:rFonts w:ascii="inherit" w:eastAsiaTheme="majorEastAsia" w:hAnsi="inherit" w:cs="Arial"/>
            <w:i/>
            <w:iCs/>
            <w:color w:val="DE00A5"/>
            <w:sz w:val="36"/>
            <w:szCs w:val="36"/>
            <w:vertAlign w:val="superscript"/>
          </w:rPr>
          <w:t>Learner autonomy and second/foreign language learning</w:t>
        </w:r>
      </w:hyperlink>
      <w:r w:rsidRPr="000948AF">
        <w:rPr>
          <w:rFonts w:ascii="Arial" w:hAnsi="Arial" w:cs="Arial"/>
          <w:color w:val="3A343A"/>
          <w:sz w:val="36"/>
          <w:szCs w:val="36"/>
          <w:vertAlign w:val="superscript"/>
        </w:rPr>
        <w:t xml:space="preserve">. (Date of access 20 </w:t>
      </w:r>
      <w:proofErr w:type="gramStart"/>
      <w:r w:rsidRPr="000948AF">
        <w:rPr>
          <w:rFonts w:ascii="Arial" w:hAnsi="Arial" w:cs="Arial"/>
          <w:color w:val="3A343A"/>
          <w:sz w:val="36"/>
          <w:szCs w:val="36"/>
          <w:vertAlign w:val="superscript"/>
        </w:rPr>
        <w:t>February,</w:t>
      </w:r>
      <w:proofErr w:type="gramEnd"/>
      <w:r w:rsidRPr="000948AF">
        <w:rPr>
          <w:rFonts w:ascii="Arial" w:hAnsi="Arial" w:cs="Arial"/>
          <w:color w:val="3A343A"/>
          <w:sz w:val="36"/>
          <w:szCs w:val="36"/>
          <w:vertAlign w:val="superscript"/>
        </w:rPr>
        <w:t xml:space="preserve"> 2018).</w:t>
      </w:r>
    </w:p>
    <w:p w14:paraId="7D1AC5FC" w14:textId="072A3EB9" w:rsidR="000948AF" w:rsidRDefault="000948AF" w:rsidP="000948AF">
      <w:pPr>
        <w:pStyle w:val="NormalWeb"/>
        <w:shd w:val="clear" w:color="auto" w:fill="FFFFFF"/>
        <w:spacing w:before="360" w:beforeAutospacing="0" w:after="360" w:afterAutospacing="0"/>
        <w:rPr>
          <w:rFonts w:ascii="Arial" w:hAnsi="Arial" w:cs="Arial"/>
          <w:color w:val="3A343A"/>
          <w:sz w:val="36"/>
          <w:szCs w:val="36"/>
          <w:vertAlign w:val="superscript"/>
        </w:rPr>
      </w:pPr>
    </w:p>
    <w:p w14:paraId="7AB50184" w14:textId="0D081BA5" w:rsidR="000948AF" w:rsidRDefault="000948AF" w:rsidP="000948AF">
      <w:pPr>
        <w:pStyle w:val="NormalWeb"/>
        <w:shd w:val="clear" w:color="auto" w:fill="FFFFFF"/>
        <w:spacing w:before="360" w:beforeAutospacing="0" w:after="360" w:afterAutospacing="0"/>
        <w:rPr>
          <w:rFonts w:ascii="Arial" w:hAnsi="Arial" w:cs="Arial"/>
          <w:color w:val="3A343A"/>
          <w:sz w:val="36"/>
          <w:szCs w:val="36"/>
          <w:vertAlign w:val="superscript"/>
        </w:rPr>
      </w:pPr>
    </w:p>
    <w:p w14:paraId="0B1931A2" w14:textId="6091B92A" w:rsidR="000948AF" w:rsidRDefault="000948AF" w:rsidP="000948AF">
      <w:pPr>
        <w:pStyle w:val="NormalWeb"/>
        <w:shd w:val="clear" w:color="auto" w:fill="FFFFFF"/>
        <w:spacing w:before="360" w:beforeAutospacing="0" w:after="360" w:afterAutospacing="0"/>
        <w:rPr>
          <w:rFonts w:ascii="Arial" w:hAnsi="Arial" w:cs="Arial"/>
          <w:color w:val="3A343A"/>
          <w:sz w:val="36"/>
          <w:szCs w:val="36"/>
          <w:vertAlign w:val="superscript"/>
        </w:rPr>
      </w:pPr>
    </w:p>
    <w:p w14:paraId="51796BA1" w14:textId="5021CDBE" w:rsidR="000948AF" w:rsidRDefault="000948AF" w:rsidP="000948AF">
      <w:pPr>
        <w:pStyle w:val="NormalWeb"/>
        <w:shd w:val="clear" w:color="auto" w:fill="FFFFFF"/>
        <w:spacing w:before="360" w:beforeAutospacing="0" w:after="360" w:afterAutospacing="0"/>
        <w:rPr>
          <w:rFonts w:ascii="Arial" w:hAnsi="Arial" w:cs="Arial"/>
          <w:color w:val="3A343A"/>
          <w:sz w:val="36"/>
          <w:szCs w:val="36"/>
          <w:vertAlign w:val="superscript"/>
        </w:rPr>
      </w:pPr>
      <w:r>
        <w:rPr>
          <w:noProof/>
        </w:rPr>
        <w:lastRenderedPageBreak/>
        <w:drawing>
          <wp:inline distT="0" distB="0" distL="0" distR="0" wp14:anchorId="25865877" wp14:editId="257548B6">
            <wp:extent cx="5731510" cy="3820795"/>
            <wp:effectExtent l="0" t="0" r="2540" b="8255"/>
            <wp:docPr id="1" name="Picture 1" descr="Classroom of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assroom of studen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52B8F32" w14:textId="1F73298A" w:rsidR="000948AF" w:rsidRDefault="000948AF" w:rsidP="000948AF">
      <w:pPr>
        <w:pStyle w:val="NormalWeb"/>
        <w:shd w:val="clear" w:color="auto" w:fill="FFFFFF"/>
        <w:spacing w:before="360" w:beforeAutospacing="0" w:after="360" w:afterAutospacing="0"/>
        <w:rPr>
          <w:rFonts w:ascii="Arial" w:hAnsi="Arial" w:cs="Arial"/>
          <w:color w:val="3A343A"/>
          <w:sz w:val="36"/>
          <w:szCs w:val="36"/>
          <w:vertAlign w:val="superscript"/>
        </w:rPr>
      </w:pPr>
    </w:p>
    <w:p w14:paraId="200D482F" w14:textId="3896FDA1" w:rsidR="000948AF" w:rsidRDefault="000948AF" w:rsidP="000948AF">
      <w:pPr>
        <w:pStyle w:val="NormalWeb"/>
        <w:shd w:val="clear" w:color="auto" w:fill="FFFFFF"/>
        <w:spacing w:before="360" w:beforeAutospacing="0" w:after="360" w:afterAutospacing="0"/>
        <w:rPr>
          <w:rFonts w:ascii="Arial" w:hAnsi="Arial" w:cs="Arial"/>
          <w:color w:val="3A343A"/>
          <w:sz w:val="36"/>
          <w:szCs w:val="36"/>
          <w:vertAlign w:val="superscript"/>
        </w:rPr>
      </w:pPr>
    </w:p>
    <w:p w14:paraId="010ADD74" w14:textId="77777777" w:rsidR="000948AF" w:rsidRPr="000948AF" w:rsidRDefault="000948AF" w:rsidP="000948AF">
      <w:pPr>
        <w:shd w:val="clear" w:color="auto" w:fill="FFFFFF"/>
        <w:spacing w:before="100" w:beforeAutospacing="1" w:after="100" w:afterAutospacing="1" w:line="240" w:lineRule="auto"/>
        <w:outlineLvl w:val="0"/>
        <w:rPr>
          <w:rFonts w:ascii="Arial" w:eastAsia="Times New Roman" w:hAnsi="Arial" w:cs="Arial"/>
          <w:b/>
          <w:bCs/>
          <w:color w:val="3A343A"/>
          <w:kern w:val="36"/>
          <w:sz w:val="48"/>
          <w:szCs w:val="48"/>
          <w:lang w:eastAsia="en-GB"/>
        </w:rPr>
      </w:pPr>
      <w:r w:rsidRPr="000948AF">
        <w:rPr>
          <w:rFonts w:ascii="Arial" w:eastAsia="Times New Roman" w:hAnsi="Arial" w:cs="Arial"/>
          <w:b/>
          <w:bCs/>
          <w:color w:val="3A343A"/>
          <w:kern w:val="36"/>
          <w:sz w:val="48"/>
          <w:szCs w:val="48"/>
          <w:lang w:eastAsia="en-GB"/>
        </w:rPr>
        <w:t>Your experience of learner autonomy</w:t>
      </w:r>
    </w:p>
    <w:p w14:paraId="2795916A" w14:textId="77777777" w:rsidR="000948AF" w:rsidRPr="000948AF" w:rsidRDefault="000948AF" w:rsidP="000948AF">
      <w:pPr>
        <w:shd w:val="clear" w:color="auto" w:fill="FFFFFF"/>
        <w:spacing w:before="360" w:after="360" w:line="240" w:lineRule="auto"/>
        <w:rPr>
          <w:rFonts w:ascii="Arial" w:eastAsia="Times New Roman" w:hAnsi="Arial" w:cs="Arial"/>
          <w:b/>
          <w:bCs/>
          <w:color w:val="3A343A"/>
          <w:sz w:val="30"/>
          <w:szCs w:val="30"/>
          <w:lang w:eastAsia="en-GB"/>
        </w:rPr>
      </w:pPr>
      <w:r w:rsidRPr="000948AF">
        <w:rPr>
          <w:rFonts w:ascii="Arial" w:eastAsia="Times New Roman" w:hAnsi="Arial" w:cs="Arial"/>
          <w:b/>
          <w:bCs/>
          <w:color w:val="3A343A"/>
          <w:sz w:val="30"/>
          <w:szCs w:val="30"/>
          <w:lang w:eastAsia="en-GB"/>
        </w:rPr>
        <w:t>Consider a classroom learning situation you have experienced.</w:t>
      </w:r>
    </w:p>
    <w:p w14:paraId="2FF867D0" w14:textId="77777777" w:rsidR="000948AF" w:rsidRPr="000948AF" w:rsidRDefault="000948AF" w:rsidP="000948AF">
      <w:pPr>
        <w:numPr>
          <w:ilvl w:val="0"/>
          <w:numId w:val="2"/>
        </w:numPr>
        <w:shd w:val="clear" w:color="auto" w:fill="FFFFFF"/>
        <w:spacing w:before="100" w:beforeAutospacing="1" w:after="180" w:line="240" w:lineRule="auto"/>
        <w:rPr>
          <w:rFonts w:ascii="Arial" w:eastAsia="Times New Roman" w:hAnsi="Arial" w:cs="Arial"/>
          <w:color w:val="3A343A"/>
          <w:sz w:val="30"/>
          <w:szCs w:val="30"/>
          <w:lang w:eastAsia="en-GB"/>
        </w:rPr>
      </w:pPr>
      <w:r w:rsidRPr="000948AF">
        <w:rPr>
          <w:rFonts w:ascii="Arial" w:eastAsia="Times New Roman" w:hAnsi="Arial" w:cs="Arial"/>
          <w:color w:val="3A343A"/>
          <w:sz w:val="30"/>
          <w:szCs w:val="30"/>
          <w:lang w:eastAsia="en-GB"/>
        </w:rPr>
        <w:t>To what extent were you encouraged to take control of your learning?</w:t>
      </w:r>
    </w:p>
    <w:p w14:paraId="67B35FA7" w14:textId="77777777" w:rsidR="000948AF" w:rsidRPr="000948AF" w:rsidRDefault="000948AF" w:rsidP="000948AF">
      <w:pPr>
        <w:numPr>
          <w:ilvl w:val="0"/>
          <w:numId w:val="2"/>
        </w:numPr>
        <w:shd w:val="clear" w:color="auto" w:fill="FFFFFF"/>
        <w:spacing w:before="100" w:beforeAutospacing="1" w:after="180" w:line="240" w:lineRule="auto"/>
        <w:rPr>
          <w:rFonts w:ascii="Arial" w:eastAsia="Times New Roman" w:hAnsi="Arial" w:cs="Arial"/>
          <w:color w:val="3A343A"/>
          <w:sz w:val="30"/>
          <w:szCs w:val="30"/>
          <w:lang w:eastAsia="en-GB"/>
        </w:rPr>
      </w:pPr>
      <w:r w:rsidRPr="000948AF">
        <w:rPr>
          <w:rFonts w:ascii="Arial" w:eastAsia="Times New Roman" w:hAnsi="Arial" w:cs="Arial"/>
          <w:color w:val="3A343A"/>
          <w:sz w:val="30"/>
          <w:szCs w:val="30"/>
          <w:lang w:eastAsia="en-GB"/>
        </w:rPr>
        <w:t>In what ways would you describe responsible and active learners in this context?</w:t>
      </w:r>
    </w:p>
    <w:p w14:paraId="138CD911" w14:textId="77777777" w:rsidR="000948AF" w:rsidRDefault="000948AF" w:rsidP="000948AF">
      <w:pPr>
        <w:pStyle w:val="NormalWeb"/>
        <w:shd w:val="clear" w:color="auto" w:fill="FFFFFF"/>
        <w:spacing w:before="360" w:beforeAutospacing="0" w:after="360" w:afterAutospacing="0"/>
        <w:rPr>
          <w:rFonts w:ascii="Arial" w:hAnsi="Arial" w:cs="Arial"/>
          <w:color w:val="3A343A"/>
          <w:sz w:val="36"/>
          <w:szCs w:val="36"/>
          <w:vertAlign w:val="superscript"/>
        </w:rPr>
      </w:pPr>
    </w:p>
    <w:p w14:paraId="542C7EB9" w14:textId="4A0665DC" w:rsidR="000948AF" w:rsidRDefault="000948AF" w:rsidP="000948AF">
      <w:pPr>
        <w:pStyle w:val="NormalWeb"/>
        <w:shd w:val="clear" w:color="auto" w:fill="FFFFFF"/>
        <w:spacing w:before="360" w:beforeAutospacing="0" w:after="360" w:afterAutospacing="0"/>
        <w:rPr>
          <w:rFonts w:ascii="Arial" w:hAnsi="Arial" w:cs="Arial"/>
          <w:color w:val="3A343A"/>
          <w:sz w:val="36"/>
          <w:szCs w:val="36"/>
          <w:vertAlign w:val="superscript"/>
        </w:rPr>
      </w:pPr>
    </w:p>
    <w:p w14:paraId="727E7CEA" w14:textId="798B0E99" w:rsidR="000948AF" w:rsidRDefault="000948AF">
      <w:pPr>
        <w:rPr>
          <w:rFonts w:ascii="Arial" w:eastAsia="Times New Roman" w:hAnsi="Arial" w:cs="Arial"/>
          <w:color w:val="3A343A"/>
          <w:sz w:val="36"/>
          <w:szCs w:val="36"/>
          <w:vertAlign w:val="superscript"/>
          <w:lang w:eastAsia="en-GB"/>
        </w:rPr>
      </w:pPr>
      <w:r>
        <w:rPr>
          <w:rFonts w:ascii="Arial" w:hAnsi="Arial" w:cs="Arial"/>
          <w:color w:val="3A343A"/>
          <w:sz w:val="36"/>
          <w:szCs w:val="36"/>
          <w:vertAlign w:val="superscript"/>
        </w:rPr>
        <w:br w:type="page"/>
      </w:r>
    </w:p>
    <w:p w14:paraId="2F4317FF" w14:textId="77777777" w:rsidR="000948AF" w:rsidRDefault="000948AF" w:rsidP="000948AF">
      <w:pPr>
        <w:pStyle w:val="Heading1"/>
        <w:shd w:val="clear" w:color="auto" w:fill="FFFFFF"/>
        <w:rPr>
          <w:rFonts w:ascii="Arial" w:hAnsi="Arial" w:cs="Arial"/>
          <w:color w:val="3A343A"/>
        </w:rPr>
      </w:pPr>
      <w:r>
        <w:rPr>
          <w:rFonts w:ascii="Arial" w:hAnsi="Arial" w:cs="Arial"/>
          <w:color w:val="3A343A"/>
        </w:rPr>
        <w:lastRenderedPageBreak/>
        <w:t>Efforts to promote learner autonomy</w:t>
      </w:r>
    </w:p>
    <w:p w14:paraId="5E57D19E" w14:textId="77777777" w:rsidR="000948AF" w:rsidRDefault="000948AF" w:rsidP="000948AF">
      <w:pPr>
        <w:pStyle w:val="NormalWeb"/>
        <w:shd w:val="clear" w:color="auto" w:fill="FFFFFF"/>
        <w:spacing w:before="360" w:beforeAutospacing="0" w:after="360" w:afterAutospacing="0"/>
        <w:rPr>
          <w:rFonts w:ascii="Arial" w:hAnsi="Arial" w:cs="Arial"/>
          <w:b/>
          <w:bCs/>
          <w:color w:val="3A343A"/>
          <w:sz w:val="30"/>
          <w:szCs w:val="30"/>
        </w:rPr>
      </w:pPr>
      <w:r>
        <w:rPr>
          <w:rFonts w:ascii="Arial" w:hAnsi="Arial" w:cs="Arial"/>
          <w:b/>
          <w:bCs/>
          <w:color w:val="3A343A"/>
          <w:sz w:val="30"/>
          <w:szCs w:val="30"/>
        </w:rPr>
        <w:t xml:space="preserve">In terms of promoting greater learner autonomy, a wide range of strategies and classroom tasks have been recommended. While early contributions to the field tended to focus on situations where learners acted with maximal independence – a perspective which led to the promotion of self-access centres </w:t>
      </w:r>
      <w:proofErr w:type="gramStart"/>
      <w:r>
        <w:rPr>
          <w:rFonts w:ascii="Arial" w:hAnsi="Arial" w:cs="Arial"/>
          <w:b/>
          <w:bCs/>
          <w:color w:val="3A343A"/>
          <w:sz w:val="30"/>
          <w:szCs w:val="30"/>
        </w:rPr>
        <w:t>as a way to</w:t>
      </w:r>
      <w:proofErr w:type="gramEnd"/>
      <w:r>
        <w:rPr>
          <w:rFonts w:ascii="Arial" w:hAnsi="Arial" w:cs="Arial"/>
          <w:b/>
          <w:bCs/>
          <w:color w:val="3A343A"/>
          <w:sz w:val="30"/>
          <w:szCs w:val="30"/>
        </w:rPr>
        <w:t xml:space="preserve"> attend to learners’ individual needs – more recent views have come to acknowledge the essentially interdependent relationship of teachers and learners.</w:t>
      </w:r>
    </w:p>
    <w:p w14:paraId="6A11956E"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 xml:space="preserve">Resources books available for language teachers, such as </w:t>
      </w:r>
      <w:proofErr w:type="spellStart"/>
      <w:r>
        <w:rPr>
          <w:rFonts w:ascii="Arial" w:hAnsi="Arial" w:cs="Arial"/>
          <w:color w:val="3A343A"/>
          <w:sz w:val="30"/>
          <w:szCs w:val="30"/>
        </w:rPr>
        <w:t>Schlarle</w:t>
      </w:r>
      <w:proofErr w:type="spellEnd"/>
      <w:r>
        <w:rPr>
          <w:rFonts w:ascii="Arial" w:hAnsi="Arial" w:cs="Arial"/>
          <w:color w:val="3A343A"/>
          <w:sz w:val="30"/>
          <w:szCs w:val="30"/>
        </w:rPr>
        <w:t xml:space="preserve"> and </w:t>
      </w:r>
      <w:proofErr w:type="spellStart"/>
      <w:r>
        <w:rPr>
          <w:rFonts w:ascii="Arial" w:hAnsi="Arial" w:cs="Arial"/>
          <w:color w:val="3A343A"/>
          <w:sz w:val="30"/>
          <w:szCs w:val="30"/>
        </w:rPr>
        <w:t>Szabó</w:t>
      </w:r>
      <w:proofErr w:type="spellEnd"/>
      <w:r>
        <w:rPr>
          <w:rFonts w:ascii="Arial" w:hAnsi="Arial" w:cs="Arial"/>
          <w:color w:val="3A343A"/>
          <w:sz w:val="30"/>
          <w:szCs w:val="30"/>
        </w:rPr>
        <w:t xml:space="preserve"> (2000), present a range of classroom activities arranged around the broad aims of developing intrinsic motivation, developing learning strategies, and the encouragement of learner self-monitoring. All of the activities (</w:t>
      </w:r>
      <w:proofErr w:type="gramStart"/>
      <w:r>
        <w:rPr>
          <w:rFonts w:ascii="Arial" w:hAnsi="Arial" w:cs="Arial"/>
          <w:color w:val="3A343A"/>
          <w:sz w:val="30"/>
          <w:szCs w:val="30"/>
        </w:rPr>
        <w:t>e.g.</w:t>
      </w:r>
      <w:proofErr w:type="gramEnd"/>
      <w:r>
        <w:rPr>
          <w:rFonts w:ascii="Arial" w:hAnsi="Arial" w:cs="Arial"/>
          <w:color w:val="3A343A"/>
          <w:sz w:val="30"/>
          <w:szCs w:val="30"/>
        </w:rPr>
        <w:t xml:space="preserve"> quizzes, interview and discussion activities) are based on the premise that the teacher can and should promote greater learner initiative and involvement.</w:t>
      </w:r>
    </w:p>
    <w:p w14:paraId="3F9E808A"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Little et al. (2017) offer a range of reflective writing tasks, including logbooks, posters, portfolios of learner work, and class magazines which are all intended to support and encourage learners’ particular interests and their developing identities as L2 learners.</w:t>
      </w:r>
    </w:p>
    <w:p w14:paraId="3EB61755"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One significant educational artefact that has an explicitly pro-autonomy agenda is the European Language Portfolio (ELP). Based on the Common European Framework of Reference (Cambridge, 2001), a wide range of ELPs have been produced which are intended for use in a range of language classrooms across Europe.</w:t>
      </w:r>
    </w:p>
    <w:p w14:paraId="6AA9F29D"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Learner self-assessment is a central feature of all validated ELPs. </w:t>
      </w:r>
      <w:hyperlink r:id="rId8" w:history="1">
        <w:r>
          <w:rPr>
            <w:rStyle w:val="Hyperlink"/>
            <w:rFonts w:ascii="inherit" w:hAnsi="inherit" w:cs="Arial"/>
            <w:color w:val="DE00A5"/>
            <w:sz w:val="30"/>
            <w:szCs w:val="30"/>
          </w:rPr>
          <w:t>This CEFR self-assessment grid features in ELPs</w:t>
        </w:r>
      </w:hyperlink>
      <w:r>
        <w:rPr>
          <w:rFonts w:ascii="Arial" w:hAnsi="Arial" w:cs="Arial"/>
          <w:color w:val="3A343A"/>
          <w:sz w:val="30"/>
          <w:szCs w:val="30"/>
        </w:rPr>
        <w:t>.</w:t>
      </w:r>
    </w:p>
    <w:p w14:paraId="14CD6FF7" w14:textId="77777777" w:rsidR="000948AF" w:rsidRPr="000948AF" w:rsidRDefault="000948AF" w:rsidP="000948AF">
      <w:pPr>
        <w:pStyle w:val="NormalWeb"/>
        <w:shd w:val="clear" w:color="auto" w:fill="FFFFFF"/>
        <w:spacing w:before="360" w:beforeAutospacing="0" w:after="360" w:afterAutospacing="0"/>
        <w:rPr>
          <w:rFonts w:ascii="Arial" w:hAnsi="Arial" w:cs="Arial"/>
          <w:color w:val="3A343A"/>
          <w:sz w:val="44"/>
          <w:szCs w:val="44"/>
        </w:rPr>
      </w:pPr>
      <w:r>
        <w:rPr>
          <w:rFonts w:ascii="Arial" w:hAnsi="Arial" w:cs="Arial"/>
          <w:color w:val="3A343A"/>
          <w:sz w:val="30"/>
          <w:szCs w:val="30"/>
        </w:rPr>
        <w:t xml:space="preserve">The grid you will see is arranged on a continuum from A1-C2, with A1 offering illustrative descriptors of a Basic User and C2 illustrative </w:t>
      </w:r>
      <w:r w:rsidRPr="000948AF">
        <w:rPr>
          <w:rFonts w:ascii="Arial" w:hAnsi="Arial" w:cs="Arial"/>
          <w:color w:val="3A343A"/>
          <w:sz w:val="28"/>
          <w:szCs w:val="28"/>
        </w:rPr>
        <w:t>descriptors of a Proficient User.</w:t>
      </w:r>
    </w:p>
    <w:p w14:paraId="284D2508" w14:textId="77777777" w:rsidR="000948AF" w:rsidRPr="000948AF" w:rsidRDefault="000948AF" w:rsidP="000948AF">
      <w:pPr>
        <w:pStyle w:val="NormalWeb"/>
        <w:shd w:val="clear" w:color="auto" w:fill="FFFFFF"/>
        <w:spacing w:before="360" w:beforeAutospacing="0" w:after="360" w:afterAutospacing="0"/>
        <w:rPr>
          <w:rFonts w:ascii="Arial" w:hAnsi="Arial" w:cs="Arial"/>
          <w:color w:val="3A343A"/>
          <w:sz w:val="44"/>
          <w:szCs w:val="44"/>
        </w:rPr>
      </w:pPr>
      <w:r w:rsidRPr="000948AF">
        <w:rPr>
          <w:rStyle w:val="Strong"/>
          <w:rFonts w:ascii="Arial" w:hAnsi="Arial" w:cs="Arial"/>
          <w:color w:val="3A343A"/>
          <w:sz w:val="44"/>
          <w:szCs w:val="44"/>
          <w:vertAlign w:val="superscript"/>
        </w:rPr>
        <w:lastRenderedPageBreak/>
        <w:t>References</w:t>
      </w:r>
      <w:r w:rsidRPr="000948AF">
        <w:rPr>
          <w:rFonts w:ascii="Arial" w:hAnsi="Arial" w:cs="Arial"/>
          <w:color w:val="3A343A"/>
          <w:sz w:val="44"/>
          <w:szCs w:val="44"/>
        </w:rPr>
        <w:br/>
      </w:r>
      <w:r w:rsidRPr="000948AF">
        <w:rPr>
          <w:rFonts w:ascii="Arial" w:hAnsi="Arial" w:cs="Arial"/>
          <w:color w:val="3A343A"/>
          <w:sz w:val="44"/>
          <w:szCs w:val="44"/>
          <w:vertAlign w:val="superscript"/>
        </w:rPr>
        <w:t xml:space="preserve">Little, D. Dam, L. and </w:t>
      </w:r>
      <w:proofErr w:type="spellStart"/>
      <w:r w:rsidRPr="000948AF">
        <w:rPr>
          <w:rFonts w:ascii="Arial" w:hAnsi="Arial" w:cs="Arial"/>
          <w:color w:val="3A343A"/>
          <w:sz w:val="44"/>
          <w:szCs w:val="44"/>
          <w:vertAlign w:val="superscript"/>
        </w:rPr>
        <w:t>Legenhausen</w:t>
      </w:r>
      <w:proofErr w:type="spellEnd"/>
      <w:r w:rsidRPr="000948AF">
        <w:rPr>
          <w:rFonts w:ascii="Arial" w:hAnsi="Arial" w:cs="Arial"/>
          <w:color w:val="3A343A"/>
          <w:sz w:val="44"/>
          <w:szCs w:val="44"/>
          <w:vertAlign w:val="superscript"/>
        </w:rPr>
        <w:t>, L. (2017) </w:t>
      </w:r>
      <w:r w:rsidRPr="000948AF">
        <w:rPr>
          <w:rStyle w:val="Emphasis"/>
          <w:rFonts w:ascii="Arial" w:hAnsi="Arial" w:cs="Arial"/>
          <w:color w:val="3A343A"/>
          <w:sz w:val="44"/>
          <w:szCs w:val="44"/>
          <w:vertAlign w:val="superscript"/>
        </w:rPr>
        <w:t xml:space="preserve">Language Learner Autonomy: theory, </w:t>
      </w:r>
      <w:proofErr w:type="gramStart"/>
      <w:r w:rsidRPr="000948AF">
        <w:rPr>
          <w:rStyle w:val="Emphasis"/>
          <w:rFonts w:ascii="Arial" w:hAnsi="Arial" w:cs="Arial"/>
          <w:color w:val="3A343A"/>
          <w:sz w:val="44"/>
          <w:szCs w:val="44"/>
          <w:vertAlign w:val="superscript"/>
        </w:rPr>
        <w:t>practice</w:t>
      </w:r>
      <w:proofErr w:type="gramEnd"/>
      <w:r w:rsidRPr="000948AF">
        <w:rPr>
          <w:rStyle w:val="Emphasis"/>
          <w:rFonts w:ascii="Arial" w:hAnsi="Arial" w:cs="Arial"/>
          <w:color w:val="3A343A"/>
          <w:sz w:val="44"/>
          <w:szCs w:val="44"/>
          <w:vertAlign w:val="superscript"/>
        </w:rPr>
        <w:t xml:space="preserve"> and research</w:t>
      </w:r>
      <w:r w:rsidRPr="000948AF">
        <w:rPr>
          <w:rFonts w:ascii="Arial" w:hAnsi="Arial" w:cs="Arial"/>
          <w:color w:val="3A343A"/>
          <w:sz w:val="44"/>
          <w:szCs w:val="44"/>
          <w:vertAlign w:val="superscript"/>
        </w:rPr>
        <w:t>. Bristol: Multilingual Matters</w:t>
      </w:r>
      <w:r w:rsidRPr="000948AF">
        <w:rPr>
          <w:rFonts w:ascii="Arial" w:hAnsi="Arial" w:cs="Arial"/>
          <w:color w:val="3A343A"/>
          <w:sz w:val="44"/>
          <w:szCs w:val="44"/>
        </w:rPr>
        <w:br/>
      </w:r>
      <w:proofErr w:type="spellStart"/>
      <w:r w:rsidRPr="000948AF">
        <w:rPr>
          <w:rFonts w:ascii="Arial" w:hAnsi="Arial" w:cs="Arial"/>
          <w:color w:val="3A343A"/>
          <w:sz w:val="44"/>
          <w:szCs w:val="44"/>
          <w:vertAlign w:val="superscript"/>
        </w:rPr>
        <w:t>Schlarle</w:t>
      </w:r>
      <w:proofErr w:type="spellEnd"/>
      <w:r w:rsidRPr="000948AF">
        <w:rPr>
          <w:rFonts w:ascii="Arial" w:hAnsi="Arial" w:cs="Arial"/>
          <w:color w:val="3A343A"/>
          <w:sz w:val="44"/>
          <w:szCs w:val="44"/>
          <w:vertAlign w:val="superscript"/>
        </w:rPr>
        <w:t xml:space="preserve">, A. and </w:t>
      </w:r>
      <w:proofErr w:type="spellStart"/>
      <w:r w:rsidRPr="000948AF">
        <w:rPr>
          <w:rFonts w:ascii="Arial" w:hAnsi="Arial" w:cs="Arial"/>
          <w:color w:val="3A343A"/>
          <w:sz w:val="44"/>
          <w:szCs w:val="44"/>
          <w:vertAlign w:val="superscript"/>
        </w:rPr>
        <w:t>Szabó</w:t>
      </w:r>
      <w:proofErr w:type="spellEnd"/>
      <w:r w:rsidRPr="000948AF">
        <w:rPr>
          <w:rFonts w:ascii="Arial" w:hAnsi="Arial" w:cs="Arial"/>
          <w:color w:val="3A343A"/>
          <w:sz w:val="44"/>
          <w:szCs w:val="44"/>
          <w:vertAlign w:val="superscript"/>
        </w:rPr>
        <w:t>, A. (2000) </w:t>
      </w:r>
      <w:r w:rsidRPr="000948AF">
        <w:rPr>
          <w:rStyle w:val="Emphasis"/>
          <w:rFonts w:ascii="Arial" w:hAnsi="Arial" w:cs="Arial"/>
          <w:color w:val="3A343A"/>
          <w:sz w:val="44"/>
          <w:szCs w:val="44"/>
          <w:vertAlign w:val="superscript"/>
        </w:rPr>
        <w:t>Learner Autonomy: a guide to developing learner responsibility</w:t>
      </w:r>
      <w:r w:rsidRPr="000948AF">
        <w:rPr>
          <w:rFonts w:ascii="Arial" w:hAnsi="Arial" w:cs="Arial"/>
          <w:color w:val="3A343A"/>
          <w:sz w:val="44"/>
          <w:szCs w:val="44"/>
          <w:vertAlign w:val="superscript"/>
        </w:rPr>
        <w:t>. Cambridge: Cambridge University Press.</w:t>
      </w:r>
    </w:p>
    <w:p w14:paraId="66BBEB81" w14:textId="0826A06B" w:rsidR="000948AF" w:rsidRDefault="000948AF" w:rsidP="000948AF">
      <w:pPr>
        <w:pStyle w:val="NormalWeb"/>
        <w:shd w:val="clear" w:color="auto" w:fill="FFFFFF"/>
        <w:spacing w:before="360" w:beforeAutospacing="0" w:after="360" w:afterAutospacing="0"/>
        <w:rPr>
          <w:rFonts w:ascii="Arial" w:hAnsi="Arial" w:cs="Arial"/>
          <w:color w:val="3A343A"/>
          <w:sz w:val="44"/>
          <w:szCs w:val="44"/>
        </w:rPr>
      </w:pPr>
    </w:p>
    <w:p w14:paraId="4CE4EAF5" w14:textId="05169ACA" w:rsidR="000948AF" w:rsidRDefault="000948AF">
      <w:pPr>
        <w:rPr>
          <w:rFonts w:ascii="Arial" w:eastAsia="Times New Roman" w:hAnsi="Arial" w:cs="Arial"/>
          <w:color w:val="3A343A"/>
          <w:sz w:val="44"/>
          <w:szCs w:val="44"/>
          <w:lang w:eastAsia="en-GB"/>
        </w:rPr>
      </w:pPr>
      <w:r>
        <w:rPr>
          <w:rFonts w:ascii="Arial" w:hAnsi="Arial" w:cs="Arial"/>
          <w:color w:val="3A343A"/>
          <w:sz w:val="44"/>
          <w:szCs w:val="44"/>
        </w:rPr>
        <w:br w:type="page"/>
      </w:r>
    </w:p>
    <w:p w14:paraId="5B0103C4" w14:textId="77777777" w:rsidR="000948AF" w:rsidRDefault="000948AF" w:rsidP="000948AF">
      <w:pPr>
        <w:pStyle w:val="Heading1"/>
        <w:shd w:val="clear" w:color="auto" w:fill="FFFFFF"/>
        <w:rPr>
          <w:rFonts w:ascii="Arial" w:hAnsi="Arial" w:cs="Arial"/>
          <w:color w:val="3A343A"/>
        </w:rPr>
      </w:pPr>
      <w:r>
        <w:rPr>
          <w:rFonts w:ascii="Arial" w:hAnsi="Arial" w:cs="Arial"/>
          <w:color w:val="3A343A"/>
        </w:rPr>
        <w:lastRenderedPageBreak/>
        <w:t>Assess your competence in a foreign language</w:t>
      </w:r>
    </w:p>
    <w:p w14:paraId="322A7623" w14:textId="77777777" w:rsidR="000948AF" w:rsidRDefault="000948AF" w:rsidP="000948AF">
      <w:pPr>
        <w:pStyle w:val="NormalWeb"/>
        <w:shd w:val="clear" w:color="auto" w:fill="FFFFFF"/>
        <w:spacing w:before="360" w:beforeAutospacing="0" w:after="360" w:afterAutospacing="0"/>
        <w:rPr>
          <w:rFonts w:ascii="Arial" w:hAnsi="Arial" w:cs="Arial"/>
          <w:b/>
          <w:bCs/>
          <w:color w:val="3A343A"/>
          <w:sz w:val="30"/>
          <w:szCs w:val="30"/>
        </w:rPr>
      </w:pPr>
      <w:r>
        <w:rPr>
          <w:rFonts w:ascii="Arial" w:hAnsi="Arial" w:cs="Arial"/>
          <w:b/>
          <w:bCs/>
          <w:color w:val="3A343A"/>
          <w:sz w:val="30"/>
          <w:szCs w:val="30"/>
        </w:rPr>
        <w:t>Using the </w:t>
      </w:r>
      <w:hyperlink r:id="rId9" w:history="1">
        <w:r>
          <w:rPr>
            <w:rStyle w:val="Hyperlink"/>
            <w:rFonts w:ascii="inherit" w:hAnsi="inherit" w:cs="Arial"/>
            <w:b/>
            <w:bCs/>
            <w:color w:val="DE00A5"/>
            <w:sz w:val="30"/>
            <w:szCs w:val="30"/>
          </w:rPr>
          <w:t>self-assessment grid</w:t>
        </w:r>
      </w:hyperlink>
      <w:r>
        <w:rPr>
          <w:rFonts w:ascii="Arial" w:hAnsi="Arial" w:cs="Arial"/>
          <w:b/>
          <w:bCs/>
          <w:color w:val="3A343A"/>
          <w:sz w:val="30"/>
          <w:szCs w:val="30"/>
        </w:rPr>
        <w:t> from the previous step, assess your current competence in a particular foreign language.</w:t>
      </w:r>
    </w:p>
    <w:p w14:paraId="2202F0A3"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In what ways do you think such learner self-assessment might contribute to enhanced learner autonomy?</w:t>
      </w:r>
    </w:p>
    <w:p w14:paraId="65D66179" w14:textId="6C664B00"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r>
        <w:rPr>
          <w:rFonts w:ascii="Arial" w:hAnsi="Arial" w:cs="Arial"/>
          <w:color w:val="3A343A"/>
          <w:sz w:val="30"/>
          <w:szCs w:val="30"/>
        </w:rPr>
        <w:t>How might teachers go about integrating learner self-assessment into their lessons?</w:t>
      </w:r>
    </w:p>
    <w:p w14:paraId="2B583C5B" w14:textId="7310448D"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p>
    <w:p w14:paraId="5222B8BA" w14:textId="191599CE" w:rsidR="000948AF" w:rsidRDefault="000948AF">
      <w:pPr>
        <w:rPr>
          <w:rFonts w:ascii="Arial" w:eastAsia="Times New Roman" w:hAnsi="Arial" w:cs="Arial"/>
          <w:color w:val="3A343A"/>
          <w:sz w:val="30"/>
          <w:szCs w:val="30"/>
          <w:lang w:eastAsia="en-GB"/>
        </w:rPr>
      </w:pPr>
      <w:r>
        <w:rPr>
          <w:rFonts w:ascii="Arial" w:hAnsi="Arial" w:cs="Arial"/>
          <w:color w:val="3A343A"/>
          <w:sz w:val="30"/>
          <w:szCs w:val="30"/>
        </w:rPr>
        <w:br w:type="page"/>
      </w:r>
    </w:p>
    <w:p w14:paraId="6CBA2C54" w14:textId="77777777" w:rsidR="000948AF" w:rsidRDefault="000948AF" w:rsidP="000948AF">
      <w:pPr>
        <w:pStyle w:val="NormalWeb"/>
        <w:shd w:val="clear" w:color="auto" w:fill="FFFFFF"/>
        <w:spacing w:before="360" w:beforeAutospacing="0" w:after="360" w:afterAutospacing="0"/>
        <w:rPr>
          <w:rFonts w:ascii="Arial" w:hAnsi="Arial" w:cs="Arial"/>
          <w:color w:val="3A343A"/>
          <w:sz w:val="30"/>
          <w:szCs w:val="30"/>
        </w:rPr>
      </w:pPr>
    </w:p>
    <w:p w14:paraId="4F3CEC6E" w14:textId="77777777" w:rsidR="000948AF" w:rsidRPr="000948AF" w:rsidRDefault="000948AF" w:rsidP="000948AF">
      <w:pPr>
        <w:pStyle w:val="NormalWeb"/>
        <w:shd w:val="clear" w:color="auto" w:fill="FFFFFF"/>
        <w:spacing w:before="360" w:beforeAutospacing="0" w:after="360" w:afterAutospacing="0"/>
        <w:rPr>
          <w:rFonts w:ascii="Arial" w:hAnsi="Arial" w:cs="Arial"/>
          <w:color w:val="3A343A"/>
          <w:sz w:val="44"/>
          <w:szCs w:val="44"/>
        </w:rPr>
      </w:pPr>
    </w:p>
    <w:p w14:paraId="2762325E" w14:textId="77777777" w:rsidR="000948AF" w:rsidRPr="000948AF" w:rsidRDefault="000948AF" w:rsidP="000948AF">
      <w:pPr>
        <w:shd w:val="clear" w:color="auto" w:fill="FFFFFF"/>
        <w:spacing w:before="360" w:after="360" w:line="240" w:lineRule="auto"/>
        <w:rPr>
          <w:rFonts w:ascii="Arial" w:eastAsia="Times New Roman" w:hAnsi="Arial" w:cs="Arial"/>
          <w:b/>
          <w:bCs/>
          <w:color w:val="3A343A"/>
          <w:sz w:val="44"/>
          <w:szCs w:val="44"/>
          <w:lang w:eastAsia="en-GB"/>
        </w:rPr>
      </w:pPr>
    </w:p>
    <w:p w14:paraId="36644B8C" w14:textId="77777777" w:rsidR="000948AF" w:rsidRPr="000948AF" w:rsidRDefault="000948AF">
      <w:pPr>
        <w:rPr>
          <w:sz w:val="44"/>
          <w:szCs w:val="44"/>
        </w:rPr>
      </w:pPr>
    </w:p>
    <w:sectPr w:rsidR="000948AF" w:rsidRPr="000948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4423AF"/>
    <w:multiLevelType w:val="multilevel"/>
    <w:tmpl w:val="34CCD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A0267C"/>
    <w:multiLevelType w:val="multilevel"/>
    <w:tmpl w:val="324CF9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DFD"/>
    <w:rsid w:val="00073DFD"/>
    <w:rsid w:val="000948AF"/>
    <w:rsid w:val="0018568B"/>
    <w:rsid w:val="00B878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CE635"/>
  <w15:chartTrackingRefBased/>
  <w15:docId w15:val="{C8DE5DCF-59FC-4A40-A84F-693F3A495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948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0948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948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948AF"/>
    <w:rPr>
      <w:b/>
      <w:bCs/>
    </w:rPr>
  </w:style>
  <w:style w:type="character" w:styleId="Emphasis">
    <w:name w:val="Emphasis"/>
    <w:basedOn w:val="DefaultParagraphFont"/>
    <w:uiPriority w:val="20"/>
    <w:qFormat/>
    <w:rsid w:val="000948AF"/>
    <w:rPr>
      <w:i/>
      <w:iCs/>
    </w:rPr>
  </w:style>
  <w:style w:type="character" w:customStyle="1" w:styleId="Heading1Char">
    <w:name w:val="Heading 1 Char"/>
    <w:basedOn w:val="DefaultParagraphFont"/>
    <w:link w:val="Heading1"/>
    <w:uiPriority w:val="9"/>
    <w:rsid w:val="000948AF"/>
    <w:rPr>
      <w:rFonts w:ascii="Times New Roman" w:eastAsia="Times New Roman" w:hAnsi="Times New Roman" w:cs="Times New Roman"/>
      <w:b/>
      <w:bCs/>
      <w:kern w:val="36"/>
      <w:sz w:val="48"/>
      <w:szCs w:val="48"/>
      <w:lang w:eastAsia="en-GB"/>
    </w:rPr>
  </w:style>
  <w:style w:type="character" w:customStyle="1" w:styleId="m-icon-with-texttext">
    <w:name w:val="m-icon-with-text__text"/>
    <w:basedOn w:val="DefaultParagraphFont"/>
    <w:rsid w:val="000948AF"/>
  </w:style>
  <w:style w:type="character" w:customStyle="1" w:styleId="Heading3Char">
    <w:name w:val="Heading 3 Char"/>
    <w:basedOn w:val="DefaultParagraphFont"/>
    <w:link w:val="Heading3"/>
    <w:uiPriority w:val="9"/>
    <w:semiHidden/>
    <w:rsid w:val="000948AF"/>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0948A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736355">
      <w:bodyDiv w:val="1"/>
      <w:marLeft w:val="0"/>
      <w:marRight w:val="0"/>
      <w:marTop w:val="0"/>
      <w:marBottom w:val="0"/>
      <w:divBdr>
        <w:top w:val="none" w:sz="0" w:space="0" w:color="auto"/>
        <w:left w:val="none" w:sz="0" w:space="0" w:color="auto"/>
        <w:bottom w:val="none" w:sz="0" w:space="0" w:color="auto"/>
        <w:right w:val="none" w:sz="0" w:space="0" w:color="auto"/>
      </w:divBdr>
    </w:div>
    <w:div w:id="374158356">
      <w:bodyDiv w:val="1"/>
      <w:marLeft w:val="0"/>
      <w:marRight w:val="0"/>
      <w:marTop w:val="0"/>
      <w:marBottom w:val="0"/>
      <w:divBdr>
        <w:top w:val="none" w:sz="0" w:space="0" w:color="auto"/>
        <w:left w:val="none" w:sz="0" w:space="0" w:color="auto"/>
        <w:bottom w:val="none" w:sz="0" w:space="0" w:color="auto"/>
        <w:right w:val="none" w:sz="0" w:space="0" w:color="auto"/>
      </w:divBdr>
      <w:divsChild>
        <w:div w:id="1686981266">
          <w:marLeft w:val="0"/>
          <w:marRight w:val="0"/>
          <w:marTop w:val="0"/>
          <w:marBottom w:val="0"/>
          <w:divBdr>
            <w:top w:val="none" w:sz="0" w:space="0" w:color="auto"/>
            <w:left w:val="none" w:sz="0" w:space="0" w:color="auto"/>
            <w:bottom w:val="none" w:sz="0" w:space="0" w:color="auto"/>
            <w:right w:val="none" w:sz="0" w:space="0" w:color="auto"/>
          </w:divBdr>
          <w:divsChild>
            <w:div w:id="102574105">
              <w:marLeft w:val="0"/>
              <w:marRight w:val="0"/>
              <w:marTop w:val="0"/>
              <w:marBottom w:val="0"/>
              <w:divBdr>
                <w:top w:val="none" w:sz="0" w:space="0" w:color="auto"/>
                <w:left w:val="none" w:sz="0" w:space="0" w:color="auto"/>
                <w:bottom w:val="none" w:sz="0" w:space="0" w:color="auto"/>
                <w:right w:val="none" w:sz="0" w:space="0" w:color="auto"/>
              </w:divBdr>
              <w:divsChild>
                <w:div w:id="140792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56719">
          <w:marLeft w:val="0"/>
          <w:marRight w:val="0"/>
          <w:marTop w:val="0"/>
          <w:marBottom w:val="0"/>
          <w:divBdr>
            <w:top w:val="none" w:sz="0" w:space="0" w:color="auto"/>
            <w:left w:val="none" w:sz="0" w:space="0" w:color="auto"/>
            <w:bottom w:val="none" w:sz="0" w:space="0" w:color="auto"/>
            <w:right w:val="none" w:sz="0" w:space="0" w:color="auto"/>
          </w:divBdr>
          <w:divsChild>
            <w:div w:id="466434469">
              <w:marLeft w:val="0"/>
              <w:marRight w:val="0"/>
              <w:marTop w:val="0"/>
              <w:marBottom w:val="0"/>
              <w:divBdr>
                <w:top w:val="none" w:sz="0" w:space="0" w:color="auto"/>
                <w:left w:val="none" w:sz="0" w:space="0" w:color="auto"/>
                <w:bottom w:val="none" w:sz="0" w:space="0" w:color="auto"/>
                <w:right w:val="none" w:sz="0" w:space="0" w:color="auto"/>
              </w:divBdr>
            </w:div>
          </w:divsChild>
        </w:div>
        <w:div w:id="2014330411">
          <w:marLeft w:val="0"/>
          <w:marRight w:val="0"/>
          <w:marTop w:val="0"/>
          <w:marBottom w:val="0"/>
          <w:divBdr>
            <w:top w:val="none" w:sz="0" w:space="0" w:color="auto"/>
            <w:left w:val="none" w:sz="0" w:space="0" w:color="auto"/>
            <w:bottom w:val="none" w:sz="0" w:space="0" w:color="auto"/>
            <w:right w:val="none" w:sz="0" w:space="0" w:color="auto"/>
          </w:divBdr>
          <w:divsChild>
            <w:div w:id="353502678">
              <w:marLeft w:val="0"/>
              <w:marRight w:val="0"/>
              <w:marTop w:val="480"/>
              <w:marBottom w:val="240"/>
              <w:divBdr>
                <w:top w:val="none" w:sz="0" w:space="0" w:color="auto"/>
                <w:left w:val="none" w:sz="0" w:space="0" w:color="auto"/>
                <w:bottom w:val="none" w:sz="0" w:space="0" w:color="auto"/>
                <w:right w:val="none" w:sz="0" w:space="0" w:color="auto"/>
              </w:divBdr>
              <w:divsChild>
                <w:div w:id="634215951">
                  <w:marLeft w:val="0"/>
                  <w:marRight w:val="0"/>
                  <w:marTop w:val="0"/>
                  <w:marBottom w:val="0"/>
                  <w:divBdr>
                    <w:top w:val="none" w:sz="0" w:space="0" w:color="auto"/>
                    <w:left w:val="none" w:sz="0" w:space="0" w:color="auto"/>
                    <w:bottom w:val="none" w:sz="0" w:space="0" w:color="auto"/>
                    <w:right w:val="none" w:sz="0" w:space="0" w:color="auto"/>
                  </w:divBdr>
                  <w:divsChild>
                    <w:div w:id="172872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3377617">
      <w:bodyDiv w:val="1"/>
      <w:marLeft w:val="0"/>
      <w:marRight w:val="0"/>
      <w:marTop w:val="0"/>
      <w:marBottom w:val="0"/>
      <w:divBdr>
        <w:top w:val="none" w:sz="0" w:space="0" w:color="auto"/>
        <w:left w:val="none" w:sz="0" w:space="0" w:color="auto"/>
        <w:bottom w:val="none" w:sz="0" w:space="0" w:color="auto"/>
        <w:right w:val="none" w:sz="0" w:space="0" w:color="auto"/>
      </w:divBdr>
      <w:divsChild>
        <w:div w:id="1558278614">
          <w:marLeft w:val="0"/>
          <w:marRight w:val="0"/>
          <w:marTop w:val="0"/>
          <w:marBottom w:val="0"/>
          <w:divBdr>
            <w:top w:val="none" w:sz="0" w:space="0" w:color="auto"/>
            <w:left w:val="none" w:sz="0" w:space="0" w:color="auto"/>
            <w:bottom w:val="none" w:sz="0" w:space="0" w:color="auto"/>
            <w:right w:val="none" w:sz="0" w:space="0" w:color="auto"/>
          </w:divBdr>
          <w:divsChild>
            <w:div w:id="1711026876">
              <w:marLeft w:val="0"/>
              <w:marRight w:val="0"/>
              <w:marTop w:val="0"/>
              <w:marBottom w:val="0"/>
              <w:divBdr>
                <w:top w:val="none" w:sz="0" w:space="0" w:color="auto"/>
                <w:left w:val="none" w:sz="0" w:space="0" w:color="auto"/>
                <w:bottom w:val="none" w:sz="0" w:space="0" w:color="auto"/>
                <w:right w:val="none" w:sz="0" w:space="0" w:color="auto"/>
              </w:divBdr>
              <w:divsChild>
                <w:div w:id="102205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594408">
          <w:marLeft w:val="0"/>
          <w:marRight w:val="0"/>
          <w:marTop w:val="0"/>
          <w:marBottom w:val="0"/>
          <w:divBdr>
            <w:top w:val="none" w:sz="0" w:space="0" w:color="auto"/>
            <w:left w:val="none" w:sz="0" w:space="0" w:color="auto"/>
            <w:bottom w:val="none" w:sz="0" w:space="0" w:color="auto"/>
            <w:right w:val="none" w:sz="0" w:space="0" w:color="auto"/>
          </w:divBdr>
        </w:div>
      </w:divsChild>
    </w:div>
    <w:div w:id="1843886794">
      <w:bodyDiv w:val="1"/>
      <w:marLeft w:val="0"/>
      <w:marRight w:val="0"/>
      <w:marTop w:val="0"/>
      <w:marBottom w:val="0"/>
      <w:divBdr>
        <w:top w:val="none" w:sz="0" w:space="0" w:color="auto"/>
        <w:left w:val="none" w:sz="0" w:space="0" w:color="auto"/>
        <w:bottom w:val="none" w:sz="0" w:space="0" w:color="auto"/>
        <w:right w:val="none" w:sz="0" w:space="0" w:color="auto"/>
      </w:divBdr>
      <w:divsChild>
        <w:div w:id="99877996">
          <w:marLeft w:val="0"/>
          <w:marRight w:val="0"/>
          <w:marTop w:val="0"/>
          <w:marBottom w:val="0"/>
          <w:divBdr>
            <w:top w:val="none" w:sz="0" w:space="0" w:color="auto"/>
            <w:left w:val="none" w:sz="0" w:space="0" w:color="auto"/>
            <w:bottom w:val="none" w:sz="0" w:space="0" w:color="auto"/>
            <w:right w:val="none" w:sz="0" w:space="0" w:color="auto"/>
          </w:divBdr>
          <w:divsChild>
            <w:div w:id="1068653361">
              <w:marLeft w:val="0"/>
              <w:marRight w:val="0"/>
              <w:marTop w:val="0"/>
              <w:marBottom w:val="0"/>
              <w:divBdr>
                <w:top w:val="none" w:sz="0" w:space="0" w:color="auto"/>
                <w:left w:val="none" w:sz="0" w:space="0" w:color="auto"/>
                <w:bottom w:val="none" w:sz="0" w:space="0" w:color="auto"/>
                <w:right w:val="none" w:sz="0" w:space="0" w:color="auto"/>
              </w:divBdr>
              <w:divsChild>
                <w:div w:id="57778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869828">
          <w:marLeft w:val="0"/>
          <w:marRight w:val="0"/>
          <w:marTop w:val="0"/>
          <w:marBottom w:val="0"/>
          <w:divBdr>
            <w:top w:val="none" w:sz="0" w:space="0" w:color="auto"/>
            <w:left w:val="none" w:sz="0" w:space="0" w:color="auto"/>
            <w:bottom w:val="none" w:sz="0" w:space="0" w:color="auto"/>
            <w:right w:val="none" w:sz="0" w:space="0" w:color="auto"/>
          </w:divBdr>
        </w:div>
      </w:divsChild>
    </w:div>
    <w:div w:id="2037147805">
      <w:bodyDiv w:val="1"/>
      <w:marLeft w:val="0"/>
      <w:marRight w:val="0"/>
      <w:marTop w:val="0"/>
      <w:marBottom w:val="0"/>
      <w:divBdr>
        <w:top w:val="none" w:sz="0" w:space="0" w:color="auto"/>
        <w:left w:val="none" w:sz="0" w:space="0" w:color="auto"/>
        <w:bottom w:val="none" w:sz="0" w:space="0" w:color="auto"/>
        <w:right w:val="none" w:sz="0" w:space="0" w:color="auto"/>
      </w:divBdr>
      <w:divsChild>
        <w:div w:id="1128819184">
          <w:marLeft w:val="0"/>
          <w:marRight w:val="0"/>
          <w:marTop w:val="0"/>
          <w:marBottom w:val="0"/>
          <w:divBdr>
            <w:top w:val="none" w:sz="0" w:space="0" w:color="auto"/>
            <w:left w:val="none" w:sz="0" w:space="0" w:color="auto"/>
            <w:bottom w:val="none" w:sz="0" w:space="0" w:color="auto"/>
            <w:right w:val="none" w:sz="0" w:space="0" w:color="auto"/>
          </w:divBdr>
          <w:divsChild>
            <w:div w:id="1239093754">
              <w:marLeft w:val="0"/>
              <w:marRight w:val="0"/>
              <w:marTop w:val="0"/>
              <w:marBottom w:val="0"/>
              <w:divBdr>
                <w:top w:val="none" w:sz="0" w:space="0" w:color="auto"/>
                <w:left w:val="none" w:sz="0" w:space="0" w:color="auto"/>
                <w:bottom w:val="none" w:sz="0" w:space="0" w:color="auto"/>
                <w:right w:val="none" w:sz="0" w:space="0" w:color="auto"/>
              </w:divBdr>
              <w:divsChild>
                <w:div w:id="104688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899150">
          <w:marLeft w:val="0"/>
          <w:marRight w:val="0"/>
          <w:marTop w:val="0"/>
          <w:marBottom w:val="0"/>
          <w:divBdr>
            <w:top w:val="none" w:sz="0" w:space="0" w:color="auto"/>
            <w:left w:val="none" w:sz="0" w:space="0" w:color="auto"/>
            <w:bottom w:val="none" w:sz="0" w:space="0" w:color="auto"/>
            <w:right w:val="none" w:sz="0" w:space="0" w:color="auto"/>
          </w:divBdr>
          <w:divsChild>
            <w:div w:id="118844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1885">
      <w:bodyDiv w:val="1"/>
      <w:marLeft w:val="0"/>
      <w:marRight w:val="0"/>
      <w:marTop w:val="0"/>
      <w:marBottom w:val="0"/>
      <w:divBdr>
        <w:top w:val="none" w:sz="0" w:space="0" w:color="auto"/>
        <w:left w:val="none" w:sz="0" w:space="0" w:color="auto"/>
        <w:bottom w:val="none" w:sz="0" w:space="0" w:color="auto"/>
        <w:right w:val="none" w:sz="0" w:space="0" w:color="auto"/>
      </w:divBdr>
      <w:divsChild>
        <w:div w:id="365329773">
          <w:blockQuote w:val="1"/>
          <w:marLeft w:val="720"/>
          <w:marRight w:val="720"/>
          <w:marTop w:val="100"/>
          <w:marBottom w:val="100"/>
          <w:divBdr>
            <w:top w:val="none" w:sz="0" w:space="0" w:color="auto"/>
            <w:left w:val="single" w:sz="12" w:space="12" w:color="DE00A5"/>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m.coe.int/168045bb52"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las.ac.uk/resources/gpg/1409"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m.coe.int/168045bb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C5336-2371-4CEC-84A7-35FF48F90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8</Pages>
  <Words>954</Words>
  <Characters>5441</Characters>
  <Application>Microsoft Office Word</Application>
  <DocSecurity>0</DocSecurity>
  <Lines>45</Lines>
  <Paragraphs>12</Paragraphs>
  <ScaleCrop>false</ScaleCrop>
  <Company/>
  <LinksUpToDate>false</LinksUpToDate>
  <CharactersWithSpaces>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Clapham</dc:creator>
  <cp:keywords/>
  <dc:description/>
  <cp:lastModifiedBy>Jessica Clapham</cp:lastModifiedBy>
  <cp:revision>3</cp:revision>
  <dcterms:created xsi:type="dcterms:W3CDTF">2021-03-24T13:04:00Z</dcterms:created>
  <dcterms:modified xsi:type="dcterms:W3CDTF">2022-03-23T12:59:00Z</dcterms:modified>
</cp:coreProperties>
</file>