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114300" distT="114300" distL="114300" distR="114300">
            <wp:extent cx="3776663" cy="150612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776663" cy="150612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28"/>
          <w:szCs w:val="28"/>
        </w:rPr>
      </w:pPr>
      <w:r w:rsidDel="00000000" w:rsidR="00000000" w:rsidRPr="00000000">
        <w:rPr>
          <w:b w:val="1"/>
          <w:bCs w:val="1"/>
          <w:sz w:val="28"/>
          <w:szCs w:val="28"/>
          <w:rtl w:val="0"/>
        </w:rPr>
        <w:t xml:space="preserve">UNIVERSITY OF WALES TRINITY SAINT DAVID</w:t>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tl w:val="0"/>
        </w:rPr>
        <w:t xml:space="preserve">Master of Business Administration</w:t>
      </w:r>
    </w:p>
    <w:p w:rsidR="00000000" w:rsidDel="00000000" w:rsidP="00000000" w:rsidRDefault="00000000" w:rsidRPr="00000000" w14:paraId="00000004">
      <w:pPr>
        <w:jc w:val="center"/>
        <w:rPr>
          <w:b w:val="1"/>
          <w:bCs w:val="1"/>
        </w:rPr>
      </w:pPr>
      <w:r w:rsidDel="00000000" w:rsidR="00000000" w:rsidRPr="00000000">
        <w:rPr>
          <w:b w:val="1"/>
          <w:bCs w:val="1"/>
          <w:rtl w:val="0"/>
        </w:rPr>
        <w:t xml:space="preserve">Marketing Management</w:t>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Module Code: LCMB7024</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Marketing Strategy for the Rolex Perpetual Passport &amp; Care Ecosystem</w:t>
      </w:r>
    </w:p>
    <w:p w:rsidR="00000000" w:rsidDel="00000000" w:rsidP="00000000" w:rsidRDefault="00000000" w:rsidRPr="00000000" w14:paraId="00000007">
      <w:pPr>
        <w:jc w:val="center"/>
        <w:rPr>
          <w:b w:val="1"/>
          <w:bCs w:val="1"/>
        </w:rPr>
      </w:pPr>
      <w:r w:rsidDel="00000000" w:rsidR="00000000" w:rsidRPr="00000000">
        <w:rPr>
          <w:b w:val="1"/>
          <w:bCs w:val="1"/>
          <w:rtl w:val="0"/>
        </w:rPr>
        <w:t xml:space="preserve">Student Name: Asodariya Darshit Rasikbhai</w:t>
        <w:br w:type="textWrapping"/>
        <w:t xml:space="preserve">Student ID : 2540455</w:t>
        <w:br w:type="textWrapping"/>
        <w:t xml:space="preserve">Programme: Master of Business Administration</w:t>
      </w:r>
    </w:p>
    <w:p w:rsidR="00000000" w:rsidDel="00000000" w:rsidP="00000000" w:rsidRDefault="00000000" w:rsidRPr="00000000" w14:paraId="00000008">
      <w:pPr>
        <w:jc w:val="center"/>
        <w:rPr>
          <w:b w:val="1"/>
          <w:bCs w:val="1"/>
        </w:rPr>
      </w:pPr>
      <w:r w:rsidDel="00000000" w:rsidR="00000000" w:rsidRPr="00000000">
        <w:rPr>
          <w:b w:val="1"/>
          <w:bCs w:val="1"/>
          <w:rtl w:val="0"/>
        </w:rPr>
        <w:t xml:space="preserve">Module: Marketing Management</w:t>
      </w:r>
    </w:p>
    <w:p w:rsidR="00000000" w:rsidDel="00000000" w:rsidP="00000000" w:rsidRDefault="00000000" w:rsidRPr="00000000" w14:paraId="00000009">
      <w:pPr>
        <w:jc w:val="center"/>
        <w:rPr>
          <w:b w:val="1"/>
          <w:bCs w:val="1"/>
        </w:rPr>
      </w:pPr>
      <w:r w:rsidDel="00000000" w:rsidR="00000000" w:rsidRPr="00000000">
        <w:rPr>
          <w:b w:val="1"/>
          <w:bCs w:val="1"/>
          <w:rtl w:val="0"/>
        </w:rPr>
        <w:t xml:space="preserve">Module Code: LCMB7024</w:t>
      </w:r>
    </w:p>
    <w:p w:rsidR="00000000" w:rsidDel="00000000" w:rsidP="00000000" w:rsidRDefault="00000000" w:rsidRPr="00000000" w14:paraId="0000000A">
      <w:pPr>
        <w:jc w:val="center"/>
        <w:rPr>
          <w:b w:val="1"/>
          <w:bCs w:val="1"/>
          <w:sz w:val="22"/>
          <w:szCs w:val="22"/>
        </w:rPr>
      </w:pPr>
      <w:r w:rsidDel="00000000" w:rsidR="00000000" w:rsidRPr="00000000">
        <w:rPr>
          <w:b w:val="1"/>
          <w:bCs w:val="1"/>
          <w:rtl w:val="0"/>
        </w:rPr>
        <w:t xml:space="preserve">Lecturer: Laila Maazouz</w:t>
      </w:r>
      <w:r w:rsidDel="00000000" w:rsidR="00000000" w:rsidRPr="00000000">
        <w:rPr>
          <w:rtl w:val="0"/>
        </w:rPr>
      </w:r>
    </w:p>
    <w:p w:rsidR="00000000" w:rsidDel="00000000" w:rsidP="00000000" w:rsidRDefault="00000000" w:rsidRPr="00000000" w14:paraId="0000000B">
      <w:pPr>
        <w:rPr/>
      </w:pPr>
      <w:r w:rsidDel="00000000" w:rsidR="00000000" w:rsidRPr="00000000">
        <w:br w:type="page"/>
      </w:r>
      <w:r w:rsidDel="00000000" w:rsidR="00000000" w:rsidRPr="00000000">
        <w:rPr>
          <w:rtl w:val="0"/>
        </w:rPr>
      </w:r>
    </w:p>
    <w:p w:rsidR="00000000" w:rsidDel="00000000" w:rsidP="00000000" w:rsidRDefault="00000000" w:rsidRPr="00000000" w14:paraId="0000000C">
      <w:pPr>
        <w:jc w:val="center"/>
        <w:rPr>
          <w:b w:val="1"/>
          <w:bCs w:val="1"/>
          <w:sz w:val="28"/>
          <w:szCs w:val="28"/>
        </w:rPr>
      </w:pPr>
      <w:r w:rsidDel="00000000" w:rsidR="00000000" w:rsidRPr="00000000">
        <w:rPr>
          <w:b w:val="1"/>
          <w:bCs w:val="1"/>
          <w:sz w:val="28"/>
          <w:szCs w:val="28"/>
          <w:rtl w:val="0"/>
        </w:rPr>
        <w:t xml:space="preserve">TABLE OF CONTENTS</w:t>
      </w:r>
    </w:p>
    <w:sdt>
      <w:sdtPr>
        <w:id w:val="1331376634"/>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tg1wdiapc4k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Sustainable Brand Extension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dsmboa6xdcs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Segmentation, Targeting, Differentiation and Positioning (STDP)</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976zlw2eet8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Market Segmentation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84iw1gi65jm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Targeting Strategy</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3qlcgzxeain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Differentiation Strategy</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leq0qjek34m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Positioning Strategy</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2e620jvkzj2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Marketing Mix – 7Ps</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19n89pe5sgk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Product</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dwv6mogv1co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Price</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zpohut1751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Place</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9wdgdg3046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Promotion</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tzkpgl95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People</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juz4hr5ihj7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Process</w:t>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rv5xc9xomd5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3.7 Physical Evidence</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nzb9qudsv3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Critical Reflection</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90bqd8fcjuq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What?</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6l3dib6532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So What?</w:t>
              <w:tab/>
              <w:t xml:space="preserve">12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aucqgingjeq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Now What?</w:t>
              <w:tab/>
              <w:t xml:space="preserve">12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gh6gth71m4w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6v4m0vji2ux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Appendices</w:t>
              <w:tab/>
              <w:t xml:space="preserve">17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276"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owxjjhbfyz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 Element 1 Poster</w:t>
              <w:tab/>
              <w:t xml:space="preserve">17</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after="0" w:before="60" w:line="276" w:lineRule="auto"/>
            <w:ind w:left="360" w:firstLine="0"/>
            <w:jc w:val="left"/>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keepNext w:val="0"/>
        <w:keepLines w:val="0"/>
        <w:rPr/>
      </w:pPr>
      <w:bookmarkStart w:colFirst="0" w:colLast="0" w:name="_tg1wdiapc4kk" w:id="0"/>
      <w:bookmarkEnd w:id="0"/>
      <w:r w:rsidDel="00000000" w:rsidR="00000000" w:rsidRPr="00000000">
        <w:rPr>
          <w:rtl w:val="0"/>
        </w:rPr>
        <w:t xml:space="preserve">1. Sustainable Brand Extension</w:t>
      </w:r>
    </w:p>
    <w:p w:rsidR="00000000" w:rsidDel="00000000" w:rsidP="00000000" w:rsidRDefault="00000000" w:rsidRPr="00000000" w14:paraId="00000025">
      <w:pPr>
        <w:rPr>
          <w:b w:val="1"/>
          <w:bCs w:val="1"/>
          <w:i w:val="1"/>
          <w:iCs w:val="1"/>
        </w:rPr>
      </w:pPr>
      <w:r w:rsidDel="00000000" w:rsidR="00000000" w:rsidRPr="00000000">
        <w:rPr>
          <w:rtl w:val="0"/>
        </w:rPr>
        <w:t xml:space="preserve">Element 1 suggests the Rolex Perpetual Passport &amp; Care Ecosystem, a high-end aftercare extension to include a secure digital product passport, QR/NFC registration, lifetime service history, maintenance notification, personalised care, and the recycling of the constituent part and less-impact service packaging (Zhang and Seuring, 2024). The concept of heritage, innovation, and circular care is placed in the middle of the poster. The idea builds upon the perpetual philosophy of Rolex, which is not limited to the product life cycle but is now set to be a life ownership contract. The annual report by Rolex, called Perpetual Planet, aims to sell to the environment, although in the current age of Digital Product Passport (DPP) policy and research, the emphasis is shifted towards the lifecycle information, traceability, and circularity (Rolex, 2024; European Parliament and Council of the European Union, 2024). </w:t>
      </w:r>
      <w:r w:rsidDel="00000000" w:rsidR="00000000" w:rsidRPr="00000000">
        <w:rPr>
          <w:b w:val="1"/>
          <w:bCs w:val="1"/>
          <w:i w:val="1"/>
          <w:iCs w:val="1"/>
          <w:rtl w:val="0"/>
        </w:rPr>
        <w:t xml:space="preserve">[Referred to Appendix 1]</w:t>
      </w:r>
    </w:p>
    <w:p w:rsidR="00000000" w:rsidDel="00000000" w:rsidP="00000000" w:rsidRDefault="00000000" w:rsidRPr="00000000" w14:paraId="00000026">
      <w:pPr>
        <w:pStyle w:val="Heading1"/>
        <w:rPr/>
      </w:pPr>
      <w:bookmarkStart w:colFirst="0" w:colLast="0" w:name="_dsmboa6xdcsx" w:id="1"/>
      <w:bookmarkEnd w:id="1"/>
      <w:r w:rsidDel="00000000" w:rsidR="00000000" w:rsidRPr="00000000">
        <w:rPr>
          <w:rtl w:val="0"/>
        </w:rPr>
        <w:t xml:space="preserve">2. Segmentation, Targeting, Differentiation and Positioning (STDP)</w:t>
      </w:r>
    </w:p>
    <w:p w:rsidR="00000000" w:rsidDel="00000000" w:rsidP="00000000" w:rsidRDefault="00000000" w:rsidRPr="00000000" w14:paraId="00000027">
      <w:pPr>
        <w:pStyle w:val="Heading2"/>
        <w:keepNext w:val="0"/>
        <w:keepLines w:val="0"/>
        <w:rPr/>
      </w:pPr>
      <w:bookmarkStart w:colFirst="0" w:colLast="0" w:name="_976zlw2eet84" w:id="2"/>
      <w:bookmarkEnd w:id="2"/>
      <w:r w:rsidDel="00000000" w:rsidR="00000000" w:rsidRPr="00000000">
        <w:rPr>
          <w:rtl w:val="0"/>
        </w:rPr>
        <w:t xml:space="preserve">2.1 Market Segmentation</w:t>
      </w:r>
    </w:p>
    <w:p w:rsidR="00000000" w:rsidDel="00000000" w:rsidP="00000000" w:rsidRDefault="00000000" w:rsidRPr="00000000" w14:paraId="00000028">
      <w:pPr>
        <w:rPr/>
      </w:pPr>
      <w:r w:rsidDel="00000000" w:rsidR="00000000" w:rsidRPr="00000000">
        <w:rPr>
          <w:rtl w:val="0"/>
        </w:rPr>
        <w:t xml:space="preserve">The market is supposed to be demographically, geographically or psychographically and behaviourally segmented. The extension ought to be geographically focused on leading global luxury watch markets with authorised Rolex retailers and service centres, and the digital passport can enable customer records to be available everywhere. In terms of demographic, the first tier segment would be high-disposable-income adults between the age of 28 and 55, mostly, the professionals, entrepreneurs, executives and collectors. These customers place a lot of premium on craftsmanship, heritage, authenticity, exclusivity and convenience psychographically. Nevertheless, the value proposition should not be dominated by the idea of sustainability since wealthy consumers might not be willing to pay a certain premium price in case of sustainable luxury (Grauel, Burmann and Schade, 2025). Rolex needs to differentiate among new buyers, current customers, collectors, people who use the service often and those with pre owned customers behaviourally. Because the evolving digital deluge preferences consider digital alliances, the extension must be convenient and optional in making digital communication dominant (Das, Sanyal and Mazumder, 2024).</w:t>
      </w:r>
    </w:p>
    <w:p w:rsidR="00000000" w:rsidDel="00000000" w:rsidP="00000000" w:rsidRDefault="00000000" w:rsidRPr="00000000" w14:paraId="00000029">
      <w:pPr>
        <w:jc w:val="center"/>
        <w:rPr>
          <w:b w:val="1"/>
          <w:bCs w:val="1"/>
        </w:rPr>
      </w:pPr>
      <w:r w:rsidDel="00000000" w:rsidR="00000000" w:rsidRPr="00000000">
        <w:rPr>
          <w:b w:val="1"/>
          <w:bCs w:val="1"/>
          <w:rtl w:val="0"/>
        </w:rPr>
        <w:t xml:space="preserve">Table 1: Priority market segmentation</w:t>
      </w:r>
    </w:p>
    <w:tbl>
      <w:tblPr>
        <w:tblStyle w:val="Table1"/>
        <w:tblW w:w="9025.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1579"/>
        <w:gridCol w:w="4351"/>
        <w:gridCol w:w="3095"/>
        <w:tblGridChange w:id="0">
          <w:tblGrid>
            <w:gridCol w:w="1579"/>
            <w:gridCol w:w="4351"/>
            <w:gridCol w:w="3095"/>
          </w:tblGrid>
        </w:tblGridChange>
      </w:tblGrid>
      <w:tr>
        <w:trPr>
          <w:cantSplit w:val="0"/>
          <w:trHeight w:val="5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2A">
            <w:pPr>
              <w:rPr/>
            </w:pPr>
            <w:r w:rsidDel="00000000" w:rsidR="00000000" w:rsidRPr="00000000">
              <w:rPr>
                <w:b w:val="1"/>
                <w:bCs w:val="1"/>
                <w:rtl w:val="0"/>
              </w:rPr>
              <w:t xml:space="preserve">Variable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2B">
            <w:pPr>
              <w:rPr/>
            </w:pPr>
            <w:r w:rsidDel="00000000" w:rsidR="00000000" w:rsidRPr="00000000">
              <w:rPr>
                <w:b w:val="1"/>
                <w:bCs w:val="1"/>
                <w:rtl w:val="0"/>
              </w:rPr>
              <w:t xml:space="preserve">Priority characteristics</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2C">
            <w:pPr>
              <w:rPr/>
            </w:pPr>
            <w:r w:rsidDel="00000000" w:rsidR="00000000" w:rsidRPr="00000000">
              <w:rPr>
                <w:b w:val="1"/>
                <w:bCs w:val="1"/>
                <w:rtl w:val="0"/>
              </w:rPr>
              <w:t xml:space="preserve">Strategic implication</w:t>
            </w:r>
            <w:r w:rsidDel="00000000" w:rsidR="00000000" w:rsidRPr="00000000">
              <w:rPr>
                <w:rtl w:val="0"/>
              </w:rPr>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2D">
            <w:pPr>
              <w:rPr/>
            </w:pPr>
            <w:r w:rsidDel="00000000" w:rsidR="00000000" w:rsidRPr="00000000">
              <w:rPr>
                <w:rtl w:val="0"/>
              </w:rPr>
              <w:t xml:space="preserve">Geographic</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2E">
            <w:pPr>
              <w:rPr/>
            </w:pPr>
            <w:r w:rsidDel="00000000" w:rsidR="00000000" w:rsidRPr="00000000">
              <w:rPr>
                <w:rtl w:val="0"/>
              </w:rPr>
              <w:t xml:space="preserve">Global luxury hubs and authorised Rolex networks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2F">
            <w:pPr>
              <w:rPr/>
            </w:pPr>
            <w:r w:rsidDel="00000000" w:rsidR="00000000" w:rsidRPr="00000000">
              <w:rPr>
                <w:rtl w:val="0"/>
              </w:rPr>
              <w:t xml:space="preserve">Controlled physical rollout supported digitally</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0">
            <w:pPr>
              <w:rPr/>
            </w:pPr>
            <w:r w:rsidDel="00000000" w:rsidR="00000000" w:rsidRPr="00000000">
              <w:rPr>
                <w:rtl w:val="0"/>
              </w:rPr>
              <w:t xml:space="preserve">Demographic</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1">
            <w:pPr>
              <w:rPr/>
            </w:pPr>
            <w:r w:rsidDel="00000000" w:rsidR="00000000" w:rsidRPr="00000000">
              <w:rPr>
                <w:rtl w:val="0"/>
              </w:rPr>
              <w:t xml:space="preserve">28–55; affluent professionals, entrepreneurs and collectors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2">
            <w:pPr>
              <w:rPr/>
            </w:pPr>
            <w:r w:rsidDel="00000000" w:rsidR="00000000" w:rsidRPr="00000000">
              <w:rPr>
                <w:rtl w:val="0"/>
              </w:rPr>
              <w:t xml:space="preserve">Emphasise convenience, trust and lifetime value</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3">
            <w:pPr>
              <w:rPr/>
            </w:pPr>
            <w:r w:rsidDel="00000000" w:rsidR="00000000" w:rsidRPr="00000000">
              <w:rPr>
                <w:rtl w:val="0"/>
              </w:rPr>
              <w:t xml:space="preserve">Psychographic</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4">
            <w:pPr>
              <w:rPr/>
            </w:pPr>
            <w:r w:rsidDel="00000000" w:rsidR="00000000" w:rsidRPr="00000000">
              <w:rPr>
                <w:rtl w:val="0"/>
              </w:rPr>
              <w:t xml:space="preserve">Heritage, exclusivity, craftsmanship, authenticity and responsible prestige</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5">
            <w:pPr>
              <w:rPr/>
            </w:pPr>
            <w:r w:rsidDel="00000000" w:rsidR="00000000" w:rsidRPr="00000000">
              <w:rPr>
                <w:rtl w:val="0"/>
              </w:rPr>
              <w:t xml:space="preserve">Sustainability should enhance luxury</w:t>
            </w:r>
          </w:p>
        </w:tc>
      </w:tr>
      <w:tr>
        <w:trPr>
          <w:cantSplit w:val="0"/>
          <w:trHeight w:val="77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6">
            <w:pPr>
              <w:rPr/>
            </w:pPr>
            <w:r w:rsidDel="00000000" w:rsidR="00000000" w:rsidRPr="00000000">
              <w:rPr>
                <w:rtl w:val="0"/>
              </w:rPr>
              <w:t xml:space="preserve">Behavioural</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7">
            <w:pPr>
              <w:rPr/>
            </w:pPr>
            <w:r w:rsidDel="00000000" w:rsidR="00000000" w:rsidRPr="00000000">
              <w:rPr>
                <w:rtl w:val="0"/>
              </w:rPr>
              <w:t xml:space="preserve">New owners, repeat customers, collectors and pre-owned participants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tcPr>
          <w:p w:rsidR="00000000" w:rsidDel="00000000" w:rsidP="00000000" w:rsidRDefault="00000000" w:rsidRPr="00000000" w14:paraId="00000038">
            <w:pPr>
              <w:rPr/>
            </w:pPr>
            <w:r w:rsidDel="00000000" w:rsidR="00000000" w:rsidRPr="00000000">
              <w:rPr>
                <w:rtl w:val="0"/>
              </w:rPr>
              <w:t xml:space="preserve">Tailor records, reminders and transfer functions</w:t>
            </w:r>
          </w:p>
        </w:tc>
      </w:tr>
    </w:tbl>
    <w:p w:rsidR="00000000" w:rsidDel="00000000" w:rsidP="00000000" w:rsidRDefault="00000000" w:rsidRPr="00000000" w14:paraId="00000039">
      <w:pPr>
        <w:pStyle w:val="Heading2"/>
        <w:rPr/>
      </w:pPr>
      <w:bookmarkStart w:colFirst="0" w:colLast="0" w:name="_84iw1gi65jm7" w:id="3"/>
      <w:bookmarkEnd w:id="3"/>
      <w:r w:rsidDel="00000000" w:rsidR="00000000" w:rsidRPr="00000000">
        <w:rPr>
          <w:rtl w:val="0"/>
        </w:rPr>
        <w:t xml:space="preserve">2.2 Targeting Strategy</w:t>
      </w:r>
    </w:p>
    <w:p w:rsidR="00000000" w:rsidDel="00000000" w:rsidP="00000000" w:rsidRDefault="00000000" w:rsidRPr="00000000" w14:paraId="0000003A">
      <w:pPr>
        <w:rPr/>
      </w:pPr>
      <w:r w:rsidDel="00000000" w:rsidR="00000000" w:rsidRPr="00000000">
        <w:rPr>
          <w:rtl w:val="0"/>
        </w:rPr>
        <w:t xml:space="preserve">The main target should be the wealthy current and potential Rolex clients that are around 28-55 years old and whom have high expectations of service and frequent use of digital platforms. The extension generates value more than the first sale: customers can get a certified information, individual attention and easier servicing, Rolex benefits by getting a chance to engage the customer on a permission-based but ongoing cycle during the ownership life. As Weidig, Weippert and Kuehnl (2024) show, personalised touchpoints have a shows impact on the experience of customers at various journey stages, limited by the privacy, trust and individual customer characteristics. Personalisation must thus be practical and unobtrusive as opposed to obtrusive. One of the secondary targets is the collectors and the certified pre-used customers. Authentication of maintenance history and provenance may lessen the uncertainty and help in assurance of ownership in case of change of ownership. However, the passport should not be marketed as something that automatically guarantees resellability; its role is to boost the quality of information and traceability and continuity of authorised services. Concentrated-differentiated targeting should be used to target as opposed to broad targeting. Rolex ought to focus on customers who have either a verifiable provenance and service life as the answer to real ownership concern, and customize the functionality to suit collectors and pre-owned users. This is tactically better than aiming at only targeting “sustainable consumers” since the concern in the environment does not always equate into the readiness to pay a higher price. Sustainability is not supposed to be a condition that promotes ownership experience but alone is the primary motive to adopt it (Grauel, Burmann and Schade, 2025).</w:t>
      </w:r>
    </w:p>
    <w:p w:rsidR="00000000" w:rsidDel="00000000" w:rsidP="00000000" w:rsidRDefault="00000000" w:rsidRPr="00000000" w14:paraId="0000003B">
      <w:pPr>
        <w:jc w:val="center"/>
        <w:rPr/>
      </w:pPr>
      <w:r w:rsidDel="00000000" w:rsidR="00000000" w:rsidRPr="00000000">
        <w:rPr/>
        <w:drawing>
          <wp:inline distB="114300" distT="114300" distL="114300" distR="114300">
            <wp:extent cx="5731200" cy="25908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200" cy="25908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jc w:val="center"/>
        <w:rPr>
          <w:b w:val="1"/>
          <w:bCs w:val="1"/>
        </w:rPr>
      </w:pPr>
      <w:r w:rsidDel="00000000" w:rsidR="00000000" w:rsidRPr="00000000">
        <w:rPr>
          <w:b w:val="1"/>
          <w:bCs w:val="1"/>
          <w:rtl w:val="0"/>
        </w:rPr>
        <w:t xml:space="preserve">Figure 1: Market Segmentation, Targeting, Differentiation and Positioning</w:t>
      </w:r>
    </w:p>
    <w:p w:rsidR="00000000" w:rsidDel="00000000" w:rsidP="00000000" w:rsidRDefault="00000000" w:rsidRPr="00000000" w14:paraId="0000003D">
      <w:pPr>
        <w:jc w:val="center"/>
        <w:rPr/>
      </w:pPr>
      <w:r w:rsidDel="00000000" w:rsidR="00000000" w:rsidRPr="00000000">
        <w:rPr>
          <w:rtl w:val="0"/>
        </w:rPr>
        <w:t xml:space="preserve">(Source: Helmold, 2022)</w:t>
      </w:r>
    </w:p>
    <w:p w:rsidR="00000000" w:rsidDel="00000000" w:rsidP="00000000" w:rsidRDefault="00000000" w:rsidRPr="00000000" w14:paraId="0000003E">
      <w:pPr>
        <w:pStyle w:val="Heading2"/>
        <w:rPr/>
      </w:pPr>
      <w:bookmarkStart w:colFirst="0" w:colLast="0" w:name="_3qlcgzxeainp" w:id="4"/>
      <w:bookmarkEnd w:id="4"/>
      <w:r w:rsidDel="00000000" w:rsidR="00000000" w:rsidRPr="00000000">
        <w:rPr>
          <w:rtl w:val="0"/>
        </w:rPr>
        <w:t xml:space="preserve">2.3 Differentiation Strategy</w:t>
      </w:r>
    </w:p>
    <w:p w:rsidR="00000000" w:rsidDel="00000000" w:rsidP="00000000" w:rsidRDefault="00000000" w:rsidRPr="00000000" w14:paraId="0000003F">
      <w:pPr>
        <w:rPr/>
      </w:pPr>
      <w:r w:rsidDel="00000000" w:rsidR="00000000" w:rsidRPr="00000000">
        <w:rPr>
          <w:rtl w:val="0"/>
        </w:rPr>
        <w:t xml:space="preserve">The extension ought to distinguish Rolex with secure digital identity, verified services history, tailored lifetime care, licensed access to brand and circular aftercare. The attraction of the QR or NFC technology is not the value, instead, the connection of each watch to trusted lifecycle and high-quality service will be highly valued (Voulgaridis et al., 2024). Traceability, transparency, information on repair and manufacture of products throughout the lifecycle can be enhanced by use of Digital Product Passports (Zhang and Seuring, 2024). Coordinated involvement of the manufacturers, retailers, service centres, technology providers and customers is also a key aspect to ensure successful implementation (Jensen et al., 2024). This regulated environment would be hard to duplicate by the competitors. But the excessive digitisation may dilute Rolex exclusivity. With aesthetics as a key element in sustainable luxury consumption, technology ought to be subtle, classy and with personal human service and high Rolex image (D'Aniello et al., 2025).</w:t>
      </w:r>
    </w:p>
    <w:p w:rsidR="00000000" w:rsidDel="00000000" w:rsidP="00000000" w:rsidRDefault="00000000" w:rsidRPr="00000000" w14:paraId="00000040">
      <w:pPr>
        <w:pStyle w:val="Heading2"/>
        <w:rPr/>
      </w:pPr>
      <w:bookmarkStart w:colFirst="0" w:colLast="0" w:name="_leq0qjek34mv" w:id="5"/>
      <w:bookmarkEnd w:id="5"/>
      <w:r w:rsidDel="00000000" w:rsidR="00000000" w:rsidRPr="00000000">
        <w:rPr>
          <w:rtl w:val="0"/>
        </w:rPr>
        <w:t xml:space="preserve">2.4 Positioning Strategy</w:t>
      </w:r>
    </w:p>
    <w:p w:rsidR="00000000" w:rsidDel="00000000" w:rsidP="00000000" w:rsidRDefault="00000000" w:rsidRPr="00000000" w14:paraId="00000041">
      <w:pPr>
        <w:rPr/>
      </w:pPr>
      <w:r w:rsidDel="00000000" w:rsidR="00000000" w:rsidRPr="00000000">
        <w:rPr>
          <w:rtl w:val="0"/>
        </w:rPr>
        <w:t xml:space="preserve">The recommended positioning statement is:</w:t>
      </w:r>
    </w:p>
    <w:p w:rsidR="00000000" w:rsidDel="00000000" w:rsidP="00000000" w:rsidRDefault="00000000" w:rsidRPr="00000000" w14:paraId="00000042">
      <w:pPr>
        <w:rPr>
          <w:i w:val="1"/>
          <w:iCs w:val="1"/>
        </w:rPr>
      </w:pPr>
      <w:r w:rsidDel="00000000" w:rsidR="00000000" w:rsidRPr="00000000">
        <w:rPr>
          <w:i w:val="1"/>
          <w:iCs w:val="1"/>
          <w:rtl w:val="0"/>
        </w:rPr>
        <w:t xml:space="preserve">“Rolex Perpetual Passport &amp; Care – trusted lifetime ownership, preserving the story, performance and responsibility of every Rolex.”</w:t>
      </w:r>
    </w:p>
    <w:p w:rsidR="00000000" w:rsidDel="00000000" w:rsidP="00000000" w:rsidRDefault="00000000" w:rsidRPr="00000000" w14:paraId="00000043">
      <w:pPr>
        <w:rPr/>
      </w:pPr>
      <w:r w:rsidDel="00000000" w:rsidR="00000000" w:rsidRPr="00000000">
        <w:rPr>
          <w:rtl w:val="0"/>
        </w:rPr>
        <w:t xml:space="preserve">This places it in the middle-ground between the traditional craft-smanship and the digitally empowered ownership, and the after-sales service between a one-and-done type of repair, and a relationship of lifetime. It seems an argument of credibility since it associates the concept of sustainability with the values associated with luxury like durability, quality, authenticity and craftsmanship that people have always known. Dasmi, Nechaeva and Rovai (2026) discover that communicating sustainability by craftsmanship, authenticity, quality and durability could enhance the engagement of luxury brands in the context of the omnichannel. Rolex need not thus reposition itself as a the “green technology” company, technology must not overpower the long-term pledge of care, instead of fulfilling it.</w:t>
      </w:r>
    </w:p>
    <w:p w:rsidR="00000000" w:rsidDel="00000000" w:rsidP="00000000" w:rsidRDefault="00000000" w:rsidRPr="00000000" w14:paraId="00000044">
      <w:pPr>
        <w:pStyle w:val="Heading1"/>
        <w:rPr/>
      </w:pPr>
      <w:bookmarkStart w:colFirst="0" w:colLast="0" w:name="_2e620jvkzj2r" w:id="6"/>
      <w:bookmarkEnd w:id="6"/>
      <w:r w:rsidDel="00000000" w:rsidR="00000000" w:rsidRPr="00000000">
        <w:rPr>
          <w:rtl w:val="0"/>
        </w:rPr>
        <w:t xml:space="preserve">3. Marketing Mix – 7Ps</w:t>
      </w:r>
    </w:p>
    <w:p w:rsidR="00000000" w:rsidDel="00000000" w:rsidP="00000000" w:rsidRDefault="00000000" w:rsidRPr="00000000" w14:paraId="00000045">
      <w:pPr>
        <w:pStyle w:val="Heading2"/>
        <w:rPr/>
      </w:pPr>
      <w:bookmarkStart w:colFirst="0" w:colLast="0" w:name="_19n89pe5sgko" w:id="7"/>
      <w:bookmarkEnd w:id="7"/>
      <w:r w:rsidDel="00000000" w:rsidR="00000000" w:rsidRPr="00000000">
        <w:rPr>
          <w:rtl w:val="0"/>
        </w:rPr>
        <w:t xml:space="preserve">3.1 Product</w:t>
      </w:r>
    </w:p>
    <w:p w:rsidR="00000000" w:rsidDel="00000000" w:rsidP="00000000" w:rsidRDefault="00000000" w:rsidRPr="00000000" w14:paraId="00000046">
      <w:pPr>
        <w:rPr/>
      </w:pPr>
      <w:r w:rsidDel="00000000" w:rsidR="00000000" w:rsidRPr="00000000">
        <w:rPr>
          <w:rtl w:val="0"/>
        </w:rPr>
        <w:t xml:space="preserve">The essence commodity is trust in long term ownership. The service is a secure digital passport associated with the individual watch, which holds validated identity, licensed history of service, milestones in service maintenance, tutorials and care advice, plus chosen proprietorship data. The enhanced package involves customised alerts, the option of booking the services and issuing online certificates, concierge support and carrying records of the removed substances that are properly handled. This reinforces the rationale of a circular economy since a longer lifespan of products, repair, re-use and material recovery can hold value with the help of the right information (Gasulla Tortajada et al., 2024). Nevertheless, the EU Ecodesign of Sustainable Products Regulation provides a new framework of DPP that stipulates the presence of adequate, truthful and up-to-date information concerning the product groups covered by the product-specific measures (European Parliament and Council of the European Union, 2024). The watches of Rolex cannot be said to be under a certain mandatory obligation of the DDP without any evidence that watches are part of a relevant and specific measure of products. The regulation should be more suitably applicable as a strategic guide in addressing future product-information compliance.</w:t>
      </w:r>
    </w:p>
    <w:p w:rsidR="00000000" w:rsidDel="00000000" w:rsidP="00000000" w:rsidRDefault="00000000" w:rsidRPr="00000000" w14:paraId="00000047">
      <w:pPr>
        <w:jc w:val="center"/>
        <w:rPr/>
      </w:pPr>
      <w:r w:rsidDel="00000000" w:rsidR="00000000" w:rsidRPr="00000000">
        <w:rPr/>
        <w:drawing>
          <wp:inline distB="114300" distT="114300" distL="114300" distR="114300">
            <wp:extent cx="4276725" cy="423862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276725" cy="423862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jc w:val="center"/>
        <w:rPr>
          <w:b w:val="1"/>
          <w:bCs w:val="1"/>
        </w:rPr>
      </w:pPr>
      <w:r w:rsidDel="00000000" w:rsidR="00000000" w:rsidRPr="00000000">
        <w:rPr>
          <w:b w:val="1"/>
          <w:bCs w:val="1"/>
          <w:rtl w:val="0"/>
        </w:rPr>
        <w:t xml:space="preserve">Figure 2: 7P's Marketing Mix</w:t>
      </w:r>
    </w:p>
    <w:p w:rsidR="00000000" w:rsidDel="00000000" w:rsidP="00000000" w:rsidRDefault="00000000" w:rsidRPr="00000000" w14:paraId="00000049">
      <w:pPr>
        <w:jc w:val="center"/>
        <w:rPr/>
      </w:pPr>
      <w:r w:rsidDel="00000000" w:rsidR="00000000" w:rsidRPr="00000000">
        <w:rPr>
          <w:rtl w:val="0"/>
        </w:rPr>
        <w:t xml:space="preserve">(Source: Nguyen, 2018)</w:t>
      </w:r>
    </w:p>
    <w:p w:rsidR="00000000" w:rsidDel="00000000" w:rsidP="00000000" w:rsidRDefault="00000000" w:rsidRPr="00000000" w14:paraId="0000004A">
      <w:pPr>
        <w:pStyle w:val="Heading2"/>
        <w:rPr/>
      </w:pPr>
      <w:bookmarkStart w:colFirst="0" w:colLast="0" w:name="_dwv6mogv1co0" w:id="8"/>
      <w:bookmarkEnd w:id="8"/>
      <w:r w:rsidDel="00000000" w:rsidR="00000000" w:rsidRPr="00000000">
        <w:rPr>
          <w:rtl w:val="0"/>
        </w:rPr>
        <w:t xml:space="preserve">3.2 Price</w:t>
      </w:r>
    </w:p>
    <w:p w:rsidR="00000000" w:rsidDel="00000000" w:rsidP="00000000" w:rsidRDefault="00000000" w:rsidRPr="00000000" w14:paraId="0000004B">
      <w:pPr>
        <w:rPr/>
      </w:pPr>
      <w:r w:rsidDel="00000000" w:rsidR="00000000" w:rsidRPr="00000000">
        <w:rPr>
          <w:rtl w:val="0"/>
        </w:rPr>
        <w:t xml:space="preserve">A hybrid value based pricing is better. The basics such as core passport activation, the essential authorised-service records should be provided along with a purchase of a Rolex or a qualifying authorised service since the separation of charges on basic lifecycle-information may be seen to create cracks in a premium offering. Additional fees might be charged on optional high-touch concierge, customized care or choice personalisation. According to Grauel, Burmann and Schade (2025), sustainability itself might not be such that leads to an increase in the price to the rich consumer of luxury goods and services. Further financing needs to be, therefore, a premium of exclusivity, convenience and higher quality instead of a hypothetical green premium. This strategy safeguards the prestige and introduces responsible care as a factor of ownership of Rolex.</w:t>
      </w:r>
    </w:p>
    <w:p w:rsidR="00000000" w:rsidDel="00000000" w:rsidP="00000000" w:rsidRDefault="00000000" w:rsidRPr="00000000" w14:paraId="0000004C">
      <w:pPr>
        <w:pStyle w:val="Heading2"/>
        <w:keepNext w:val="0"/>
        <w:keepLines w:val="0"/>
        <w:rPr>
          <w:sz w:val="24"/>
          <w:szCs w:val="24"/>
        </w:rPr>
      </w:pPr>
      <w:bookmarkStart w:colFirst="0" w:colLast="0" w:name="_yzpohut17517" w:id="9"/>
      <w:bookmarkEnd w:id="9"/>
      <w:r w:rsidDel="00000000" w:rsidR="00000000" w:rsidRPr="00000000">
        <w:rPr>
          <w:sz w:val="24"/>
          <w:szCs w:val="24"/>
          <w:rtl w:val="0"/>
        </w:rPr>
        <w:t xml:space="preserve">3.3 Place</w:t>
      </w:r>
    </w:p>
    <w:p w:rsidR="00000000" w:rsidDel="00000000" w:rsidP="00000000" w:rsidRDefault="00000000" w:rsidRPr="00000000" w14:paraId="0000004D">
      <w:pPr>
        <w:rPr/>
      </w:pPr>
      <w:r w:rsidDel="00000000" w:rsidR="00000000" w:rsidRPr="00000000">
        <w:rPr>
          <w:rtl w:val="0"/>
        </w:rPr>
        <w:t xml:space="preserve">Distribution Distribution must be strictly regulated with the help of official digital sphere of Rolex, authorised retailers and authorised service centres. The digitisation of the passport would grant customers access to their passports and sensitive modifications including the presence of major service interventions and the verification of ownership transfer should be accompanied by approved validation procedures. This offers convenience without compromising the luxury control. Das, Sanyal and Mazumder (2024) demonstrate that luxury consumers have different orientations towards digital experiences. The well-designed system of omnichannel must then be able to facilitate the flow of information between app, web, store and service centre without losing customer-history continuity.</w:t>
      </w:r>
    </w:p>
    <w:p w:rsidR="00000000" w:rsidDel="00000000" w:rsidP="00000000" w:rsidRDefault="00000000" w:rsidRPr="00000000" w14:paraId="0000004E">
      <w:pPr>
        <w:pStyle w:val="Heading2"/>
        <w:rPr/>
      </w:pPr>
      <w:bookmarkStart w:colFirst="0" w:colLast="0" w:name="_i9wdgdg3046z" w:id="10"/>
      <w:bookmarkEnd w:id="10"/>
      <w:r w:rsidDel="00000000" w:rsidR="00000000" w:rsidRPr="00000000">
        <w:rPr>
          <w:rtl w:val="0"/>
        </w:rPr>
        <w:t xml:space="preserve">3.4 Promotion</w:t>
      </w:r>
    </w:p>
    <w:p w:rsidR="00000000" w:rsidDel="00000000" w:rsidP="00000000" w:rsidRDefault="00000000" w:rsidRPr="00000000" w14:paraId="0000004F">
      <w:pPr>
        <w:rPr/>
      </w:pPr>
      <w:r w:rsidDel="00000000" w:rsidR="00000000" w:rsidRPr="00000000">
        <w:rPr>
          <w:rtl w:val="0"/>
        </w:rPr>
        <w:t xml:space="preserve">Promotion should emphasise perpetual ownership by preserving Rolex heritage, performance and long term value through trusted care. Sustainability should be communicated through durability, maintenance, repair and responsible material recovery. Promotion can combine personalised CRM, official Rolex platforms, retailer demonstrations, service centre interactions and tailored social media content. Consistent omnichannel sustainability communication can strengthen brand engagement and positive word of mouth (Dasmi, Nechaeva and Rovai, 2026). Luxury sustainability messages should also be adapted to different audiences and channels (Eastman et al., 2024). Because sustainability may function as an expected luxury standard rather than the main purchase motive, communication should prioritise ownership benefits while using credible sustainability evidence to reduce greenwashing concerns (Grauel, Burmann and Schade, 2025).</w:t>
      </w:r>
    </w:p>
    <w:p w:rsidR="00000000" w:rsidDel="00000000" w:rsidP="00000000" w:rsidRDefault="00000000" w:rsidRPr="00000000" w14:paraId="00000050">
      <w:pPr>
        <w:pStyle w:val="Heading2"/>
        <w:rPr/>
      </w:pPr>
      <w:bookmarkStart w:colFirst="0" w:colLast="0" w:name="_ktzkpgl95h" w:id="11"/>
      <w:bookmarkEnd w:id="11"/>
      <w:r w:rsidDel="00000000" w:rsidR="00000000" w:rsidRPr="00000000">
        <w:rPr>
          <w:rtl w:val="0"/>
        </w:rPr>
        <w:t xml:space="preserve">3.5 People</w:t>
      </w:r>
    </w:p>
    <w:p w:rsidR="00000000" w:rsidDel="00000000" w:rsidP="00000000" w:rsidRDefault="00000000" w:rsidRPr="00000000" w14:paraId="00000051">
      <w:pPr>
        <w:rPr/>
      </w:pPr>
      <w:r w:rsidDel="00000000" w:rsidR="00000000" w:rsidRPr="00000000">
        <w:rPr>
          <w:rtl w:val="0"/>
        </w:rPr>
        <w:t xml:space="preserve">The extension should be provided by Rolex trained watchmakers, authorised personnel in the retail outlets, service advisors and digital-concierge employees. These skills will involve training about passport procedures, privacy, accuracy of data, sustainability communication, service recovery. This is significant since failure may hurt trust as the digital records become a part of the ownership experience. Lim, Saha and Das (2025) indicate that effective service recovery that is just can lead to customer engagement and loyalty. Rolex ought to also design definitive escalation operations to challenged records, inaccurate service records, transfer malfunction and access issues, holding perceptible human reference despite the digitized initial contact.</w:t>
      </w:r>
    </w:p>
    <w:p w:rsidR="00000000" w:rsidDel="00000000" w:rsidP="00000000" w:rsidRDefault="00000000" w:rsidRPr="00000000" w14:paraId="00000052">
      <w:pPr>
        <w:pStyle w:val="Heading2"/>
        <w:rPr/>
      </w:pPr>
      <w:bookmarkStart w:colFirst="0" w:colLast="0" w:name="_juz4hr5ihj73" w:id="12"/>
      <w:bookmarkEnd w:id="12"/>
      <w:r w:rsidDel="00000000" w:rsidR="00000000" w:rsidRPr="00000000">
        <w:rPr>
          <w:rtl w:val="0"/>
        </w:rPr>
        <w:t xml:space="preserve">3.6 Process</w:t>
      </w:r>
    </w:p>
    <w:p w:rsidR="00000000" w:rsidDel="00000000" w:rsidP="00000000" w:rsidRDefault="00000000" w:rsidRPr="00000000" w14:paraId="00000053">
      <w:pPr>
        <w:rPr/>
      </w:pPr>
      <w:r w:rsidDel="00000000" w:rsidR="00000000" w:rsidRPr="00000000">
        <w:rPr>
          <w:rtl w:val="0"/>
        </w:rPr>
        <w:t xml:space="preserve">The customer journey proposed starts with buying or approved service, a safe registration, the activation of a passport, individual care planning, service reminders, booking service, authorised intervention, record verification, responsible handling of components, further ownership or risky transfer (Weidig, Weippert and Kuehnl, 2024). Designing processes must be convenient and powerful in management of information. The framework of identifiers, interoperability, data carriers, and secure information exchange in the DPP framework by the European Commission is emphasized (European Commission, 2026a; European Commission, 2026b). By incorporating privacy by design, Rolex needs to specify access and amendment rights among ecosystem participants and integrate privacy to keep their customers and effective personalisation (Jensen et al., 2024).</w:t>
      </w:r>
    </w:p>
    <w:p w:rsidR="00000000" w:rsidDel="00000000" w:rsidP="00000000" w:rsidRDefault="00000000" w:rsidRPr="00000000" w14:paraId="00000054">
      <w:pPr>
        <w:pStyle w:val="Heading2"/>
        <w:rPr/>
      </w:pPr>
      <w:bookmarkStart w:colFirst="0" w:colLast="0" w:name="_rv5xc9xomd5q" w:id="13"/>
      <w:bookmarkEnd w:id="13"/>
      <w:r w:rsidDel="00000000" w:rsidR="00000000" w:rsidRPr="00000000">
        <w:rPr>
          <w:rtl w:val="0"/>
        </w:rPr>
        <w:t xml:space="preserve">3.7 Physical Evidence</w:t>
      </w:r>
    </w:p>
    <w:p w:rsidR="00000000" w:rsidDel="00000000" w:rsidP="00000000" w:rsidRDefault="00000000" w:rsidRPr="00000000" w14:paraId="00000055">
      <w:pPr>
        <w:rPr/>
      </w:pPr>
      <w:r w:rsidDel="00000000" w:rsidR="00000000" w:rsidRPr="00000000">
        <w:rPr>
          <w:rtl w:val="0"/>
        </w:rPr>
        <w:t xml:space="preserve">Tangible actions have to render an intangible online service undeniably Rolex. An elegant interface style, which matches Rolex crowns mark, high-end documentation of services, discreet QR/NFC access, signed certificates, highly-crafted service packaging and uniform authorised-service environment should be used in the ecosystem. The passport ought to be in the form of a luxury owning tool instead of an administrative records. D'Aniello et al. (2025) believe that aesthetics can influence the reactions to sustainable luxury; that is why, the quality of sensory and aesthetics should not decrease with environmental improvement. The Perpetual Planet initiative by Rolex is no exception as it also links long-term environmental responsibility with the excellence and responsibility to the future generations (Rolex, 2024). The responsibility then should be bound with physical evidence that is precise, persistent and aesthetic.</w:t>
      </w:r>
    </w:p>
    <w:p w:rsidR="00000000" w:rsidDel="00000000" w:rsidP="00000000" w:rsidRDefault="00000000" w:rsidRPr="00000000" w14:paraId="00000056">
      <w:pPr>
        <w:jc w:val="center"/>
        <w:rPr>
          <w:b w:val="1"/>
          <w:bCs w:val="1"/>
        </w:rPr>
      </w:pPr>
      <w:r w:rsidDel="00000000" w:rsidR="00000000" w:rsidRPr="00000000">
        <w:rPr>
          <w:b w:val="1"/>
          <w:bCs w:val="1"/>
          <w:rtl w:val="0"/>
        </w:rPr>
        <w:t xml:space="preserve">Table 2: Strategic 7Ps summary</w:t>
      </w:r>
    </w:p>
    <w:tbl>
      <w:tblPr>
        <w:tblStyle w:val="Table2"/>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5"/>
        <w:gridCol w:w="4077"/>
        <w:gridCol w:w="3253"/>
        <w:tblGridChange w:id="0">
          <w:tblGrid>
            <w:gridCol w:w="1695"/>
            <w:gridCol w:w="4077"/>
            <w:gridCol w:w="3253"/>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rPr/>
            </w:pPr>
            <w:r w:rsidDel="00000000" w:rsidR="00000000" w:rsidRPr="00000000">
              <w:rPr>
                <w:b w:val="1"/>
                <w:bCs w:val="1"/>
                <w:rtl w:val="0"/>
              </w:rPr>
              <w:t xml:space="preserve">P</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rPr/>
            </w:pPr>
            <w:r w:rsidDel="00000000" w:rsidR="00000000" w:rsidRPr="00000000">
              <w:rPr>
                <w:b w:val="1"/>
                <w:bCs w:val="1"/>
                <w:rtl w:val="0"/>
              </w:rPr>
              <w:t xml:space="preserve">Recommended decision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rPr/>
            </w:pPr>
            <w:r w:rsidDel="00000000" w:rsidR="00000000" w:rsidRPr="00000000">
              <w:rPr>
                <w:b w:val="1"/>
                <w:bCs w:val="1"/>
                <w:rtl w:val="0"/>
              </w:rPr>
              <w:t xml:space="preserve">Main rationale</w:t>
            </w:r>
            <w:r w:rsidDel="00000000" w:rsidR="00000000" w:rsidRPr="00000000">
              <w:rPr>
                <w:rtl w:val="0"/>
              </w:rPr>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rPr/>
            </w:pPr>
            <w:r w:rsidDel="00000000" w:rsidR="00000000" w:rsidRPr="00000000">
              <w:rPr>
                <w:rtl w:val="0"/>
              </w:rPr>
              <w:t xml:space="preserve">Product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rPr/>
            </w:pPr>
            <w:r w:rsidDel="00000000" w:rsidR="00000000" w:rsidRPr="00000000">
              <w:rPr>
                <w:rtl w:val="0"/>
              </w:rPr>
              <w:t xml:space="preserve">Passport, lifetime care and circular aftercare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rPr/>
            </w:pPr>
            <w:r w:rsidDel="00000000" w:rsidR="00000000" w:rsidRPr="00000000">
              <w:rPr>
                <w:rtl w:val="0"/>
              </w:rPr>
              <w:t xml:space="preserve">Converts traceability into customer value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rPr/>
            </w:pPr>
            <w:r w:rsidDel="00000000" w:rsidR="00000000" w:rsidRPr="00000000">
              <w:rPr>
                <w:rtl w:val="0"/>
              </w:rPr>
              <w:t xml:space="preserve">Price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rPr/>
            </w:pPr>
            <w:r w:rsidDel="00000000" w:rsidR="00000000" w:rsidRPr="00000000">
              <w:rPr>
                <w:rtl w:val="0"/>
              </w:rPr>
              <w:t xml:space="preserve">Core included; optional premium services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rPr/>
            </w:pPr>
            <w:r w:rsidDel="00000000" w:rsidR="00000000" w:rsidRPr="00000000">
              <w:rPr>
                <w:rtl w:val="0"/>
              </w:rPr>
              <w:t xml:space="preserve">Avoids a separate sustainability premium</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rPr/>
            </w:pPr>
            <w:r w:rsidDel="00000000" w:rsidR="00000000" w:rsidRPr="00000000">
              <w:rPr>
                <w:rtl w:val="0"/>
              </w:rPr>
              <w:t xml:space="preserve">Place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rPr/>
            </w:pPr>
            <w:r w:rsidDel="00000000" w:rsidR="00000000" w:rsidRPr="00000000">
              <w:rPr>
                <w:rtl w:val="0"/>
              </w:rPr>
              <w:t xml:space="preserve">Authorised network plus controlled digital access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rPr/>
            </w:pPr>
            <w:r w:rsidDel="00000000" w:rsidR="00000000" w:rsidRPr="00000000">
              <w:rPr>
                <w:rtl w:val="0"/>
              </w:rPr>
              <w:t xml:space="preserve">Protects trust and exclusivity</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rPr/>
            </w:pPr>
            <w:r w:rsidDel="00000000" w:rsidR="00000000" w:rsidRPr="00000000">
              <w:rPr>
                <w:rtl w:val="0"/>
              </w:rPr>
              <w:t xml:space="preserve">Promotion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rPr/>
            </w:pPr>
            <w:r w:rsidDel="00000000" w:rsidR="00000000" w:rsidRPr="00000000">
              <w:rPr>
                <w:rtl w:val="0"/>
              </w:rPr>
              <w:t xml:space="preserve">Perpetual ownership and evidenced sustainability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5">
            <w:pPr>
              <w:rPr/>
            </w:pPr>
            <w:r w:rsidDel="00000000" w:rsidR="00000000" w:rsidRPr="00000000">
              <w:rPr>
                <w:rtl w:val="0"/>
              </w:rPr>
              <w:t xml:space="preserve">Aligns responsibility with heritage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6">
            <w:pPr>
              <w:rPr/>
            </w:pPr>
            <w:r w:rsidDel="00000000" w:rsidR="00000000" w:rsidRPr="00000000">
              <w:rPr>
                <w:rtl w:val="0"/>
              </w:rPr>
              <w:t xml:space="preserve">People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rPr/>
            </w:pPr>
            <w:r w:rsidDel="00000000" w:rsidR="00000000" w:rsidRPr="00000000">
              <w:rPr>
                <w:rtl w:val="0"/>
              </w:rPr>
              <w:t xml:space="preserve">Trained watchmakers, advisers and concierge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rPr/>
            </w:pPr>
            <w:r w:rsidDel="00000000" w:rsidR="00000000" w:rsidRPr="00000000">
              <w:rPr>
                <w:rtl w:val="0"/>
              </w:rPr>
              <w:t xml:space="preserve">Retains human luxury</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rPr/>
            </w:pPr>
            <w:r w:rsidDel="00000000" w:rsidR="00000000" w:rsidRPr="00000000">
              <w:rPr>
                <w:rtl w:val="0"/>
              </w:rPr>
              <w:t xml:space="preserve">Process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rPr/>
            </w:pPr>
            <w:r w:rsidDel="00000000" w:rsidR="00000000" w:rsidRPr="00000000">
              <w:rPr>
                <w:rtl w:val="0"/>
              </w:rPr>
              <w:t xml:space="preserve">Verified lifecycle journey and controlled permissions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B">
            <w:pPr>
              <w:rPr/>
            </w:pPr>
            <w:r w:rsidDel="00000000" w:rsidR="00000000" w:rsidRPr="00000000">
              <w:rPr>
                <w:rtl w:val="0"/>
              </w:rPr>
              <w:t xml:space="preserve">Makes records credible and transferable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rPr/>
            </w:pPr>
            <w:r w:rsidDel="00000000" w:rsidR="00000000" w:rsidRPr="00000000">
              <w:rPr>
                <w:rtl w:val="0"/>
              </w:rPr>
              <w:t xml:space="preserve">Physical Evidence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rPr/>
            </w:pPr>
            <w:r w:rsidDel="00000000" w:rsidR="00000000" w:rsidRPr="00000000">
              <w:rPr>
                <w:rtl w:val="0"/>
              </w:rPr>
              <w:t xml:space="preserve">Premium interface, certificates and service materials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rPr/>
            </w:pPr>
            <w:r w:rsidDel="00000000" w:rsidR="00000000" w:rsidRPr="00000000">
              <w:rPr>
                <w:rtl w:val="0"/>
              </w:rPr>
              <w:t xml:space="preserve">Makes digital care tangible</w:t>
            </w:r>
          </w:p>
        </w:tc>
      </w:tr>
    </w:tbl>
    <w:p w:rsidR="00000000" w:rsidDel="00000000" w:rsidP="00000000" w:rsidRDefault="00000000" w:rsidRPr="00000000" w14:paraId="0000006F">
      <w:pPr>
        <w:pStyle w:val="Heading1"/>
        <w:rPr/>
      </w:pPr>
      <w:bookmarkStart w:colFirst="0" w:colLast="0" w:name="_inzb9qudsv3d" w:id="14"/>
      <w:bookmarkEnd w:id="14"/>
      <w:r w:rsidDel="00000000" w:rsidR="00000000" w:rsidRPr="00000000">
        <w:rPr>
          <w:rtl w:val="0"/>
        </w:rPr>
        <w:t xml:space="preserve">4. Critical Reflection</w:t>
      </w:r>
    </w:p>
    <w:p w:rsidR="00000000" w:rsidDel="00000000" w:rsidP="00000000" w:rsidRDefault="00000000" w:rsidRPr="00000000" w14:paraId="00000070">
      <w:pPr>
        <w:pStyle w:val="Heading2"/>
        <w:rPr/>
      </w:pPr>
      <w:bookmarkStart w:colFirst="0" w:colLast="0" w:name="_90bqd8fcjuqt" w:id="15"/>
      <w:bookmarkEnd w:id="15"/>
      <w:r w:rsidDel="00000000" w:rsidR="00000000" w:rsidRPr="00000000">
        <w:rPr>
          <w:rtl w:val="0"/>
        </w:rPr>
        <w:t xml:space="preserve">4.1 What?</w:t>
      </w:r>
    </w:p>
    <w:p w:rsidR="00000000" w:rsidDel="00000000" w:rsidP="00000000" w:rsidRDefault="00000000" w:rsidRPr="00000000" w14:paraId="00000071">
      <w:pPr>
        <w:rPr/>
      </w:pPr>
      <w:r w:rsidDel="00000000" w:rsidR="00000000" w:rsidRPr="00000000">
        <w:rPr>
          <w:rtl w:val="0"/>
        </w:rPr>
        <w:t xml:space="preserve">The creation of the Rolex Perpetual Passport and Care concept has shifted my original concept of brand extension sustainability. When starting out, I connected sustainability to environmentally preferable material and packaging to a large extent. The studies on circular economy and DPPs proved that longevity, maintenance, repair, information continuity and recovery could be applicable as well to ensure the sustainability (Zhang and Seuring, 2024; Gasulla Tortajada et al., 2024). Rolex was thus a tricky case of requiring to implement digital innovation without impacting tradition and exclusivity. Another task to prepare the poster was to translate a relatively simple service ecosystem into a minimum of visual proposal. This enhanced my skills of identifying the core customer promise, and operating capabilities and conveying a strategy to customers and prospective investors.</w:t>
      </w:r>
    </w:p>
    <w:p w:rsidR="00000000" w:rsidDel="00000000" w:rsidP="00000000" w:rsidRDefault="00000000" w:rsidRPr="00000000" w14:paraId="00000072">
      <w:pPr>
        <w:jc w:val="center"/>
        <w:rPr/>
      </w:pPr>
      <w:r w:rsidDel="00000000" w:rsidR="00000000" w:rsidRPr="00000000">
        <w:rPr/>
        <w:drawing>
          <wp:inline distB="114300" distT="114300" distL="114300" distR="114300">
            <wp:extent cx="5731200" cy="334010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2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jc w:val="center"/>
        <w:rPr>
          <w:b w:val="1"/>
          <w:bCs w:val="1"/>
        </w:rPr>
      </w:pPr>
      <w:r w:rsidDel="00000000" w:rsidR="00000000" w:rsidRPr="00000000">
        <w:rPr>
          <w:b w:val="1"/>
          <w:bCs w:val="1"/>
          <w:rtl w:val="0"/>
        </w:rPr>
        <w:t xml:space="preserve">Figure 3: Reflective Practitioner</w:t>
      </w:r>
    </w:p>
    <w:p w:rsidR="00000000" w:rsidDel="00000000" w:rsidP="00000000" w:rsidRDefault="00000000" w:rsidRPr="00000000" w14:paraId="00000074">
      <w:pPr>
        <w:jc w:val="center"/>
        <w:rPr/>
      </w:pPr>
      <w:r w:rsidDel="00000000" w:rsidR="00000000" w:rsidRPr="00000000">
        <w:rPr>
          <w:rtl w:val="0"/>
        </w:rPr>
        <w:t xml:space="preserve">(Source: Self-Made)</w:t>
      </w:r>
    </w:p>
    <w:p w:rsidR="00000000" w:rsidDel="00000000" w:rsidP="00000000" w:rsidRDefault="00000000" w:rsidRPr="00000000" w14:paraId="00000075">
      <w:pPr>
        <w:pStyle w:val="Heading2"/>
        <w:rPr/>
      </w:pPr>
      <w:bookmarkStart w:colFirst="0" w:colLast="0" w:name="_h6l3dib6532w" w:id="16"/>
      <w:bookmarkEnd w:id="16"/>
      <w:r w:rsidDel="00000000" w:rsidR="00000000" w:rsidRPr="00000000">
        <w:rPr>
          <w:rtl w:val="0"/>
        </w:rPr>
        <w:t xml:space="preserve">4.2 So What?</w:t>
      </w:r>
    </w:p>
    <w:p w:rsidR="00000000" w:rsidDel="00000000" w:rsidP="00000000" w:rsidRDefault="00000000" w:rsidRPr="00000000" w14:paraId="00000076">
      <w:pPr>
        <w:rPr/>
      </w:pPr>
      <w:r w:rsidDel="00000000" w:rsidR="00000000" w:rsidRPr="00000000">
        <w:rPr>
          <w:rtl w:val="0"/>
        </w:rPr>
        <w:t xml:space="preserve">The greatest lesson was that sustainable luxury is not about easy solutions and there are strains to be involved. Grauel, Burmann and Schade (2025) question the opinion that rich customers invariably pay more to obtain sustainable luxury. On the other hand, Dasmi, Nechaeva and Rovai (2026) show that sustainability has the ability to help engagement through associating with craftsmanship, quality, durability and authenticity. I have thus learnt that the critical analysis of a marketing requires a way of reconciling contradictory facts rather than to insist on such a research that can only support an original concept. Another aspect I gained a greater insight into was digital customer experience. Das, Sanyal and Mazumder (2024) show the variances in the orientation of consumers towards digital luxuries, whilst Weidig, Weippert and Kuehnl (2024) establish the factor of privacy and trust around personalised touchpoints as a key factor. This was enough reason to maintain the use of human service and the use of offline channels as opposed to suggesting an app-only system. The research carried on the regulations also helped me to differentiate between the strategic inspiration and the legal compliance. The trends observed in the EU indicate that DPPs are finally turning into a working tool of product information and traceability (European Parliament and Council of the European Union, 2024; European Commission, 2026a; European Commission, 2026b). Nevertheless, I proceeded to understand that one should not declare Rolex to have a particular legal DPP duty unless there is proper evidence, at product level.</w:t>
      </w:r>
    </w:p>
    <w:p w:rsidR="00000000" w:rsidDel="00000000" w:rsidP="00000000" w:rsidRDefault="00000000" w:rsidRPr="00000000" w14:paraId="00000077">
      <w:pPr>
        <w:pStyle w:val="Heading2"/>
        <w:keepNext w:val="0"/>
        <w:keepLines w:val="0"/>
        <w:rPr>
          <w:sz w:val="24"/>
          <w:szCs w:val="24"/>
        </w:rPr>
      </w:pPr>
      <w:bookmarkStart w:colFirst="0" w:colLast="0" w:name="_aucqgingjeq2" w:id="17"/>
      <w:bookmarkEnd w:id="17"/>
      <w:r w:rsidDel="00000000" w:rsidR="00000000" w:rsidRPr="00000000">
        <w:rPr>
          <w:sz w:val="24"/>
          <w:szCs w:val="24"/>
          <w:rtl w:val="0"/>
        </w:rPr>
        <w:t xml:space="preserve">4.3 Now What?</w:t>
      </w:r>
    </w:p>
    <w:p w:rsidR="00000000" w:rsidDel="00000000" w:rsidP="00000000" w:rsidRDefault="00000000" w:rsidRPr="00000000" w14:paraId="00000078">
      <w:pPr>
        <w:rPr/>
      </w:pPr>
      <w:r w:rsidDel="00000000" w:rsidR="00000000" w:rsidRPr="00000000">
        <w:rPr>
          <w:rtl w:val="0"/>
        </w:rPr>
        <w:t xml:space="preserve">The next time I will test the proposal, I would involve Rolex owners, collectors, authorised retailers and service professionals as opposed to using secondary evidence, which assumes too many variables. The technical feasibility, cybersecurity, ownership of customer data, the process of ownership-transfers, and the cost of incorporating historical service records, would be investigated by me. Jensen et al. (2024) demonstrate that it is essential in DPP value, so the stakeholder mapping must be performed at a later stage of the strategy development. I would also put in place quantifiable measures such as service-life extension, frequency of repairs, recovered substitutions, reduction of service-packaging as well as customer uptake. Eastman et al. (2024) argues in favor of customized sustainability communications, whereas Lim, Saha and Das (2025) emphasize the role of service recovery as a strategic aspect. On the whole, the project helped me to become more focused on linking segmentation, customer experience, sustainability, and technology and operation feasibility in a single coherent marketing strategy instead of perceiving them as separate problems.</w:t>
      </w:r>
    </w:p>
    <w:p w:rsidR="00000000" w:rsidDel="00000000" w:rsidP="00000000" w:rsidRDefault="00000000" w:rsidRPr="00000000" w14:paraId="00000079">
      <w:pPr>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rPr/>
      </w:pPr>
      <w:bookmarkStart w:colFirst="0" w:colLast="0" w:name="_gh6gth71m4wi" w:id="18"/>
      <w:bookmarkEnd w:id="18"/>
      <w:r w:rsidDel="00000000" w:rsidR="00000000" w:rsidRPr="00000000">
        <w:rPr>
          <w:rtl w:val="0"/>
        </w:rPr>
        <w:t xml:space="preserve">References</w:t>
      </w:r>
    </w:p>
    <w:p w:rsidR="00000000" w:rsidDel="00000000" w:rsidP="00000000" w:rsidRDefault="00000000" w:rsidRPr="00000000" w14:paraId="0000007B">
      <w:pPr>
        <w:rPr/>
      </w:pPr>
      <w:r w:rsidDel="00000000" w:rsidR="00000000" w:rsidRPr="00000000">
        <w:rPr>
          <w:rtl w:val="0"/>
        </w:rPr>
        <w:t xml:space="preserve">D'Aniello, A., Martinez Levy, A.C., Amatulli, C., De Angelis, M. and Pozharliev, R., 2025. </w:t>
      </w:r>
      <w:r w:rsidDel="00000000" w:rsidR="00000000" w:rsidRPr="00000000">
        <w:rPr>
          <w:i w:val="1"/>
          <w:iCs w:val="1"/>
          <w:rtl w:val="0"/>
        </w:rPr>
        <w:t xml:space="preserve">Aesthetics and Sustainable Luxury Consumption</w:t>
      </w:r>
      <w:r w:rsidDel="00000000" w:rsidR="00000000" w:rsidRPr="00000000">
        <w:rPr>
          <w:rtl w:val="0"/>
        </w:rPr>
        <w:t xml:space="preserve">. Palgrave.</w:t>
      </w:r>
      <w:hyperlink r:id="rId10">
        <w:r w:rsidDel="00000000" w:rsidR="00000000" w:rsidRPr="00000000">
          <w:rPr>
            <w:color w:val="1155cc"/>
            <w:u w:val="single"/>
            <w:rtl w:val="0"/>
          </w:rPr>
          <w:t xml:space="preserve">https://link.springer.com/content/pdf/10.1007/978-3-031-96833-4.pdf</w:t>
        </w:r>
      </w:hyperlink>
      <w:r w:rsidDel="00000000" w:rsidR="00000000" w:rsidRPr="00000000">
        <w:rPr>
          <w:rtl w:val="0"/>
        </w:rPr>
        <w:t xml:space="preserve"> </w:t>
      </w:r>
    </w:p>
    <w:p w:rsidR="00000000" w:rsidDel="00000000" w:rsidP="00000000" w:rsidRDefault="00000000" w:rsidRPr="00000000" w14:paraId="0000007C">
      <w:pPr>
        <w:rPr/>
      </w:pPr>
      <w:r w:rsidDel="00000000" w:rsidR="00000000" w:rsidRPr="00000000">
        <w:rPr>
          <w:rtl w:val="0"/>
        </w:rPr>
        <w:t xml:space="preserve">Das, S., Sanyal, S.N. and Mazumder, R., 2024. What Characterizes Digital Luxury Experience (DLX) for Customers? A Cross-Cultural Qualitative Exposition. </w:t>
      </w:r>
      <w:r w:rsidDel="00000000" w:rsidR="00000000" w:rsidRPr="00000000">
        <w:rPr>
          <w:i w:val="1"/>
          <w:iCs w:val="1"/>
          <w:rtl w:val="0"/>
        </w:rPr>
        <w:t xml:space="preserve">Journal of International Consumer Marketing</w:t>
      </w:r>
      <w:r w:rsidDel="00000000" w:rsidR="00000000" w:rsidRPr="00000000">
        <w:rPr>
          <w:rtl w:val="0"/>
        </w:rPr>
        <w:t xml:space="preserve">, </w:t>
      </w:r>
      <w:r w:rsidDel="00000000" w:rsidR="00000000" w:rsidRPr="00000000">
        <w:rPr>
          <w:i w:val="1"/>
          <w:iCs w:val="1"/>
          <w:rtl w:val="0"/>
        </w:rPr>
        <w:t xml:space="preserve">36</w:t>
      </w:r>
      <w:r w:rsidDel="00000000" w:rsidR="00000000" w:rsidRPr="00000000">
        <w:rPr>
          <w:rtl w:val="0"/>
        </w:rPr>
        <w:t xml:space="preserve">(4), pp.352-369.</w:t>
      </w:r>
      <w:hyperlink r:id="rId11">
        <w:r w:rsidDel="00000000" w:rsidR="00000000" w:rsidRPr="00000000">
          <w:rPr>
            <w:color w:val="1155cc"/>
            <w:u w:val="single"/>
            <w:rtl w:val="0"/>
          </w:rPr>
          <w:t xml:space="preserve">https://www.researchgate.net/profile/Shamindra-Nath-Sanyal/publication/375304961_What_Characterizes_Digital_Luxury_Experience_DLX_for_Customers_A_Cross-Cultural_Qualitative_Exposition/links/65f9c5daf3b56b5b2d14dd93/What-Characterizes-Digital-Luxury-Experience-DLX-for-Customers-A-Cross-Cultural-Qualitative-Exposition.pdf</w:t>
        </w:r>
      </w:hyperlink>
      <w:r w:rsidDel="00000000" w:rsidR="00000000" w:rsidRPr="00000000">
        <w:rPr>
          <w:rtl w:val="0"/>
        </w:rPr>
        <w:t xml:space="preserve"> </w:t>
      </w:r>
    </w:p>
    <w:p w:rsidR="00000000" w:rsidDel="00000000" w:rsidP="00000000" w:rsidRDefault="00000000" w:rsidRPr="00000000" w14:paraId="0000007D">
      <w:pPr>
        <w:rPr/>
      </w:pPr>
      <w:r w:rsidDel="00000000" w:rsidR="00000000" w:rsidRPr="00000000">
        <w:rPr>
          <w:rtl w:val="0"/>
        </w:rPr>
        <w:t xml:space="preserve">Dasmi, C., Nechaeva, O. and Rovai, S., 2026. Linking sustainability to consumer brand engagement in omnichannel communication of luxury fashion brands. </w:t>
      </w:r>
      <w:r w:rsidDel="00000000" w:rsidR="00000000" w:rsidRPr="00000000">
        <w:rPr>
          <w:i w:val="1"/>
          <w:iCs w:val="1"/>
          <w:rtl w:val="0"/>
        </w:rPr>
        <w:t xml:space="preserve">Journal of Consumer Marketing</w:t>
      </w:r>
      <w:r w:rsidDel="00000000" w:rsidR="00000000" w:rsidRPr="00000000">
        <w:rPr>
          <w:rtl w:val="0"/>
        </w:rPr>
        <w:t xml:space="preserve">, pp.1-19.</w:t>
      </w:r>
      <w:hyperlink r:id="rId12">
        <w:r w:rsidDel="00000000" w:rsidR="00000000" w:rsidRPr="00000000">
          <w:rPr>
            <w:color w:val="1155cc"/>
            <w:u w:val="single"/>
            <w:rtl w:val="0"/>
          </w:rPr>
          <w:t xml:space="preserve">https://www.emerald.com/jcm/article-pdf/doi/10.1108/JCM-11-2024-7378/11505094/jcm-11-2024-7378en.pdf</w:t>
        </w:r>
      </w:hyperlink>
      <w:r w:rsidDel="00000000" w:rsidR="00000000" w:rsidRPr="00000000">
        <w:rPr>
          <w:rtl w:val="0"/>
        </w:rPr>
        <w:t xml:space="preserve"> </w:t>
      </w:r>
    </w:p>
    <w:p w:rsidR="00000000" w:rsidDel="00000000" w:rsidP="00000000" w:rsidRDefault="00000000" w:rsidRPr="00000000" w14:paraId="0000007E">
      <w:pPr>
        <w:rPr/>
      </w:pPr>
      <w:r w:rsidDel="00000000" w:rsidR="00000000" w:rsidRPr="00000000">
        <w:rPr>
          <w:rtl w:val="0"/>
        </w:rPr>
        <w:t xml:space="preserve">Eastman, J.K., Shin, H., Jain, V. and Wang, X., 2024. Determinants of positive consumer affect toward luxury brands’ social media posts on sustainability: A fsQCA approach. </w:t>
      </w:r>
      <w:r w:rsidDel="00000000" w:rsidR="00000000" w:rsidRPr="00000000">
        <w:rPr>
          <w:i w:val="1"/>
          <w:iCs w:val="1"/>
          <w:rtl w:val="0"/>
        </w:rPr>
        <w:t xml:space="preserve">Journal of Business Research</w:t>
      </w:r>
      <w:r w:rsidDel="00000000" w:rsidR="00000000" w:rsidRPr="00000000">
        <w:rPr>
          <w:rtl w:val="0"/>
        </w:rPr>
        <w:t xml:space="preserve">, </w:t>
      </w:r>
      <w:r w:rsidDel="00000000" w:rsidR="00000000" w:rsidRPr="00000000">
        <w:rPr>
          <w:i w:val="1"/>
          <w:iCs w:val="1"/>
          <w:rtl w:val="0"/>
        </w:rPr>
        <w:t xml:space="preserve">183</w:t>
      </w:r>
      <w:r w:rsidDel="00000000" w:rsidR="00000000" w:rsidRPr="00000000">
        <w:rPr>
          <w:rtl w:val="0"/>
        </w:rPr>
        <w:t xml:space="preserve">, p.114871.</w:t>
      </w:r>
      <w:hyperlink r:id="rId13">
        <w:r w:rsidDel="00000000" w:rsidR="00000000" w:rsidRPr="00000000">
          <w:rPr>
            <w:color w:val="1155cc"/>
            <w:u w:val="single"/>
            <w:rtl w:val="0"/>
          </w:rPr>
          <w:t xml:space="preserve">https://www.sciencedirect.com/science/article/pii/S0148296324003758</w:t>
        </w:r>
      </w:hyperlink>
      <w:r w:rsidDel="00000000" w:rsidR="00000000" w:rsidRPr="00000000">
        <w:rPr>
          <w:rtl w:val="0"/>
        </w:rPr>
        <w:t xml:space="preserve"> </w:t>
      </w:r>
    </w:p>
    <w:p w:rsidR="00000000" w:rsidDel="00000000" w:rsidP="00000000" w:rsidRDefault="00000000" w:rsidRPr="00000000" w14:paraId="0000007F">
      <w:pPr>
        <w:rPr/>
      </w:pPr>
      <w:r w:rsidDel="00000000" w:rsidR="00000000" w:rsidRPr="00000000">
        <w:rPr>
          <w:rtl w:val="0"/>
        </w:rPr>
        <w:t xml:space="preserve">European Commission, 2026. </w:t>
      </w:r>
      <w:r w:rsidDel="00000000" w:rsidR="00000000" w:rsidRPr="00000000">
        <w:rPr>
          <w:i w:val="1"/>
          <w:iCs w:val="1"/>
          <w:rtl w:val="0"/>
        </w:rPr>
        <w:t xml:space="preserve">Commission Implementing Decision (EU) 2026/1736 on harmonised standards for digital product passports</w:t>
      </w:r>
      <w:r w:rsidDel="00000000" w:rsidR="00000000" w:rsidRPr="00000000">
        <w:rPr>
          <w:rtl w:val="0"/>
        </w:rPr>
        <w:t xml:space="preserve">.</w:t>
      </w:r>
      <w:hyperlink r:id="rId14">
        <w:r w:rsidDel="00000000" w:rsidR="00000000" w:rsidRPr="00000000">
          <w:rPr>
            <w:color w:val="1155cc"/>
            <w:u w:val="single"/>
            <w:rtl w:val="0"/>
          </w:rPr>
          <w:t xml:space="preserve">https://eur-lex.europa.eu/legal-content/EN/TXT/?qid=1784049570946&amp;uri=CELEX%3A32026D1736&amp;</w:t>
        </w:r>
      </w:hyperlink>
      <w:r w:rsidDel="00000000" w:rsidR="00000000" w:rsidRPr="00000000">
        <w:rPr>
          <w:rtl w:val="0"/>
        </w:rPr>
        <w:t xml:space="preserve"> </w:t>
      </w:r>
    </w:p>
    <w:p w:rsidR="00000000" w:rsidDel="00000000" w:rsidP="00000000" w:rsidRDefault="00000000" w:rsidRPr="00000000" w14:paraId="00000080">
      <w:pPr>
        <w:rPr/>
      </w:pPr>
      <w:r w:rsidDel="00000000" w:rsidR="00000000" w:rsidRPr="00000000">
        <w:rPr>
          <w:rtl w:val="0"/>
        </w:rPr>
        <w:t xml:space="preserve">European Commission, 2026. </w:t>
      </w:r>
      <w:r w:rsidDel="00000000" w:rsidR="00000000" w:rsidRPr="00000000">
        <w:rPr>
          <w:i w:val="1"/>
          <w:iCs w:val="1"/>
          <w:rtl w:val="0"/>
        </w:rPr>
        <w:t xml:space="preserve">The Digital Product Passport Registry is now live</w:t>
      </w:r>
      <w:r w:rsidDel="00000000" w:rsidR="00000000" w:rsidRPr="00000000">
        <w:rPr>
          <w:rtl w:val="0"/>
        </w:rPr>
        <w:t xml:space="preserve">. European Commission.</w:t>
      </w:r>
      <w:hyperlink r:id="rId15">
        <w:r w:rsidDel="00000000" w:rsidR="00000000" w:rsidRPr="00000000">
          <w:rPr>
            <w:color w:val="1155cc"/>
            <w:u w:val="single"/>
            <w:rtl w:val="0"/>
          </w:rPr>
          <w:t xml:space="preserve">https://single-market-economy.ec.europa.eu/news/digital-product-passport-registry-now-live-2026-07-20_en</w:t>
        </w:r>
      </w:hyperlink>
      <w:r w:rsidDel="00000000" w:rsidR="00000000" w:rsidRPr="00000000">
        <w:rPr>
          <w:rtl w:val="0"/>
        </w:rPr>
        <w:t xml:space="preserve"> </w:t>
      </w:r>
    </w:p>
    <w:p w:rsidR="00000000" w:rsidDel="00000000" w:rsidP="00000000" w:rsidRDefault="00000000" w:rsidRPr="00000000" w14:paraId="00000081">
      <w:pPr>
        <w:rPr/>
      </w:pPr>
      <w:r w:rsidDel="00000000" w:rsidR="00000000" w:rsidRPr="00000000">
        <w:rPr>
          <w:rtl w:val="0"/>
        </w:rPr>
        <w:t xml:space="preserve">European Parliament and Council of the European Union, 2024. </w:t>
      </w:r>
      <w:r w:rsidDel="00000000" w:rsidR="00000000" w:rsidRPr="00000000">
        <w:rPr>
          <w:i w:val="1"/>
          <w:iCs w:val="1"/>
          <w:rtl w:val="0"/>
        </w:rPr>
        <w:t xml:space="preserve">Regulation (EU) 2024/1781 establishing a framework for the setting of ecodesign requirements for sustainable products</w:t>
      </w:r>
      <w:r w:rsidDel="00000000" w:rsidR="00000000" w:rsidRPr="00000000">
        <w:rPr>
          <w:rtl w:val="0"/>
        </w:rPr>
        <w:t xml:space="preserve">.</w:t>
      </w:r>
      <w:hyperlink r:id="rId16">
        <w:r w:rsidDel="00000000" w:rsidR="00000000" w:rsidRPr="00000000">
          <w:rPr>
            <w:color w:val="1155cc"/>
            <w:u w:val="single"/>
            <w:rtl w:val="0"/>
          </w:rPr>
          <w:t xml:space="preserve">https://eur-lex.europa.eu/eli/reg/2024/1781/oj/eng</w:t>
        </w:r>
      </w:hyperlink>
      <w:r w:rsidDel="00000000" w:rsidR="00000000" w:rsidRPr="00000000">
        <w:rPr>
          <w:rtl w:val="0"/>
        </w:rPr>
        <w:t xml:space="preserve"> </w:t>
      </w:r>
    </w:p>
    <w:p w:rsidR="00000000" w:rsidDel="00000000" w:rsidP="00000000" w:rsidRDefault="00000000" w:rsidRPr="00000000" w14:paraId="00000082">
      <w:pPr>
        <w:rPr/>
      </w:pPr>
      <w:r w:rsidDel="00000000" w:rsidR="00000000" w:rsidRPr="00000000">
        <w:rPr>
          <w:rtl w:val="0"/>
        </w:rPr>
        <w:t xml:space="preserve">Gasulla Tortajada, E., Moreira, A.C., Duarte, P. and Silva, S.C., 2024. Circular economy and sustainability in luxury fashion consumer behavior: A review and research agenda. </w:t>
      </w:r>
      <w:r w:rsidDel="00000000" w:rsidR="00000000" w:rsidRPr="00000000">
        <w:rPr>
          <w:i w:val="1"/>
          <w:iCs w:val="1"/>
          <w:rtl w:val="0"/>
        </w:rPr>
        <w:t xml:space="preserve">International Journal of Consumer Studies</w:t>
      </w:r>
      <w:r w:rsidDel="00000000" w:rsidR="00000000" w:rsidRPr="00000000">
        <w:rPr>
          <w:rtl w:val="0"/>
        </w:rPr>
        <w:t xml:space="preserve">, </w:t>
      </w:r>
      <w:r w:rsidDel="00000000" w:rsidR="00000000" w:rsidRPr="00000000">
        <w:rPr>
          <w:i w:val="1"/>
          <w:iCs w:val="1"/>
          <w:rtl w:val="0"/>
        </w:rPr>
        <w:t xml:space="preserve">48</w:t>
      </w:r>
      <w:r w:rsidDel="00000000" w:rsidR="00000000" w:rsidRPr="00000000">
        <w:rPr>
          <w:rtl w:val="0"/>
        </w:rPr>
        <w:t xml:space="preserve">(5), p.e13089.</w:t>
      </w:r>
      <w:hyperlink r:id="rId17">
        <w:r w:rsidDel="00000000" w:rsidR="00000000" w:rsidRPr="00000000">
          <w:rPr>
            <w:color w:val="1155cc"/>
            <w:u w:val="single"/>
            <w:rtl w:val="0"/>
          </w:rPr>
          <w:t xml:space="preserve">https://drive.google.com/file/d/1X0VgyZdAnp7hUlDFljQ8EqzYsCkawLKt/view</w:t>
        </w:r>
      </w:hyperlink>
      <w:r w:rsidDel="00000000" w:rsidR="00000000" w:rsidRPr="00000000">
        <w:rPr>
          <w:rtl w:val="0"/>
        </w:rPr>
        <w:t xml:space="preserve"> </w:t>
      </w:r>
    </w:p>
    <w:p w:rsidR="00000000" w:rsidDel="00000000" w:rsidP="00000000" w:rsidRDefault="00000000" w:rsidRPr="00000000" w14:paraId="00000083">
      <w:pPr>
        <w:rPr/>
      </w:pPr>
      <w:r w:rsidDel="00000000" w:rsidR="00000000" w:rsidRPr="00000000">
        <w:rPr>
          <w:rtl w:val="0"/>
        </w:rPr>
        <w:t xml:space="preserve">Grauel, C., Burmann, C. and Schade, M., 2025. Sustainability preferences of luxury consumers: Is all that glitters green?. </w:t>
      </w:r>
      <w:r w:rsidDel="00000000" w:rsidR="00000000" w:rsidRPr="00000000">
        <w:rPr>
          <w:i w:val="1"/>
          <w:iCs w:val="1"/>
          <w:rtl w:val="0"/>
        </w:rPr>
        <w:t xml:space="preserve">Future Business Journal</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 p.145.</w:t>
      </w:r>
      <w:hyperlink r:id="rId18">
        <w:r w:rsidDel="00000000" w:rsidR="00000000" w:rsidRPr="00000000">
          <w:rPr>
            <w:color w:val="1155cc"/>
            <w:u w:val="single"/>
            <w:rtl w:val="0"/>
          </w:rPr>
          <w:t xml:space="preserve">https://link.springer.com/content/pdf/10.1186/s43093-025-00561-3.pdf</w:t>
        </w:r>
      </w:hyperlink>
      <w:r w:rsidDel="00000000" w:rsidR="00000000" w:rsidRPr="00000000">
        <w:rPr>
          <w:rtl w:val="0"/>
        </w:rPr>
        <w:t xml:space="preserve"> </w:t>
      </w:r>
    </w:p>
    <w:p w:rsidR="00000000" w:rsidDel="00000000" w:rsidP="00000000" w:rsidRDefault="00000000" w:rsidRPr="00000000" w14:paraId="00000084">
      <w:pPr>
        <w:rPr/>
      </w:pPr>
      <w:r w:rsidDel="00000000" w:rsidR="00000000" w:rsidRPr="00000000">
        <w:rPr>
          <w:rtl w:val="0"/>
        </w:rPr>
        <w:t xml:space="preserve">Helmold, M., 2022. Market segmentation, targeting, differentiation and positioning. In </w:t>
      </w:r>
      <w:r w:rsidDel="00000000" w:rsidR="00000000" w:rsidRPr="00000000">
        <w:rPr>
          <w:i w:val="1"/>
          <w:iCs w:val="1"/>
          <w:rtl w:val="0"/>
        </w:rPr>
        <w:t xml:space="preserve">Performance Excellence in Marketing, Sales and Pricing: Leveraging Change, Lean and Innovation Management</w:t>
      </w:r>
      <w:r w:rsidDel="00000000" w:rsidR="00000000" w:rsidRPr="00000000">
        <w:rPr>
          <w:rtl w:val="0"/>
        </w:rPr>
        <w:t xml:space="preserve"> (pp. 105-116). Cham: Springer International Publishing. </w:t>
      </w:r>
      <w:hyperlink r:id="rId19">
        <w:r w:rsidDel="00000000" w:rsidR="00000000" w:rsidRPr="00000000">
          <w:rPr>
            <w:color w:val="1155cc"/>
            <w:u w:val="single"/>
            <w:rtl w:val="0"/>
          </w:rPr>
          <w:t xml:space="preserve">https://link.springer.com/chapter/10.1007/978-3-031-10097-0_10</w:t>
        </w:r>
      </w:hyperlink>
      <w:r w:rsidDel="00000000" w:rsidR="00000000" w:rsidRPr="00000000">
        <w:rPr>
          <w:rtl w:val="0"/>
        </w:rPr>
        <w:t xml:space="preserve"> </w:t>
      </w:r>
    </w:p>
    <w:p w:rsidR="00000000" w:rsidDel="00000000" w:rsidP="00000000" w:rsidRDefault="00000000" w:rsidRPr="00000000" w14:paraId="00000085">
      <w:pPr>
        <w:rPr/>
      </w:pPr>
      <w:r w:rsidDel="00000000" w:rsidR="00000000" w:rsidRPr="00000000">
        <w:rPr>
          <w:rtl w:val="0"/>
        </w:rPr>
        <w:t xml:space="preserve">Jensen, S.F., Kristensen, J.H., Christensen, A. and Waehrens, B.V., 2024. An ecosystem orchestration framework for the design of digital product passports in a circular economy. </w:t>
      </w:r>
      <w:r w:rsidDel="00000000" w:rsidR="00000000" w:rsidRPr="00000000">
        <w:rPr>
          <w:i w:val="1"/>
          <w:iCs w:val="1"/>
          <w:rtl w:val="0"/>
        </w:rPr>
        <w:t xml:space="preserve">Business Strategy and the Environment</w:t>
      </w:r>
      <w:r w:rsidDel="00000000" w:rsidR="00000000" w:rsidRPr="00000000">
        <w:rPr>
          <w:rtl w:val="0"/>
        </w:rPr>
        <w:t xml:space="preserve">, </w:t>
      </w:r>
      <w:r w:rsidDel="00000000" w:rsidR="00000000" w:rsidRPr="00000000">
        <w:rPr>
          <w:i w:val="1"/>
          <w:iCs w:val="1"/>
          <w:rtl w:val="0"/>
        </w:rPr>
        <w:t xml:space="preserve">33</w:t>
      </w:r>
      <w:r w:rsidDel="00000000" w:rsidR="00000000" w:rsidRPr="00000000">
        <w:rPr>
          <w:rtl w:val="0"/>
        </w:rPr>
        <w:t xml:space="preserve">(7), pp.7100-7117.</w:t>
      </w:r>
      <w:hyperlink r:id="rId20">
        <w:r w:rsidDel="00000000" w:rsidR="00000000" w:rsidRPr="00000000">
          <w:rPr>
            <w:color w:val="1155cc"/>
            <w:u w:val="single"/>
            <w:rtl w:val="0"/>
          </w:rPr>
          <w:t xml:space="preserve">https://onlinelibrary.wiley.com/doi/pdf/10.1002/bse.3868</w:t>
        </w:r>
      </w:hyperlink>
      <w:r w:rsidDel="00000000" w:rsidR="00000000" w:rsidRPr="00000000">
        <w:rPr>
          <w:rtl w:val="0"/>
        </w:rPr>
        <w:t xml:space="preserve"> </w:t>
      </w:r>
    </w:p>
    <w:p w:rsidR="00000000" w:rsidDel="00000000" w:rsidP="00000000" w:rsidRDefault="00000000" w:rsidRPr="00000000" w14:paraId="00000086">
      <w:pPr>
        <w:rPr/>
      </w:pPr>
      <w:r w:rsidDel="00000000" w:rsidR="00000000" w:rsidRPr="00000000">
        <w:rPr>
          <w:rtl w:val="0"/>
        </w:rPr>
        <w:t xml:space="preserve">Lim, W.M., Saha, V. and Das, M., 2025. From service failure to brand loyalty: evidence of service recovery paradox. </w:t>
      </w:r>
      <w:r w:rsidDel="00000000" w:rsidR="00000000" w:rsidRPr="00000000">
        <w:rPr>
          <w:i w:val="1"/>
          <w:iCs w:val="1"/>
          <w:rtl w:val="0"/>
        </w:rPr>
        <w:t xml:space="preserve">Journal of Brand Management</w:t>
      </w:r>
      <w:r w:rsidDel="00000000" w:rsidR="00000000" w:rsidRPr="00000000">
        <w:rPr>
          <w:rtl w:val="0"/>
        </w:rPr>
        <w:t xml:space="preserve">, </w:t>
      </w:r>
      <w:r w:rsidDel="00000000" w:rsidR="00000000" w:rsidRPr="00000000">
        <w:rPr>
          <w:i w:val="1"/>
          <w:iCs w:val="1"/>
          <w:rtl w:val="0"/>
        </w:rPr>
        <w:t xml:space="preserve">32</w:t>
      </w:r>
      <w:r w:rsidDel="00000000" w:rsidR="00000000" w:rsidRPr="00000000">
        <w:rPr>
          <w:rtl w:val="0"/>
        </w:rPr>
        <w:t xml:space="preserve">(4), pp.257-281.</w:t>
      </w:r>
      <w:hyperlink r:id="rId21">
        <w:r w:rsidDel="00000000" w:rsidR="00000000" w:rsidRPr="00000000">
          <w:rPr>
            <w:color w:val="1155cc"/>
            <w:u w:val="single"/>
            <w:rtl w:val="0"/>
          </w:rPr>
          <w:t xml:space="preserve">https://link.springer.com/content/pdf/10.1057/s41262-025-00380-5.pdf</w:t>
        </w:r>
      </w:hyperlink>
      <w:r w:rsidDel="00000000" w:rsidR="00000000" w:rsidRPr="00000000">
        <w:rPr>
          <w:rtl w:val="0"/>
        </w:rPr>
        <w:t xml:space="preserve"> </w:t>
      </w:r>
    </w:p>
    <w:p w:rsidR="00000000" w:rsidDel="00000000" w:rsidP="00000000" w:rsidRDefault="00000000" w:rsidRPr="00000000" w14:paraId="00000087">
      <w:pPr>
        <w:rPr/>
      </w:pPr>
      <w:r w:rsidDel="00000000" w:rsidR="00000000" w:rsidRPr="00000000">
        <w:rPr>
          <w:rtl w:val="0"/>
        </w:rPr>
        <w:t xml:space="preserve">Nguyen, H., 2018. Marketing Indochina Luxury and Tailored Tour to Finnish Consumers: Case: Eviva Tour Vietnam. </w:t>
      </w:r>
      <w:hyperlink r:id="rId22">
        <w:r w:rsidDel="00000000" w:rsidR="00000000" w:rsidRPr="00000000">
          <w:rPr>
            <w:color w:val="1155cc"/>
            <w:u w:val="single"/>
            <w:rtl w:val="0"/>
          </w:rPr>
          <w:t xml:space="preserve">https://www.theseus.fi/bitstream/handle/10024/140961/Hanh_Nguyen.pdf?sequence=1</w:t>
        </w:r>
      </w:hyperlink>
      <w:r w:rsidDel="00000000" w:rsidR="00000000" w:rsidRPr="00000000">
        <w:rPr>
          <w:rtl w:val="0"/>
        </w:rPr>
        <w:t xml:space="preserve"> </w:t>
      </w:r>
    </w:p>
    <w:p w:rsidR="00000000" w:rsidDel="00000000" w:rsidP="00000000" w:rsidRDefault="00000000" w:rsidRPr="00000000" w14:paraId="00000088">
      <w:pPr>
        <w:rPr/>
      </w:pPr>
      <w:r w:rsidDel="00000000" w:rsidR="00000000" w:rsidRPr="00000000">
        <w:rPr>
          <w:rtl w:val="0"/>
        </w:rPr>
        <w:t xml:space="preserve">Rolex (2024) </w:t>
      </w:r>
      <w:r w:rsidDel="00000000" w:rsidR="00000000" w:rsidRPr="00000000">
        <w:rPr>
          <w:i w:val="1"/>
          <w:iCs w:val="1"/>
          <w:rtl w:val="0"/>
        </w:rPr>
        <w:t xml:space="preserve">The Rolex Perpetual Planet Initiative: Solutions for a Better Future</w:t>
      </w:r>
      <w:r w:rsidDel="00000000" w:rsidR="00000000" w:rsidRPr="00000000">
        <w:rPr>
          <w:rtl w:val="0"/>
        </w:rPr>
        <w:t xml:space="preserve">. Rolex.</w:t>
      </w:r>
      <w:hyperlink r:id="rId23">
        <w:r w:rsidDel="00000000" w:rsidR="00000000" w:rsidRPr="00000000">
          <w:rPr>
            <w:color w:val="1155cc"/>
            <w:u w:val="single"/>
            <w:rtl w:val="0"/>
          </w:rPr>
          <w:t xml:space="preserve">https://www.rolex.com/en-in/perpetual-initiatives/perpetual-planet</w:t>
        </w:r>
      </w:hyperlink>
      <w:r w:rsidDel="00000000" w:rsidR="00000000" w:rsidRPr="00000000">
        <w:rPr>
          <w:rtl w:val="0"/>
        </w:rPr>
        <w:t xml:space="preserve"> </w:t>
      </w:r>
    </w:p>
    <w:p w:rsidR="00000000" w:rsidDel="00000000" w:rsidP="00000000" w:rsidRDefault="00000000" w:rsidRPr="00000000" w14:paraId="00000089">
      <w:pPr>
        <w:rPr/>
      </w:pPr>
      <w:r w:rsidDel="00000000" w:rsidR="00000000" w:rsidRPr="00000000">
        <w:rPr>
          <w:rtl w:val="0"/>
        </w:rPr>
        <w:t xml:space="preserve">Voulgaridis, K., Lagkas, T., Angelopoulos, C.M., Boulogeorgos, A.A.A., Argyriou, V. and Sarigiannidis, P., 2024. Digital product passports as enablers of digital circular economy: a framework based on technological perspective: K. Voulgaridis et al. </w:t>
      </w:r>
      <w:r w:rsidDel="00000000" w:rsidR="00000000" w:rsidRPr="00000000">
        <w:rPr>
          <w:i w:val="1"/>
          <w:iCs w:val="1"/>
          <w:rtl w:val="0"/>
        </w:rPr>
        <w:t xml:space="preserve">Telecommunication systems</w:t>
      </w:r>
      <w:r w:rsidDel="00000000" w:rsidR="00000000" w:rsidRPr="00000000">
        <w:rPr>
          <w:rtl w:val="0"/>
        </w:rPr>
        <w:t xml:space="preserve">, </w:t>
      </w:r>
      <w:r w:rsidDel="00000000" w:rsidR="00000000" w:rsidRPr="00000000">
        <w:rPr>
          <w:i w:val="1"/>
          <w:iCs w:val="1"/>
          <w:rtl w:val="0"/>
        </w:rPr>
        <w:t xml:space="preserve">85</w:t>
      </w:r>
      <w:r w:rsidDel="00000000" w:rsidR="00000000" w:rsidRPr="00000000">
        <w:rPr>
          <w:rtl w:val="0"/>
        </w:rPr>
        <w:t xml:space="preserve">(4), pp.699-715.</w:t>
      </w:r>
      <w:hyperlink r:id="rId24">
        <w:r w:rsidDel="00000000" w:rsidR="00000000" w:rsidRPr="00000000">
          <w:rPr>
            <w:color w:val="1155cc"/>
            <w:u w:val="single"/>
            <w:rtl w:val="0"/>
          </w:rPr>
          <w:t xml:space="preserve">https://link.springer.com/content/pdf/10.1007/s11235-024-01104-x.pdf</w:t>
        </w:r>
      </w:hyperlink>
      <w:r w:rsidDel="00000000" w:rsidR="00000000" w:rsidRPr="00000000">
        <w:rPr>
          <w:rtl w:val="0"/>
        </w:rPr>
        <w:t xml:space="preserve"> </w:t>
      </w:r>
    </w:p>
    <w:p w:rsidR="00000000" w:rsidDel="00000000" w:rsidP="00000000" w:rsidRDefault="00000000" w:rsidRPr="00000000" w14:paraId="0000008A">
      <w:pPr>
        <w:rPr/>
      </w:pPr>
      <w:r w:rsidDel="00000000" w:rsidR="00000000" w:rsidRPr="00000000">
        <w:rPr>
          <w:rtl w:val="0"/>
        </w:rPr>
        <w:t xml:space="preserve">Weidig, J., Weippert, M. and Kuehnl, C., 2024. Personalized touchpoints and customer experience: A conceptual synthesis. </w:t>
      </w:r>
      <w:r w:rsidDel="00000000" w:rsidR="00000000" w:rsidRPr="00000000">
        <w:rPr>
          <w:i w:val="1"/>
          <w:iCs w:val="1"/>
          <w:rtl w:val="0"/>
        </w:rPr>
        <w:t xml:space="preserve">Journal of Business Research</w:t>
      </w:r>
      <w:r w:rsidDel="00000000" w:rsidR="00000000" w:rsidRPr="00000000">
        <w:rPr>
          <w:rtl w:val="0"/>
        </w:rPr>
        <w:t xml:space="preserve">, </w:t>
      </w:r>
      <w:r w:rsidDel="00000000" w:rsidR="00000000" w:rsidRPr="00000000">
        <w:rPr>
          <w:i w:val="1"/>
          <w:iCs w:val="1"/>
          <w:rtl w:val="0"/>
        </w:rPr>
        <w:t xml:space="preserve">177</w:t>
      </w:r>
      <w:r w:rsidDel="00000000" w:rsidR="00000000" w:rsidRPr="00000000">
        <w:rPr>
          <w:rtl w:val="0"/>
        </w:rPr>
        <w:t xml:space="preserve">, p.114641.</w:t>
      </w:r>
      <w:hyperlink r:id="rId25">
        <w:r w:rsidDel="00000000" w:rsidR="00000000" w:rsidRPr="00000000">
          <w:rPr>
            <w:color w:val="1155cc"/>
            <w:u w:val="single"/>
            <w:rtl w:val="0"/>
          </w:rPr>
          <w:t xml:space="preserve">https://www.sciencedirect.com/science/article/pii/S0148296324001450</w:t>
        </w:r>
      </w:hyperlink>
      <w:r w:rsidDel="00000000" w:rsidR="00000000" w:rsidRPr="00000000">
        <w:rPr>
          <w:rtl w:val="0"/>
        </w:rPr>
        <w:t xml:space="preserve"> </w:t>
      </w:r>
    </w:p>
    <w:p w:rsidR="00000000" w:rsidDel="00000000" w:rsidP="00000000" w:rsidRDefault="00000000" w:rsidRPr="00000000" w14:paraId="0000008B">
      <w:pPr>
        <w:rPr/>
      </w:pPr>
      <w:r w:rsidDel="00000000" w:rsidR="00000000" w:rsidRPr="00000000">
        <w:rPr>
          <w:rtl w:val="0"/>
        </w:rPr>
        <w:t xml:space="preserve">Zhang, A. and Seuring, S., 2024. Digital product passport for sustainable and circular supply chain management: a structured review of use cases. </w:t>
      </w:r>
      <w:r w:rsidDel="00000000" w:rsidR="00000000" w:rsidRPr="00000000">
        <w:rPr>
          <w:i w:val="1"/>
          <w:iCs w:val="1"/>
          <w:rtl w:val="0"/>
        </w:rPr>
        <w:t xml:space="preserve">International Journal of Logistics Research and Applications</w:t>
      </w:r>
      <w:r w:rsidDel="00000000" w:rsidR="00000000" w:rsidRPr="00000000">
        <w:rPr>
          <w:rtl w:val="0"/>
        </w:rPr>
        <w:t xml:space="preserve">, </w:t>
      </w:r>
      <w:r w:rsidDel="00000000" w:rsidR="00000000" w:rsidRPr="00000000">
        <w:rPr>
          <w:i w:val="1"/>
          <w:iCs w:val="1"/>
          <w:rtl w:val="0"/>
        </w:rPr>
        <w:t xml:space="preserve">27</w:t>
      </w:r>
      <w:r w:rsidDel="00000000" w:rsidR="00000000" w:rsidRPr="00000000">
        <w:rPr>
          <w:rtl w:val="0"/>
        </w:rPr>
        <w:t xml:space="preserve">(12), pp.2513-2540.</w:t>
      </w:r>
      <w:hyperlink r:id="rId26">
        <w:r w:rsidDel="00000000" w:rsidR="00000000" w:rsidRPr="00000000">
          <w:rPr>
            <w:color w:val="1155cc"/>
            <w:u w:val="single"/>
            <w:rtl w:val="0"/>
          </w:rPr>
          <w:t xml:space="preserve">https://www.tandfonline.com/doi/pdf/10.1080/13675567.2024.2374256</w:t>
        </w:r>
      </w:hyperlink>
      <w:r w:rsidDel="00000000" w:rsidR="00000000" w:rsidRPr="00000000">
        <w:rPr>
          <w:rtl w:val="0"/>
        </w:rPr>
        <w:t xml:space="preserve"> </w:t>
      </w:r>
    </w:p>
    <w:p w:rsidR="00000000" w:rsidDel="00000000" w:rsidP="00000000" w:rsidRDefault="00000000" w:rsidRPr="00000000" w14:paraId="0000008C">
      <w:pPr>
        <w:rPr/>
      </w:pPr>
      <w:r w:rsidDel="00000000" w:rsidR="00000000" w:rsidRPr="00000000">
        <w:br w:type="page"/>
      </w:r>
      <w:r w:rsidDel="00000000" w:rsidR="00000000" w:rsidRPr="00000000">
        <w:rPr>
          <w:rtl w:val="0"/>
        </w:rPr>
      </w:r>
    </w:p>
    <w:p w:rsidR="00000000" w:rsidDel="00000000" w:rsidP="00000000" w:rsidRDefault="00000000" w:rsidRPr="00000000" w14:paraId="0000008D">
      <w:pPr>
        <w:pStyle w:val="Heading1"/>
        <w:rPr/>
      </w:pPr>
      <w:bookmarkStart w:colFirst="0" w:colLast="0" w:name="_6v4m0vji2uxl" w:id="19"/>
      <w:bookmarkEnd w:id="19"/>
      <w:r w:rsidDel="00000000" w:rsidR="00000000" w:rsidRPr="00000000">
        <w:rPr>
          <w:rtl w:val="0"/>
        </w:rPr>
        <w:t xml:space="preserve">Appendices</w:t>
      </w:r>
    </w:p>
    <w:p w:rsidR="00000000" w:rsidDel="00000000" w:rsidP="00000000" w:rsidRDefault="00000000" w:rsidRPr="00000000" w14:paraId="0000008E">
      <w:pPr>
        <w:pStyle w:val="Heading2"/>
        <w:rPr/>
      </w:pPr>
      <w:bookmarkStart w:colFirst="0" w:colLast="0" w:name="_owxjjhbfyzw" w:id="20"/>
      <w:bookmarkEnd w:id="20"/>
      <w:r w:rsidDel="00000000" w:rsidR="00000000" w:rsidRPr="00000000">
        <w:rPr>
          <w:rtl w:val="0"/>
        </w:rPr>
        <w:t xml:space="preserve">Appendix 1: Element 1 Poster</w:t>
      </w:r>
    </w:p>
    <w:p w:rsidR="00000000" w:rsidDel="00000000" w:rsidP="00000000" w:rsidRDefault="00000000" w:rsidRPr="00000000" w14:paraId="0000008F">
      <w:pPr>
        <w:jc w:val="center"/>
        <w:rPr/>
      </w:pPr>
      <w:r w:rsidDel="00000000" w:rsidR="00000000" w:rsidRPr="00000000">
        <w:rPr/>
        <w:drawing>
          <wp:inline distB="114300" distT="114300" distL="114300" distR="114300">
            <wp:extent cx="4724400" cy="6667500"/>
            <wp:effectExtent b="0" l="0" r="0" t="0"/>
            <wp:docPr id="4" name="image4.png"/>
            <a:graphic>
              <a:graphicData uri="http://schemas.openxmlformats.org/drawingml/2006/picture">
                <pic:pic>
                  <pic:nvPicPr>
                    <pic:cNvPr id="0" name="image4.png"/>
                    <pic:cNvPicPr preferRelativeResize="0"/>
                  </pic:nvPicPr>
                  <pic:blipFill>
                    <a:blip r:embed="rId27"/>
                    <a:srcRect b="0" l="0" r="0" t="0"/>
                    <a:stretch>
                      <a:fillRect/>
                    </a:stretch>
                  </pic:blipFill>
                  <pic:spPr>
                    <a:xfrm>
                      <a:off x="0" y="0"/>
                      <a:ext cx="4724400" cy="6667500"/>
                    </a:xfrm>
                    <a:prstGeom prst="rect"/>
                    <a:ln/>
                  </pic:spPr>
                </pic:pic>
              </a:graphicData>
            </a:graphic>
          </wp:inline>
        </w:drawing>
      </w:r>
      <w:r w:rsidDel="00000000" w:rsidR="00000000" w:rsidRPr="00000000">
        <w:rPr>
          <w:rtl w:val="0"/>
        </w:rPr>
      </w:r>
    </w:p>
    <w:sectPr>
      <w:headerReference r:id="rId28" w:type="first"/>
      <w:footerReference r:id="rId29" w:type="default"/>
      <w:footerReference r:id="rId30"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2">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onlinelibrary.wiley.com/doi/pdf/10.1002/bse.3868" TargetMode="External"/><Relationship Id="rId22" Type="http://schemas.openxmlformats.org/officeDocument/2006/relationships/hyperlink" Target="https://www.theseus.fi/bitstream/handle/10024/140961/Hanh_Nguyen.pdf?sequence=1" TargetMode="External"/><Relationship Id="rId21" Type="http://schemas.openxmlformats.org/officeDocument/2006/relationships/hyperlink" Target="https://link.springer.com/content/pdf/10.1057/s41262-025-00380-5.pdf" TargetMode="External"/><Relationship Id="rId24" Type="http://schemas.openxmlformats.org/officeDocument/2006/relationships/hyperlink" Target="https://link.springer.com/content/pdf/10.1007/s11235-024-01104-x.pdf" TargetMode="External"/><Relationship Id="rId23" Type="http://schemas.openxmlformats.org/officeDocument/2006/relationships/hyperlink" Target="https://www.rolex.com/en-in/perpetual-initiatives/perpetual-plane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www.tandfonline.com/doi/pdf/10.1080/13675567.2024.2374256" TargetMode="External"/><Relationship Id="rId25" Type="http://schemas.openxmlformats.org/officeDocument/2006/relationships/hyperlink" Target="https://www.sciencedirect.com/science/article/pii/S0148296324001450" TargetMode="External"/><Relationship Id="rId28" Type="http://schemas.openxmlformats.org/officeDocument/2006/relationships/header" Target="header1.xml"/><Relationship Id="rId27"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footer" Target="footer1.xml"/><Relationship Id="rId7" Type="http://schemas.openxmlformats.org/officeDocument/2006/relationships/image" Target="media/image3.png"/><Relationship Id="rId8" Type="http://schemas.openxmlformats.org/officeDocument/2006/relationships/image" Target="media/image2.png"/><Relationship Id="rId30" Type="http://schemas.openxmlformats.org/officeDocument/2006/relationships/footer" Target="footer2.xml"/><Relationship Id="rId11" Type="http://schemas.openxmlformats.org/officeDocument/2006/relationships/hyperlink" Target="https://www.researchgate.net/profile/Shamindra-Nath-Sanyal/publication/375304961_What_Characterizes_Digital_Luxury_Experience_DLX_for_Customers_A_Cross-Cultural_Qualitative_Exposition/links/65f9c5daf3b56b5b2d14dd93/What-Characterizes-Digital-Luxury-Experience-DLX-for-Customers-A-Cross-Cultural-Qualitative-Exposition.pdf" TargetMode="External"/><Relationship Id="rId10" Type="http://schemas.openxmlformats.org/officeDocument/2006/relationships/hyperlink" Target="https://link.springer.com/content/pdf/10.1007/978-3-031-96833-4.pdf" TargetMode="External"/><Relationship Id="rId13" Type="http://schemas.openxmlformats.org/officeDocument/2006/relationships/hyperlink" Target="https://www.sciencedirect.com/science/article/pii/S0148296324003758" TargetMode="External"/><Relationship Id="rId12" Type="http://schemas.openxmlformats.org/officeDocument/2006/relationships/hyperlink" Target="https://www.emerald.com/jcm/article-pdf/doi/10.1108/JCM-11-2024-7378/11505094/jcm-11-2024-7378en.pdf" TargetMode="External"/><Relationship Id="rId15" Type="http://schemas.openxmlformats.org/officeDocument/2006/relationships/hyperlink" Target="https://single-market-economy.ec.europa.eu/news/digital-product-passport-registry-now-live-2026-07-20_en" TargetMode="External"/><Relationship Id="rId14" Type="http://schemas.openxmlformats.org/officeDocument/2006/relationships/hyperlink" Target="https://eur-lex.europa.eu/legal-content/EN/TXT/?qid=1784049570946&amp;uri=CELEX%3A32026D1736&amp;" TargetMode="External"/><Relationship Id="rId17" Type="http://schemas.openxmlformats.org/officeDocument/2006/relationships/hyperlink" Target="https://drive.google.com/file/d/1X0VgyZdAnp7hUlDFljQ8EqzYsCkawLKt/view" TargetMode="External"/><Relationship Id="rId16" Type="http://schemas.openxmlformats.org/officeDocument/2006/relationships/hyperlink" Target="https://eur-lex.europa.eu/eli/reg/2024/1781/oj/eng" TargetMode="External"/><Relationship Id="rId19" Type="http://schemas.openxmlformats.org/officeDocument/2006/relationships/hyperlink" Target="https://link.springer.com/chapter/10.1007/978-3-031-10097-0_10" TargetMode="External"/><Relationship Id="rId18" Type="http://schemas.openxmlformats.org/officeDocument/2006/relationships/hyperlink" Target="https://link.springer.com/content/pdf/10.1186/s43093-025-0056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