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B5B7A" w14:textId="16C6CDA3" w:rsidR="003F26A1" w:rsidRPr="005429CA" w:rsidRDefault="003F26A1" w:rsidP="00AD1799">
      <w:pPr>
        <w:numPr>
          <w:ilvl w:val="0"/>
          <w:numId w:val="2"/>
        </w:numPr>
        <w:spacing w:after="0" w:line="240" w:lineRule="auto"/>
        <w:jc w:val="both"/>
        <w:rPr>
          <w:sz w:val="24"/>
          <w:szCs w:val="24"/>
          <w:u w:val="single"/>
        </w:rPr>
      </w:pPr>
      <w:r w:rsidRPr="003F26A1">
        <w:rPr>
          <w:b/>
          <w:bCs/>
          <w:sz w:val="24"/>
          <w:szCs w:val="24"/>
          <w:u w:val="single"/>
        </w:rPr>
        <w:t xml:space="preserve">Critically evaluate the idea that women face issues of double </w:t>
      </w:r>
      <w:r w:rsidR="006E3372" w:rsidRPr="003F26A1">
        <w:rPr>
          <w:b/>
          <w:bCs/>
          <w:sz w:val="24"/>
          <w:szCs w:val="24"/>
          <w:u w:val="single"/>
        </w:rPr>
        <w:t>deviance.</w:t>
      </w:r>
    </w:p>
    <w:p w14:paraId="517CD24B" w14:textId="38A77AAD" w:rsidR="005429CA" w:rsidRPr="00FD19F1" w:rsidRDefault="005429CA" w:rsidP="00AD1799">
      <w:pPr>
        <w:spacing w:after="0" w:line="240" w:lineRule="auto"/>
        <w:jc w:val="both"/>
        <w:rPr>
          <w:sz w:val="24"/>
          <w:szCs w:val="24"/>
        </w:rPr>
      </w:pPr>
      <w:r w:rsidRPr="00FD19F1">
        <w:rPr>
          <w:sz w:val="24"/>
          <w:szCs w:val="24"/>
        </w:rPr>
        <w:t xml:space="preserve">This assignment will cover, how society believes a woman should behave based upon social and gender norms and if they do commit a </w:t>
      </w:r>
      <w:r w:rsidR="00960F5D" w:rsidRPr="00FD19F1">
        <w:rPr>
          <w:sz w:val="24"/>
          <w:szCs w:val="24"/>
        </w:rPr>
        <w:t>crime,</w:t>
      </w:r>
      <w:r w:rsidRPr="00FD19F1">
        <w:rPr>
          <w:sz w:val="24"/>
          <w:szCs w:val="24"/>
        </w:rPr>
        <w:t xml:space="preserve"> </w:t>
      </w:r>
      <w:r w:rsidR="00065EBF" w:rsidRPr="00FD19F1">
        <w:rPr>
          <w:sz w:val="24"/>
          <w:szCs w:val="24"/>
        </w:rPr>
        <w:t>they are</w:t>
      </w:r>
      <w:r w:rsidRPr="00FD19F1">
        <w:rPr>
          <w:sz w:val="24"/>
          <w:szCs w:val="24"/>
        </w:rPr>
        <w:t xml:space="preserve"> guilty of double deviance. </w:t>
      </w:r>
      <w:r w:rsidR="00ED1FD3" w:rsidRPr="00FD19F1">
        <w:rPr>
          <w:sz w:val="24"/>
          <w:szCs w:val="24"/>
        </w:rPr>
        <w:t xml:space="preserve">It will </w:t>
      </w:r>
      <w:r w:rsidR="00CB7D60" w:rsidRPr="00FD19F1">
        <w:rPr>
          <w:sz w:val="24"/>
          <w:szCs w:val="24"/>
        </w:rPr>
        <w:t>investigate</w:t>
      </w:r>
      <w:r w:rsidR="00ED1FD3" w:rsidRPr="00FD19F1">
        <w:rPr>
          <w:sz w:val="24"/>
          <w:szCs w:val="24"/>
        </w:rPr>
        <w:t xml:space="preserve"> whether women are more harshly treated than men within certain areas of the criminal justice system. It will </w:t>
      </w:r>
      <w:r w:rsidR="0035327F" w:rsidRPr="00FD19F1">
        <w:rPr>
          <w:sz w:val="24"/>
          <w:szCs w:val="24"/>
        </w:rPr>
        <w:t xml:space="preserve">also </w:t>
      </w:r>
      <w:r w:rsidR="00666CCF" w:rsidRPr="00FD19F1">
        <w:rPr>
          <w:sz w:val="24"/>
          <w:szCs w:val="24"/>
        </w:rPr>
        <w:t>investigate</w:t>
      </w:r>
      <w:r w:rsidR="00ED1FD3" w:rsidRPr="00FD19F1">
        <w:rPr>
          <w:sz w:val="24"/>
          <w:szCs w:val="24"/>
        </w:rPr>
        <w:t xml:space="preserve"> what social and gender norms women are seen to have to conform to and the public perception on when </w:t>
      </w:r>
      <w:r w:rsidR="00135D42" w:rsidRPr="00FD19F1">
        <w:rPr>
          <w:sz w:val="24"/>
          <w:szCs w:val="24"/>
        </w:rPr>
        <w:t xml:space="preserve">female offenders </w:t>
      </w:r>
      <w:r w:rsidR="00ED1FD3" w:rsidRPr="00FD19F1">
        <w:rPr>
          <w:sz w:val="24"/>
          <w:szCs w:val="24"/>
        </w:rPr>
        <w:t>do not conform to them.</w:t>
      </w:r>
      <w:r w:rsidR="009A556E" w:rsidRPr="00FD19F1">
        <w:rPr>
          <w:sz w:val="24"/>
          <w:szCs w:val="24"/>
        </w:rPr>
        <w:t xml:space="preserve"> </w:t>
      </w:r>
      <w:r w:rsidR="0035327F" w:rsidRPr="00FD19F1">
        <w:rPr>
          <w:sz w:val="24"/>
          <w:szCs w:val="24"/>
        </w:rPr>
        <w:t>In t</w:t>
      </w:r>
      <w:r w:rsidR="00427B2E" w:rsidRPr="00FD19F1">
        <w:rPr>
          <w:sz w:val="24"/>
          <w:szCs w:val="24"/>
        </w:rPr>
        <w:t xml:space="preserve">he final points it will </w:t>
      </w:r>
      <w:r w:rsidR="00CB7D60" w:rsidRPr="00FD19F1">
        <w:rPr>
          <w:sz w:val="24"/>
          <w:szCs w:val="24"/>
        </w:rPr>
        <w:t>investigate</w:t>
      </w:r>
      <w:r w:rsidR="00427B2E" w:rsidRPr="00FD19F1">
        <w:rPr>
          <w:sz w:val="24"/>
          <w:szCs w:val="24"/>
        </w:rPr>
        <w:t xml:space="preserve"> is the idea that men are more likely to commit crimes then females by looking into biological and social learning theories and show that men have the potential to act more violently where women will talk internalise responses first.</w:t>
      </w:r>
      <w:r w:rsidR="0035327F" w:rsidRPr="00FD19F1">
        <w:rPr>
          <w:sz w:val="24"/>
          <w:szCs w:val="24"/>
        </w:rPr>
        <w:t xml:space="preserve"> </w:t>
      </w:r>
    </w:p>
    <w:p w14:paraId="46C1DA0E" w14:textId="77777777" w:rsidR="00314E25" w:rsidRPr="00FD19F1" w:rsidRDefault="00314E25" w:rsidP="00AD1799">
      <w:pPr>
        <w:spacing w:after="0" w:line="240" w:lineRule="auto"/>
        <w:jc w:val="both"/>
        <w:rPr>
          <w:sz w:val="24"/>
          <w:szCs w:val="24"/>
        </w:rPr>
      </w:pPr>
    </w:p>
    <w:p w14:paraId="393D286D" w14:textId="39DFA625" w:rsidR="00122C6D" w:rsidRPr="00FD19F1" w:rsidRDefault="00666CCF" w:rsidP="00AD1799">
      <w:pPr>
        <w:spacing w:after="0" w:line="240" w:lineRule="auto"/>
        <w:jc w:val="both"/>
        <w:rPr>
          <w:sz w:val="24"/>
          <w:szCs w:val="24"/>
        </w:rPr>
      </w:pPr>
      <w:r w:rsidRPr="00FD19F1">
        <w:rPr>
          <w:sz w:val="24"/>
          <w:szCs w:val="24"/>
        </w:rPr>
        <w:t>A key part of this assignment is understanding what double deviance</w:t>
      </w:r>
      <w:r w:rsidR="0059696C" w:rsidRPr="00FD19F1">
        <w:rPr>
          <w:sz w:val="24"/>
          <w:szCs w:val="24"/>
        </w:rPr>
        <w:t xml:space="preserve"> means, Ornella (2020) stated women who are deemed doubly deviant were “viewed as having broken societal norms and expectations of how a women should behave as well as breaking the law.”</w:t>
      </w:r>
      <w:r w:rsidR="003F517E" w:rsidRPr="00FD19F1">
        <w:rPr>
          <w:sz w:val="24"/>
          <w:szCs w:val="24"/>
        </w:rPr>
        <w:t xml:space="preserve"> </w:t>
      </w:r>
      <w:r w:rsidR="00E24929" w:rsidRPr="00FD19F1">
        <w:rPr>
          <w:sz w:val="24"/>
          <w:szCs w:val="24"/>
        </w:rPr>
        <w:t>While females being classed having committed double deviance could affect, the way they are sentenced; they can be seen as “blame worthy” which could inevitably lead to “harsher sentences” than men even with the same offence (Malon 2020, p9).</w:t>
      </w:r>
      <w:r w:rsidR="00682B55" w:rsidRPr="00FD19F1">
        <w:rPr>
          <w:sz w:val="24"/>
          <w:szCs w:val="24"/>
        </w:rPr>
        <w:t xml:space="preserve"> The harsher sentence comes from h</w:t>
      </w:r>
      <w:r w:rsidR="005C27C6" w:rsidRPr="00FD19F1">
        <w:rPr>
          <w:sz w:val="24"/>
          <w:szCs w:val="24"/>
        </w:rPr>
        <w:t xml:space="preserve">aving broken social norms in a community means that they have broken the stereotypical </w:t>
      </w:r>
      <w:r w:rsidR="00F5206F" w:rsidRPr="00FD19F1">
        <w:rPr>
          <w:sz w:val="24"/>
          <w:szCs w:val="24"/>
        </w:rPr>
        <w:t>“idea of how to behave and function to provide order and predictability within society”</w:t>
      </w:r>
      <w:r w:rsidR="003F517E" w:rsidRPr="00FD19F1">
        <w:rPr>
          <w:sz w:val="24"/>
          <w:szCs w:val="24"/>
        </w:rPr>
        <w:t xml:space="preserve"> (McLeod 2023). </w:t>
      </w:r>
      <w:r w:rsidR="005C27C6" w:rsidRPr="00FD19F1">
        <w:rPr>
          <w:sz w:val="24"/>
          <w:szCs w:val="24"/>
        </w:rPr>
        <w:t xml:space="preserve"> The idea that what females do Is meant to be predictable is down to both social and gender norms</w:t>
      </w:r>
      <w:r w:rsidR="00682B55" w:rsidRPr="00FD19F1">
        <w:rPr>
          <w:sz w:val="24"/>
          <w:szCs w:val="24"/>
        </w:rPr>
        <w:t xml:space="preserve"> set out through different communities and within society</w:t>
      </w:r>
      <w:r w:rsidR="005C27C6" w:rsidRPr="00FD19F1">
        <w:rPr>
          <w:sz w:val="24"/>
          <w:szCs w:val="24"/>
        </w:rPr>
        <w:t xml:space="preserve">. </w:t>
      </w:r>
      <w:r w:rsidR="00122C6D" w:rsidRPr="00FD19F1">
        <w:rPr>
          <w:sz w:val="24"/>
          <w:szCs w:val="24"/>
        </w:rPr>
        <w:t xml:space="preserve">Durham university (2023) states that gender norms are socially acceptable “ideas of </w:t>
      </w:r>
      <w:r w:rsidR="00C6518A" w:rsidRPr="00FD19F1">
        <w:rPr>
          <w:sz w:val="24"/>
          <w:szCs w:val="24"/>
        </w:rPr>
        <w:t>how women</w:t>
      </w:r>
      <w:r w:rsidR="00122C6D" w:rsidRPr="00FD19F1">
        <w:rPr>
          <w:sz w:val="24"/>
          <w:szCs w:val="24"/>
        </w:rPr>
        <w:t xml:space="preserve"> and men should be, and how they should act, within specific society or community”.</w:t>
      </w:r>
      <w:r w:rsidR="005C27C6" w:rsidRPr="00FD19F1">
        <w:rPr>
          <w:sz w:val="24"/>
          <w:szCs w:val="24"/>
        </w:rPr>
        <w:t xml:space="preserve"> </w:t>
      </w:r>
    </w:p>
    <w:p w14:paraId="140E1A5B" w14:textId="77777777" w:rsidR="005C27C6" w:rsidRPr="00FD19F1" w:rsidRDefault="005C27C6" w:rsidP="00AD1799">
      <w:pPr>
        <w:spacing w:after="0" w:line="240" w:lineRule="auto"/>
        <w:jc w:val="both"/>
        <w:rPr>
          <w:sz w:val="24"/>
          <w:szCs w:val="24"/>
        </w:rPr>
      </w:pPr>
    </w:p>
    <w:p w14:paraId="13CE5EDA" w14:textId="634E0D42" w:rsidR="004F1533" w:rsidRPr="00FD19F1" w:rsidRDefault="003F517E" w:rsidP="00AD1799">
      <w:pPr>
        <w:spacing w:after="0" w:line="240" w:lineRule="auto"/>
        <w:jc w:val="both"/>
        <w:rPr>
          <w:sz w:val="24"/>
          <w:szCs w:val="24"/>
        </w:rPr>
      </w:pPr>
      <w:r w:rsidRPr="00FD19F1">
        <w:rPr>
          <w:sz w:val="24"/>
          <w:szCs w:val="24"/>
        </w:rPr>
        <w:t xml:space="preserve">Within society there are </w:t>
      </w:r>
      <w:r w:rsidR="00682B55" w:rsidRPr="00FD19F1">
        <w:rPr>
          <w:sz w:val="24"/>
          <w:szCs w:val="24"/>
        </w:rPr>
        <w:t xml:space="preserve">many </w:t>
      </w:r>
      <w:r w:rsidRPr="00FD19F1">
        <w:rPr>
          <w:sz w:val="24"/>
          <w:szCs w:val="24"/>
        </w:rPr>
        <w:t xml:space="preserve">different views on how a male and female should act or behave, </w:t>
      </w:r>
      <w:r w:rsidR="00682B55" w:rsidRPr="00FD19F1">
        <w:rPr>
          <w:sz w:val="24"/>
          <w:szCs w:val="24"/>
        </w:rPr>
        <w:t>p</w:t>
      </w:r>
      <w:r w:rsidR="00C6518A" w:rsidRPr="00FD19F1">
        <w:rPr>
          <w:sz w:val="24"/>
          <w:szCs w:val="24"/>
        </w:rPr>
        <w:t>lanned parenthood (2023) states “girls and women are generally expected to dress in typically feminine ways and be polite, accommodating and nurturing.”</w:t>
      </w:r>
      <w:r w:rsidRPr="00FD19F1">
        <w:rPr>
          <w:sz w:val="24"/>
          <w:szCs w:val="24"/>
        </w:rPr>
        <w:t xml:space="preserve"> </w:t>
      </w:r>
      <w:r w:rsidR="00682B55" w:rsidRPr="00FD19F1">
        <w:rPr>
          <w:sz w:val="24"/>
          <w:szCs w:val="24"/>
        </w:rPr>
        <w:t xml:space="preserve">The nurturing role of a female is expected due to the idea that they can have children and are expected to provide for their husband in a caring way once married. </w:t>
      </w:r>
      <w:r w:rsidR="00F23868" w:rsidRPr="00FD19F1">
        <w:rPr>
          <w:sz w:val="24"/>
          <w:szCs w:val="24"/>
        </w:rPr>
        <w:t xml:space="preserve">However, compared to females’ men are viewed in a completely </w:t>
      </w:r>
      <w:r w:rsidR="00682B55" w:rsidRPr="00FD19F1">
        <w:rPr>
          <w:sz w:val="24"/>
          <w:szCs w:val="24"/>
        </w:rPr>
        <w:t xml:space="preserve">opposing </w:t>
      </w:r>
      <w:r w:rsidR="00F23868" w:rsidRPr="00FD19F1">
        <w:rPr>
          <w:sz w:val="24"/>
          <w:szCs w:val="24"/>
        </w:rPr>
        <w:t xml:space="preserve">light, </w:t>
      </w:r>
      <w:r w:rsidR="00C6518A" w:rsidRPr="00FD19F1">
        <w:rPr>
          <w:sz w:val="24"/>
          <w:szCs w:val="24"/>
        </w:rPr>
        <w:t>“men are generally expected to be strong, aggressive and bold” (planned parenthood 2023).</w:t>
      </w:r>
      <w:r w:rsidRPr="00FD19F1">
        <w:rPr>
          <w:sz w:val="24"/>
          <w:szCs w:val="24"/>
        </w:rPr>
        <w:t xml:space="preserve"> </w:t>
      </w:r>
      <w:r w:rsidR="00F23868" w:rsidRPr="00FD19F1">
        <w:rPr>
          <w:sz w:val="24"/>
          <w:szCs w:val="24"/>
        </w:rPr>
        <w:t xml:space="preserve">While these are the typical stereotypes that are placed upon both men and women it is often seen that they deviate from theses for </w:t>
      </w:r>
      <w:r w:rsidR="001B533A" w:rsidRPr="00FD19F1">
        <w:rPr>
          <w:sz w:val="24"/>
          <w:szCs w:val="24"/>
        </w:rPr>
        <w:t>m</w:t>
      </w:r>
      <w:r w:rsidR="00F23868" w:rsidRPr="00FD19F1">
        <w:rPr>
          <w:sz w:val="24"/>
          <w:szCs w:val="24"/>
        </w:rPr>
        <w:t>any reason</w:t>
      </w:r>
      <w:r w:rsidR="001B533A" w:rsidRPr="00FD19F1">
        <w:rPr>
          <w:sz w:val="24"/>
          <w:szCs w:val="24"/>
        </w:rPr>
        <w:t>s</w:t>
      </w:r>
      <w:r w:rsidR="00F23868" w:rsidRPr="00FD19F1">
        <w:rPr>
          <w:sz w:val="24"/>
          <w:szCs w:val="24"/>
        </w:rPr>
        <w:t>. Quarmby (2016) stated that “women are forced into caring roles”; the idea that women are forced into caring roles shows that there may not always be a choice and their deviant behaviour could be a result of this</w:t>
      </w:r>
      <w:r w:rsidR="00682B55" w:rsidRPr="00FD19F1">
        <w:rPr>
          <w:sz w:val="24"/>
          <w:szCs w:val="24"/>
        </w:rPr>
        <w:t>, for example in countries where they marry young</w:t>
      </w:r>
      <w:r w:rsidR="00F23868" w:rsidRPr="00FD19F1">
        <w:rPr>
          <w:sz w:val="24"/>
          <w:szCs w:val="24"/>
        </w:rPr>
        <w:t>.</w:t>
      </w:r>
    </w:p>
    <w:p w14:paraId="554CE764" w14:textId="77777777" w:rsidR="000C216E" w:rsidRPr="00FD19F1" w:rsidRDefault="000C216E" w:rsidP="00AD1799">
      <w:pPr>
        <w:spacing w:after="0" w:line="240" w:lineRule="auto"/>
        <w:jc w:val="both"/>
        <w:rPr>
          <w:sz w:val="24"/>
          <w:szCs w:val="24"/>
        </w:rPr>
      </w:pPr>
    </w:p>
    <w:p w14:paraId="51E808D1" w14:textId="6E448270" w:rsidR="00133DEC" w:rsidRPr="00FD19F1" w:rsidRDefault="00723214" w:rsidP="00AD1799">
      <w:pPr>
        <w:spacing w:after="0" w:line="240" w:lineRule="auto"/>
        <w:jc w:val="both"/>
        <w:rPr>
          <w:sz w:val="24"/>
          <w:szCs w:val="24"/>
        </w:rPr>
      </w:pPr>
      <w:r w:rsidRPr="00FD19F1">
        <w:rPr>
          <w:sz w:val="24"/>
          <w:szCs w:val="24"/>
        </w:rPr>
        <w:t>When looking into theories that were conducted to understand wh</w:t>
      </w:r>
      <w:r w:rsidR="00C5530B" w:rsidRPr="00FD19F1">
        <w:rPr>
          <w:sz w:val="24"/>
          <w:szCs w:val="24"/>
        </w:rPr>
        <w:t>y</w:t>
      </w:r>
      <w:r w:rsidRPr="00FD19F1">
        <w:rPr>
          <w:sz w:val="24"/>
          <w:szCs w:val="24"/>
        </w:rPr>
        <w:t xml:space="preserve"> people</w:t>
      </w:r>
      <w:r w:rsidR="00C5530B" w:rsidRPr="00FD19F1">
        <w:rPr>
          <w:sz w:val="24"/>
          <w:szCs w:val="24"/>
        </w:rPr>
        <w:t xml:space="preserve"> may be likely to offend</w:t>
      </w:r>
      <w:r w:rsidRPr="00FD19F1">
        <w:rPr>
          <w:sz w:val="24"/>
          <w:szCs w:val="24"/>
        </w:rPr>
        <w:t xml:space="preserve">, </w:t>
      </w:r>
      <w:r w:rsidR="004F1533" w:rsidRPr="00FD19F1">
        <w:rPr>
          <w:sz w:val="24"/>
          <w:szCs w:val="24"/>
        </w:rPr>
        <w:t>Westwood (2005, p512) state</w:t>
      </w:r>
      <w:r w:rsidRPr="00FD19F1">
        <w:rPr>
          <w:sz w:val="24"/>
          <w:szCs w:val="24"/>
        </w:rPr>
        <w:t>d</w:t>
      </w:r>
      <w:r w:rsidR="004F1533" w:rsidRPr="00FD19F1">
        <w:rPr>
          <w:sz w:val="24"/>
          <w:szCs w:val="24"/>
        </w:rPr>
        <w:t xml:space="preserve"> that Lombroso </w:t>
      </w:r>
      <w:r w:rsidR="00C5530B" w:rsidRPr="00FD19F1">
        <w:rPr>
          <w:sz w:val="24"/>
          <w:szCs w:val="24"/>
        </w:rPr>
        <w:t xml:space="preserve">had </w:t>
      </w:r>
      <w:r w:rsidR="004F1533" w:rsidRPr="00FD19F1">
        <w:rPr>
          <w:sz w:val="24"/>
          <w:szCs w:val="24"/>
        </w:rPr>
        <w:t>argued that “women a</w:t>
      </w:r>
      <w:r w:rsidR="00C5530B" w:rsidRPr="00FD19F1">
        <w:rPr>
          <w:sz w:val="24"/>
          <w:szCs w:val="24"/>
        </w:rPr>
        <w:t>re</w:t>
      </w:r>
      <w:r w:rsidR="004F1533" w:rsidRPr="00FD19F1">
        <w:rPr>
          <w:sz w:val="24"/>
          <w:szCs w:val="24"/>
        </w:rPr>
        <w:t xml:space="preserve"> inferior to men” which through his work he has tried to prove by showing that “females were less criminal than males.”</w:t>
      </w:r>
      <w:r w:rsidR="00C5530B" w:rsidRPr="00FD19F1">
        <w:rPr>
          <w:sz w:val="24"/>
          <w:szCs w:val="24"/>
        </w:rPr>
        <w:t xml:space="preserve"> The idea that Lombroso saw that females were less likely to commit crimes may be due to the research he took part in and questions whether he focused on men rather than females. </w:t>
      </w:r>
      <w:r w:rsidR="00133DEC" w:rsidRPr="00FD19F1">
        <w:rPr>
          <w:sz w:val="24"/>
          <w:szCs w:val="24"/>
        </w:rPr>
        <w:t>Nickerson (2023) says that Lombroso’s (1876) atavistic theory of criminology suggested that he thought “that criminality is inherited” and that you were “born criminal”.</w:t>
      </w:r>
      <w:r w:rsidR="00C5530B" w:rsidRPr="00FD19F1">
        <w:rPr>
          <w:sz w:val="24"/>
          <w:szCs w:val="24"/>
        </w:rPr>
        <w:t xml:space="preserve"> The idea that you can be born criminal suggests that there may be a genetic issue or a specific genetic makeup that may be more predominant in criminals.</w:t>
      </w:r>
      <w:r w:rsidR="00FF68C2" w:rsidRPr="00FD19F1">
        <w:rPr>
          <w:sz w:val="24"/>
          <w:szCs w:val="24"/>
        </w:rPr>
        <w:t xml:space="preserve"> For example, Hogenboom (2014) says that there are “two genes associated with violent repeat offenders” they are the “MAOA gene” and </w:t>
      </w:r>
      <w:r w:rsidR="00D97B33" w:rsidRPr="00FD19F1">
        <w:rPr>
          <w:sz w:val="24"/>
          <w:szCs w:val="24"/>
        </w:rPr>
        <w:t xml:space="preserve">“a variant </w:t>
      </w:r>
      <w:r w:rsidR="00FF68C2" w:rsidRPr="00FD19F1">
        <w:rPr>
          <w:sz w:val="24"/>
          <w:szCs w:val="24"/>
        </w:rPr>
        <w:t>cadherin 13 (CDH13)</w:t>
      </w:r>
      <w:r w:rsidR="00D97B33" w:rsidRPr="00FD19F1">
        <w:rPr>
          <w:sz w:val="24"/>
          <w:szCs w:val="24"/>
        </w:rPr>
        <w:t>”</w:t>
      </w:r>
      <w:r w:rsidR="00FF68C2" w:rsidRPr="00FD19F1">
        <w:rPr>
          <w:sz w:val="24"/>
          <w:szCs w:val="24"/>
        </w:rPr>
        <w:t>.</w:t>
      </w:r>
      <w:r w:rsidR="00911BFF" w:rsidRPr="00FD19F1">
        <w:rPr>
          <w:sz w:val="24"/>
          <w:szCs w:val="24"/>
        </w:rPr>
        <w:t xml:space="preserve"> When it came to female offenders, </w:t>
      </w:r>
      <w:r w:rsidR="00354FD4" w:rsidRPr="00FD19F1">
        <w:rPr>
          <w:sz w:val="24"/>
          <w:szCs w:val="24"/>
        </w:rPr>
        <w:t>Brookes (2023) stated</w:t>
      </w:r>
      <w:r w:rsidR="00911BFF" w:rsidRPr="00FD19F1">
        <w:rPr>
          <w:sz w:val="24"/>
          <w:szCs w:val="24"/>
        </w:rPr>
        <w:t xml:space="preserve"> that </w:t>
      </w:r>
      <w:r w:rsidR="00354FD4" w:rsidRPr="00FD19F1">
        <w:rPr>
          <w:sz w:val="24"/>
          <w:szCs w:val="24"/>
        </w:rPr>
        <w:t xml:space="preserve">Lombroso found female offenders typically were </w:t>
      </w:r>
      <w:r w:rsidR="00354FD4" w:rsidRPr="00FD19F1">
        <w:rPr>
          <w:sz w:val="24"/>
          <w:szCs w:val="24"/>
        </w:rPr>
        <w:lastRenderedPageBreak/>
        <w:t xml:space="preserve">“shorter and more wrinkled” and had “darker hair”, </w:t>
      </w:r>
      <w:r w:rsidR="00D97B33" w:rsidRPr="00FD19F1">
        <w:rPr>
          <w:sz w:val="24"/>
          <w:szCs w:val="24"/>
        </w:rPr>
        <w:t xml:space="preserve">however he also saw </w:t>
      </w:r>
      <w:r w:rsidR="00354FD4" w:rsidRPr="00FD19F1">
        <w:rPr>
          <w:sz w:val="24"/>
          <w:szCs w:val="24"/>
        </w:rPr>
        <w:t>that</w:t>
      </w:r>
      <w:r w:rsidR="00D97B33" w:rsidRPr="00FD19F1">
        <w:rPr>
          <w:sz w:val="24"/>
          <w:szCs w:val="24"/>
        </w:rPr>
        <w:t xml:space="preserve"> offenders were likely</w:t>
      </w:r>
      <w:r w:rsidR="00354FD4" w:rsidRPr="00FD19F1">
        <w:rPr>
          <w:sz w:val="24"/>
          <w:szCs w:val="24"/>
        </w:rPr>
        <w:t xml:space="preserve"> </w:t>
      </w:r>
      <w:r w:rsidR="00D97B33" w:rsidRPr="00FD19F1">
        <w:rPr>
          <w:sz w:val="24"/>
          <w:szCs w:val="24"/>
        </w:rPr>
        <w:t xml:space="preserve">to </w:t>
      </w:r>
      <w:r w:rsidR="00354FD4" w:rsidRPr="00FD19F1">
        <w:rPr>
          <w:sz w:val="24"/>
          <w:szCs w:val="24"/>
        </w:rPr>
        <w:t>t</w:t>
      </w:r>
      <w:r w:rsidR="00D97B33" w:rsidRPr="00FD19F1">
        <w:rPr>
          <w:sz w:val="24"/>
          <w:szCs w:val="24"/>
        </w:rPr>
        <w:t>ake</w:t>
      </w:r>
      <w:r w:rsidR="00354FD4" w:rsidRPr="00FD19F1">
        <w:rPr>
          <w:sz w:val="24"/>
          <w:szCs w:val="24"/>
        </w:rPr>
        <w:t xml:space="preserve"> a “liking for tattoos”, as well as “cruel and wicked games”.</w:t>
      </w:r>
      <w:r w:rsidR="00911BFF" w:rsidRPr="00FD19F1">
        <w:rPr>
          <w:sz w:val="24"/>
          <w:szCs w:val="24"/>
        </w:rPr>
        <w:t xml:space="preserve"> </w:t>
      </w:r>
      <w:r w:rsidR="002575B8" w:rsidRPr="00FD19F1">
        <w:rPr>
          <w:sz w:val="24"/>
          <w:szCs w:val="24"/>
        </w:rPr>
        <w:t>This shows that the mindset of an offender may differ not only due to genetics but potentially the way they were brought up and their influences.</w:t>
      </w:r>
    </w:p>
    <w:p w14:paraId="010BBFCF" w14:textId="77777777" w:rsidR="005429CA" w:rsidRPr="00FD19F1" w:rsidRDefault="005429CA" w:rsidP="00AD1799">
      <w:pPr>
        <w:spacing w:after="0" w:line="240" w:lineRule="auto"/>
        <w:jc w:val="both"/>
        <w:rPr>
          <w:sz w:val="24"/>
          <w:szCs w:val="24"/>
        </w:rPr>
      </w:pPr>
    </w:p>
    <w:p w14:paraId="7B37ECB3" w14:textId="62F24E8A" w:rsidR="002575B8" w:rsidRPr="00FD19F1" w:rsidRDefault="00721A8D" w:rsidP="00AD1799">
      <w:pPr>
        <w:spacing w:after="0" w:line="240" w:lineRule="auto"/>
        <w:jc w:val="both"/>
        <w:rPr>
          <w:sz w:val="24"/>
          <w:szCs w:val="24"/>
        </w:rPr>
      </w:pPr>
      <w:r w:rsidRPr="00FD19F1">
        <w:rPr>
          <w:sz w:val="24"/>
          <w:szCs w:val="24"/>
        </w:rPr>
        <w:t>When looking into if the criminal justice system may treat females more harshly than men it is important to understand how many females there are within the prison system; t</w:t>
      </w:r>
      <w:r w:rsidR="002E5E32" w:rsidRPr="00FD19F1">
        <w:rPr>
          <w:sz w:val="24"/>
          <w:szCs w:val="24"/>
        </w:rPr>
        <w:t>he Ministry of Justice (2022) said that in June only “4% of the prison population were female.”</w:t>
      </w:r>
      <w:r w:rsidRPr="00FD19F1">
        <w:rPr>
          <w:sz w:val="24"/>
          <w:szCs w:val="24"/>
        </w:rPr>
        <w:t xml:space="preserve"> The idea that the population of females in prison are so low questions why it is so low especially when female offenders have a</w:t>
      </w:r>
      <w:r w:rsidR="002E5E32" w:rsidRPr="00FD19F1">
        <w:rPr>
          <w:sz w:val="24"/>
          <w:szCs w:val="24"/>
        </w:rPr>
        <w:t xml:space="preserve"> “higher number or reoffences per reoffender compared to men” (Ministry of Justice 2022).</w:t>
      </w:r>
      <w:r w:rsidR="00463BAC" w:rsidRPr="00FD19F1">
        <w:rPr>
          <w:sz w:val="24"/>
          <w:szCs w:val="24"/>
        </w:rPr>
        <w:t xml:space="preserve"> </w:t>
      </w:r>
      <w:r w:rsidR="00705EBD" w:rsidRPr="00FD19F1">
        <w:rPr>
          <w:sz w:val="24"/>
          <w:szCs w:val="24"/>
        </w:rPr>
        <w:t xml:space="preserve">When looking at the statistics regarding the population of those in prison it suggests that there may be more lenience </w:t>
      </w:r>
      <w:r w:rsidR="00784DA2" w:rsidRPr="00FD19F1">
        <w:rPr>
          <w:sz w:val="24"/>
          <w:szCs w:val="24"/>
        </w:rPr>
        <w:t xml:space="preserve">or harsher sentencing </w:t>
      </w:r>
      <w:r w:rsidR="00705EBD" w:rsidRPr="00FD19F1">
        <w:rPr>
          <w:sz w:val="24"/>
          <w:szCs w:val="24"/>
        </w:rPr>
        <w:t>show</w:t>
      </w:r>
      <w:r w:rsidR="00784DA2" w:rsidRPr="00FD19F1">
        <w:rPr>
          <w:sz w:val="24"/>
          <w:szCs w:val="24"/>
        </w:rPr>
        <w:t xml:space="preserve">n to </w:t>
      </w:r>
      <w:r w:rsidR="00705EBD" w:rsidRPr="00FD19F1">
        <w:rPr>
          <w:sz w:val="24"/>
          <w:szCs w:val="24"/>
        </w:rPr>
        <w:t xml:space="preserve">female offenders than male offenders. </w:t>
      </w:r>
      <w:r w:rsidR="002575B8" w:rsidRPr="00FD19F1">
        <w:rPr>
          <w:sz w:val="24"/>
          <w:szCs w:val="24"/>
        </w:rPr>
        <w:t xml:space="preserve">There could be many reasons such as the chivalry theory, </w:t>
      </w:r>
      <w:r w:rsidR="002575B8" w:rsidRPr="00FD19F1">
        <w:rPr>
          <w:sz w:val="24"/>
          <w:szCs w:val="24"/>
        </w:rPr>
        <w:t>Herzog and Oreg (2008, p47) say that chivalry theory suggests “patriarchal cultures tend to identify women as weak, submissive, childlike and defenceless” which would make them irresponsible for their own actions.</w:t>
      </w:r>
      <w:r w:rsidR="002575B8" w:rsidRPr="00FD19F1">
        <w:rPr>
          <w:sz w:val="24"/>
          <w:szCs w:val="24"/>
        </w:rPr>
        <w:t xml:space="preserve"> Having such cultural ideas as these may lead to many offenders not being given the correct sentences and them potentially being more lenient which could lead to an increase in</w:t>
      </w:r>
      <w:r w:rsidR="00AF6FF9" w:rsidRPr="00FD19F1">
        <w:rPr>
          <w:sz w:val="24"/>
          <w:szCs w:val="24"/>
        </w:rPr>
        <w:t xml:space="preserve"> female</w:t>
      </w:r>
      <w:r w:rsidR="002575B8" w:rsidRPr="00FD19F1">
        <w:rPr>
          <w:sz w:val="24"/>
          <w:szCs w:val="24"/>
        </w:rPr>
        <w:t xml:space="preserve"> reoffending.</w:t>
      </w:r>
      <w:r w:rsidR="00AF6FF9" w:rsidRPr="00FD19F1">
        <w:rPr>
          <w:sz w:val="24"/>
          <w:szCs w:val="24"/>
        </w:rPr>
        <w:t xml:space="preserve"> These ideas could also lead to arguments and an increase in offending as male offenders do not get treated the same as female offenders.</w:t>
      </w:r>
    </w:p>
    <w:p w14:paraId="15E3B624" w14:textId="77777777" w:rsidR="002575B8" w:rsidRPr="00FD19F1" w:rsidRDefault="002575B8" w:rsidP="00AD1799">
      <w:pPr>
        <w:spacing w:after="0" w:line="240" w:lineRule="auto"/>
        <w:jc w:val="both"/>
        <w:rPr>
          <w:sz w:val="24"/>
          <w:szCs w:val="24"/>
        </w:rPr>
      </w:pPr>
    </w:p>
    <w:p w14:paraId="2B34517A" w14:textId="36597497" w:rsidR="00705EBD" w:rsidRPr="00FD19F1" w:rsidRDefault="002F0709" w:rsidP="00AD1799">
      <w:pPr>
        <w:spacing w:after="0" w:line="240" w:lineRule="auto"/>
        <w:jc w:val="both"/>
        <w:rPr>
          <w:sz w:val="24"/>
          <w:szCs w:val="24"/>
        </w:rPr>
      </w:pPr>
      <w:r w:rsidRPr="00FD19F1">
        <w:rPr>
          <w:sz w:val="24"/>
          <w:szCs w:val="24"/>
        </w:rPr>
        <w:t>When looking into if females are treated more harshly than males within the criminal justice system, the focus was the criminal justice courts. T</w:t>
      </w:r>
      <w:r w:rsidR="00784DA2" w:rsidRPr="00FD19F1">
        <w:rPr>
          <w:sz w:val="24"/>
          <w:szCs w:val="24"/>
        </w:rPr>
        <w:t xml:space="preserve">he criminal justice court system </w:t>
      </w:r>
      <w:r w:rsidRPr="00FD19F1">
        <w:rPr>
          <w:sz w:val="24"/>
          <w:szCs w:val="24"/>
        </w:rPr>
        <w:t xml:space="preserve">saw that female offenders were being treated differently </w:t>
      </w:r>
      <w:r w:rsidR="00705EBD" w:rsidRPr="00FD19F1">
        <w:rPr>
          <w:sz w:val="24"/>
          <w:szCs w:val="24"/>
        </w:rPr>
        <w:t xml:space="preserve">due to the “protective, paternalistic attitudes of male judges towards female defendants” it is thought that female offenders may be given “more lenient punishments” </w:t>
      </w:r>
      <w:r w:rsidRPr="00FD19F1">
        <w:rPr>
          <w:sz w:val="24"/>
          <w:szCs w:val="24"/>
        </w:rPr>
        <w:t xml:space="preserve">as a result </w:t>
      </w:r>
      <w:r w:rsidR="00705EBD" w:rsidRPr="00FD19F1">
        <w:rPr>
          <w:sz w:val="24"/>
          <w:szCs w:val="24"/>
        </w:rPr>
        <w:t>(Kilfoyle and Phillippe 2021). The idea that male judges are seen to be more lenient due to their protective instinct shows that they may treat male offenders more harshly</w:t>
      </w:r>
      <w:r w:rsidRPr="00FD19F1">
        <w:rPr>
          <w:sz w:val="24"/>
          <w:szCs w:val="24"/>
        </w:rPr>
        <w:t xml:space="preserve"> and may lead to unfair trials and sentencing. This could be down to the fact that </w:t>
      </w:r>
      <w:r w:rsidRPr="00FD19F1">
        <w:rPr>
          <w:sz w:val="24"/>
          <w:szCs w:val="24"/>
        </w:rPr>
        <w:t>“women in prison have been victim to much more serious offences then those they are accused of”</w:t>
      </w:r>
      <w:r w:rsidRPr="00FD19F1">
        <w:rPr>
          <w:sz w:val="24"/>
          <w:szCs w:val="24"/>
        </w:rPr>
        <w:t xml:space="preserve"> (prison</w:t>
      </w:r>
      <w:r w:rsidRPr="00FD19F1">
        <w:rPr>
          <w:sz w:val="24"/>
          <w:szCs w:val="24"/>
        </w:rPr>
        <w:t xml:space="preserve"> reform trust 2023).</w:t>
      </w:r>
      <w:r w:rsidRPr="00FD19F1">
        <w:rPr>
          <w:sz w:val="24"/>
          <w:szCs w:val="24"/>
        </w:rPr>
        <w:t xml:space="preserve"> This could lead to </w:t>
      </w:r>
      <w:r w:rsidR="005A2776" w:rsidRPr="00FD19F1">
        <w:rPr>
          <w:sz w:val="24"/>
          <w:szCs w:val="24"/>
        </w:rPr>
        <w:t xml:space="preserve">male </w:t>
      </w:r>
      <w:r w:rsidRPr="00FD19F1">
        <w:rPr>
          <w:sz w:val="24"/>
          <w:szCs w:val="24"/>
        </w:rPr>
        <w:t xml:space="preserve">judges showing more sympathy towards this type of female offenders, </w:t>
      </w:r>
      <w:r w:rsidR="005A2776" w:rsidRPr="00FD19F1">
        <w:rPr>
          <w:sz w:val="24"/>
          <w:szCs w:val="24"/>
        </w:rPr>
        <w:t>based upon what they have been through rather than what they have done.</w:t>
      </w:r>
      <w:r w:rsidR="00705EBD" w:rsidRPr="00FD19F1">
        <w:rPr>
          <w:sz w:val="24"/>
          <w:szCs w:val="24"/>
        </w:rPr>
        <w:t xml:space="preserve"> The difference between sentencing “for men and women were smaller in trials with more female judges in court” (Kilfoyle and Phillippe 2021). The idea that m</w:t>
      </w:r>
      <w:r w:rsidR="005A2776" w:rsidRPr="00FD19F1">
        <w:rPr>
          <w:sz w:val="24"/>
          <w:szCs w:val="24"/>
        </w:rPr>
        <w:t>ale judges</w:t>
      </w:r>
      <w:r w:rsidR="00705EBD" w:rsidRPr="00FD19F1">
        <w:rPr>
          <w:sz w:val="24"/>
          <w:szCs w:val="24"/>
        </w:rPr>
        <w:t xml:space="preserve"> are causing female offenders to have more lenient sentences </w:t>
      </w:r>
      <w:r w:rsidR="005C27C6" w:rsidRPr="00FD19F1">
        <w:rPr>
          <w:sz w:val="24"/>
          <w:szCs w:val="24"/>
        </w:rPr>
        <w:t xml:space="preserve">may call for more female judges to be present during a trial with a female offender to make </w:t>
      </w:r>
      <w:r w:rsidR="005A2776" w:rsidRPr="00FD19F1">
        <w:rPr>
          <w:sz w:val="24"/>
          <w:szCs w:val="24"/>
        </w:rPr>
        <w:t xml:space="preserve">sentencing </w:t>
      </w:r>
      <w:r w:rsidR="00D16043" w:rsidRPr="00FD19F1">
        <w:rPr>
          <w:sz w:val="24"/>
          <w:szCs w:val="24"/>
        </w:rPr>
        <w:t>fairer</w:t>
      </w:r>
      <w:r w:rsidR="005C27C6" w:rsidRPr="00FD19F1">
        <w:rPr>
          <w:sz w:val="24"/>
          <w:szCs w:val="24"/>
        </w:rPr>
        <w:t>.</w:t>
      </w:r>
    </w:p>
    <w:p w14:paraId="7C15F9AB" w14:textId="77777777" w:rsidR="00705EBD" w:rsidRPr="00FD19F1" w:rsidRDefault="00705EBD" w:rsidP="00AD1799">
      <w:pPr>
        <w:spacing w:after="0" w:line="240" w:lineRule="auto"/>
        <w:jc w:val="both"/>
        <w:rPr>
          <w:sz w:val="24"/>
          <w:szCs w:val="24"/>
        </w:rPr>
      </w:pPr>
    </w:p>
    <w:p w14:paraId="01ABF6ED" w14:textId="3990D580" w:rsidR="005A2776" w:rsidRPr="00FD19F1" w:rsidRDefault="005A2776" w:rsidP="00AD1799">
      <w:pPr>
        <w:spacing w:after="0" w:line="240" w:lineRule="auto"/>
        <w:jc w:val="both"/>
        <w:rPr>
          <w:sz w:val="24"/>
          <w:szCs w:val="24"/>
        </w:rPr>
      </w:pPr>
      <w:r w:rsidRPr="00FD19F1">
        <w:rPr>
          <w:sz w:val="24"/>
          <w:szCs w:val="24"/>
        </w:rPr>
        <w:t xml:space="preserve">An example of reasoning for a crime committed by a female offender, is that </w:t>
      </w:r>
      <w:r w:rsidRPr="00FD19F1">
        <w:rPr>
          <w:sz w:val="24"/>
          <w:szCs w:val="24"/>
        </w:rPr>
        <w:t>“women tempted into shoplifting were seen as being doubly deviants” this idea was said as it was “argued that they were tempted as a result of their repressed sexuality”</w:t>
      </w:r>
      <w:r w:rsidRPr="00FD19F1">
        <w:rPr>
          <w:sz w:val="24"/>
          <w:szCs w:val="24"/>
        </w:rPr>
        <w:t xml:space="preserve"> (</w:t>
      </w:r>
      <w:r w:rsidRPr="00FD19F1">
        <w:rPr>
          <w:sz w:val="24"/>
          <w:szCs w:val="24"/>
        </w:rPr>
        <w:t>Whitehead 2023</w:t>
      </w:r>
      <w:r w:rsidRPr="00FD19F1">
        <w:rPr>
          <w:sz w:val="24"/>
          <w:szCs w:val="24"/>
        </w:rPr>
        <w:t>). The idea that females are offending due to the idea of being sexually repressed, shows that they do not always want to conform to society expectations of being a perfect woman</w:t>
      </w:r>
      <w:r w:rsidR="000C216E" w:rsidRPr="00FD19F1">
        <w:rPr>
          <w:sz w:val="24"/>
          <w:szCs w:val="24"/>
        </w:rPr>
        <w:t xml:space="preserve">; due to the expectations being unconventional and based upon a male perspective. </w:t>
      </w:r>
      <w:r w:rsidRPr="00FD19F1">
        <w:rPr>
          <w:sz w:val="24"/>
          <w:szCs w:val="24"/>
        </w:rPr>
        <w:t xml:space="preserve">Heidensohn (2010 page 112) states that “women appear to be remarkably conformists”, they are seen to have “lower rates of deviance than men”, it stays at a roughly </w:t>
      </w:r>
      <w:r w:rsidR="000C216E" w:rsidRPr="00FD19F1">
        <w:rPr>
          <w:sz w:val="24"/>
          <w:szCs w:val="24"/>
        </w:rPr>
        <w:t xml:space="preserve">the same </w:t>
      </w:r>
      <w:r w:rsidRPr="00FD19F1">
        <w:rPr>
          <w:sz w:val="24"/>
          <w:szCs w:val="24"/>
        </w:rPr>
        <w:t>despite “fluctuations in ratio over time”. The concept that women are seen as more likely to conform to social and gender norms shows h</w:t>
      </w:r>
      <w:r w:rsidRPr="00FD19F1">
        <w:rPr>
          <w:sz w:val="24"/>
          <w:szCs w:val="24"/>
        </w:rPr>
        <w:t>o</w:t>
      </w:r>
      <w:r w:rsidRPr="00FD19F1">
        <w:rPr>
          <w:sz w:val="24"/>
          <w:szCs w:val="24"/>
        </w:rPr>
        <w:t>w society have a negative view on female criminality</w:t>
      </w:r>
      <w:r w:rsidRPr="00FD19F1">
        <w:rPr>
          <w:sz w:val="24"/>
          <w:szCs w:val="24"/>
        </w:rPr>
        <w:t xml:space="preserve"> and forces </w:t>
      </w:r>
      <w:r w:rsidR="000C216E" w:rsidRPr="00FD19F1">
        <w:rPr>
          <w:sz w:val="24"/>
          <w:szCs w:val="24"/>
        </w:rPr>
        <w:lastRenderedPageBreak/>
        <w:t xml:space="preserve">females </w:t>
      </w:r>
      <w:r w:rsidRPr="00FD19F1">
        <w:rPr>
          <w:sz w:val="24"/>
          <w:szCs w:val="24"/>
        </w:rPr>
        <w:t>to live up to their high expectations.</w:t>
      </w:r>
      <w:r w:rsidR="003C1571" w:rsidRPr="00FD19F1">
        <w:rPr>
          <w:sz w:val="24"/>
          <w:szCs w:val="24"/>
        </w:rPr>
        <w:t xml:space="preserve"> However, when it comes to sentencing a female offender</w:t>
      </w:r>
      <w:r w:rsidR="008920FB" w:rsidRPr="00FD19F1">
        <w:rPr>
          <w:sz w:val="24"/>
          <w:szCs w:val="24"/>
        </w:rPr>
        <w:t>,</w:t>
      </w:r>
      <w:r w:rsidR="003C1571" w:rsidRPr="00FD19F1">
        <w:rPr>
          <w:sz w:val="24"/>
          <w:szCs w:val="24"/>
        </w:rPr>
        <w:t xml:space="preserve"> </w:t>
      </w:r>
      <w:r w:rsidR="0064161B" w:rsidRPr="00FD19F1">
        <w:rPr>
          <w:sz w:val="24"/>
          <w:szCs w:val="24"/>
        </w:rPr>
        <w:t>Lightowlers (2019, p694) stated that sentencing and punishment is often tougher on females if “intoxication is present” when offending</w:t>
      </w:r>
      <w:r w:rsidR="008920FB" w:rsidRPr="00FD19F1">
        <w:rPr>
          <w:sz w:val="24"/>
          <w:szCs w:val="24"/>
        </w:rPr>
        <w:t>.</w:t>
      </w:r>
      <w:r w:rsidR="0064161B" w:rsidRPr="00FD19F1">
        <w:rPr>
          <w:sz w:val="24"/>
          <w:szCs w:val="24"/>
        </w:rPr>
        <w:t xml:space="preserve"> </w:t>
      </w:r>
      <w:r w:rsidR="008920FB" w:rsidRPr="00FD19F1">
        <w:rPr>
          <w:sz w:val="24"/>
          <w:szCs w:val="24"/>
        </w:rPr>
        <w:t>T</w:t>
      </w:r>
      <w:r w:rsidR="0064161B" w:rsidRPr="00FD19F1">
        <w:rPr>
          <w:sz w:val="24"/>
          <w:szCs w:val="24"/>
        </w:rPr>
        <w:t xml:space="preserve">his is due to the idea that “both criminal behaviour and intoxication violate traditional hegemonic conceptions of womanhood”. </w:t>
      </w:r>
      <w:r w:rsidR="003C1571" w:rsidRPr="00FD19F1">
        <w:rPr>
          <w:sz w:val="24"/>
          <w:szCs w:val="24"/>
        </w:rPr>
        <w:t>The idea that intoxication impacts the way a female is sentenced shows that maybe the social and gender norms can lead to harsher sentencing depending upon the offence committed.</w:t>
      </w:r>
    </w:p>
    <w:p w14:paraId="4140512C" w14:textId="77777777" w:rsidR="00257A74" w:rsidRPr="00FD19F1" w:rsidRDefault="00257A74" w:rsidP="00AD1799">
      <w:pPr>
        <w:spacing w:after="0" w:line="240" w:lineRule="auto"/>
        <w:jc w:val="both"/>
        <w:rPr>
          <w:sz w:val="24"/>
          <w:szCs w:val="24"/>
        </w:rPr>
      </w:pPr>
    </w:p>
    <w:p w14:paraId="6DE25AA3" w14:textId="53CEBD11" w:rsidR="002E5E32" w:rsidRPr="00FD19F1" w:rsidRDefault="00257A74" w:rsidP="00AD1799">
      <w:pPr>
        <w:spacing w:after="0" w:line="240" w:lineRule="auto"/>
        <w:jc w:val="both"/>
        <w:rPr>
          <w:sz w:val="24"/>
          <w:szCs w:val="24"/>
        </w:rPr>
      </w:pPr>
      <w:r w:rsidRPr="00FD19F1">
        <w:rPr>
          <w:sz w:val="24"/>
          <w:szCs w:val="24"/>
        </w:rPr>
        <w:t>Within England and Wales, it was reported that there were “87,576 prisoners” in September 2023 (HM prison&amp; probation service and the Ministry of justice 2023).</w:t>
      </w:r>
      <w:r w:rsidR="006A062F" w:rsidRPr="00FD19F1">
        <w:rPr>
          <w:sz w:val="24"/>
          <w:szCs w:val="24"/>
        </w:rPr>
        <w:t xml:space="preserve"> As previously stated by the Ministry of justice (2022) 4% of this number makes the current </w:t>
      </w:r>
      <w:r w:rsidR="00B72188" w:rsidRPr="00FD19F1">
        <w:rPr>
          <w:sz w:val="24"/>
          <w:szCs w:val="24"/>
        </w:rPr>
        <w:t>number</w:t>
      </w:r>
      <w:r w:rsidR="006A062F" w:rsidRPr="00FD19F1">
        <w:rPr>
          <w:sz w:val="24"/>
          <w:szCs w:val="24"/>
        </w:rPr>
        <w:t xml:space="preserve"> of female offenders </w:t>
      </w:r>
      <w:r w:rsidR="00B72188" w:rsidRPr="00FD19F1">
        <w:rPr>
          <w:sz w:val="24"/>
          <w:szCs w:val="24"/>
        </w:rPr>
        <w:t xml:space="preserve">which is </w:t>
      </w:r>
      <w:r w:rsidR="006A062F" w:rsidRPr="00FD19F1">
        <w:rPr>
          <w:sz w:val="24"/>
          <w:szCs w:val="24"/>
        </w:rPr>
        <w:t>3,503.</w:t>
      </w:r>
      <w:r w:rsidR="00B72188" w:rsidRPr="00FD19F1">
        <w:rPr>
          <w:sz w:val="24"/>
          <w:szCs w:val="24"/>
        </w:rPr>
        <w:t xml:space="preserve"> This compared to the number of men within the prison system is significantly lower. The low rate could be </w:t>
      </w:r>
      <w:r w:rsidR="0064161B" w:rsidRPr="00FD19F1">
        <w:rPr>
          <w:sz w:val="24"/>
          <w:szCs w:val="24"/>
        </w:rPr>
        <w:t xml:space="preserve">due a range of reasons, Bartlett and Hollins (2018) states that there is attention that needs to be paid to “women offenders who are mother” as many female offenders “may be at risk of sexual assault” while they are incarcerated. Being a mother may mean that the female offender will want or need to stay closer to their family; this isn’t always possible so there is a need for alternative methods to help female offenders and stop them reoffending. </w:t>
      </w:r>
      <w:r w:rsidR="00463BAC" w:rsidRPr="00FD19F1">
        <w:rPr>
          <w:sz w:val="24"/>
          <w:szCs w:val="24"/>
        </w:rPr>
        <w:t>House of Lords (2019) states that the female offender strategy is designed to reduce offending by “addressing the vulnerability of female offenders” and helping to support them.</w:t>
      </w:r>
      <w:r w:rsidR="0064161B" w:rsidRPr="00FD19F1">
        <w:rPr>
          <w:sz w:val="24"/>
          <w:szCs w:val="24"/>
        </w:rPr>
        <w:t xml:space="preserve"> By addressing vulnerabilities within the population of female offenders there is an opportunity to provide </w:t>
      </w:r>
      <w:r w:rsidR="0031058B" w:rsidRPr="00FD19F1">
        <w:rPr>
          <w:sz w:val="24"/>
          <w:szCs w:val="24"/>
        </w:rPr>
        <w:t>a more structured support system to help prevent reoffending and make them a more productive member of the community.</w:t>
      </w:r>
      <w:r w:rsidR="00A61FBA" w:rsidRPr="00FD19F1">
        <w:rPr>
          <w:sz w:val="24"/>
          <w:szCs w:val="24"/>
        </w:rPr>
        <w:t xml:space="preserve"> </w:t>
      </w:r>
    </w:p>
    <w:p w14:paraId="2E9010FE" w14:textId="77777777" w:rsidR="00A61FBA" w:rsidRPr="00FD19F1" w:rsidRDefault="00A61FBA" w:rsidP="00AD1799">
      <w:pPr>
        <w:spacing w:after="0" w:line="240" w:lineRule="auto"/>
        <w:jc w:val="both"/>
        <w:rPr>
          <w:sz w:val="24"/>
          <w:szCs w:val="24"/>
        </w:rPr>
      </w:pPr>
    </w:p>
    <w:p w14:paraId="0497DABD" w14:textId="15116CAD" w:rsidR="00960F5D" w:rsidRPr="00FD19F1" w:rsidRDefault="00A61FBA" w:rsidP="00AD1799">
      <w:pPr>
        <w:spacing w:after="0" w:line="240" w:lineRule="auto"/>
        <w:jc w:val="both"/>
        <w:rPr>
          <w:sz w:val="24"/>
          <w:szCs w:val="24"/>
        </w:rPr>
      </w:pPr>
      <w:r w:rsidRPr="00FD19F1">
        <w:rPr>
          <w:sz w:val="24"/>
          <w:szCs w:val="24"/>
        </w:rPr>
        <w:t>When questioning</w:t>
      </w:r>
      <w:r w:rsidR="003C1571" w:rsidRPr="00FD19F1">
        <w:rPr>
          <w:sz w:val="24"/>
          <w:szCs w:val="24"/>
        </w:rPr>
        <w:t>,</w:t>
      </w:r>
      <w:r w:rsidRPr="00FD19F1">
        <w:rPr>
          <w:sz w:val="24"/>
          <w:szCs w:val="24"/>
        </w:rPr>
        <w:t xml:space="preserve"> do men commit more violent offences</w:t>
      </w:r>
      <w:r w:rsidR="003C1571" w:rsidRPr="00FD19F1">
        <w:rPr>
          <w:sz w:val="24"/>
          <w:szCs w:val="24"/>
        </w:rPr>
        <w:t xml:space="preserve"> then females</w:t>
      </w:r>
      <w:r w:rsidRPr="00FD19F1">
        <w:rPr>
          <w:sz w:val="24"/>
          <w:szCs w:val="24"/>
        </w:rPr>
        <w:t xml:space="preserve">, the </w:t>
      </w:r>
      <w:r w:rsidR="00463BAC" w:rsidRPr="00FD19F1">
        <w:rPr>
          <w:sz w:val="24"/>
          <w:szCs w:val="24"/>
        </w:rPr>
        <w:t>Ministry of Justice (2023</w:t>
      </w:r>
      <w:r w:rsidR="00784DA2" w:rsidRPr="00FD19F1">
        <w:rPr>
          <w:sz w:val="24"/>
          <w:szCs w:val="24"/>
        </w:rPr>
        <w:t>, p16</w:t>
      </w:r>
      <w:r w:rsidR="00463BAC" w:rsidRPr="00FD19F1">
        <w:rPr>
          <w:sz w:val="24"/>
          <w:szCs w:val="24"/>
        </w:rPr>
        <w:t xml:space="preserve">) </w:t>
      </w:r>
      <w:r w:rsidR="00107BCB" w:rsidRPr="00FD19F1">
        <w:rPr>
          <w:sz w:val="24"/>
          <w:szCs w:val="24"/>
        </w:rPr>
        <w:t>states that “female offenders commit less serious offences than male offenders” and continues to say that the</w:t>
      </w:r>
      <w:r w:rsidR="003C1571" w:rsidRPr="00FD19F1">
        <w:rPr>
          <w:sz w:val="24"/>
          <w:szCs w:val="24"/>
        </w:rPr>
        <w:t>y</w:t>
      </w:r>
      <w:r w:rsidR="00107BCB" w:rsidRPr="00FD19F1">
        <w:rPr>
          <w:sz w:val="24"/>
          <w:szCs w:val="24"/>
        </w:rPr>
        <w:t xml:space="preserve"> “pose a low or medium risk of serious harm to the public”. </w:t>
      </w:r>
      <w:r w:rsidRPr="00FD19F1">
        <w:rPr>
          <w:sz w:val="24"/>
          <w:szCs w:val="24"/>
        </w:rPr>
        <w:t>The idea that females are meant to pose a lower risk to the public</w:t>
      </w:r>
      <w:r w:rsidR="003C1571" w:rsidRPr="00FD19F1">
        <w:rPr>
          <w:sz w:val="24"/>
          <w:szCs w:val="24"/>
        </w:rPr>
        <w:t xml:space="preserve"> safety</w:t>
      </w:r>
      <w:r w:rsidRPr="00FD19F1">
        <w:rPr>
          <w:sz w:val="24"/>
          <w:szCs w:val="24"/>
        </w:rPr>
        <w:t xml:space="preserve"> with </w:t>
      </w:r>
      <w:r w:rsidR="003C1571" w:rsidRPr="00FD19F1">
        <w:rPr>
          <w:sz w:val="24"/>
          <w:szCs w:val="24"/>
        </w:rPr>
        <w:t>their</w:t>
      </w:r>
      <w:r w:rsidRPr="00FD19F1">
        <w:rPr>
          <w:sz w:val="24"/>
          <w:szCs w:val="24"/>
        </w:rPr>
        <w:t xml:space="preserve"> offences shows that maybe there is a need for leniency to an extent. </w:t>
      </w:r>
      <w:r w:rsidR="00960F5D" w:rsidRPr="00FD19F1">
        <w:rPr>
          <w:sz w:val="24"/>
          <w:szCs w:val="24"/>
        </w:rPr>
        <w:t xml:space="preserve">However, this can be argued as </w:t>
      </w:r>
      <w:r w:rsidR="00960F5D" w:rsidRPr="00FD19F1">
        <w:rPr>
          <w:sz w:val="24"/>
          <w:szCs w:val="24"/>
        </w:rPr>
        <w:t>Heidensohn (2012, p125</w:t>
      </w:r>
      <w:r w:rsidR="00960F5D" w:rsidRPr="00FD19F1">
        <w:rPr>
          <w:sz w:val="24"/>
          <w:szCs w:val="24"/>
        </w:rPr>
        <w:t>) shows that “women and girls</w:t>
      </w:r>
      <w:r w:rsidR="003C1571" w:rsidRPr="00FD19F1">
        <w:rPr>
          <w:sz w:val="24"/>
          <w:szCs w:val="24"/>
        </w:rPr>
        <w:t xml:space="preserve">” within the element of criminology have often been seen as “invisible and ignored” due to the fact that “their lives and experiences were disrupted and stereotyped”. </w:t>
      </w:r>
      <w:r w:rsidR="005359B3" w:rsidRPr="00FD19F1">
        <w:rPr>
          <w:sz w:val="24"/>
          <w:szCs w:val="24"/>
        </w:rPr>
        <w:t>These stereotypes</w:t>
      </w:r>
      <w:r w:rsidR="003C1571" w:rsidRPr="00FD19F1">
        <w:rPr>
          <w:sz w:val="24"/>
          <w:szCs w:val="24"/>
        </w:rPr>
        <w:t xml:space="preserve"> could be seen to dimmish female responsibility over there offences as well as securing them a lenient sentence.</w:t>
      </w:r>
    </w:p>
    <w:p w14:paraId="2E1D5B68" w14:textId="77777777" w:rsidR="005359B3" w:rsidRPr="00FD19F1" w:rsidRDefault="005359B3" w:rsidP="00AD1799">
      <w:pPr>
        <w:spacing w:after="0" w:line="240" w:lineRule="auto"/>
        <w:jc w:val="both"/>
        <w:rPr>
          <w:sz w:val="24"/>
          <w:szCs w:val="24"/>
        </w:rPr>
      </w:pPr>
    </w:p>
    <w:p w14:paraId="6EF87BEE" w14:textId="2FE4F105" w:rsidR="005359B3" w:rsidRPr="00FD19F1" w:rsidRDefault="008920FB" w:rsidP="00AD1799">
      <w:pPr>
        <w:spacing w:after="0" w:line="240" w:lineRule="auto"/>
        <w:jc w:val="both"/>
        <w:rPr>
          <w:sz w:val="24"/>
          <w:szCs w:val="24"/>
        </w:rPr>
      </w:pPr>
      <w:r w:rsidRPr="00FD19F1">
        <w:rPr>
          <w:sz w:val="24"/>
          <w:szCs w:val="24"/>
        </w:rPr>
        <w:t>A reason that conviction rates within the female population may be due to mental illness. Halle et al (2020) states that mental health can affect criminality and is “accountable for a fraction of violent offenders (1%)” and that mental health is the reason for “societal violence and criminal behaviour (5%)”.</w:t>
      </w:r>
      <w:r w:rsidR="000C6AD5" w:rsidRPr="00FD19F1">
        <w:rPr>
          <w:sz w:val="24"/>
          <w:szCs w:val="24"/>
        </w:rPr>
        <w:t xml:space="preserve"> The idea that mental health can affect crime within both male and female offenders shows that there is the need for specific support to stop reoffending. It may also be a reason as to why some people are not incarcerated as they may be given other sentences to prevent reoffending.</w:t>
      </w:r>
    </w:p>
    <w:p w14:paraId="6F8D4B6A" w14:textId="77777777" w:rsidR="00960F5D" w:rsidRPr="00FD19F1" w:rsidRDefault="00960F5D" w:rsidP="00AD1799">
      <w:pPr>
        <w:spacing w:after="0" w:line="240" w:lineRule="auto"/>
        <w:jc w:val="both"/>
        <w:rPr>
          <w:sz w:val="24"/>
          <w:szCs w:val="24"/>
        </w:rPr>
      </w:pPr>
    </w:p>
    <w:p w14:paraId="34D5350B" w14:textId="70C4316E" w:rsidR="00072988" w:rsidRPr="00FD19F1" w:rsidRDefault="000C6AD5" w:rsidP="00AD1799">
      <w:pPr>
        <w:spacing w:after="0" w:line="240" w:lineRule="auto"/>
        <w:jc w:val="both"/>
        <w:rPr>
          <w:sz w:val="24"/>
          <w:szCs w:val="24"/>
        </w:rPr>
      </w:pPr>
      <w:r w:rsidRPr="00FD19F1">
        <w:rPr>
          <w:sz w:val="24"/>
          <w:szCs w:val="24"/>
        </w:rPr>
        <w:t xml:space="preserve">In conclusion, females who are seen as doubly deviant are </w:t>
      </w:r>
      <w:r w:rsidR="00072988" w:rsidRPr="00FD19F1">
        <w:rPr>
          <w:sz w:val="24"/>
          <w:szCs w:val="24"/>
        </w:rPr>
        <w:t>often judge too quickly and need to be seen as humans rather then by stereotypes. The attitude that male judges are being more lenient due to the idea that they are just being “protective” and due to “paternalistic attitudes” (</w:t>
      </w:r>
      <w:r w:rsidR="00072988" w:rsidRPr="00FD19F1">
        <w:rPr>
          <w:sz w:val="24"/>
          <w:szCs w:val="24"/>
        </w:rPr>
        <w:t>Kilfoyle and Phillippe 2021</w:t>
      </w:r>
      <w:r w:rsidR="00072988" w:rsidRPr="00FD19F1">
        <w:rPr>
          <w:sz w:val="24"/>
          <w:szCs w:val="24"/>
        </w:rPr>
        <w:t>) does not mean that they are required to hand out more lenient sentences, especially as it may lead to more reoffending in the future. The idea that a female offender is seen as being “weak, submissive, childlike and defenceless” (</w:t>
      </w:r>
      <w:r w:rsidR="00072988" w:rsidRPr="00FD19F1">
        <w:rPr>
          <w:sz w:val="24"/>
          <w:szCs w:val="24"/>
        </w:rPr>
        <w:t>Herzog and Oreg 2008, p47)</w:t>
      </w:r>
      <w:r w:rsidR="00072988" w:rsidRPr="00FD19F1">
        <w:rPr>
          <w:sz w:val="24"/>
          <w:szCs w:val="24"/>
        </w:rPr>
        <w:t xml:space="preserve"> show that maybe male views on females are distorted by society.</w:t>
      </w:r>
      <w:r w:rsidR="005A1E17" w:rsidRPr="00FD19F1">
        <w:rPr>
          <w:sz w:val="24"/>
          <w:szCs w:val="24"/>
        </w:rPr>
        <w:t xml:space="preserve"> While the </w:t>
      </w:r>
      <w:r w:rsidR="005A1E17" w:rsidRPr="00FD19F1">
        <w:rPr>
          <w:sz w:val="24"/>
          <w:szCs w:val="24"/>
        </w:rPr>
        <w:lastRenderedPageBreak/>
        <w:t>criminal justice system is seen as being more lenient when a male is judging the trial compared to a female shows that regardless of gender the stereotypes will play a part in sentencing females’ offender when it comes to criminality, making them a guilty of double deviance.</w:t>
      </w:r>
    </w:p>
    <w:p w14:paraId="5727F69A" w14:textId="77777777" w:rsidR="00757CF5" w:rsidRDefault="00757CF5" w:rsidP="00AD1799">
      <w:pPr>
        <w:spacing w:after="0" w:line="240" w:lineRule="auto"/>
        <w:jc w:val="both"/>
        <w:rPr>
          <w:sz w:val="24"/>
          <w:szCs w:val="24"/>
        </w:rPr>
      </w:pPr>
    </w:p>
    <w:p w14:paraId="5136FF78" w14:textId="77777777" w:rsidR="00FD19F1" w:rsidRPr="005429CA" w:rsidRDefault="00FD19F1" w:rsidP="00AD1799">
      <w:pPr>
        <w:spacing w:after="0" w:line="240" w:lineRule="auto"/>
        <w:jc w:val="both"/>
        <w:rPr>
          <w:sz w:val="24"/>
          <w:szCs w:val="24"/>
        </w:rPr>
      </w:pPr>
    </w:p>
    <w:p w14:paraId="4840875A" w14:textId="5CA46E24" w:rsidR="00FD19F1" w:rsidRPr="00FD19F1" w:rsidRDefault="005429CA" w:rsidP="00AD1799">
      <w:pPr>
        <w:jc w:val="both"/>
        <w:rPr>
          <w:b/>
          <w:bCs/>
          <w:u w:val="single"/>
        </w:rPr>
      </w:pPr>
      <w:r w:rsidRPr="0064161B">
        <w:rPr>
          <w:b/>
          <w:bCs/>
          <w:u w:val="single"/>
        </w:rPr>
        <w:t>Reference list:</w:t>
      </w:r>
    </w:p>
    <w:p w14:paraId="6E955F0F"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Bartlett, A. Hollins, S (2018). ‘Challenges and mental health needs of women in prison’ </w:t>
      </w:r>
      <w:r w:rsidRPr="00FD19F1">
        <w:rPr>
          <w:rFonts w:asciiTheme="minorHAnsi" w:hAnsiTheme="minorHAnsi" w:cstheme="minorHAnsi"/>
          <w:i/>
          <w:iCs/>
        </w:rPr>
        <w:t xml:space="preserve">The British journal of psychiatry. </w:t>
      </w:r>
      <w:r w:rsidRPr="00FD19F1">
        <w:rPr>
          <w:rFonts w:asciiTheme="minorHAnsi" w:hAnsiTheme="minorHAnsi" w:cstheme="minorHAnsi"/>
        </w:rPr>
        <w:t xml:space="preserve">Vol 212, issue 3. Available at: </w:t>
      </w:r>
      <w:hyperlink r:id="rId7" w:history="1">
        <w:r>
          <w:rPr>
            <w:rStyle w:val="Hyperlink"/>
          </w:rPr>
          <w:t>Challenges and mental health needs of women in prison | The British Journal of Psychiatry | Cambridge Core</w:t>
        </w:r>
      </w:hyperlink>
      <w:r>
        <w:t>(Accessed 10/11/2023)</w:t>
      </w:r>
    </w:p>
    <w:p w14:paraId="736CBAB5"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Brookes, E (2023) </w:t>
      </w:r>
      <w:r w:rsidRPr="00FD19F1">
        <w:rPr>
          <w:rFonts w:asciiTheme="minorHAnsi" w:hAnsiTheme="minorHAnsi" w:cstheme="minorHAnsi"/>
          <w:i/>
          <w:iCs/>
        </w:rPr>
        <w:t>Cesare Lombroso: Theory of crime, criminal man, and Atavism.</w:t>
      </w:r>
      <w:r w:rsidRPr="00FD19F1">
        <w:rPr>
          <w:rFonts w:asciiTheme="minorHAnsi" w:hAnsiTheme="minorHAnsi" w:cstheme="minorHAnsi"/>
        </w:rPr>
        <w:t xml:space="preserve"> Available at: </w:t>
      </w:r>
      <w:hyperlink r:id="rId8" w:anchor="Atavistic-Form" w:history="1">
        <w:r>
          <w:rPr>
            <w:rStyle w:val="Hyperlink"/>
          </w:rPr>
          <w:t>Cesare Lombroso: Theory of Crime, Criminal Man, and Atavism (simplypsychology.org)</w:t>
        </w:r>
      </w:hyperlink>
      <w:r>
        <w:t xml:space="preserve"> (</w:t>
      </w:r>
      <w:r>
        <w:t xml:space="preserve">accessed </w:t>
      </w:r>
      <w:r>
        <w:t>10</w:t>
      </w:r>
      <w:r>
        <w:t>/11/2023)</w:t>
      </w:r>
    </w:p>
    <w:p w14:paraId="2D43A020" w14:textId="77777777" w:rsidR="00FD19F1" w:rsidRPr="00FD19F1" w:rsidRDefault="00FD19F1" w:rsidP="00AD1799">
      <w:pPr>
        <w:jc w:val="both"/>
        <w:rPr>
          <w:rStyle w:val="s1"/>
          <w:rFonts w:asciiTheme="minorHAnsi" w:hAnsiTheme="minorHAnsi" w:cstheme="minorHAnsi"/>
        </w:rPr>
      </w:pPr>
      <w:r w:rsidRPr="00FD19F1">
        <w:rPr>
          <w:rStyle w:val="s1"/>
          <w:rFonts w:asciiTheme="minorHAnsi" w:hAnsiTheme="minorHAnsi" w:cstheme="minorHAnsi"/>
          <w:color w:val="000000"/>
        </w:rPr>
        <w:t xml:space="preserve">Durham university (2023) </w:t>
      </w:r>
      <w:r w:rsidRPr="00FD19F1">
        <w:rPr>
          <w:rStyle w:val="s1"/>
          <w:rFonts w:asciiTheme="minorHAnsi" w:hAnsiTheme="minorHAnsi" w:cstheme="minorHAnsi"/>
          <w:i/>
          <w:iCs/>
          <w:color w:val="000000"/>
        </w:rPr>
        <w:t>what are gender norms? Why do they matter?</w:t>
      </w:r>
      <w:r w:rsidRPr="00FD19F1">
        <w:rPr>
          <w:rStyle w:val="s1"/>
          <w:rFonts w:asciiTheme="minorHAnsi" w:hAnsiTheme="minorHAnsi" w:cstheme="minorHAnsi"/>
          <w:color w:val="000000"/>
        </w:rPr>
        <w:t xml:space="preserve"> Available at: </w:t>
      </w:r>
      <w:hyperlink r:id="rId9" w:history="1">
        <w:r w:rsidRPr="00FD19F1">
          <w:rPr>
            <w:rStyle w:val="Hyperlink"/>
            <w:rFonts w:asciiTheme="minorHAnsi" w:hAnsiTheme="minorHAnsi" w:cstheme="minorHAnsi"/>
          </w:rPr>
          <w:t>https://www.durham.ac.uk/research/institutes-and-centres/research-violence-abuse/research-profile/geo-toolkit/what-are-gender-norms/</w:t>
        </w:r>
      </w:hyperlink>
      <w:r w:rsidRPr="00FD19F1">
        <w:rPr>
          <w:rStyle w:val="s1"/>
          <w:rFonts w:asciiTheme="minorHAnsi" w:hAnsiTheme="minorHAnsi" w:cstheme="minorHAnsi"/>
          <w:color w:val="000000"/>
        </w:rPr>
        <w:t xml:space="preserve"> (accessed 07/11/2023)</w:t>
      </w:r>
    </w:p>
    <w:p w14:paraId="1662B488" w14:textId="77777777" w:rsidR="00FD19F1" w:rsidRPr="00FD19F1" w:rsidRDefault="00FD19F1" w:rsidP="00AD1799">
      <w:pPr>
        <w:jc w:val="both"/>
        <w:rPr>
          <w:rFonts w:asciiTheme="minorHAnsi" w:hAnsiTheme="minorHAnsi" w:cstheme="minorHAnsi"/>
        </w:rPr>
      </w:pPr>
      <w:r>
        <w:t xml:space="preserve">Halle, C. Tzani-Pepelasi, C. Pylarinou, N-R. Fumagalli, A. (2020) ‘The link between mental health, crime and violence’ </w:t>
      </w:r>
      <w:r w:rsidRPr="00FD19F1">
        <w:rPr>
          <w:i/>
          <w:iCs/>
        </w:rPr>
        <w:t>New ideas in psychology.</w:t>
      </w:r>
      <w:r>
        <w:t xml:space="preserve"> Vol 58. Available at: </w:t>
      </w:r>
      <w:hyperlink r:id="rId10" w:history="1">
        <w:r w:rsidRPr="008920FB">
          <w:rPr>
            <w:rStyle w:val="Hyperlink"/>
          </w:rPr>
          <w:t>https://doi.org/10.1016/j.newideapsych.2020.100779</w:t>
        </w:r>
      </w:hyperlink>
      <w:r>
        <w:t xml:space="preserve"> (</w:t>
      </w:r>
      <w:r>
        <w:t>Accessed 10/11/2023)</w:t>
      </w:r>
    </w:p>
    <w:p w14:paraId="63B49521" w14:textId="77777777" w:rsidR="00FD19F1" w:rsidRPr="00FD19F1" w:rsidRDefault="00FD19F1" w:rsidP="00AD1799">
      <w:pPr>
        <w:jc w:val="both"/>
        <w:rPr>
          <w:rStyle w:val="Hyperlink"/>
          <w:rFonts w:asciiTheme="minorHAnsi" w:hAnsiTheme="minorHAnsi" w:cstheme="minorHAnsi"/>
          <w:color w:val="auto"/>
          <w:u w:val="none"/>
        </w:rPr>
      </w:pPr>
      <w:r w:rsidRPr="00FD19F1">
        <w:rPr>
          <w:rFonts w:asciiTheme="minorHAnsi" w:hAnsiTheme="minorHAnsi" w:cstheme="minorHAnsi"/>
        </w:rPr>
        <w:t xml:space="preserve">Heidensohn, F (2010) ‘The deviance of women: a critique and an enquiry.’ </w:t>
      </w:r>
      <w:r w:rsidRPr="00FD19F1">
        <w:rPr>
          <w:rFonts w:asciiTheme="minorHAnsi" w:hAnsiTheme="minorHAnsi" w:cstheme="minorHAnsi"/>
          <w:i/>
          <w:iCs/>
        </w:rPr>
        <w:t xml:space="preserve">The British journal of sociology, </w:t>
      </w:r>
      <w:r w:rsidRPr="00FD19F1">
        <w:rPr>
          <w:rFonts w:asciiTheme="minorHAnsi" w:hAnsiTheme="minorHAnsi" w:cstheme="minorHAnsi"/>
        </w:rPr>
        <w:t xml:space="preserve">vol 61, issue s1. Pages 111-126. Available at: </w:t>
      </w:r>
      <w:hyperlink r:id="rId11" w:history="1">
        <w:r w:rsidRPr="00FD19F1">
          <w:rPr>
            <w:rStyle w:val="Hyperlink"/>
            <w:rFonts w:asciiTheme="minorHAnsi" w:hAnsiTheme="minorHAnsi" w:cstheme="minorHAnsi"/>
            <w:shd w:val="clear" w:color="auto" w:fill="FFFFFF"/>
          </w:rPr>
          <w:t>https://doi.org/10.1111/j.1468-4446.2009.01242.x</w:t>
        </w:r>
      </w:hyperlink>
      <w:r w:rsidRPr="00FD19F1">
        <w:rPr>
          <w:rStyle w:val="Hyperlink"/>
          <w:rFonts w:asciiTheme="minorHAnsi" w:hAnsiTheme="minorHAnsi" w:cstheme="minorHAnsi"/>
          <w:shd w:val="clear" w:color="auto" w:fill="FFFFFF"/>
        </w:rPr>
        <w:t xml:space="preserve"> </w:t>
      </w:r>
    </w:p>
    <w:p w14:paraId="21C9F705" w14:textId="77777777" w:rsidR="00FD19F1" w:rsidRPr="00FD19F1" w:rsidRDefault="00FD19F1" w:rsidP="00AD1799">
      <w:pPr>
        <w:jc w:val="both"/>
        <w:rPr>
          <w:rFonts w:asciiTheme="minorHAnsi" w:hAnsiTheme="minorHAnsi" w:cstheme="minorHAnsi"/>
        </w:rPr>
      </w:pPr>
      <w:r w:rsidRPr="00FD19F1">
        <w:rPr>
          <w:rStyle w:val="Hyperlink"/>
          <w:rFonts w:asciiTheme="minorHAnsi" w:hAnsiTheme="minorHAnsi" w:cstheme="minorHAnsi"/>
          <w:color w:val="auto"/>
          <w:u w:val="none"/>
        </w:rPr>
        <w:t xml:space="preserve">Heidensohn, F (2012). ‘The future of feminist criminology’. </w:t>
      </w:r>
      <w:r w:rsidRPr="00FD19F1">
        <w:rPr>
          <w:rStyle w:val="Hyperlink"/>
          <w:rFonts w:asciiTheme="minorHAnsi" w:hAnsiTheme="minorHAnsi" w:cstheme="minorHAnsi"/>
          <w:i/>
          <w:iCs/>
          <w:color w:val="auto"/>
          <w:u w:val="none"/>
        </w:rPr>
        <w:t>Crime, media, culture: An international journal.</w:t>
      </w:r>
      <w:r w:rsidRPr="00FD19F1">
        <w:rPr>
          <w:rStyle w:val="Hyperlink"/>
          <w:rFonts w:asciiTheme="minorHAnsi" w:hAnsiTheme="minorHAnsi" w:cstheme="minorHAnsi"/>
          <w:color w:val="auto"/>
          <w:u w:val="none"/>
        </w:rPr>
        <w:t xml:space="preserve"> Vol 8, issue 2. Pages 123-134. Available at: </w:t>
      </w:r>
      <w:hyperlink r:id="rId12" w:history="1">
        <w:r w:rsidRPr="00FD19F1">
          <w:rPr>
            <w:rStyle w:val="Hyperlink"/>
            <w:rFonts w:ascii="Open Sans" w:hAnsi="Open Sans" w:cs="Open Sans"/>
            <w:color w:val="006ACC"/>
            <w:shd w:val="clear" w:color="auto" w:fill="FFFFFF"/>
          </w:rPr>
          <w:t>https://doi.org/10.1177/1741659012444431</w:t>
        </w:r>
      </w:hyperlink>
    </w:p>
    <w:p w14:paraId="5C164119"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Herzog, S. Oreg, S (2008). ‘Chivalry and the moderating effect of ambivalent sexism: individual differences in crime seriousness judgement.’ </w:t>
      </w:r>
      <w:r w:rsidRPr="00FD19F1">
        <w:rPr>
          <w:rFonts w:asciiTheme="minorHAnsi" w:hAnsiTheme="minorHAnsi" w:cstheme="minorHAnsi"/>
          <w:i/>
          <w:iCs/>
        </w:rPr>
        <w:t>Law &amp; Society review</w:t>
      </w:r>
      <w:r w:rsidRPr="00FD19F1">
        <w:rPr>
          <w:rFonts w:asciiTheme="minorHAnsi" w:hAnsiTheme="minorHAnsi" w:cstheme="minorHAnsi"/>
        </w:rPr>
        <w:t>.</w:t>
      </w:r>
      <w:r w:rsidRPr="00FD19F1">
        <w:rPr>
          <w:rFonts w:asciiTheme="minorHAnsi" w:hAnsiTheme="minorHAnsi" w:cstheme="minorHAnsi"/>
          <w:i/>
          <w:iCs/>
        </w:rPr>
        <w:t xml:space="preserve"> </w:t>
      </w:r>
      <w:r w:rsidRPr="00FD19F1">
        <w:rPr>
          <w:rFonts w:asciiTheme="minorHAnsi" w:hAnsiTheme="minorHAnsi" w:cstheme="minorHAnsi"/>
        </w:rPr>
        <w:t xml:space="preserve">Vol42. P45-74. Available at: </w:t>
      </w:r>
      <w:hyperlink r:id="rId13" w:history="1">
        <w:r w:rsidRPr="00FD19F1">
          <w:rPr>
            <w:rStyle w:val="Hyperlink"/>
            <w:rFonts w:ascii="Open Sans" w:hAnsi="Open Sans" w:cs="Open Sans"/>
            <w:sz w:val="21"/>
            <w:szCs w:val="21"/>
            <w:shd w:val="clear" w:color="auto" w:fill="FFFFFF"/>
          </w:rPr>
          <w:t>https://doi.org/10.1111/j.1540-5893.2008.00334.x</w:t>
        </w:r>
      </w:hyperlink>
      <w:r>
        <w:t xml:space="preserve"> (accessed 09/11/2023)</w:t>
      </w:r>
    </w:p>
    <w:p w14:paraId="5CCC4475"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HM Prison &amp; Probation Service. Ministry of Justice (2023) </w:t>
      </w:r>
      <w:r w:rsidRPr="00FD19F1">
        <w:rPr>
          <w:rFonts w:asciiTheme="minorHAnsi" w:hAnsiTheme="minorHAnsi" w:cstheme="minorHAnsi"/>
          <w:i/>
          <w:iCs/>
        </w:rPr>
        <w:t xml:space="preserve">Offender management statistics quarterly: April to June 2023. </w:t>
      </w:r>
      <w:r w:rsidRPr="00FD19F1">
        <w:rPr>
          <w:rFonts w:asciiTheme="minorHAnsi" w:hAnsiTheme="minorHAnsi" w:cstheme="minorHAnsi"/>
        </w:rPr>
        <w:t xml:space="preserve">Available at: </w:t>
      </w:r>
      <w:hyperlink r:id="rId14" w:history="1">
        <w:r>
          <w:rPr>
            <w:rStyle w:val="Hyperlink"/>
          </w:rPr>
          <w:t>Offender management statistics quarterly: April to June 2023 - GOV.UK (www.gov.uk)</w:t>
        </w:r>
      </w:hyperlink>
      <w:r>
        <w:t xml:space="preserve"> (Accessed 10/11/2023)</w:t>
      </w:r>
    </w:p>
    <w:p w14:paraId="236B1752"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Hogenboom, M (2014) </w:t>
      </w:r>
      <w:r w:rsidRPr="00FD19F1">
        <w:rPr>
          <w:rFonts w:asciiTheme="minorHAnsi" w:hAnsiTheme="minorHAnsi" w:cstheme="minorHAnsi"/>
          <w:i/>
          <w:iCs/>
        </w:rPr>
        <w:t xml:space="preserve">Two genes linked with violent crime. </w:t>
      </w:r>
      <w:r w:rsidRPr="00FD19F1">
        <w:rPr>
          <w:rFonts w:asciiTheme="minorHAnsi" w:hAnsiTheme="minorHAnsi" w:cstheme="minorHAnsi"/>
        </w:rPr>
        <w:t xml:space="preserve">Available at: </w:t>
      </w:r>
      <w:hyperlink r:id="rId15" w:history="1">
        <w:r>
          <w:rPr>
            <w:rStyle w:val="Hyperlink"/>
          </w:rPr>
          <w:t>Two genes linked with violent crime - BBC News</w:t>
        </w:r>
      </w:hyperlink>
      <w:r>
        <w:t xml:space="preserve"> (</w:t>
      </w:r>
      <w:r>
        <w:t>accessed 10/11/2023)</w:t>
      </w:r>
    </w:p>
    <w:p w14:paraId="5E6A5DF5"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House of Lords (2019) </w:t>
      </w:r>
      <w:r w:rsidRPr="00FD19F1">
        <w:rPr>
          <w:rFonts w:asciiTheme="minorHAnsi" w:hAnsiTheme="minorHAnsi" w:cstheme="minorHAnsi"/>
          <w:i/>
          <w:iCs/>
        </w:rPr>
        <w:t>Women in the criminal justice system</w:t>
      </w:r>
      <w:r w:rsidRPr="00FD19F1">
        <w:rPr>
          <w:rFonts w:asciiTheme="minorHAnsi" w:hAnsiTheme="minorHAnsi" w:cstheme="minorHAnsi"/>
        </w:rPr>
        <w:t xml:space="preserve">. Available at: </w:t>
      </w:r>
      <w:hyperlink r:id="rId16" w:history="1">
        <w:r>
          <w:rPr>
            <w:rStyle w:val="Hyperlink"/>
          </w:rPr>
          <w:t>Women in the Criminal Justice System - House of Lords Library (parliament.uk)</w:t>
        </w:r>
      </w:hyperlink>
      <w:r w:rsidRPr="00FD19F1">
        <w:rPr>
          <w:rFonts w:asciiTheme="minorHAnsi" w:hAnsiTheme="minorHAnsi" w:cstheme="minorHAnsi"/>
        </w:rPr>
        <w:t xml:space="preserve"> (accessed 08/11/2023)</w:t>
      </w:r>
    </w:p>
    <w:p w14:paraId="31A3708C"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Kilfoyle, M. Philippe, A (2021) </w:t>
      </w:r>
      <w:r w:rsidRPr="00FD19F1">
        <w:rPr>
          <w:rFonts w:asciiTheme="minorHAnsi" w:hAnsiTheme="minorHAnsi" w:cstheme="minorHAnsi"/>
          <w:i/>
          <w:iCs/>
        </w:rPr>
        <w:t>Gender stereotypes see female criminals fare better in court.</w:t>
      </w:r>
      <w:r w:rsidRPr="00FD19F1">
        <w:rPr>
          <w:rFonts w:asciiTheme="minorHAnsi" w:hAnsiTheme="minorHAnsi" w:cstheme="minorHAnsi"/>
        </w:rPr>
        <w:t xml:space="preserve"> [blog] Available at: </w:t>
      </w:r>
      <w:hyperlink r:id="rId17" w:history="1">
        <w:r>
          <w:rPr>
            <w:rStyle w:val="Hyperlink"/>
          </w:rPr>
          <w:t>Gender Stereotypes See Female Criminals Fare Better in Court – Centre for Evidence-Based Public Services (bristol.ac.uk)</w:t>
        </w:r>
      </w:hyperlink>
      <w:r w:rsidRPr="00FD19F1">
        <w:rPr>
          <w:rFonts w:asciiTheme="minorHAnsi" w:hAnsiTheme="minorHAnsi" w:cstheme="minorHAnsi"/>
        </w:rPr>
        <w:t xml:space="preserve"> (accessed 09/11/2023)</w:t>
      </w:r>
    </w:p>
    <w:p w14:paraId="66217DF4"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Lightowler, C (2019) ‘Drunk and Doubly deviant? The role of gender and intoxication in sentencing assault offences’ </w:t>
      </w:r>
      <w:r w:rsidRPr="00FD19F1">
        <w:rPr>
          <w:rFonts w:asciiTheme="minorHAnsi" w:hAnsiTheme="minorHAnsi" w:cstheme="minorHAnsi"/>
          <w:i/>
          <w:iCs/>
        </w:rPr>
        <w:t xml:space="preserve">The British Journal of Criminology. </w:t>
      </w:r>
      <w:r w:rsidRPr="00FD19F1">
        <w:rPr>
          <w:rFonts w:asciiTheme="minorHAnsi" w:hAnsiTheme="minorHAnsi" w:cstheme="minorHAnsi"/>
        </w:rPr>
        <w:t>Vol 59, issue 3. Pages 693-717. Available at:</w:t>
      </w:r>
      <w:r w:rsidRPr="00EC374C">
        <w:t xml:space="preserve"> </w:t>
      </w:r>
      <w:hyperlink r:id="rId18" w:history="1">
        <w:r w:rsidRPr="00FD19F1">
          <w:rPr>
            <w:rStyle w:val="Hyperlink"/>
            <w:rFonts w:ascii="Source Sans Pro" w:hAnsi="Source Sans Pro"/>
            <w:color w:val="006FB7"/>
            <w:sz w:val="23"/>
            <w:szCs w:val="23"/>
            <w:bdr w:val="none" w:sz="0" w:space="0" w:color="auto" w:frame="1"/>
            <w:shd w:val="clear" w:color="auto" w:fill="FFFFFF"/>
          </w:rPr>
          <w:t>https://doi.org/10.1093/bjc/azy041</w:t>
        </w:r>
      </w:hyperlink>
      <w:r>
        <w:t xml:space="preserve"> (accessed 09/11/2023)</w:t>
      </w:r>
    </w:p>
    <w:p w14:paraId="2DE9E457"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Malon, K (2020) </w:t>
      </w:r>
      <w:r w:rsidRPr="00FD19F1">
        <w:rPr>
          <w:rFonts w:asciiTheme="minorHAnsi" w:hAnsiTheme="minorHAnsi" w:cstheme="minorHAnsi"/>
          <w:i/>
          <w:iCs/>
        </w:rPr>
        <w:t xml:space="preserve">Gender differences and sentencing: A critical literature review. </w:t>
      </w:r>
      <w:r w:rsidRPr="00FD19F1">
        <w:rPr>
          <w:rFonts w:asciiTheme="minorHAnsi" w:hAnsiTheme="minorHAnsi" w:cstheme="minorHAnsi"/>
        </w:rPr>
        <w:t xml:space="preserve">Available at: </w:t>
      </w:r>
      <w:hyperlink r:id="rId19" w:history="1">
        <w:r>
          <w:rPr>
            <w:rStyle w:val="Hyperlink"/>
          </w:rPr>
          <w:t>2020_Malon_Criminology_Sentencing_Gender.pdf (hull.ac.uk)</w:t>
        </w:r>
      </w:hyperlink>
      <w:r>
        <w:t xml:space="preserve"> (</w:t>
      </w:r>
      <w:r>
        <w:t>accessed 09/11/2023)</w:t>
      </w:r>
    </w:p>
    <w:p w14:paraId="00E9AA43" w14:textId="77777777" w:rsidR="00FD19F1" w:rsidRPr="00FD19F1" w:rsidRDefault="00FD19F1" w:rsidP="00AD1799">
      <w:pPr>
        <w:jc w:val="both"/>
        <w:rPr>
          <w:rStyle w:val="s1"/>
          <w:rFonts w:asciiTheme="minorHAnsi" w:hAnsiTheme="minorHAnsi" w:cstheme="minorHAnsi"/>
        </w:rPr>
      </w:pPr>
      <w:r w:rsidRPr="00FD19F1">
        <w:rPr>
          <w:rStyle w:val="Hyperlink"/>
          <w:rFonts w:asciiTheme="minorHAnsi" w:hAnsiTheme="minorHAnsi" w:cstheme="minorHAnsi"/>
          <w:color w:val="auto"/>
          <w:u w:val="none"/>
        </w:rPr>
        <w:lastRenderedPageBreak/>
        <w:t xml:space="preserve">McLeod, S (2023) </w:t>
      </w:r>
      <w:r w:rsidRPr="00FD19F1">
        <w:rPr>
          <w:rStyle w:val="Hyperlink"/>
          <w:rFonts w:asciiTheme="minorHAnsi" w:hAnsiTheme="minorHAnsi" w:cstheme="minorHAnsi"/>
          <w:i/>
          <w:iCs/>
          <w:color w:val="auto"/>
          <w:u w:val="none"/>
        </w:rPr>
        <w:t xml:space="preserve">Social Roles and social norms in psychology. </w:t>
      </w:r>
      <w:r w:rsidRPr="00FD19F1">
        <w:rPr>
          <w:rStyle w:val="Hyperlink"/>
          <w:rFonts w:asciiTheme="minorHAnsi" w:hAnsiTheme="minorHAnsi" w:cstheme="minorHAnsi"/>
          <w:color w:val="auto"/>
          <w:u w:val="none"/>
        </w:rPr>
        <w:t xml:space="preserve">Available at: </w:t>
      </w:r>
      <w:hyperlink r:id="rId20" w:anchor="Social-Roles" w:history="1">
        <w:r w:rsidRPr="00FD19F1">
          <w:rPr>
            <w:rStyle w:val="Hyperlink"/>
            <w:rFonts w:asciiTheme="minorHAnsi" w:hAnsiTheme="minorHAnsi" w:cstheme="minorHAnsi"/>
          </w:rPr>
          <w:t>https://www.simplypsychology.org/social-roles.html#Social-Roles</w:t>
        </w:r>
      </w:hyperlink>
      <w:r w:rsidRPr="00FD19F1">
        <w:rPr>
          <w:rStyle w:val="s1"/>
          <w:rFonts w:asciiTheme="minorHAnsi" w:hAnsiTheme="minorHAnsi" w:cstheme="minorHAnsi"/>
          <w:color w:val="000000"/>
        </w:rPr>
        <w:t xml:space="preserve"> (Accessed 07/11/2023)</w:t>
      </w:r>
    </w:p>
    <w:p w14:paraId="1F3578D9" w14:textId="77777777" w:rsidR="00FD19F1" w:rsidRPr="00FD19F1" w:rsidRDefault="00FD19F1" w:rsidP="00AD1799">
      <w:pPr>
        <w:jc w:val="both"/>
        <w:rPr>
          <w:rFonts w:asciiTheme="minorHAnsi" w:hAnsiTheme="minorHAnsi" w:cstheme="minorHAnsi"/>
        </w:rPr>
      </w:pPr>
      <w:r w:rsidRPr="00FD19F1">
        <w:rPr>
          <w:rStyle w:val="s1"/>
          <w:rFonts w:asciiTheme="minorHAnsi" w:hAnsiTheme="minorHAnsi" w:cstheme="minorHAnsi"/>
          <w:color w:val="000000"/>
        </w:rPr>
        <w:t xml:space="preserve">Ministry of Justice (2022) </w:t>
      </w:r>
      <w:r w:rsidRPr="00FD19F1">
        <w:rPr>
          <w:rStyle w:val="s1"/>
          <w:rFonts w:asciiTheme="minorHAnsi" w:hAnsiTheme="minorHAnsi" w:cstheme="minorHAnsi"/>
          <w:i/>
          <w:iCs/>
          <w:color w:val="000000"/>
        </w:rPr>
        <w:t xml:space="preserve">Women and the Criminal Justice System 2021. </w:t>
      </w:r>
      <w:r w:rsidRPr="00FD19F1">
        <w:rPr>
          <w:rStyle w:val="s1"/>
          <w:rFonts w:asciiTheme="minorHAnsi" w:hAnsiTheme="minorHAnsi" w:cstheme="minorHAnsi"/>
          <w:color w:val="000000"/>
        </w:rPr>
        <w:t xml:space="preserve">Available at: </w:t>
      </w:r>
      <w:hyperlink w:history="1">
        <w:r w:rsidRPr="0016552F">
          <w:rPr>
            <w:rStyle w:val="Hyperlink"/>
          </w:rPr>
          <w:t>Women and the Criminal Justice System 2021 - GOV.UK (www.gov.uk)</w:t>
        </w:r>
      </w:hyperlink>
      <w:r>
        <w:t xml:space="preserve"> (accessed 08/11/2023)</w:t>
      </w:r>
    </w:p>
    <w:p w14:paraId="6169F2A0"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Ministry of Justice (2023) </w:t>
      </w:r>
      <w:r w:rsidRPr="00FD19F1">
        <w:rPr>
          <w:rFonts w:asciiTheme="minorHAnsi" w:hAnsiTheme="minorHAnsi" w:cstheme="minorHAnsi"/>
          <w:i/>
          <w:iCs/>
        </w:rPr>
        <w:t>female offender strategy delivery plan 2022-25</w:t>
      </w:r>
      <w:r w:rsidRPr="00FD19F1">
        <w:rPr>
          <w:rFonts w:asciiTheme="minorHAnsi" w:hAnsiTheme="minorHAnsi" w:cstheme="minorHAnsi"/>
        </w:rPr>
        <w:t>. [online] Available at:</w:t>
      </w:r>
      <w:r w:rsidRPr="00784DA2">
        <w:t xml:space="preserve"> </w:t>
      </w:r>
      <w:hyperlink r:id="rId21" w:history="1">
        <w:r>
          <w:rPr>
            <w:rStyle w:val="Hyperlink"/>
          </w:rPr>
          <w:t>Female Offender Strategy Delivery Plan 2022-25 (publishing.service.gov.uk)</w:t>
        </w:r>
      </w:hyperlink>
      <w:r w:rsidRPr="00FD19F1">
        <w:rPr>
          <w:rFonts w:asciiTheme="minorHAnsi" w:hAnsiTheme="minorHAnsi" w:cstheme="minorHAnsi"/>
        </w:rPr>
        <w:t xml:space="preserve"> (accessed 08/11/2023)</w:t>
      </w:r>
    </w:p>
    <w:p w14:paraId="388DC8A4" w14:textId="77777777" w:rsidR="00FD19F1" w:rsidRPr="00FD19F1" w:rsidRDefault="00FD19F1" w:rsidP="00AD1799">
      <w:pPr>
        <w:jc w:val="both"/>
        <w:rPr>
          <w:rFonts w:asciiTheme="minorHAnsi" w:hAnsiTheme="minorHAnsi" w:cstheme="minorHAnsi"/>
        </w:rPr>
      </w:pPr>
      <w:r>
        <w:t xml:space="preserve">Nickerson, C (2023). </w:t>
      </w:r>
      <w:r w:rsidRPr="00FD19F1">
        <w:rPr>
          <w:i/>
          <w:iCs/>
        </w:rPr>
        <w:t xml:space="preserve">Biological theories of crime. </w:t>
      </w:r>
      <w:r>
        <w:t>Available at:</w:t>
      </w:r>
      <w:r w:rsidRPr="00354FD4">
        <w:t xml:space="preserve"> </w:t>
      </w:r>
      <w:hyperlink r:id="rId22" w:anchor="Atavistic-Theory-of-Crime-1876" w:history="1">
        <w:r>
          <w:rPr>
            <w:rStyle w:val="Hyperlink"/>
          </w:rPr>
          <w:t>Biological Theories of Crime (simplypsychology.org)</w:t>
        </w:r>
      </w:hyperlink>
      <w:r>
        <w:t>(</w:t>
      </w:r>
      <w:r w:rsidRPr="009713A6">
        <w:t xml:space="preserve"> </w:t>
      </w:r>
      <w:r>
        <w:t xml:space="preserve">accessed </w:t>
      </w:r>
      <w:r>
        <w:t>1</w:t>
      </w:r>
      <w:r>
        <w:t>0/11/2023)</w:t>
      </w:r>
    </w:p>
    <w:p w14:paraId="32571BF0" w14:textId="77777777" w:rsidR="00FD19F1" w:rsidRPr="00626436" w:rsidRDefault="00FD19F1" w:rsidP="00AD1799">
      <w:pPr>
        <w:jc w:val="both"/>
      </w:pPr>
      <w:r>
        <w:t xml:space="preserve">Ornella, A (2020) ‘Gender differences and sentencing: a critical literature review’ </w:t>
      </w:r>
      <w:r w:rsidRPr="00FD19F1">
        <w:rPr>
          <w:i/>
          <w:iCs/>
        </w:rPr>
        <w:t>criminology, sociology and policing at Hull, student research journal.</w:t>
      </w:r>
      <w:r>
        <w:t xml:space="preserve"> Available at: </w:t>
      </w:r>
      <w:hyperlink r:id="rId23" w:history="1">
        <w:r>
          <w:rPr>
            <w:rStyle w:val="Hyperlink"/>
          </w:rPr>
          <w:t>Gender Differences and Sentencing: A Critical Literature Review | Criminology, Sociology and Policing at Hull</w:t>
        </w:r>
      </w:hyperlink>
    </w:p>
    <w:p w14:paraId="52D7904A" w14:textId="77777777" w:rsidR="00FD19F1" w:rsidRPr="00FD19F1" w:rsidRDefault="00FD19F1" w:rsidP="00AD1799">
      <w:pPr>
        <w:jc w:val="both"/>
        <w:rPr>
          <w:rStyle w:val="s1"/>
          <w:rFonts w:asciiTheme="minorHAnsi" w:hAnsiTheme="minorHAnsi" w:cstheme="minorHAnsi"/>
        </w:rPr>
      </w:pPr>
      <w:r w:rsidRPr="00FD19F1">
        <w:rPr>
          <w:rStyle w:val="s1"/>
          <w:rFonts w:asciiTheme="minorHAnsi" w:hAnsiTheme="minorHAnsi" w:cstheme="minorHAnsi"/>
          <w:color w:val="000000"/>
        </w:rPr>
        <w:t xml:space="preserve">Planned parenthood (2023) </w:t>
      </w:r>
      <w:r w:rsidRPr="00FD19F1">
        <w:rPr>
          <w:rStyle w:val="s1"/>
          <w:rFonts w:asciiTheme="minorHAnsi" w:hAnsiTheme="minorHAnsi" w:cstheme="minorHAnsi"/>
          <w:i/>
          <w:iCs/>
          <w:color w:val="000000"/>
        </w:rPr>
        <w:t xml:space="preserve">what are gender roles and stereotypes? </w:t>
      </w:r>
      <w:r w:rsidRPr="00FD19F1">
        <w:rPr>
          <w:rStyle w:val="s1"/>
          <w:rFonts w:asciiTheme="minorHAnsi" w:hAnsiTheme="minorHAnsi" w:cstheme="minorHAnsi"/>
          <w:color w:val="000000"/>
        </w:rPr>
        <w:t xml:space="preserve">Available at: </w:t>
      </w:r>
      <w:hyperlink r:id="rId24" w:anchor=":~:text=For%20example%2C%20girls%20and%20women,different%20from%20group%20to%20group." w:history="1">
        <w:r w:rsidRPr="00FD19F1">
          <w:rPr>
            <w:rStyle w:val="Hyperlink"/>
            <w:rFonts w:asciiTheme="minorHAnsi" w:hAnsiTheme="minorHAnsi" w:cstheme="minorHAnsi"/>
          </w:rPr>
          <w:t>https://www.plannedparenthood.org/learn/gender-identity/sex-gender-identity/what-are-gender-roles-and-stereotypes#:~:text=For%20example%2C%20girls%20and%20women,different%20from%20group%20to%20group.</w:t>
        </w:r>
      </w:hyperlink>
      <w:r w:rsidRPr="00FD19F1">
        <w:rPr>
          <w:rStyle w:val="s1"/>
          <w:rFonts w:asciiTheme="minorHAnsi" w:hAnsiTheme="minorHAnsi" w:cstheme="minorHAnsi"/>
          <w:color w:val="000000"/>
        </w:rPr>
        <w:t xml:space="preserve"> (Accessed 07/11/2023)</w:t>
      </w:r>
    </w:p>
    <w:p w14:paraId="32C75960" w14:textId="77777777" w:rsidR="00FD19F1" w:rsidRPr="00FD19F1" w:rsidRDefault="00FD19F1" w:rsidP="00AD1799">
      <w:pPr>
        <w:jc w:val="both"/>
        <w:rPr>
          <w:rFonts w:asciiTheme="minorHAnsi" w:hAnsiTheme="minorHAnsi" w:cstheme="minorHAnsi"/>
        </w:rPr>
      </w:pPr>
      <w:r w:rsidRPr="00FD19F1">
        <w:rPr>
          <w:rFonts w:asciiTheme="minorHAnsi" w:hAnsiTheme="minorHAnsi" w:cstheme="minorHAnsi"/>
        </w:rPr>
        <w:t xml:space="preserve">Prison reform trust (2023) </w:t>
      </w:r>
      <w:r w:rsidRPr="00FD19F1">
        <w:rPr>
          <w:rFonts w:asciiTheme="minorHAnsi" w:hAnsiTheme="minorHAnsi" w:cstheme="minorHAnsi"/>
          <w:i/>
          <w:iCs/>
        </w:rPr>
        <w:t>Women in prison.</w:t>
      </w:r>
      <w:r w:rsidRPr="00FD19F1">
        <w:rPr>
          <w:rFonts w:asciiTheme="minorHAnsi" w:hAnsiTheme="minorHAnsi" w:cstheme="minorHAnsi"/>
        </w:rPr>
        <w:t xml:space="preserve"> Available at: </w:t>
      </w:r>
      <w:hyperlink r:id="rId25" w:history="1">
        <w:r>
          <w:rPr>
            <w:rStyle w:val="Hyperlink"/>
          </w:rPr>
          <w:t>Women in prison | Prison Reform Trust</w:t>
        </w:r>
      </w:hyperlink>
      <w:r w:rsidRPr="00FD19F1">
        <w:rPr>
          <w:rFonts w:asciiTheme="minorHAnsi" w:hAnsiTheme="minorHAnsi" w:cstheme="minorHAnsi"/>
        </w:rPr>
        <w:t xml:space="preserve"> (Accessed 09/11/2023)</w:t>
      </w:r>
    </w:p>
    <w:p w14:paraId="24BC8055" w14:textId="77777777" w:rsidR="00FD19F1" w:rsidRPr="00FD19F1" w:rsidRDefault="00FD19F1" w:rsidP="00AD1799">
      <w:pPr>
        <w:jc w:val="both"/>
        <w:rPr>
          <w:rFonts w:asciiTheme="minorHAnsi" w:hAnsiTheme="minorHAnsi" w:cstheme="minorHAnsi"/>
        </w:rPr>
      </w:pPr>
      <w:r w:rsidRPr="00FD19F1">
        <w:rPr>
          <w:rStyle w:val="Hyperlink"/>
          <w:rFonts w:asciiTheme="minorHAnsi" w:hAnsiTheme="minorHAnsi" w:cstheme="minorHAnsi"/>
          <w:color w:val="auto"/>
          <w:u w:val="none"/>
        </w:rPr>
        <w:t xml:space="preserve">Quarmby, K (2016). </w:t>
      </w:r>
      <w:r w:rsidRPr="00FD19F1">
        <w:rPr>
          <w:rStyle w:val="Hyperlink"/>
          <w:rFonts w:asciiTheme="minorHAnsi" w:hAnsiTheme="minorHAnsi" w:cstheme="minorHAnsi"/>
          <w:i/>
          <w:iCs/>
          <w:color w:val="auto"/>
          <w:u w:val="none"/>
        </w:rPr>
        <w:t xml:space="preserve">Why are we shocked when women commit violent crimes? </w:t>
      </w:r>
      <w:r w:rsidRPr="00FD19F1">
        <w:rPr>
          <w:rStyle w:val="Hyperlink"/>
          <w:rFonts w:asciiTheme="minorHAnsi" w:hAnsiTheme="minorHAnsi" w:cstheme="minorHAnsi"/>
          <w:color w:val="auto"/>
          <w:u w:val="none"/>
        </w:rPr>
        <w:t xml:space="preserve">[online] Available at: </w:t>
      </w:r>
      <w:hyperlink r:id="rId26" w:history="1">
        <w:r>
          <w:rPr>
            <w:rStyle w:val="Hyperlink"/>
          </w:rPr>
          <w:t>Why are we shocked when women commit violent crimes? | The Independent | The Independent</w:t>
        </w:r>
      </w:hyperlink>
      <w:r>
        <w:rPr>
          <w:rStyle w:val="Hyperlink"/>
        </w:rPr>
        <w:t xml:space="preserve"> </w:t>
      </w:r>
      <w:r w:rsidRPr="00FD19F1">
        <w:rPr>
          <w:rFonts w:asciiTheme="minorHAnsi" w:hAnsiTheme="minorHAnsi" w:cstheme="minorHAnsi"/>
        </w:rPr>
        <w:t>(accessed 09/11/2023)</w:t>
      </w:r>
    </w:p>
    <w:p w14:paraId="6E940927" w14:textId="77777777" w:rsidR="00FD19F1" w:rsidRPr="00FD19F1" w:rsidRDefault="00FD19F1" w:rsidP="00AD1799">
      <w:pPr>
        <w:jc w:val="both"/>
        <w:rPr>
          <w:rStyle w:val="Hyperlink"/>
          <w:rFonts w:asciiTheme="minorHAnsi" w:hAnsiTheme="minorHAnsi" w:cstheme="minorHAnsi"/>
          <w:color w:val="auto"/>
          <w:u w:val="none"/>
        </w:rPr>
      </w:pPr>
      <w:r w:rsidRPr="00FD19F1">
        <w:rPr>
          <w:rFonts w:asciiTheme="minorHAnsi" w:hAnsiTheme="minorHAnsi" w:cstheme="minorHAnsi"/>
        </w:rPr>
        <w:t xml:space="preserve">Westwood, L (2005). ‘Criminal Women, the prostitute, and the normal women’, </w:t>
      </w:r>
      <w:r w:rsidRPr="00FD19F1">
        <w:rPr>
          <w:rFonts w:asciiTheme="minorHAnsi" w:hAnsiTheme="minorHAnsi" w:cstheme="minorHAnsi"/>
          <w:i/>
          <w:iCs/>
        </w:rPr>
        <w:t>Social history of medicine</w:t>
      </w:r>
      <w:r w:rsidRPr="00FD19F1">
        <w:rPr>
          <w:rFonts w:asciiTheme="minorHAnsi" w:hAnsiTheme="minorHAnsi" w:cstheme="minorHAnsi"/>
        </w:rPr>
        <w:t xml:space="preserve">. Vol 18, issue 3. Pages 511-512. Available at: </w:t>
      </w:r>
      <w:hyperlink r:id="rId27" w:history="1">
        <w:r w:rsidRPr="00FD19F1">
          <w:rPr>
            <w:rStyle w:val="Hyperlink"/>
            <w:rFonts w:asciiTheme="minorHAnsi" w:hAnsiTheme="minorHAnsi" w:cstheme="minorHAnsi"/>
            <w:color w:val="006FB7"/>
            <w:bdr w:val="none" w:sz="0" w:space="0" w:color="auto" w:frame="1"/>
            <w:shd w:val="clear" w:color="auto" w:fill="FFFFFF"/>
          </w:rPr>
          <w:t>https://doi.org/10.1093/shm/hki064</w:t>
        </w:r>
      </w:hyperlink>
    </w:p>
    <w:p w14:paraId="403019ED" w14:textId="77777777" w:rsidR="00FD19F1" w:rsidRPr="00FD19F1" w:rsidRDefault="00FD19F1" w:rsidP="00AD1799">
      <w:pPr>
        <w:jc w:val="both"/>
        <w:rPr>
          <w:rFonts w:asciiTheme="minorHAnsi" w:hAnsiTheme="minorHAnsi" w:cstheme="minorHAnsi"/>
        </w:rPr>
      </w:pPr>
      <w:r w:rsidRPr="00FD19F1">
        <w:rPr>
          <w:rStyle w:val="Hyperlink"/>
          <w:rFonts w:asciiTheme="minorHAnsi" w:hAnsiTheme="minorHAnsi" w:cstheme="minorHAnsi"/>
          <w:color w:val="auto"/>
          <w:u w:val="none"/>
        </w:rPr>
        <w:t xml:space="preserve">Whitehead, S (2023). </w:t>
      </w:r>
      <w:r w:rsidRPr="00FD19F1">
        <w:rPr>
          <w:rStyle w:val="Hyperlink"/>
          <w:rFonts w:asciiTheme="minorHAnsi" w:hAnsiTheme="minorHAnsi" w:cstheme="minorHAnsi"/>
          <w:i/>
          <w:iCs/>
          <w:color w:val="auto"/>
          <w:u w:val="none"/>
        </w:rPr>
        <w:t xml:space="preserve">Double deviants: criminalisation of and attitudes towards female ‘sin’ in nineteenth century Britian. </w:t>
      </w:r>
      <w:r w:rsidRPr="00FD19F1">
        <w:rPr>
          <w:rStyle w:val="Hyperlink"/>
          <w:rFonts w:asciiTheme="minorHAnsi" w:hAnsiTheme="minorHAnsi" w:cstheme="minorHAnsi"/>
          <w:color w:val="auto"/>
          <w:u w:val="none"/>
        </w:rPr>
        <w:t>Available at:</w:t>
      </w:r>
      <w:r w:rsidRPr="001113AC">
        <w:t xml:space="preserve"> </w:t>
      </w:r>
      <w:hyperlink r:id="rId28" w:history="1">
        <w:r>
          <w:rPr>
            <w:rStyle w:val="Hyperlink"/>
          </w:rPr>
          <w:t xml:space="preserve">Double Deviant: Criminalisation of and Attitudes Towards Female ‘Sin’ in Nineteenth Century </w:t>
        </w:r>
        <w:proofErr w:type="gramStart"/>
        <w:r>
          <w:rPr>
            <w:rStyle w:val="Hyperlink"/>
          </w:rPr>
          <w:t>Britain  –</w:t>
        </w:r>
        <w:proofErr w:type="gramEnd"/>
        <w:r>
          <w:rPr>
            <w:rStyle w:val="Hyperlink"/>
          </w:rPr>
          <w:t xml:space="preserve"> Retrospect Journal</w:t>
        </w:r>
      </w:hyperlink>
      <w:r>
        <w:t xml:space="preserve"> (accessed 07/11/2023)</w:t>
      </w:r>
    </w:p>
    <w:sectPr w:rsidR="00FD19F1" w:rsidRPr="00FD19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2F082" w14:textId="77777777" w:rsidR="00E52CE2" w:rsidRDefault="00E52CE2" w:rsidP="00DD411F">
      <w:pPr>
        <w:spacing w:after="0" w:line="240" w:lineRule="auto"/>
      </w:pPr>
      <w:r>
        <w:separator/>
      </w:r>
    </w:p>
  </w:endnote>
  <w:endnote w:type="continuationSeparator" w:id="0">
    <w:p w14:paraId="217CCDC7" w14:textId="77777777" w:rsidR="00E52CE2" w:rsidRDefault="00E52CE2" w:rsidP="00DD4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66911" w14:textId="77777777" w:rsidR="00E52CE2" w:rsidRDefault="00E52CE2" w:rsidP="00DD411F">
      <w:pPr>
        <w:spacing w:after="0" w:line="240" w:lineRule="auto"/>
      </w:pPr>
      <w:r>
        <w:separator/>
      </w:r>
    </w:p>
  </w:footnote>
  <w:footnote w:type="continuationSeparator" w:id="0">
    <w:p w14:paraId="67E17D26" w14:textId="77777777" w:rsidR="00E52CE2" w:rsidRDefault="00E52CE2" w:rsidP="00DD4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4541"/>
    <w:multiLevelType w:val="hybridMultilevel"/>
    <w:tmpl w:val="042C71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6624B"/>
    <w:multiLevelType w:val="multilevel"/>
    <w:tmpl w:val="5C14F1CC"/>
    <w:lvl w:ilvl="0">
      <w:numFmt w:val="bullet"/>
      <w:lvlText w:val=" "/>
      <w:lvlJc w:val="left"/>
      <w:pPr>
        <w:ind w:left="720" w:hanging="360"/>
      </w:pPr>
      <w:rPr>
        <w:rFonts w:ascii="Tw Cen MT" w:hAnsi="Tw Cen MT"/>
      </w:rPr>
    </w:lvl>
    <w:lvl w:ilvl="1">
      <w:numFmt w:val="bullet"/>
      <w:lvlText w:val=" "/>
      <w:lvlJc w:val="left"/>
      <w:pPr>
        <w:ind w:left="1440" w:hanging="360"/>
      </w:pPr>
      <w:rPr>
        <w:rFonts w:ascii="Tw Cen MT" w:hAnsi="Tw Cen MT"/>
      </w:rPr>
    </w:lvl>
    <w:lvl w:ilvl="2">
      <w:numFmt w:val="bullet"/>
      <w:lvlText w:val=" "/>
      <w:lvlJc w:val="left"/>
      <w:pPr>
        <w:ind w:left="2160" w:hanging="360"/>
      </w:pPr>
      <w:rPr>
        <w:rFonts w:ascii="Tw Cen MT" w:hAnsi="Tw Cen MT"/>
      </w:rPr>
    </w:lvl>
    <w:lvl w:ilvl="3">
      <w:numFmt w:val="bullet"/>
      <w:lvlText w:val=" "/>
      <w:lvlJc w:val="left"/>
      <w:pPr>
        <w:ind w:left="2880" w:hanging="360"/>
      </w:pPr>
      <w:rPr>
        <w:rFonts w:ascii="Tw Cen MT" w:hAnsi="Tw Cen MT"/>
      </w:rPr>
    </w:lvl>
    <w:lvl w:ilvl="4">
      <w:numFmt w:val="bullet"/>
      <w:lvlText w:val=" "/>
      <w:lvlJc w:val="left"/>
      <w:pPr>
        <w:ind w:left="3600" w:hanging="360"/>
      </w:pPr>
      <w:rPr>
        <w:rFonts w:ascii="Tw Cen MT" w:hAnsi="Tw Cen MT"/>
      </w:rPr>
    </w:lvl>
    <w:lvl w:ilvl="5">
      <w:numFmt w:val="bullet"/>
      <w:lvlText w:val=" "/>
      <w:lvlJc w:val="left"/>
      <w:pPr>
        <w:ind w:left="4320" w:hanging="360"/>
      </w:pPr>
      <w:rPr>
        <w:rFonts w:ascii="Tw Cen MT" w:hAnsi="Tw Cen MT"/>
      </w:rPr>
    </w:lvl>
    <w:lvl w:ilvl="6">
      <w:numFmt w:val="bullet"/>
      <w:lvlText w:val=" "/>
      <w:lvlJc w:val="left"/>
      <w:pPr>
        <w:ind w:left="5040" w:hanging="360"/>
      </w:pPr>
      <w:rPr>
        <w:rFonts w:ascii="Tw Cen MT" w:hAnsi="Tw Cen MT"/>
      </w:rPr>
    </w:lvl>
    <w:lvl w:ilvl="7">
      <w:numFmt w:val="bullet"/>
      <w:lvlText w:val=" "/>
      <w:lvlJc w:val="left"/>
      <w:pPr>
        <w:ind w:left="5760" w:hanging="360"/>
      </w:pPr>
      <w:rPr>
        <w:rFonts w:ascii="Tw Cen MT" w:hAnsi="Tw Cen MT"/>
      </w:rPr>
    </w:lvl>
    <w:lvl w:ilvl="8">
      <w:numFmt w:val="bullet"/>
      <w:lvlText w:val=" "/>
      <w:lvlJc w:val="left"/>
      <w:pPr>
        <w:ind w:left="6480" w:hanging="360"/>
      </w:pPr>
      <w:rPr>
        <w:rFonts w:ascii="Tw Cen MT" w:hAnsi="Tw Cen MT"/>
      </w:rPr>
    </w:lvl>
  </w:abstractNum>
  <w:abstractNum w:abstractNumId="2" w15:restartNumberingAfterBreak="0">
    <w:nsid w:val="2D0C6ADA"/>
    <w:multiLevelType w:val="multilevel"/>
    <w:tmpl w:val="0640239A"/>
    <w:lvl w:ilvl="0">
      <w:numFmt w:val="bullet"/>
      <w:lvlText w:val=" "/>
      <w:lvlJc w:val="left"/>
      <w:pPr>
        <w:ind w:left="720" w:hanging="360"/>
      </w:pPr>
      <w:rPr>
        <w:rFonts w:ascii="Tw Cen MT" w:hAnsi="Tw Cen MT"/>
      </w:rPr>
    </w:lvl>
    <w:lvl w:ilvl="1">
      <w:numFmt w:val="bullet"/>
      <w:lvlText w:val=" "/>
      <w:lvlJc w:val="left"/>
      <w:pPr>
        <w:ind w:left="1440" w:hanging="360"/>
      </w:pPr>
      <w:rPr>
        <w:rFonts w:ascii="Tw Cen MT" w:hAnsi="Tw Cen MT"/>
      </w:rPr>
    </w:lvl>
    <w:lvl w:ilvl="2">
      <w:numFmt w:val="bullet"/>
      <w:lvlText w:val=" "/>
      <w:lvlJc w:val="left"/>
      <w:pPr>
        <w:ind w:left="2160" w:hanging="360"/>
      </w:pPr>
      <w:rPr>
        <w:rFonts w:ascii="Tw Cen MT" w:hAnsi="Tw Cen MT"/>
      </w:rPr>
    </w:lvl>
    <w:lvl w:ilvl="3">
      <w:numFmt w:val="bullet"/>
      <w:lvlText w:val=" "/>
      <w:lvlJc w:val="left"/>
      <w:pPr>
        <w:ind w:left="2880" w:hanging="360"/>
      </w:pPr>
      <w:rPr>
        <w:rFonts w:ascii="Tw Cen MT" w:hAnsi="Tw Cen MT"/>
      </w:rPr>
    </w:lvl>
    <w:lvl w:ilvl="4">
      <w:numFmt w:val="bullet"/>
      <w:lvlText w:val=" "/>
      <w:lvlJc w:val="left"/>
      <w:pPr>
        <w:ind w:left="3600" w:hanging="360"/>
      </w:pPr>
      <w:rPr>
        <w:rFonts w:ascii="Tw Cen MT" w:hAnsi="Tw Cen MT"/>
      </w:rPr>
    </w:lvl>
    <w:lvl w:ilvl="5">
      <w:numFmt w:val="bullet"/>
      <w:lvlText w:val=" "/>
      <w:lvlJc w:val="left"/>
      <w:pPr>
        <w:ind w:left="4320" w:hanging="360"/>
      </w:pPr>
      <w:rPr>
        <w:rFonts w:ascii="Tw Cen MT" w:hAnsi="Tw Cen MT"/>
      </w:rPr>
    </w:lvl>
    <w:lvl w:ilvl="6">
      <w:numFmt w:val="bullet"/>
      <w:lvlText w:val=" "/>
      <w:lvlJc w:val="left"/>
      <w:pPr>
        <w:ind w:left="5040" w:hanging="360"/>
      </w:pPr>
      <w:rPr>
        <w:rFonts w:ascii="Tw Cen MT" w:hAnsi="Tw Cen MT"/>
      </w:rPr>
    </w:lvl>
    <w:lvl w:ilvl="7">
      <w:numFmt w:val="bullet"/>
      <w:lvlText w:val=" "/>
      <w:lvlJc w:val="left"/>
      <w:pPr>
        <w:ind w:left="5760" w:hanging="360"/>
      </w:pPr>
      <w:rPr>
        <w:rFonts w:ascii="Tw Cen MT" w:hAnsi="Tw Cen MT"/>
      </w:rPr>
    </w:lvl>
    <w:lvl w:ilvl="8">
      <w:numFmt w:val="bullet"/>
      <w:lvlText w:val=" "/>
      <w:lvlJc w:val="left"/>
      <w:pPr>
        <w:ind w:left="6480" w:hanging="360"/>
      </w:pPr>
      <w:rPr>
        <w:rFonts w:ascii="Tw Cen MT" w:hAnsi="Tw Cen MT"/>
      </w:rPr>
    </w:lvl>
  </w:abstractNum>
  <w:abstractNum w:abstractNumId="3" w15:restartNumberingAfterBreak="0">
    <w:nsid w:val="52C22707"/>
    <w:multiLevelType w:val="hybridMultilevel"/>
    <w:tmpl w:val="262A5C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91548858">
    <w:abstractNumId w:val="2"/>
  </w:num>
  <w:num w:numId="2" w16cid:durableId="1555312612">
    <w:abstractNumId w:val="1"/>
  </w:num>
  <w:num w:numId="3" w16cid:durableId="1392735202">
    <w:abstractNumId w:val="0"/>
  </w:num>
  <w:num w:numId="4" w16cid:durableId="10905851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11F"/>
    <w:rsid w:val="00055961"/>
    <w:rsid w:val="00065EBF"/>
    <w:rsid w:val="00072988"/>
    <w:rsid w:val="0009182F"/>
    <w:rsid w:val="00094573"/>
    <w:rsid w:val="000B6572"/>
    <w:rsid w:val="000C216E"/>
    <w:rsid w:val="000C6AD5"/>
    <w:rsid w:val="00101FA5"/>
    <w:rsid w:val="00107BCB"/>
    <w:rsid w:val="001113AC"/>
    <w:rsid w:val="00122C6D"/>
    <w:rsid w:val="00133DEC"/>
    <w:rsid w:val="00135D42"/>
    <w:rsid w:val="00174CE3"/>
    <w:rsid w:val="001B533A"/>
    <w:rsid w:val="001C6838"/>
    <w:rsid w:val="002046C3"/>
    <w:rsid w:val="00244BE0"/>
    <w:rsid w:val="002575B8"/>
    <w:rsid w:val="00257A74"/>
    <w:rsid w:val="002A5D7A"/>
    <w:rsid w:val="002C0476"/>
    <w:rsid w:val="002E5E32"/>
    <w:rsid w:val="002F0709"/>
    <w:rsid w:val="0031058B"/>
    <w:rsid w:val="00314E25"/>
    <w:rsid w:val="0035327F"/>
    <w:rsid w:val="00354FD4"/>
    <w:rsid w:val="003B06AC"/>
    <w:rsid w:val="003C1571"/>
    <w:rsid w:val="003F26A1"/>
    <w:rsid w:val="003F334D"/>
    <w:rsid w:val="003F517E"/>
    <w:rsid w:val="00412665"/>
    <w:rsid w:val="00427B2E"/>
    <w:rsid w:val="00440840"/>
    <w:rsid w:val="00463BAC"/>
    <w:rsid w:val="004842A6"/>
    <w:rsid w:val="004F1533"/>
    <w:rsid w:val="00507DA1"/>
    <w:rsid w:val="0052778E"/>
    <w:rsid w:val="005359B3"/>
    <w:rsid w:val="005429CA"/>
    <w:rsid w:val="00556741"/>
    <w:rsid w:val="00570062"/>
    <w:rsid w:val="0059696C"/>
    <w:rsid w:val="005A1E17"/>
    <w:rsid w:val="005A2776"/>
    <w:rsid w:val="005C27C6"/>
    <w:rsid w:val="005E01E5"/>
    <w:rsid w:val="006158A3"/>
    <w:rsid w:val="00626436"/>
    <w:rsid w:val="0064161B"/>
    <w:rsid w:val="006423A3"/>
    <w:rsid w:val="00666CCF"/>
    <w:rsid w:val="0067497C"/>
    <w:rsid w:val="00682B55"/>
    <w:rsid w:val="0068324A"/>
    <w:rsid w:val="006A062F"/>
    <w:rsid w:val="006D3CBC"/>
    <w:rsid w:val="006E3372"/>
    <w:rsid w:val="00705EBD"/>
    <w:rsid w:val="00721A8D"/>
    <w:rsid w:val="00723214"/>
    <w:rsid w:val="00757CF5"/>
    <w:rsid w:val="007609B1"/>
    <w:rsid w:val="0076624B"/>
    <w:rsid w:val="00784DA2"/>
    <w:rsid w:val="00814C3D"/>
    <w:rsid w:val="00855E0B"/>
    <w:rsid w:val="00876B0A"/>
    <w:rsid w:val="00881620"/>
    <w:rsid w:val="008920FB"/>
    <w:rsid w:val="008D49FE"/>
    <w:rsid w:val="009029ED"/>
    <w:rsid w:val="00911BFF"/>
    <w:rsid w:val="00915AB6"/>
    <w:rsid w:val="00960F5D"/>
    <w:rsid w:val="009713A6"/>
    <w:rsid w:val="009A556E"/>
    <w:rsid w:val="009B6CB8"/>
    <w:rsid w:val="009E11DC"/>
    <w:rsid w:val="00A436FB"/>
    <w:rsid w:val="00A61FBA"/>
    <w:rsid w:val="00A76178"/>
    <w:rsid w:val="00AD1799"/>
    <w:rsid w:val="00AF6FF9"/>
    <w:rsid w:val="00B123AE"/>
    <w:rsid w:val="00B54E90"/>
    <w:rsid w:val="00B72188"/>
    <w:rsid w:val="00B7236D"/>
    <w:rsid w:val="00BC7BF6"/>
    <w:rsid w:val="00BD48F0"/>
    <w:rsid w:val="00C5530B"/>
    <w:rsid w:val="00C5615E"/>
    <w:rsid w:val="00C6518A"/>
    <w:rsid w:val="00C81694"/>
    <w:rsid w:val="00CB7D60"/>
    <w:rsid w:val="00CE649D"/>
    <w:rsid w:val="00D047E9"/>
    <w:rsid w:val="00D16043"/>
    <w:rsid w:val="00D24937"/>
    <w:rsid w:val="00D31DF5"/>
    <w:rsid w:val="00D900BE"/>
    <w:rsid w:val="00D97B33"/>
    <w:rsid w:val="00DD411F"/>
    <w:rsid w:val="00E24929"/>
    <w:rsid w:val="00E52CE2"/>
    <w:rsid w:val="00EA24FB"/>
    <w:rsid w:val="00EC309C"/>
    <w:rsid w:val="00EC374C"/>
    <w:rsid w:val="00ED1FD3"/>
    <w:rsid w:val="00F20110"/>
    <w:rsid w:val="00F23868"/>
    <w:rsid w:val="00F5206F"/>
    <w:rsid w:val="00F6771A"/>
    <w:rsid w:val="00F71216"/>
    <w:rsid w:val="00FD19F1"/>
    <w:rsid w:val="00FF6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871E"/>
  <w15:chartTrackingRefBased/>
  <w15:docId w15:val="{358F64B4-70C8-4974-A14B-70D9F696D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11F"/>
    <w:pPr>
      <w:suppressAutoHyphens/>
      <w:autoSpaceDN w:val="0"/>
      <w:spacing w:line="251"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4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11F"/>
    <w:rPr>
      <w:rFonts w:ascii="Calibri" w:eastAsia="Calibri" w:hAnsi="Calibri" w:cs="Times New Roman"/>
      <w:kern w:val="3"/>
      <w14:ligatures w14:val="none"/>
    </w:rPr>
  </w:style>
  <w:style w:type="paragraph" w:styleId="Footer">
    <w:name w:val="footer"/>
    <w:basedOn w:val="Normal"/>
    <w:link w:val="FooterChar"/>
    <w:uiPriority w:val="99"/>
    <w:unhideWhenUsed/>
    <w:rsid w:val="00DD4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11F"/>
    <w:rPr>
      <w:rFonts w:ascii="Calibri" w:eastAsia="Calibri" w:hAnsi="Calibri" w:cs="Times New Roman"/>
      <w:kern w:val="3"/>
      <w14:ligatures w14:val="none"/>
    </w:rPr>
  </w:style>
  <w:style w:type="paragraph" w:styleId="ListParagraph">
    <w:name w:val="List Paragraph"/>
    <w:basedOn w:val="Normal"/>
    <w:uiPriority w:val="34"/>
    <w:qFormat/>
    <w:rsid w:val="003F26A1"/>
    <w:pPr>
      <w:ind w:left="720"/>
      <w:contextualSpacing/>
    </w:pPr>
  </w:style>
  <w:style w:type="character" w:styleId="Hyperlink">
    <w:name w:val="Hyperlink"/>
    <w:basedOn w:val="DefaultParagraphFont"/>
    <w:uiPriority w:val="99"/>
    <w:unhideWhenUsed/>
    <w:rsid w:val="00174CE3"/>
    <w:rPr>
      <w:color w:val="0000FF"/>
      <w:u w:val="single"/>
    </w:rPr>
  </w:style>
  <w:style w:type="character" w:styleId="FollowedHyperlink">
    <w:name w:val="FollowedHyperlink"/>
    <w:basedOn w:val="DefaultParagraphFont"/>
    <w:uiPriority w:val="99"/>
    <w:semiHidden/>
    <w:unhideWhenUsed/>
    <w:rsid w:val="00174CE3"/>
    <w:rPr>
      <w:color w:val="954F72" w:themeColor="followedHyperlink"/>
      <w:u w:val="single"/>
    </w:rPr>
  </w:style>
  <w:style w:type="paragraph" w:customStyle="1" w:styleId="p1">
    <w:name w:val="p1"/>
    <w:basedOn w:val="Normal"/>
    <w:rsid w:val="00507DA1"/>
    <w:pPr>
      <w:suppressAutoHyphens w:val="0"/>
      <w:autoSpaceDN/>
      <w:spacing w:before="100" w:beforeAutospacing="1" w:after="100" w:afterAutospacing="1" w:line="240" w:lineRule="auto"/>
    </w:pPr>
    <w:rPr>
      <w:rFonts w:eastAsiaTheme="minorHAnsi" w:cs="Calibri"/>
      <w:kern w:val="0"/>
      <w:lang w:eastAsia="en-GB"/>
    </w:rPr>
  </w:style>
  <w:style w:type="paragraph" w:customStyle="1" w:styleId="p2">
    <w:name w:val="p2"/>
    <w:basedOn w:val="Normal"/>
    <w:rsid w:val="00507DA1"/>
    <w:pPr>
      <w:suppressAutoHyphens w:val="0"/>
      <w:autoSpaceDN/>
      <w:spacing w:before="100" w:beforeAutospacing="1" w:after="100" w:afterAutospacing="1" w:line="240" w:lineRule="auto"/>
    </w:pPr>
    <w:rPr>
      <w:rFonts w:eastAsiaTheme="minorHAnsi" w:cs="Calibri"/>
      <w:kern w:val="0"/>
      <w:lang w:eastAsia="en-GB"/>
    </w:rPr>
  </w:style>
  <w:style w:type="character" w:customStyle="1" w:styleId="s1">
    <w:name w:val="s1"/>
    <w:basedOn w:val="DefaultParagraphFont"/>
    <w:rsid w:val="00507DA1"/>
  </w:style>
  <w:style w:type="character" w:styleId="UnresolvedMention">
    <w:name w:val="Unresolved Mention"/>
    <w:basedOn w:val="DefaultParagraphFont"/>
    <w:uiPriority w:val="99"/>
    <w:semiHidden/>
    <w:unhideWhenUsed/>
    <w:rsid w:val="00881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22575">
      <w:bodyDiv w:val="1"/>
      <w:marLeft w:val="0"/>
      <w:marRight w:val="0"/>
      <w:marTop w:val="0"/>
      <w:marBottom w:val="0"/>
      <w:divBdr>
        <w:top w:val="none" w:sz="0" w:space="0" w:color="auto"/>
        <w:left w:val="none" w:sz="0" w:space="0" w:color="auto"/>
        <w:bottom w:val="none" w:sz="0" w:space="0" w:color="auto"/>
        <w:right w:val="none" w:sz="0" w:space="0" w:color="auto"/>
      </w:divBdr>
    </w:div>
    <w:div w:id="114566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ombroso-theory-of-crime-criminal-man-and-atavism.html" TargetMode="External"/><Relationship Id="rId13" Type="http://schemas.openxmlformats.org/officeDocument/2006/relationships/hyperlink" Target="https://doi.org/10.1111/j.1540-5893.2008.00334.x" TargetMode="External"/><Relationship Id="rId18" Type="http://schemas.openxmlformats.org/officeDocument/2006/relationships/hyperlink" Target="https://doi.org/10.1093/bjc/azy041" TargetMode="External"/><Relationship Id="rId26" Type="http://schemas.openxmlformats.org/officeDocument/2006/relationships/hyperlink" Target="https://www.independent.co.uk/news/science/archaeology/features/some-women-do-kill-abuse-and-torture-a7056136.html"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1132790/female-offender-strategy-delivery-plan-2022-25.pdf" TargetMode="External"/><Relationship Id="rId7" Type="http://schemas.openxmlformats.org/officeDocument/2006/relationships/hyperlink" Target="https://www.cambridge.org/core/journals/the-british-journal-of-psychiatry/article/challenges-and-mental-health-needs-of-women-in-prison/CC806EAA2511BB16E5C823943476FDBE" TargetMode="External"/><Relationship Id="rId12" Type="http://schemas.openxmlformats.org/officeDocument/2006/relationships/hyperlink" Target="https://doi.org/10.1177/1741659012444431" TargetMode="External"/><Relationship Id="rId17" Type="http://schemas.openxmlformats.org/officeDocument/2006/relationships/hyperlink" Target="https://ceps.blogs.bristol.ac.uk/2021/11/17/gender-stereotypes-see-female-criminals-fare-better-in-court/" TargetMode="External"/><Relationship Id="rId25" Type="http://schemas.openxmlformats.org/officeDocument/2006/relationships/hyperlink" Target="https://prisonreformtrust.org.uk/project/women-the-criminal-justice-system/" TargetMode="External"/><Relationship Id="rId2" Type="http://schemas.openxmlformats.org/officeDocument/2006/relationships/styles" Target="styles.xml"/><Relationship Id="rId16" Type="http://schemas.openxmlformats.org/officeDocument/2006/relationships/hyperlink" Target="https://lordslibrary.parliament.uk/research-briefings/lln-2019-0095/" TargetMode="External"/><Relationship Id="rId20" Type="http://schemas.openxmlformats.org/officeDocument/2006/relationships/hyperlink" Target="https://www.simplypsychology.org/social-roles.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468-4446.2009.01242.x" TargetMode="External"/><Relationship Id="rId24" Type="http://schemas.openxmlformats.org/officeDocument/2006/relationships/hyperlink" Target="https://www.plannedparenthood.org/learn/gender-identity/sex-gender-identity/what-are-gender-roles-and-stereotypes" TargetMode="External"/><Relationship Id="rId5" Type="http://schemas.openxmlformats.org/officeDocument/2006/relationships/footnotes" Target="footnotes.xml"/><Relationship Id="rId15" Type="http://schemas.openxmlformats.org/officeDocument/2006/relationships/hyperlink" Target="https://www.bbc.co.uk/news/science-environment-29760212" TargetMode="External"/><Relationship Id="rId23" Type="http://schemas.openxmlformats.org/officeDocument/2006/relationships/hyperlink" Target="https://crimsoc.hull.ac.uk/2020/06/18/gender-differences-and-sentencing/" TargetMode="External"/><Relationship Id="rId28" Type="http://schemas.openxmlformats.org/officeDocument/2006/relationships/hyperlink" Target="https://retrospectjournal.com/2022/04/03/double-deviant-the-criminalisation-of-and-attitudes-towards-female-sin-in-nineteenth-century-britain/" TargetMode="External"/><Relationship Id="rId10" Type="http://schemas.openxmlformats.org/officeDocument/2006/relationships/hyperlink" Target="https://doi.org/10.1016/j.newideapsych.2020.100779" TargetMode="External"/><Relationship Id="rId19" Type="http://schemas.openxmlformats.org/officeDocument/2006/relationships/hyperlink" Target="https://crimsoc.hull.ac.uk/wp-content/uploads/2020/06/2020_Malon_Criminology_Sentencing_Gender.pdf" TargetMode="External"/><Relationship Id="rId4" Type="http://schemas.openxmlformats.org/officeDocument/2006/relationships/webSettings" Target="webSettings.xml"/><Relationship Id="rId9" Type="http://schemas.openxmlformats.org/officeDocument/2006/relationships/hyperlink" Target="https://www.durham.ac.uk/research/institutes-and-centres/research-violence-abuse/research-profile/geo-toolkit/what-are-gender-norms/" TargetMode="External"/><Relationship Id="rId14" Type="http://schemas.openxmlformats.org/officeDocument/2006/relationships/hyperlink" Target="https://www.gov.uk/government/statistics/offender-management-statistics-quarterly-april-to-june-2023/offender-management-statistics-quarterly-april-to-june-2023" TargetMode="External"/><Relationship Id="rId22" Type="http://schemas.openxmlformats.org/officeDocument/2006/relationships/hyperlink" Target="https://www.simplypsychology.org/biological-theories-crime.html" TargetMode="External"/><Relationship Id="rId27" Type="http://schemas.openxmlformats.org/officeDocument/2006/relationships/hyperlink" Target="https://doi.org/10.1093/shm/hki06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TotalTime>
  <Pages>5</Pages>
  <Words>2861</Words>
  <Characters>16311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 Morris-Puttock (2100519)</cp:lastModifiedBy>
  <cp:revision>63</cp:revision>
  <dcterms:created xsi:type="dcterms:W3CDTF">2023-11-05T22:03:00Z</dcterms:created>
  <dcterms:modified xsi:type="dcterms:W3CDTF">2023-11-10T16:48:00Z</dcterms:modified>
</cp:coreProperties>
</file>