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id w:val="2080710606"/>
        <w:docPartObj>
          <w:docPartGallery w:val="Cover Pages"/>
          <w:docPartUnique/>
        </w:docPartObj>
      </w:sdtPr>
      <w:sdtEndPr/>
      <w:sdtContent>
        <w:p w:rsidR="00EE34AF" w:rsidRDefault="00EE34AF"/>
        <w:p w:rsidR="00EE34AF" w:rsidRDefault="00EE34AF">
          <w:r>
            <w:rPr>
              <w:noProof/>
              <w:lang w:eastAsia="pl-PL"/>
            </w:rPr>
            <mc:AlternateContent>
              <mc:Choice Requires="wps">
                <w:drawing>
                  <wp:anchor distT="0" distB="0" distL="114300" distR="114300" simplePos="0" relativeHeight="251659264" behindDoc="1" locked="0" layoutInCell="0" allowOverlap="1" wp14:anchorId="7693692D" wp14:editId="1036E594">
                    <wp:simplePos x="0" y="0"/>
                    <wp:positionH relativeFrom="page">
                      <wp:align>center</wp:align>
                    </wp:positionH>
                    <wp:positionV relativeFrom="page">
                      <wp:align>center</wp:align>
                    </wp:positionV>
                    <wp:extent cx="7772400" cy="10058400"/>
                    <wp:effectExtent l="0" t="0" r="0" b="0"/>
                    <wp:wrapNone/>
                    <wp:docPr id="42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772400" cy="10058400"/>
                            </a:xfrm>
                            <a:prstGeom prst="rect">
                              <a:avLst/>
                            </a:prstGeom>
                            <a:solidFill>
                              <a:srgbClr val="FFFFFF"/>
                            </a:solidFill>
                            <a:extLst>
                              <a:ext uri="{91240B29-F687-4F45-9708-019B960494DF}">
                                <a14:hiddenLine xmlns:a14="http://schemas.microsoft.com/office/drawing/2010/main" w="9525">
                                  <a:solidFill>
                                    <a:srgbClr val="000000"/>
                                  </a:solidFill>
                                  <a:miter lim="800000"/>
                                  <a:headEnd/>
                                  <a:tailEnd/>
                                </a14:hiddenLine>
                              </a:ext>
                              <a:ext uri="{53640926-AAD7-44D8-BBD7-CCE9431645EC}">
                                <a14:shadowObscured xmlns:a14="http://schemas.microsoft.com/office/drawing/2010/main" val="1"/>
                              </a:ext>
                            </a:extLst>
                          </wps:spPr>
                          <wps:txbx>
                            <w:txbxContent>
                              <w:p w:rsidR="00FC3B5D" w:rsidRDefault="00FC3B5D">
                                <w:pPr>
                                  <w:rPr>
                                    <w:rFonts w:asciiTheme="majorHAnsi" w:eastAsiaTheme="majorEastAsia" w:hAnsiTheme="majorHAnsi" w:cstheme="majorBidi"/>
                                    <w:b/>
                                    <w:bCs/>
                                    <w:color w:val="EEECE1" w:themeColor="background2"/>
                                    <w:spacing w:val="30"/>
                                    <w:sz w:val="96"/>
                                    <w:szCs w:val="96"/>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pPr>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wertyuiopasdfghjklzxcvbnmqwertyuiopasdfghjklz</w:t>
                                </w:r>
                                <w:r>
                                  <w:rPr>
                                    <w:rFonts w:asciiTheme="majorHAnsi" w:eastAsiaTheme="majorEastAsia" w:hAnsiTheme="majorHAnsi" w:cstheme="majorBidi"/>
                                    <w:b/>
                                    <w:bCs/>
                                    <w:color w:val="EEECE1" w:themeColor="background2"/>
                                    <w:spacing w:val="30"/>
                                    <w:sz w:val="72"/>
                                    <w:szCs w:val="72"/>
                                    <w:u w:val="single"/>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xcvbnmqwertyuiopasdfghjklzxcvbnmqw</w:t>
                                </w:r>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ertyuiopasdfghjklzxcvbnm</w:t>
                                </w:r>
                              </w:p>
                            </w:txbxContent>
                          </wps:txbx>
                          <wps:bodyPr rot="0" vert="horz" wrap="square" lIns="91440" tIns="45720" rIns="91440" bIns="45720" anchor="t" anchorCtr="0" upright="1">
                            <a:noAutofit/>
                            <a:scene3d>
                              <a:camera prst="orthographicFront"/>
                              <a:lightRig rig="threePt" dir="t"/>
                            </a:scene3d>
                            <a:sp3d extrusionH="57150">
                              <a:bevelT w="38100" h="38100" prst="angle"/>
                            </a:sp3d>
                          </wps:bodyPr>
                        </wps:wsp>
                      </a:graphicData>
                    </a:graphic>
                    <wp14:sizeRelH relativeFrom="page">
                      <wp14:pctWidth>100000</wp14:pctWidth>
                    </wp14:sizeRelH>
                    <wp14:sizeRelV relativeFrom="page">
                      <wp14:pctHeight>100000</wp14:pctHeight>
                    </wp14:sizeRelV>
                  </wp:anchor>
                </w:drawing>
              </mc:Choice>
              <mc:Fallback>
                <w:pict>
                  <v:rect id="Rectangle 2" o:spid="_x0000_s1026" style="position:absolute;margin-left:0;margin-top:0;width:612pt;height:11in;z-index:-251657216;visibility:visible;mso-wrap-style:square;mso-width-percent:1000;mso-height-percent:1000;mso-wrap-distance-left:9pt;mso-wrap-distance-top:0;mso-wrap-distance-right:9pt;mso-wrap-distance-bottom:0;mso-position-horizontal:center;mso-position-horizontal-relative:page;mso-position-vertical:center;mso-position-vertical-relative:page;mso-width-percent:1000;mso-height-percent:10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" o:allowincell="f" stroked="f">
                    <v:textbox>
                      <w:txbxContent>
                        <w:p w:rsidR="00FC3B5D" w:rsidRDefault="00FC3B5D">
                          <w:pPr>
                            <w:rPr>
                              <w:rFonts w:asciiTheme="majorHAnsi" w:eastAsiaTheme="majorEastAsia" w:hAnsiTheme="majorHAnsi" w:cstheme="majorBidi"/>
                              <w:b/>
                              <w:bCs/>
                              <w:color w:val="EEECE1" w:themeColor="background2"/>
                              <w:spacing w:val="30"/>
                              <w:sz w:val="96"/>
                              <w:szCs w:val="96"/>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pPr>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wertyuiopasdfghjklzxcvbnmqwertyuiopasdfghjklz</w:t>
                          </w:r>
                          <w:r>
                            <w:rPr>
                              <w:rFonts w:asciiTheme="majorHAnsi" w:eastAsiaTheme="majorEastAsia" w:hAnsiTheme="majorHAnsi" w:cstheme="majorBidi"/>
                              <w:b/>
                              <w:bCs/>
                              <w:color w:val="EEECE1" w:themeColor="background2"/>
                              <w:spacing w:val="30"/>
                              <w:sz w:val="72"/>
                              <w:szCs w:val="72"/>
                              <w:u w:val="single"/>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xcvbnmqwertyuiopasdfghjklzxcvbnmqw</w:t>
                          </w:r>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ertyuiopasdfghjklzxcvbnm</w:t>
                          </w:r>
                        </w:p>
                      </w:txbxContent>
                    </v:textbox>
                    <w10:wrap anchorx="page" anchory="page"/>
                  </v:rect>
                </w:pict>
              </mc:Fallback>
            </mc:AlternateContent>
          </w:r>
        </w:p>
        <w:p w:rsidR="00EE34AF" w:rsidRDefault="00EE34AF"/>
        <w:tbl>
          <w:tblPr>
            <w:tblW w:w="3506" w:type="pct"/>
            <w:jc w:val="center"/>
            <w:tblBorders>
              <w:top w:val="thinThickSmallGap" w:sz="36" w:space="0" w:color="632423" w:themeColor="accent2" w:themeShade="80"/>
              <w:left w:val="thinThickSmallGap" w:sz="36" w:space="0" w:color="632423" w:themeColor="accent2" w:themeShade="80"/>
              <w:bottom w:val="thickThinSmallGap" w:sz="36" w:space="0" w:color="632423" w:themeColor="accent2" w:themeShade="80"/>
              <w:right w:val="thickThinSmallGap" w:sz="36" w:space="0" w:color="632423" w:themeColor="accent2" w:themeShade="80"/>
            </w:tblBorders>
            <w:shd w:val="clear" w:color="auto" w:fill="FFFFFF" w:themeFill="background1"/>
            <w:tblLook w:val="04A0" w:firstRow="1" w:lastRow="0" w:firstColumn="1" w:lastColumn="0" w:noHBand="0" w:noVBand="1"/>
          </w:tblPr>
          <w:tblGrid>
            <w:gridCol w:w="6513"/>
          </w:tblGrid>
          <w:tr w:rsidR="00EE34AF" w:rsidRPr="00EE34AF">
            <w:trPr>
              <w:trHeight w:val="3770"/>
              <w:jc w:val="center"/>
            </w:trPr>
            <w:tc>
              <w:tcPr>
                <w:tcW w:w="3000" w:type="pct"/>
                <w:shd w:val="clear" w:color="auto" w:fill="FFFFFF" w:themeFill="background1"/>
                <w:vAlign w:val="center"/>
              </w:tcPr>
              <w:sdt>
                <w:sdtPr>
                  <w:rPr>
                    <w:rFonts w:asciiTheme="majorHAnsi" w:eastAsiaTheme="majorEastAsia" w:hAnsiTheme="majorHAnsi" w:cstheme="majorBidi"/>
                    <w:sz w:val="40"/>
                    <w:szCs w:val="40"/>
                    <w:lang w:val="en-GB"/>
                  </w:rPr>
                  <w:alias w:val="Title"/>
                  <w:id w:val="13783212"/>
                  <w:dataBinding w:prefixMappings="xmlns:ns0='http://schemas.openxmlformats.org/package/2006/metadata/core-properties' xmlns:ns1='http://purl.org/dc/elements/1.1/'" w:xpath="/ns0:coreProperties[1]/ns1:title[1]" w:storeItemID="{6C3C8BC8-F283-45AE-878A-BAB7291924A1}"/>
                  <w:text/>
                </w:sdtPr>
                <w:sdtEndPr/>
                <w:sdtContent>
                  <w:p w:rsidR="00EE34AF" w:rsidRDefault="00164059">
                    <w:pPr>
                      <w:pStyle w:val="NoSpacing"/>
                      <w:jc w:val="center"/>
                      <w:rPr>
                        <w:rFonts w:asciiTheme="majorHAnsi" w:eastAsiaTheme="majorEastAsia" w:hAnsiTheme="majorHAnsi" w:cstheme="majorBidi"/>
                        <w:sz w:val="40"/>
                        <w:szCs w:val="40"/>
                      </w:rPr>
                    </w:pPr>
                    <w:r w:rsidRPr="00164059">
                      <w:rPr>
                        <w:rFonts w:asciiTheme="majorHAnsi" w:eastAsiaTheme="majorEastAsia" w:hAnsiTheme="majorHAnsi" w:cstheme="majorBidi"/>
                        <w:sz w:val="40"/>
                        <w:szCs w:val="40"/>
                        <w:lang w:val="en-GB"/>
                      </w:rPr>
                      <w:t>Law Portfolio- Assignment One</w:t>
                    </w:r>
                  </w:p>
                </w:sdtContent>
              </w:sdt>
              <w:p w:rsidR="00EE34AF" w:rsidRDefault="00EE34AF">
                <w:pPr>
                  <w:pStyle w:val="NoSpacing"/>
                  <w:jc w:val="center"/>
                </w:pPr>
              </w:p>
              <w:sdt>
                <w:sdtPr>
                  <w:rPr>
                    <w:rFonts w:asciiTheme="majorHAnsi" w:eastAsiaTheme="majorEastAsia" w:hAnsiTheme="majorHAnsi" w:cstheme="majorBidi"/>
                    <w:sz w:val="32"/>
                    <w:szCs w:val="32"/>
                    <w:lang w:val="en-GB"/>
                  </w:rPr>
                  <w:alias w:val="Subtitle"/>
                  <w:id w:val="13783219"/>
                  <w:dataBinding w:prefixMappings="xmlns:ns0='http://schemas.openxmlformats.org/package/2006/metadata/core-properties' xmlns:ns1='http://purl.org/dc/elements/1.1/'" w:xpath="/ns0:coreProperties[1]/ns1:subject[1]" w:storeItemID="{6C3C8BC8-F283-45AE-878A-BAB7291924A1}"/>
                  <w:text/>
                </w:sdtPr>
                <w:sdtEndPr/>
                <w:sdtContent>
                  <w:p w:rsidR="00EE34AF" w:rsidRDefault="00164059">
                    <w:pPr>
                      <w:pStyle w:val="NoSpacing"/>
                      <w:jc w:val="center"/>
                      <w:rPr>
                        <w:rFonts w:asciiTheme="majorHAnsi" w:eastAsiaTheme="majorEastAsia" w:hAnsiTheme="majorHAnsi" w:cstheme="majorBidi"/>
                        <w:sz w:val="32"/>
                        <w:szCs w:val="32"/>
                      </w:rPr>
                    </w:pPr>
                    <w:r w:rsidRPr="00164059">
                      <w:rPr>
                        <w:rFonts w:asciiTheme="majorHAnsi" w:eastAsiaTheme="majorEastAsia" w:hAnsiTheme="majorHAnsi" w:cstheme="majorBidi"/>
                        <w:sz w:val="32"/>
                        <w:szCs w:val="32"/>
                        <w:lang w:val="en-GB"/>
                      </w:rPr>
                      <w:t>Lecturer: Louise Holmes Module code: BMLW5006</w:t>
                    </w:r>
                  </w:p>
                </w:sdtContent>
              </w:sdt>
              <w:p w:rsidR="00EE34AF" w:rsidRDefault="00EE34AF">
                <w:pPr>
                  <w:pStyle w:val="NoSpacing"/>
                  <w:jc w:val="center"/>
                </w:pPr>
              </w:p>
              <w:sdt>
                <w:sdtPr>
                  <w:rPr>
                    <w:lang w:val="pl-PL"/>
                  </w:rPr>
                  <w:alias w:val="Date"/>
                  <w:id w:val="13783224"/>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EndPr/>
                <w:sdtContent>
                  <w:p w:rsidR="00EE34AF" w:rsidRPr="00EE34AF" w:rsidRDefault="00164059">
                    <w:pPr>
                      <w:pStyle w:val="NoSpacing"/>
                      <w:jc w:val="center"/>
                      <w:rPr>
                        <w:lang w:val="pl-PL"/>
                      </w:rPr>
                    </w:pPr>
                    <w:r>
                      <w:t>BY</w:t>
                    </w:r>
                  </w:p>
                </w:sdtContent>
              </w:sdt>
              <w:p w:rsidR="00EE34AF" w:rsidRPr="00EE34AF" w:rsidRDefault="00EE34AF">
                <w:pPr>
                  <w:pStyle w:val="NoSpacing"/>
                  <w:jc w:val="center"/>
                  <w:rPr>
                    <w:lang w:val="pl-PL"/>
                  </w:rPr>
                </w:pPr>
              </w:p>
              <w:sdt>
                <w:sdtPr>
                  <w:rPr>
                    <w:lang w:val="pl-PL"/>
                  </w:rPr>
                  <w:alias w:val="Author"/>
                  <w:id w:val="13783229"/>
                  <w:dataBinding w:prefixMappings="xmlns:ns0='http://schemas.openxmlformats.org/package/2006/metadata/core-properties' xmlns:ns1='http://purl.org/dc/elements/1.1/'" w:xpath="/ns0:coreProperties[1]/ns1:creator[1]" w:storeItemID="{6C3C8BC8-F283-45AE-878A-BAB7291924A1}"/>
                  <w:text/>
                </w:sdtPr>
                <w:sdtEndPr/>
                <w:sdtContent>
                  <w:p w:rsidR="00EE34AF" w:rsidRPr="00EE34AF" w:rsidRDefault="00164059">
                    <w:pPr>
                      <w:pStyle w:val="NoSpacing"/>
                      <w:jc w:val="center"/>
                      <w:rPr>
                        <w:lang w:val="pl-PL"/>
                      </w:rPr>
                    </w:pPr>
                    <w:r>
                      <w:rPr>
                        <w:lang w:val="pl-PL"/>
                      </w:rPr>
                      <w:t>Krzysztof Rutkowski</w:t>
                    </w:r>
                  </w:p>
                </w:sdtContent>
              </w:sdt>
              <w:p w:rsidR="00EE34AF" w:rsidRPr="00EE34AF" w:rsidRDefault="00EE34AF">
                <w:pPr>
                  <w:pStyle w:val="NoSpacing"/>
                  <w:jc w:val="center"/>
                  <w:rPr>
                    <w:lang w:val="pl-PL"/>
                  </w:rPr>
                </w:pPr>
              </w:p>
            </w:tc>
          </w:tr>
        </w:tbl>
        <w:p w:rsidR="00EE34AF" w:rsidRPr="00EE34AF" w:rsidRDefault="00EE34AF"/>
        <w:p w:rsidR="00161419" w:rsidRDefault="00292D5C"/>
      </w:sdtContent>
    </w:sdt>
    <w:p w:rsidR="009326BD" w:rsidRPr="00AE55A3" w:rsidRDefault="00295B6E" w:rsidP="0074659B">
      <w:r w:rsidRPr="00C120A1">
        <w:rPr>
          <w:lang w:val="en-GB"/>
        </w:rPr>
        <w:br w:type="page"/>
      </w:r>
    </w:p>
    <w:p w:rsidR="00E732B2" w:rsidRPr="00E732B2" w:rsidRDefault="00E732B2" w:rsidP="00E732B2">
      <w:pPr>
        <w:rPr>
          <w:lang w:val="en-GB"/>
        </w:rPr>
      </w:pPr>
      <w:r w:rsidRPr="00E732B2">
        <w:rPr>
          <w:lang w:val="en-GB"/>
        </w:rPr>
        <w:lastRenderedPageBreak/>
        <w:t>Before diving straight into it, it is necessary to understand what constituencies a contract, what are the legal requirements for it.</w:t>
      </w:r>
    </w:p>
    <w:p w:rsidR="00E732B2" w:rsidRPr="00E732B2" w:rsidRDefault="00E732B2" w:rsidP="00E732B2">
      <w:pPr>
        <w:rPr>
          <w:lang w:val="en-GB"/>
        </w:rPr>
      </w:pPr>
      <w:r w:rsidRPr="00E732B2">
        <w:rPr>
          <w:lang w:val="en-GB"/>
        </w:rPr>
        <w:t xml:space="preserve">A contract is a legally binding agreement or a promise (written or oral) by one party, to </w:t>
      </w:r>
      <w:r w:rsidR="00982A55" w:rsidRPr="00E732B2">
        <w:rPr>
          <w:lang w:val="en-GB"/>
        </w:rPr>
        <w:t>fulfil</w:t>
      </w:r>
      <w:r w:rsidRPr="00E732B2">
        <w:rPr>
          <w:lang w:val="en-GB"/>
        </w:rPr>
        <w:t xml:space="preserve"> their obligations to another. The most basic contract must comprise four key elements: offer, acceptance, </w:t>
      </w:r>
      <w:bookmarkStart w:id="0" w:name="_GoBack"/>
      <w:bookmarkEnd w:id="0"/>
    </w:p>
    <w:p w:rsidR="00E732B2" w:rsidRPr="00E732B2" w:rsidRDefault="00E732B2" w:rsidP="00E732B2">
      <w:pPr>
        <w:rPr>
          <w:lang w:val="en-GB"/>
        </w:rPr>
      </w:pPr>
      <w:r w:rsidRPr="00E732B2">
        <w:rPr>
          <w:lang w:val="en-GB"/>
        </w:rPr>
        <w:t>Today’s modern law of contract is based on the 19th-century approach of Laissez-faire, which gives the individual the freedom to enter into any agreement they wish, and the court will not interfere in it as long as the contract has been entered into freely by choice (</w:t>
      </w:r>
      <w:proofErr w:type="spellStart"/>
      <w:r w:rsidRPr="00E732B2">
        <w:rPr>
          <w:lang w:val="en-GB"/>
        </w:rPr>
        <w:t>Atiyah</w:t>
      </w:r>
      <w:proofErr w:type="spellEnd"/>
      <w:r w:rsidRPr="00E732B2">
        <w:rPr>
          <w:lang w:val="en-GB"/>
        </w:rPr>
        <w:t>, 1985). </w:t>
      </w:r>
    </w:p>
    <w:p w:rsidR="00E732B2" w:rsidRPr="00E732B2" w:rsidRDefault="00E732B2" w:rsidP="00E732B2">
      <w:pPr>
        <w:rPr>
          <w:lang w:val="en-GB"/>
        </w:rPr>
      </w:pPr>
      <w:r w:rsidRPr="00E732B2">
        <w:rPr>
          <w:lang w:val="en-GB"/>
        </w:rPr>
        <w:t xml:space="preserve">Contracts can be entered into in a number of ways such as over the telephone, face-to-face, online, or written (Murray, 2014). Contract law is not only relevant to ordinary customers, but also is essential in business-to-business transactions, or to specify how, when, and where goods or services are provided (Burnham and </w:t>
      </w:r>
      <w:proofErr w:type="spellStart"/>
      <w:r w:rsidRPr="00E732B2">
        <w:rPr>
          <w:lang w:val="en-GB"/>
        </w:rPr>
        <w:t>Kraynak</w:t>
      </w:r>
      <w:proofErr w:type="spellEnd"/>
      <w:r w:rsidRPr="00E732B2">
        <w:rPr>
          <w:lang w:val="en-GB"/>
        </w:rPr>
        <w:t xml:space="preserve">, 2011). One of the most common contracts in business is where labour is sold by an employee to an employer, this is called employment law. It outlines the employees' specific duties, hours of employment, rates, etc. (Taylor and Emir, 2015; </w:t>
      </w:r>
      <w:proofErr w:type="spellStart"/>
      <w:r w:rsidRPr="00E732B2">
        <w:rPr>
          <w:lang w:val="en-GB"/>
        </w:rPr>
        <w:t>Aylott</w:t>
      </w:r>
      <w:proofErr w:type="spellEnd"/>
      <w:r w:rsidRPr="00E732B2">
        <w:rPr>
          <w:lang w:val="en-GB"/>
        </w:rPr>
        <w:t>, 2018; Lewis and Sergeant, 2019). While formulating this sort of contract an employer must follow the </w:t>
      </w:r>
      <w:r w:rsidRPr="00E732B2">
        <w:rPr>
          <w:rStyle w:val="Emphasis"/>
          <w:rFonts w:cstheme="minorHAnsi"/>
          <w:color w:val="0E101A"/>
          <w:lang w:val="en-GB"/>
        </w:rPr>
        <w:t>Employment Rights Act </w:t>
      </w:r>
      <w:r w:rsidRPr="00E732B2">
        <w:rPr>
          <w:lang w:val="en-GB"/>
        </w:rPr>
        <w:t>1996 or </w:t>
      </w:r>
      <w:r w:rsidRPr="00E732B2">
        <w:rPr>
          <w:rStyle w:val="Emphasis"/>
          <w:rFonts w:cstheme="minorHAnsi"/>
          <w:color w:val="0E101A"/>
          <w:lang w:val="en-GB"/>
        </w:rPr>
        <w:t>National Minimum Wage Act</w:t>
      </w:r>
      <w:r w:rsidRPr="00E732B2">
        <w:rPr>
          <w:lang w:val="en-GB"/>
        </w:rPr>
        <w:t> 1998 (Chartered Institute of Personnel and Development, 2021). </w:t>
      </w:r>
    </w:p>
    <w:p w:rsidR="00E732B2" w:rsidRPr="00E732B2" w:rsidRDefault="00E732B2" w:rsidP="00E732B2">
      <w:pPr>
        <w:rPr>
          <w:lang w:val="en-GB"/>
        </w:rPr>
      </w:pPr>
      <w:r w:rsidRPr="00E732B2">
        <w:rPr>
          <w:lang w:val="en-GB"/>
        </w:rPr>
        <w:t>In relation to question one, the very first thing a solicitor would look at here would be to see if a valid contract has been formed between the two parties. Straight away it is clear to see that in this case there was an offer from Jack to anyone interested. This is called a unilateral contract (</w:t>
      </w:r>
      <w:proofErr w:type="spellStart"/>
      <w:r w:rsidRPr="00E732B2">
        <w:rPr>
          <w:lang w:val="en-GB"/>
        </w:rPr>
        <w:t>Tempin</w:t>
      </w:r>
      <w:proofErr w:type="spellEnd"/>
      <w:r w:rsidRPr="00E732B2">
        <w:rPr>
          <w:lang w:val="en-GB"/>
        </w:rPr>
        <w:t>, 2019), which means that an offer has been made, but the payment is only made by the party’s performance (Cornell Law School, 2021). Generally, advertisements like that are not offers but invitations to treat, so Jack is not compelled to hire anyone. Just like in the case of</w:t>
      </w:r>
      <w:r w:rsidRPr="00E732B2">
        <w:rPr>
          <w:rStyle w:val="Emphasis"/>
          <w:rFonts w:cstheme="minorHAnsi"/>
          <w:color w:val="0E101A"/>
          <w:lang w:val="en-GB"/>
        </w:rPr>
        <w:t> </w:t>
      </w:r>
      <w:r w:rsidRPr="00E732B2">
        <w:rPr>
          <w:lang w:val="en-GB"/>
        </w:rPr>
        <w:t xml:space="preserve">Fisher v. Bell (1961) QB 394 and </w:t>
      </w:r>
      <w:proofErr w:type="spellStart"/>
      <w:r w:rsidRPr="00E732B2">
        <w:rPr>
          <w:lang w:val="en-GB"/>
        </w:rPr>
        <w:t>Carill</w:t>
      </w:r>
      <w:proofErr w:type="spellEnd"/>
      <w:r w:rsidRPr="00E732B2">
        <w:rPr>
          <w:lang w:val="en-GB"/>
        </w:rPr>
        <w:t xml:space="preserve"> v Carbolic Smoke Ball Co</w:t>
      </w:r>
      <w:r w:rsidRPr="00E732B2">
        <w:rPr>
          <w:rStyle w:val="Emphasis"/>
          <w:rFonts w:cstheme="minorHAnsi"/>
          <w:color w:val="0E101A"/>
          <w:lang w:val="en-GB"/>
        </w:rPr>
        <w:t>. </w:t>
      </w:r>
      <w:r w:rsidRPr="00E732B2">
        <w:rPr>
          <w:lang w:val="en-GB"/>
        </w:rPr>
        <w:t xml:space="preserve">(1892), </w:t>
      </w:r>
      <w:proofErr w:type="spellStart"/>
      <w:r w:rsidRPr="00E732B2">
        <w:rPr>
          <w:lang w:val="en-GB"/>
        </w:rPr>
        <w:t>Errington</w:t>
      </w:r>
      <w:proofErr w:type="spellEnd"/>
      <w:r w:rsidRPr="00E732B2">
        <w:rPr>
          <w:lang w:val="en-GB"/>
        </w:rPr>
        <w:t xml:space="preserve"> v Wood</w:t>
      </w:r>
      <w:r w:rsidRPr="00E732B2">
        <w:rPr>
          <w:rStyle w:val="Emphasis"/>
          <w:rFonts w:cstheme="minorHAnsi"/>
          <w:color w:val="0E101A"/>
          <w:lang w:val="en-GB"/>
        </w:rPr>
        <w:t> </w:t>
      </w:r>
      <w:r w:rsidRPr="00E732B2">
        <w:rPr>
          <w:lang w:val="en-GB"/>
        </w:rPr>
        <w:t xml:space="preserve">[1951] or Dahlia Ltd v Four </w:t>
      </w:r>
      <w:proofErr w:type="spellStart"/>
      <w:r w:rsidRPr="00E732B2">
        <w:rPr>
          <w:lang w:val="en-GB"/>
        </w:rPr>
        <w:t>Millba</w:t>
      </w:r>
      <w:r w:rsidR="00521881">
        <w:rPr>
          <w:lang w:val="en-GB"/>
        </w:rPr>
        <w:t>nk</w:t>
      </w:r>
      <w:proofErr w:type="spellEnd"/>
      <w:r w:rsidR="00521881">
        <w:rPr>
          <w:lang w:val="en-GB"/>
        </w:rPr>
        <w:t xml:space="preserve"> Nominees Ltd and </w:t>
      </w:r>
      <w:proofErr w:type="spellStart"/>
      <w:r w:rsidR="00521881">
        <w:rPr>
          <w:lang w:val="en-GB"/>
        </w:rPr>
        <w:t>Anor</w:t>
      </w:r>
      <w:proofErr w:type="spellEnd"/>
      <w:r w:rsidR="00521881">
        <w:rPr>
          <w:lang w:val="en-GB"/>
        </w:rPr>
        <w:t xml:space="preserve"> (1977) </w:t>
      </w:r>
      <w:r w:rsidRPr="00E732B2">
        <w:rPr>
          <w:lang w:val="en-GB"/>
        </w:rPr>
        <w:t>the acceptance of the offer would occur at the moment, the cash was exchanged or in this case when they have played on stage, therefore providing services to Jack, we do not have that here.</w:t>
      </w:r>
    </w:p>
    <w:p w:rsidR="00E732B2" w:rsidRPr="00E732B2" w:rsidRDefault="00E732B2" w:rsidP="00E732B2">
      <w:pPr>
        <w:rPr>
          <w:lang w:val="en-GB"/>
        </w:rPr>
      </w:pPr>
      <w:r w:rsidRPr="00E732B2">
        <w:rPr>
          <w:lang w:val="en-GB"/>
        </w:rPr>
        <w:t xml:space="preserve"> Jack should not have a legal obligation towards anyone who read his advert and appears out of nowhere to perform, even after Kate contacts Jack with a date for her performance, informing him when she is available, she’s just making another proposition/offer. The acceptance should be clear and ‘visibly’ stated, to make this agreement a legally binding contract Jack would have to accept Kate’s offer and inform her about his choice either in writing or orally. Just like in the case of </w:t>
      </w:r>
      <w:proofErr w:type="spellStart"/>
      <w:r w:rsidRPr="00E732B2">
        <w:rPr>
          <w:lang w:val="en-GB"/>
        </w:rPr>
        <w:t>Felthouse</w:t>
      </w:r>
      <w:proofErr w:type="spellEnd"/>
      <w:r w:rsidRPr="00E732B2">
        <w:rPr>
          <w:lang w:val="en-GB"/>
        </w:rPr>
        <w:t xml:space="preserve"> v Bindley (1862) where the judge ruled that the acceptance of an offer has to be made in writing or in words and that silence or ignoring to respond to a letter is not a sign of acceptance, so, therefore, there is no valid contract between Jack and Kate as he did not respond to her correspondence. </w:t>
      </w:r>
    </w:p>
    <w:p w:rsidR="00E732B2" w:rsidRPr="00E732B2" w:rsidRDefault="00E732B2" w:rsidP="00E732B2">
      <w:pPr>
        <w:rPr>
          <w:lang w:val="en-GB"/>
        </w:rPr>
      </w:pPr>
      <w:r w:rsidRPr="00E732B2">
        <w:rPr>
          <w:lang w:val="en-GB"/>
        </w:rPr>
        <w:t>The distinction between an offer and an invitation to treat is a very important one, but it can be very hard to draw. Even where the parties appear to have reached an agreement on the terms of the contract, the courts may still decide that the language used is more appropriate to an invitation to treat rather than an offer (Stone, 2005). </w:t>
      </w:r>
    </w:p>
    <w:p w:rsidR="00E732B2" w:rsidRPr="00F14C93" w:rsidRDefault="00E732B2" w:rsidP="00E732B2">
      <w:pPr>
        <w:rPr>
          <w:lang w:val="en-GB"/>
        </w:rPr>
      </w:pPr>
      <w:r w:rsidRPr="00E732B2">
        <w:rPr>
          <w:lang w:val="en-GB"/>
        </w:rPr>
        <w:lastRenderedPageBreak/>
        <w:t>To form a valid contract there must be three things one has to consider, offer, acceptance </w:t>
      </w:r>
      <w:r w:rsidRPr="00E732B2">
        <w:rPr>
          <w:rFonts w:eastAsia="Times New Roman"/>
          <w:lang w:val="en-GB" w:eastAsia="pl-PL"/>
        </w:rPr>
        <w:t>and consideration. In the case of Logan, we have a counter-offer to Jack’s original advertisement of the possibility of performing a gig for £500. </w:t>
      </w:r>
    </w:p>
    <w:p w:rsidR="00E732B2" w:rsidRPr="00E732B2" w:rsidRDefault="00E732B2" w:rsidP="00E732B2">
      <w:pPr>
        <w:rPr>
          <w:rFonts w:eastAsia="Times New Roman"/>
          <w:lang w:val="en-GB" w:eastAsia="pl-PL"/>
        </w:rPr>
      </w:pPr>
      <w:r w:rsidRPr="00E732B2">
        <w:rPr>
          <w:rFonts w:eastAsia="Times New Roman"/>
          <w:lang w:val="en-GB" w:eastAsia="pl-PL"/>
        </w:rPr>
        <w:t>Logan had answered to Jack’s advert by sending him a letter with his counter offer where he said he would be willing to play on the 23rd of March, but for £750 rather than the £500 Jack was initially offering to pay. Jack had agreed to Logan’s terms on the 1st of May, by sending a letter through the post to Logan, with his acceptance, therefore forming a valid contract. Acceptance represents the meeting of the minds of the parties to the contract. The acceptance must always correspond exactly with the offer to be valid and to form a binding contract. In this case, Jack accepted Logan’s terms in writing this kind of acceptance is called express acceptance (</w:t>
      </w:r>
      <w:proofErr w:type="spellStart"/>
      <w:r w:rsidRPr="00E732B2">
        <w:rPr>
          <w:rFonts w:eastAsia="Times New Roman"/>
          <w:lang w:val="en-GB" w:eastAsia="pl-PL"/>
        </w:rPr>
        <w:t>Fafinski</w:t>
      </w:r>
      <w:proofErr w:type="spellEnd"/>
      <w:r w:rsidRPr="00E732B2">
        <w:rPr>
          <w:rFonts w:eastAsia="Times New Roman"/>
          <w:lang w:val="en-GB" w:eastAsia="pl-PL"/>
        </w:rPr>
        <w:t xml:space="preserve"> and Finch, 2010). </w:t>
      </w:r>
    </w:p>
    <w:p w:rsidR="00E732B2" w:rsidRPr="00E732B2" w:rsidRDefault="00E732B2" w:rsidP="00E732B2">
      <w:pPr>
        <w:rPr>
          <w:rFonts w:eastAsia="Times New Roman"/>
          <w:lang w:val="en-GB" w:eastAsia="pl-PL"/>
        </w:rPr>
      </w:pPr>
      <w:r w:rsidRPr="00E732B2">
        <w:rPr>
          <w:rFonts w:eastAsia="Times New Roman"/>
          <w:lang w:val="en-GB" w:eastAsia="pl-PL"/>
        </w:rPr>
        <w:t>Jack and Logan had decided to use a postal service to contact each other, therefore activating a postal rule which is an exception in general rules of contract law, where acceptance of an offer takes place when communicated, under the postal rule, the acceptance takes effect as soon as it was personally posted by Jack (</w:t>
      </w:r>
      <w:proofErr w:type="spellStart"/>
      <w:r w:rsidRPr="00E732B2">
        <w:rPr>
          <w:rFonts w:eastAsia="Times New Roman"/>
          <w:lang w:val="en-GB" w:eastAsia="pl-PL"/>
        </w:rPr>
        <w:t>Mulcahy</w:t>
      </w:r>
      <w:proofErr w:type="spellEnd"/>
      <w:r w:rsidRPr="00E732B2">
        <w:rPr>
          <w:rFonts w:eastAsia="Times New Roman"/>
          <w:lang w:val="en-GB" w:eastAsia="pl-PL"/>
        </w:rPr>
        <w:t xml:space="preserve"> and </w:t>
      </w:r>
      <w:proofErr w:type="spellStart"/>
      <w:r w:rsidRPr="00E732B2">
        <w:rPr>
          <w:rFonts w:eastAsia="Times New Roman"/>
          <w:lang w:val="en-GB" w:eastAsia="pl-PL"/>
        </w:rPr>
        <w:t>Tillotson</w:t>
      </w:r>
      <w:proofErr w:type="spellEnd"/>
      <w:r w:rsidRPr="00E732B2">
        <w:rPr>
          <w:rFonts w:eastAsia="Times New Roman"/>
          <w:lang w:val="en-GB" w:eastAsia="pl-PL"/>
        </w:rPr>
        <w:t>, 2004). Meaning that as soon as Jack posted the letter on the 1st of May a valid contract between him and Logan has been made (</w:t>
      </w:r>
      <w:proofErr w:type="spellStart"/>
      <w:r w:rsidRPr="00E732B2">
        <w:rPr>
          <w:rFonts w:eastAsia="Times New Roman"/>
          <w:lang w:val="en-GB" w:eastAsia="pl-PL"/>
        </w:rPr>
        <w:t>Marson</w:t>
      </w:r>
      <w:proofErr w:type="spellEnd"/>
      <w:r w:rsidRPr="00E732B2">
        <w:rPr>
          <w:rFonts w:eastAsia="Times New Roman"/>
          <w:lang w:val="en-GB" w:eastAsia="pl-PL"/>
        </w:rPr>
        <w:t xml:space="preserve"> and Ferris, 2020)</w:t>
      </w:r>
      <w:proofErr w:type="gramStart"/>
      <w:r w:rsidRPr="00E732B2">
        <w:rPr>
          <w:rFonts w:eastAsia="Times New Roman"/>
          <w:lang w:val="en-GB" w:eastAsia="pl-PL"/>
        </w:rPr>
        <w:t>,</w:t>
      </w:r>
      <w:proofErr w:type="gramEnd"/>
      <w:r w:rsidRPr="00E732B2">
        <w:rPr>
          <w:rFonts w:eastAsia="Times New Roman"/>
          <w:lang w:val="en-GB" w:eastAsia="pl-PL"/>
        </w:rPr>
        <w:t xml:space="preserve"> unlike Kate’s case he replied and agreed to the terms stated by Logan. This has been proved in the case of Adams v </w:t>
      </w:r>
      <w:proofErr w:type="spellStart"/>
      <w:r w:rsidRPr="00E732B2">
        <w:rPr>
          <w:rFonts w:eastAsia="Times New Roman"/>
          <w:lang w:val="en-GB" w:eastAsia="pl-PL"/>
        </w:rPr>
        <w:t>Lindsell</w:t>
      </w:r>
      <w:proofErr w:type="spellEnd"/>
      <w:r w:rsidRPr="00E732B2">
        <w:rPr>
          <w:rFonts w:eastAsia="Times New Roman"/>
          <w:lang w:val="en-GB" w:eastAsia="pl-PL"/>
        </w:rPr>
        <w:t xml:space="preserve"> (1818) where the judge held that the offer had been accepted as soon as the letter had been passed on to the Post Office.</w:t>
      </w:r>
    </w:p>
    <w:p w:rsidR="00E732B2" w:rsidRPr="00E732B2" w:rsidRDefault="00E732B2" w:rsidP="00E732B2">
      <w:pPr>
        <w:rPr>
          <w:rFonts w:eastAsia="Times New Roman"/>
          <w:lang w:val="en-GB" w:eastAsia="pl-PL"/>
        </w:rPr>
      </w:pPr>
      <w:r w:rsidRPr="00E732B2">
        <w:rPr>
          <w:rFonts w:eastAsia="Times New Roman"/>
          <w:lang w:val="en-GB" w:eastAsia="pl-PL"/>
        </w:rPr>
        <w:t>On the day of the performance, the 23rd of May Jack had breached the contract by telling Logan that his services were no longer needed just hours before the concert because he had booked another artist for the same day, without realising it. Because of Jack’s decision Logan has been left with no work for this evening and claims to be £500 worse off because of the potential revenue he would have created by selling his merchandise.  </w:t>
      </w:r>
    </w:p>
    <w:p w:rsidR="00E732B2" w:rsidRPr="00E732B2" w:rsidRDefault="00E732B2" w:rsidP="00E732B2">
      <w:pPr>
        <w:rPr>
          <w:rFonts w:eastAsia="Times New Roman"/>
          <w:lang w:val="en-GB" w:eastAsia="pl-PL"/>
        </w:rPr>
      </w:pPr>
      <w:r w:rsidRPr="00E732B2">
        <w:rPr>
          <w:rFonts w:eastAsia="Times New Roman"/>
          <w:lang w:val="en-GB" w:eastAsia="pl-PL"/>
        </w:rPr>
        <w:t>Similar to the case of Victoria Laundry (Windsor) Ltd v Newman Industries Ltd (1949) and Hadley v Baxen</w:t>
      </w:r>
      <w:r w:rsidR="007D03C3">
        <w:rPr>
          <w:rFonts w:eastAsia="Times New Roman"/>
          <w:lang w:val="en-GB" w:eastAsia="pl-PL"/>
        </w:rPr>
        <w:t xml:space="preserve">dale (1854) </w:t>
      </w:r>
      <w:r w:rsidRPr="00E732B2">
        <w:rPr>
          <w:rFonts w:eastAsia="Times New Roman"/>
          <w:lang w:val="en-GB" w:eastAsia="pl-PL"/>
        </w:rPr>
        <w:t xml:space="preserve">Logan wants Jack to also reimburse him for the loss of profit as he was not able to sell his merchandise. In the case of </w:t>
      </w:r>
      <w:r w:rsidR="00521881">
        <w:rPr>
          <w:rFonts w:eastAsia="Times New Roman"/>
          <w:lang w:val="en-GB" w:eastAsia="pl-PL"/>
        </w:rPr>
        <w:t>Mr</w:t>
      </w:r>
      <w:r w:rsidRPr="00E732B2">
        <w:rPr>
          <w:rFonts w:eastAsia="Times New Roman"/>
          <w:lang w:val="en-GB" w:eastAsia="pl-PL"/>
        </w:rPr>
        <w:t xml:space="preserve"> Hadley Baron Sir Edward Hall Alderson ruled that ‘’</w:t>
      </w:r>
      <w:r w:rsidRPr="00E732B2">
        <w:rPr>
          <w:rFonts w:eastAsia="Times New Roman"/>
          <w:bCs/>
          <w:lang w:val="en-GB" w:eastAsia="pl-PL"/>
        </w:rPr>
        <w:t>Where two parties have made a contract which one of them has broken, the damages which the other party ought to receive in respect of such breach of contract should be such as may fairly and reasonably be considered either arising naturally, </w:t>
      </w:r>
      <w:r w:rsidRPr="00E732B2">
        <w:rPr>
          <w:rFonts w:eastAsia="Times New Roman"/>
          <w:bCs/>
          <w:i/>
          <w:iCs/>
          <w:lang w:val="en-GB" w:eastAsia="pl-PL"/>
        </w:rPr>
        <w:t>i.e.</w:t>
      </w:r>
      <w:r w:rsidRPr="00E732B2">
        <w:rPr>
          <w:rFonts w:eastAsia="Times New Roman"/>
          <w:bCs/>
          <w:lang w:val="en-GB" w:eastAsia="pl-PL"/>
        </w:rPr>
        <w:t>, according to the usual course of things, from such breach of contract itself, or such as may reasonably be supposed to have been in the contemplation of both parties, at the time they made the contract, as the probable result of the breach of it.’’</w:t>
      </w:r>
      <w:r w:rsidRPr="00E732B2">
        <w:rPr>
          <w:rFonts w:eastAsia="Times New Roman"/>
          <w:b/>
          <w:bCs/>
          <w:lang w:val="en-GB" w:eastAsia="pl-PL"/>
        </w:rPr>
        <w:t> </w:t>
      </w:r>
      <w:r w:rsidRPr="00E732B2">
        <w:rPr>
          <w:rFonts w:eastAsia="Times New Roman"/>
          <w:lang w:val="en-GB" w:eastAsia="pl-PL"/>
        </w:rPr>
        <w:t>Based upon that Logan could argue that selling of the merchandise is in the usual course of things, and he didn’t have to say it to Jack. </w:t>
      </w:r>
    </w:p>
    <w:p w:rsidR="00E732B2" w:rsidRPr="00E732B2" w:rsidRDefault="00E732B2" w:rsidP="00E732B2">
      <w:pPr>
        <w:rPr>
          <w:rFonts w:eastAsia="Times New Roman"/>
          <w:lang w:val="en-GB" w:eastAsia="pl-PL"/>
        </w:rPr>
      </w:pPr>
      <w:r w:rsidRPr="00E732B2">
        <w:rPr>
          <w:rFonts w:eastAsia="Times New Roman"/>
          <w:lang w:val="en-GB" w:eastAsia="pl-PL"/>
        </w:rPr>
        <w:t>In both those cases, judges interpreted that Victoria Laundry and Hadley be compensated only for the ordinary loss of profit, meaning the usual amount of money they would have made if the contract specifications had been met, as a different type of loss (extraordinary profit) could only be recovered if and only when the other party has sufficient knowledge of them to make it reasonable to attribute to him the acceptance of liability for such loss</w:t>
      </w:r>
    </w:p>
    <w:p w:rsidR="00E732B2" w:rsidRPr="00E732B2" w:rsidRDefault="00E732B2" w:rsidP="00E732B2">
      <w:pPr>
        <w:rPr>
          <w:rFonts w:eastAsia="Times New Roman"/>
          <w:lang w:val="en-GB" w:eastAsia="pl-PL"/>
        </w:rPr>
      </w:pPr>
      <w:r w:rsidRPr="00E732B2">
        <w:rPr>
          <w:rFonts w:eastAsia="Times New Roman"/>
          <w:lang w:val="en-GB" w:eastAsia="pl-PL"/>
        </w:rPr>
        <w:t>One might argue that selling of merchandise is a part of the performance and that Jack should pay Logan for the possible loss of business. Logan could say that remoteness of damage caused by Jack has been foreseeable and that he attempted the performance of the contract but had been declined</w:t>
      </w:r>
      <w:r w:rsidR="00F14C93">
        <w:rPr>
          <w:rFonts w:eastAsia="Times New Roman"/>
          <w:lang w:val="en-GB" w:eastAsia="pl-PL"/>
        </w:rPr>
        <w:t xml:space="preserve"> </w:t>
      </w:r>
      <w:r w:rsidRPr="00E732B2">
        <w:rPr>
          <w:rFonts w:eastAsia="Times New Roman"/>
          <w:lang w:val="en-GB" w:eastAsia="pl-PL"/>
        </w:rPr>
        <w:lastRenderedPageBreak/>
        <w:t>by Jack (</w:t>
      </w:r>
      <w:proofErr w:type="spellStart"/>
      <w:r w:rsidRPr="00E732B2">
        <w:rPr>
          <w:rFonts w:eastAsia="Times New Roman"/>
          <w:lang w:val="en-GB" w:eastAsia="pl-PL"/>
        </w:rPr>
        <w:t>Tulsian</w:t>
      </w:r>
      <w:proofErr w:type="spellEnd"/>
      <w:r w:rsidRPr="00E732B2">
        <w:rPr>
          <w:rFonts w:eastAsia="Times New Roman"/>
          <w:lang w:val="en-GB" w:eastAsia="pl-PL"/>
        </w:rPr>
        <w:t>, 2000). Considering all this Logan has been discharged from further liability, as he was ready to perform at the given time and place, and as a result, he may sue Jack for the breach of contract.</w:t>
      </w:r>
    </w:p>
    <w:p w:rsidR="00E732B2" w:rsidRPr="00E732B2" w:rsidRDefault="00E732B2" w:rsidP="00E732B2">
      <w:pPr>
        <w:rPr>
          <w:rFonts w:eastAsia="Times New Roman"/>
          <w:lang w:val="en-GB" w:eastAsia="pl-PL"/>
        </w:rPr>
      </w:pPr>
      <w:r w:rsidRPr="00E732B2">
        <w:rPr>
          <w:rFonts w:eastAsia="Times New Roman"/>
          <w:lang w:val="en-GB" w:eastAsia="pl-PL"/>
        </w:rPr>
        <w:t>Therefore Jack should be liable to pay Logan the initial £750 that they had agreed upon at the beginning, which he did on the 23rd of May, as he is clearly breaking the contract by not letting Logan perform because of his own mistake. </w:t>
      </w:r>
    </w:p>
    <w:p w:rsidR="00E732B2" w:rsidRPr="00E732B2" w:rsidRDefault="00E732B2" w:rsidP="00E732B2">
      <w:pPr>
        <w:rPr>
          <w:lang w:val="en-GB"/>
        </w:rPr>
      </w:pPr>
      <w:r w:rsidRPr="00E732B2">
        <w:rPr>
          <w:lang w:val="en-GB"/>
        </w:rPr>
        <w:t xml:space="preserve">Jack and DJ Mason had a valid contract with each other on the night of 23rd May for DJ Mason to perform a gig at the Student Union. The contract had been entered into on the 12th of May when Jack had booked DJ Mason for £1,500 to play for three hours. Creating a legally binding contract, as the offer presented by DJ Mason, was accepted by Jack </w:t>
      </w:r>
      <w:proofErr w:type="gramStart"/>
      <w:r w:rsidRPr="00E732B2">
        <w:rPr>
          <w:lang w:val="en-GB"/>
        </w:rPr>
        <w:t>( Hanslee</w:t>
      </w:r>
      <w:proofErr w:type="gramEnd"/>
      <w:r w:rsidRPr="00E732B2">
        <w:rPr>
          <w:lang w:val="en-GB"/>
        </w:rPr>
        <w:t xml:space="preserve"> and Hanslee, 2018). As in the case of </w:t>
      </w:r>
      <w:proofErr w:type="spellStart"/>
      <w:r w:rsidRPr="00E732B2">
        <w:rPr>
          <w:lang w:val="en-GB"/>
        </w:rPr>
        <w:t>Hoenig</w:t>
      </w:r>
      <w:proofErr w:type="spellEnd"/>
      <w:r w:rsidRPr="00E732B2">
        <w:rPr>
          <w:lang w:val="en-GB"/>
        </w:rPr>
        <w:t xml:space="preserve"> v Isaacs (1952) where the judge stated that where there is a substantial performance of the contract, then the money must be paid, however, DJ Mason did, in fact, break the terms of the contract, as both men agreed the gig will last three hours, but he did perform for two out of those three hours, therefore, creating substantial performance of the contract (Hunter, 1993) and one could argue that Jack has to pay DJ Mason if not in full then at least a substantial part of the money. DJ Mason could also argue that he should be paid under the quantum </w:t>
      </w:r>
      <w:proofErr w:type="spellStart"/>
      <w:r w:rsidRPr="00E732B2">
        <w:rPr>
          <w:lang w:val="en-GB"/>
        </w:rPr>
        <w:t>meruit</w:t>
      </w:r>
      <w:proofErr w:type="spellEnd"/>
      <w:r w:rsidRPr="00E732B2">
        <w:rPr>
          <w:lang w:val="en-GB"/>
        </w:rPr>
        <w:t>, meaning in Latin ‘what one has earned’ (Cornell Law School, 2021) and he should be paid £1,000 which would make it a fair share , at least for the two hours that he performed.</w:t>
      </w:r>
    </w:p>
    <w:p w:rsidR="00E732B2" w:rsidRPr="00E732B2" w:rsidRDefault="00E732B2" w:rsidP="00E732B2">
      <w:pPr>
        <w:rPr>
          <w:lang w:val="en-GB"/>
        </w:rPr>
      </w:pPr>
      <w:r w:rsidRPr="00E732B2">
        <w:rPr>
          <w:lang w:val="en-GB"/>
        </w:rPr>
        <w:t xml:space="preserve">Bolton v </w:t>
      </w:r>
      <w:proofErr w:type="spellStart"/>
      <w:r w:rsidRPr="00E732B2">
        <w:rPr>
          <w:lang w:val="en-GB"/>
        </w:rPr>
        <w:t>Mahadeva</w:t>
      </w:r>
      <w:proofErr w:type="spellEnd"/>
      <w:r w:rsidRPr="00E732B2">
        <w:rPr>
          <w:lang w:val="en-GB"/>
        </w:rPr>
        <w:t xml:space="preserve"> (1972) however states that the general ineffectiveness of performing the task was a base enough to decide that in fact, DJ Mason did not deserve any payment whatsoever for performing the tasks. One could argue that Jack is right in this instance by not paying DJ Mason anything at all as he did not perform for as long as agreed therefore being generally ineffective to perform the duties specified in the contract (Young, 2009). This same thing had happened between Cutter v Powell (1795) where Cutter did not complete the journey from Jamaica to Liverpool when he died after 6 weeks and the journey did not finish until the two weeks after his death. The judge ruled that the completion of the journey was an essential part to receive any payment at all upon its completion and that </w:t>
      </w:r>
      <w:proofErr w:type="spellStart"/>
      <w:r w:rsidRPr="00E732B2">
        <w:rPr>
          <w:lang w:val="en-GB"/>
        </w:rPr>
        <w:t>Mrs.</w:t>
      </w:r>
      <w:proofErr w:type="spellEnd"/>
      <w:r w:rsidRPr="00E732B2">
        <w:rPr>
          <w:lang w:val="en-GB"/>
        </w:rPr>
        <w:t xml:space="preserve"> Cutter could not claim for the three-quarters of the job her husband done, as he did not complete it by docking in Liverpool. Therefore Jack could argue that those same terms apply now with his case against DJ Mason because he had breached and not carried out the full terms of the contract, by leaving after two hours (Liao, 2015).</w:t>
      </w:r>
    </w:p>
    <w:p w:rsidR="00E732B2" w:rsidRPr="00E732B2" w:rsidRDefault="00E732B2" w:rsidP="00E732B2">
      <w:pPr>
        <w:rPr>
          <w:lang w:val="en-GB"/>
        </w:rPr>
      </w:pPr>
      <w:r w:rsidRPr="00E732B2">
        <w:rPr>
          <w:lang w:val="en-GB"/>
        </w:rPr>
        <w:t xml:space="preserve">As covered earlier, an intention to create legal relations is one of the main points in creating a void </w:t>
      </w:r>
      <w:proofErr w:type="gramStart"/>
      <w:r w:rsidRPr="00E732B2">
        <w:rPr>
          <w:lang w:val="en-GB"/>
        </w:rPr>
        <w:t>contract,</w:t>
      </w:r>
      <w:proofErr w:type="gramEnd"/>
      <w:r w:rsidRPr="00E732B2">
        <w:rPr>
          <w:lang w:val="en-GB"/>
        </w:rPr>
        <w:t xml:space="preserve"> it is because the intention to create legal relations consists of the readiness of a party to accept the legal consequences of having entered into the said contract (Turner, 2014). As simple as this may sound, the question as to whether the two parties did intend to create legal relations is highly sensitive. It is quite clear that the business representatives meeting in a formal commercial scenario to discuss the terms or negotiate, do intend to create legal relations (McKendrick,2020), however, if the same people met in the pub to discuss the same thing, just less formally than in the previous scenario, the court may rule that these people did not intend to create legal relations, just like in Blue v Ashley (2017) Consequently, the judge ruled that drinking in a pub was an unlikely setting to have formal contract negotiations and dismissed the case.</w:t>
      </w:r>
    </w:p>
    <w:p w:rsidR="00E732B2" w:rsidRPr="00E732B2" w:rsidRDefault="00E732B2" w:rsidP="00E732B2">
      <w:pPr>
        <w:rPr>
          <w:lang w:val="en-GB"/>
        </w:rPr>
      </w:pPr>
      <w:r w:rsidRPr="00E732B2">
        <w:rPr>
          <w:lang w:val="en-GB"/>
        </w:rPr>
        <w:t>Intention to create legal relations is often overlooked, but can sometimes be critical to the enforceability of a contract (Stahn</w:t>
      </w:r>
      <w:proofErr w:type="gramStart"/>
      <w:r w:rsidRPr="00E732B2">
        <w:rPr>
          <w:lang w:val="en-GB"/>
        </w:rPr>
        <w:t>,2019</w:t>
      </w:r>
      <w:proofErr w:type="gramEnd"/>
      <w:r w:rsidRPr="00E732B2">
        <w:rPr>
          <w:lang w:val="en-GB"/>
        </w:rPr>
        <w:t xml:space="preserve">). While individuals and small businesses, in particular, may </w:t>
      </w:r>
      <w:r w:rsidRPr="00E732B2">
        <w:rPr>
          <w:lang w:val="en-GB"/>
        </w:rPr>
        <w:lastRenderedPageBreak/>
        <w:t>be attracted to the idea of these informal agreements based upon a handshake or a gentlemen’s agreement could be very dangerous and damaging, particularly so if the agreement has been formed in an environment that would not be considered a business environment</w:t>
      </w:r>
    </w:p>
    <w:p w:rsidR="00E732B2" w:rsidRPr="00E732B2" w:rsidRDefault="00E732B2" w:rsidP="00E732B2">
      <w:pPr>
        <w:rPr>
          <w:lang w:val="en-GB"/>
        </w:rPr>
      </w:pPr>
      <w:r w:rsidRPr="00E732B2">
        <w:rPr>
          <w:lang w:val="en-GB"/>
        </w:rPr>
        <w:t xml:space="preserve">The presumption of courts towards the intention to create legal relations made in social or domestic settings is very clear. When an agreement is made in the social or domestic setting, the law raises a presumption that the parties did not intend to enter any legally binding relations (Smits, 2017; </w:t>
      </w:r>
      <w:proofErr w:type="spellStart"/>
      <w:r w:rsidRPr="00E732B2">
        <w:rPr>
          <w:lang w:val="en-GB"/>
        </w:rPr>
        <w:t>Hujo</w:t>
      </w:r>
      <w:proofErr w:type="spellEnd"/>
      <w:r w:rsidRPr="00E732B2">
        <w:rPr>
          <w:lang w:val="en-GB"/>
        </w:rPr>
        <w:t xml:space="preserve">, 2006). There are some cases and instances where this presumption has been rebutted to the contrary, by either having a written agreement between the parties as in the case of </w:t>
      </w:r>
      <w:proofErr w:type="spellStart"/>
      <w:r w:rsidRPr="00E732B2">
        <w:rPr>
          <w:lang w:val="en-GB"/>
        </w:rPr>
        <w:t>Errington</w:t>
      </w:r>
      <w:proofErr w:type="spellEnd"/>
      <w:r w:rsidRPr="00E732B2">
        <w:rPr>
          <w:lang w:val="en-GB"/>
        </w:rPr>
        <w:t xml:space="preserve"> v </w:t>
      </w:r>
      <w:proofErr w:type="spellStart"/>
      <w:r w:rsidRPr="00E732B2">
        <w:rPr>
          <w:lang w:val="en-GB"/>
        </w:rPr>
        <w:t>Errington</w:t>
      </w:r>
      <w:proofErr w:type="spellEnd"/>
      <w:r w:rsidRPr="00E732B2">
        <w:rPr>
          <w:lang w:val="en-GB"/>
        </w:rPr>
        <w:t xml:space="preserve"> (1952) or by a third party being present as a witness to the whole agreement as in the case of Simpkins v Pays (1955) </w:t>
      </w:r>
    </w:p>
    <w:p w:rsidR="00E732B2" w:rsidRPr="00E732B2" w:rsidRDefault="00E732B2" w:rsidP="00E732B2">
      <w:pPr>
        <w:rPr>
          <w:lang w:val="en-GB"/>
        </w:rPr>
      </w:pPr>
      <w:r w:rsidRPr="00E732B2">
        <w:rPr>
          <w:lang w:val="en-GB"/>
        </w:rPr>
        <w:t>Nell can argue that the fact that they are friends and that the offer had been made in a social setting, Jack had asked her to perform her stand-up routine in a commercial agreement, meaning that he did not ask Nell, his friend, but the stand-up professional performer Nell. Therefore the law presumption would change and state that the parties did in fact, intend to create a legal relation (</w:t>
      </w:r>
      <w:proofErr w:type="spellStart"/>
      <w:r w:rsidRPr="00E732B2">
        <w:rPr>
          <w:lang w:val="en-GB"/>
        </w:rPr>
        <w:t>Lewison</w:t>
      </w:r>
      <w:proofErr w:type="spellEnd"/>
      <w:r w:rsidRPr="00E732B2">
        <w:rPr>
          <w:lang w:val="en-GB"/>
        </w:rPr>
        <w:t xml:space="preserve">, 2013; Poole, 2001). As in the case of </w:t>
      </w:r>
      <w:proofErr w:type="gramStart"/>
      <w:r w:rsidRPr="00E732B2">
        <w:rPr>
          <w:lang w:val="en-GB"/>
        </w:rPr>
        <w:t>Edwards</w:t>
      </w:r>
      <w:proofErr w:type="gramEnd"/>
      <w:r w:rsidRPr="00E732B2">
        <w:rPr>
          <w:lang w:val="en-GB"/>
        </w:rPr>
        <w:t xml:space="preserve"> v Skyways (1964) where the judge ruled that despite the offer being made to </w:t>
      </w:r>
      <w:proofErr w:type="spellStart"/>
      <w:r w:rsidRPr="00E732B2">
        <w:rPr>
          <w:lang w:val="en-GB"/>
        </w:rPr>
        <w:t>Mr.</w:t>
      </w:r>
      <w:proofErr w:type="spellEnd"/>
      <w:r w:rsidRPr="00E732B2">
        <w:rPr>
          <w:lang w:val="en-GB"/>
        </w:rPr>
        <w:t xml:space="preserve"> Edwards in the social setting, the offer made by Skyways had been made in the business context therefore the two parties must have intended to create a legally binding contract. Nell can argue this same way, saying that Jack approached her and made her an offer of performing on the stage, making her a legally binding offer. </w:t>
      </w:r>
    </w:p>
    <w:p w:rsidR="00E732B2" w:rsidRPr="00E732B2" w:rsidRDefault="00E732B2" w:rsidP="00E732B2">
      <w:pPr>
        <w:rPr>
          <w:lang w:val="en-GB"/>
        </w:rPr>
      </w:pPr>
      <w:r w:rsidRPr="00E732B2">
        <w:rPr>
          <w:lang w:val="en-GB"/>
        </w:rPr>
        <w:t xml:space="preserve">Jack had promised Nell to pay her the £250.00 the next day after she had performed her stand-up routine at the Student Union party. On the day when DJ Mason had finished playing, she filled in for him, at Jack’s request, however, Jack never intended to make any kind of a legally binding relationship as he did not offer her anything on the day, they did not write anything down. It could be argued that Jack simply asked Nell for a friendly </w:t>
      </w:r>
      <w:proofErr w:type="spellStart"/>
      <w:r w:rsidRPr="00E732B2">
        <w:rPr>
          <w:lang w:val="en-GB"/>
        </w:rPr>
        <w:t>favor</w:t>
      </w:r>
      <w:proofErr w:type="spellEnd"/>
      <w:r w:rsidRPr="00E732B2">
        <w:rPr>
          <w:lang w:val="en-GB"/>
        </w:rPr>
        <w:t xml:space="preserve"> since they are good friends and he needed help. </w:t>
      </w:r>
    </w:p>
    <w:p w:rsidR="00E732B2" w:rsidRPr="00E732B2" w:rsidRDefault="00E732B2" w:rsidP="00E732B2">
      <w:pPr>
        <w:rPr>
          <w:lang w:val="en-GB"/>
        </w:rPr>
      </w:pPr>
      <w:r w:rsidRPr="00E732B2">
        <w:rPr>
          <w:lang w:val="en-GB"/>
        </w:rPr>
        <w:t xml:space="preserve">She did agree to perform for one hour and then presumable left for home, it was only the next day when Jack had seen her and told her about how grateful he was and that he will pay her the £250.00 as a way of saying thanks, and is yet to pay. </w:t>
      </w:r>
    </w:p>
    <w:p w:rsidR="00E732B2" w:rsidRPr="00E732B2" w:rsidRDefault="00E732B2" w:rsidP="00E732B2">
      <w:pPr>
        <w:rPr>
          <w:lang w:val="en-GB"/>
        </w:rPr>
      </w:pPr>
      <w:r w:rsidRPr="00E732B2">
        <w:rPr>
          <w:lang w:val="en-GB"/>
        </w:rPr>
        <w:t xml:space="preserve">As in the </w:t>
      </w:r>
      <w:r w:rsidR="00521881">
        <w:rPr>
          <w:lang w:val="en-GB"/>
        </w:rPr>
        <w:t xml:space="preserve">case of </w:t>
      </w:r>
      <w:proofErr w:type="spellStart"/>
      <w:r w:rsidR="00521881">
        <w:rPr>
          <w:lang w:val="en-GB"/>
        </w:rPr>
        <w:t>Roscorla</w:t>
      </w:r>
      <w:proofErr w:type="spellEnd"/>
      <w:r w:rsidR="00521881">
        <w:rPr>
          <w:lang w:val="en-GB"/>
        </w:rPr>
        <w:t xml:space="preserve"> v Thomas (1842)</w:t>
      </w:r>
      <w:r w:rsidRPr="00E732B2">
        <w:rPr>
          <w:lang w:val="en-GB"/>
        </w:rPr>
        <w:t xml:space="preserve"> or Re </w:t>
      </w:r>
      <w:proofErr w:type="spellStart"/>
      <w:r w:rsidRPr="00E732B2">
        <w:rPr>
          <w:lang w:val="en-GB"/>
        </w:rPr>
        <w:t>McArdle</w:t>
      </w:r>
      <w:proofErr w:type="spellEnd"/>
      <w:r w:rsidRPr="00E732B2">
        <w:rPr>
          <w:lang w:val="en-GB"/>
        </w:rPr>
        <w:t xml:space="preserve"> (1951) who carried out home improvements and repairs in the bungalow, belonging to her brother and four siblings after their father’s death. After the work had been completed the brothers and sisters signed a document stating in consideration of her carrying out the repairs they agree to pay £480, however just like in this case the payment was never made. </w:t>
      </w:r>
    </w:p>
    <w:p w:rsidR="00E732B2" w:rsidRPr="00E732B2" w:rsidRDefault="00E732B2" w:rsidP="00E732B2">
      <w:pPr>
        <w:rPr>
          <w:lang w:val="en-GB"/>
        </w:rPr>
      </w:pPr>
      <w:r w:rsidRPr="00E732B2">
        <w:rPr>
          <w:lang w:val="en-GB"/>
        </w:rPr>
        <w:t>In the court, the decision was held that the promise of payment came after the consideration has been performed therefore the promise to make payment was not binding. Past consideration is not valid (Taylor and Taylor, 2018).  However there is one major exception to this rule and it states that if one party, at the request of the other performs a service, of a kind that normally is paid for, the court would usually assume that the service was meant to be paid for and will enforce a later promise to pay as in the case o</w:t>
      </w:r>
      <w:r w:rsidR="00521881">
        <w:rPr>
          <w:lang w:val="en-GB"/>
        </w:rPr>
        <w:t xml:space="preserve">f </w:t>
      </w:r>
      <w:proofErr w:type="spellStart"/>
      <w:r w:rsidR="00521881">
        <w:rPr>
          <w:lang w:val="en-GB"/>
        </w:rPr>
        <w:t>Lampleigh</w:t>
      </w:r>
      <w:proofErr w:type="spellEnd"/>
      <w:r w:rsidR="00521881">
        <w:rPr>
          <w:lang w:val="en-GB"/>
        </w:rPr>
        <w:t xml:space="preserve"> v </w:t>
      </w:r>
      <w:proofErr w:type="spellStart"/>
      <w:r w:rsidR="00521881">
        <w:rPr>
          <w:lang w:val="en-GB"/>
        </w:rPr>
        <w:t>Braithwait</w:t>
      </w:r>
      <w:proofErr w:type="spellEnd"/>
      <w:r w:rsidR="00521881">
        <w:rPr>
          <w:lang w:val="en-GB"/>
        </w:rPr>
        <w:t xml:space="preserve"> (1615). </w:t>
      </w:r>
      <w:r w:rsidRPr="00E732B2">
        <w:rPr>
          <w:lang w:val="en-GB"/>
        </w:rPr>
        <w:t xml:space="preserve">It is very important to know and to understand what constituencies a contract, what the legal requirements for it are, and what consequences one may face when breaking the terms of it. A valid and legally binding contract should always have the </w:t>
      </w:r>
      <w:r w:rsidRPr="00E732B2">
        <w:rPr>
          <w:lang w:val="en-GB"/>
        </w:rPr>
        <w:lastRenderedPageBreak/>
        <w:t xml:space="preserve">four key elements: Offer, acceptance, consideration, and intent to create legal relations. One should always be very were when entering into a contract and should familiarise itself with it, so that there will be no future misunderstandings and the role and terms of the contract are carried out rightly and professionally. It is also beneficial to have the contracts in writing, so if anything ever goes wrong then at least you have proof of the legal relationship. </w:t>
      </w:r>
    </w:p>
    <w:p w:rsidR="00A83866" w:rsidRPr="00E732B2" w:rsidRDefault="00E732B2" w:rsidP="00E732B2">
      <w:pPr>
        <w:rPr>
          <w:lang w:val="en-GB"/>
        </w:rPr>
      </w:pPr>
      <w:r w:rsidRPr="00E732B2">
        <w:rPr>
          <w:lang w:val="en-GB"/>
        </w:rPr>
        <w:t xml:space="preserve">One should also always remember that a general handshake or a gentlemen’s agreement may be morally binding and one should expect to consider such an agreement as a contact, it is often not the case and it is possible to lose a substantial amount of resources by doing it.  </w:t>
      </w:r>
    </w:p>
    <w:p w:rsidR="00A83866" w:rsidRPr="00E14484" w:rsidRDefault="00A83866" w:rsidP="00A83866">
      <w:pPr>
        <w:tabs>
          <w:tab w:val="left" w:pos="7460"/>
        </w:tabs>
        <w:rPr>
          <w:rFonts w:cstheme="minorHAnsi"/>
          <w:lang w:val="en-GB"/>
        </w:rPr>
      </w:pPr>
    </w:p>
    <w:p w:rsidR="00EC520B" w:rsidRPr="00E14484" w:rsidRDefault="00F962C6" w:rsidP="00014F9A">
      <w:pPr>
        <w:pStyle w:val="ListParagraph"/>
        <w:tabs>
          <w:tab w:val="left" w:pos="7460"/>
        </w:tabs>
        <w:ind w:left="1080"/>
        <w:rPr>
          <w:rFonts w:cstheme="minorHAnsi"/>
          <w:lang w:val="en-GB"/>
        </w:rPr>
      </w:pPr>
      <w:r w:rsidRPr="00E14484">
        <w:rPr>
          <w:rFonts w:cstheme="minorHAnsi"/>
          <w:lang w:val="en-GB"/>
        </w:rPr>
        <w:br/>
      </w:r>
      <w:r w:rsidRPr="00E14484">
        <w:rPr>
          <w:rFonts w:cstheme="minorHAnsi"/>
          <w:lang w:val="en-GB"/>
        </w:rPr>
        <w:br/>
      </w:r>
    </w:p>
    <w:p w:rsidR="00EC520B" w:rsidRPr="00E14484" w:rsidRDefault="00EC520B" w:rsidP="00014F9A">
      <w:pPr>
        <w:pStyle w:val="ListParagraph"/>
        <w:tabs>
          <w:tab w:val="left" w:pos="7460"/>
        </w:tabs>
        <w:ind w:left="1080"/>
        <w:rPr>
          <w:rFonts w:cstheme="minorHAnsi"/>
          <w:lang w:val="en-GB"/>
        </w:rPr>
      </w:pPr>
    </w:p>
    <w:p w:rsidR="00EC520B" w:rsidRPr="00E14484" w:rsidRDefault="00EC520B" w:rsidP="00014F9A">
      <w:pPr>
        <w:pStyle w:val="ListParagraph"/>
        <w:tabs>
          <w:tab w:val="left" w:pos="7460"/>
        </w:tabs>
        <w:ind w:left="1080"/>
        <w:rPr>
          <w:rFonts w:cstheme="minorHAnsi"/>
          <w:lang w:val="en-GB"/>
        </w:rPr>
      </w:pPr>
    </w:p>
    <w:p w:rsidR="00EC520B" w:rsidRPr="00E14484" w:rsidRDefault="00EC520B" w:rsidP="00014F9A">
      <w:pPr>
        <w:pStyle w:val="ListParagraph"/>
        <w:tabs>
          <w:tab w:val="left" w:pos="7460"/>
        </w:tabs>
        <w:ind w:left="1080"/>
        <w:rPr>
          <w:rFonts w:cstheme="minorHAnsi"/>
          <w:lang w:val="en-GB"/>
        </w:rPr>
      </w:pPr>
    </w:p>
    <w:p w:rsidR="00EC520B" w:rsidRPr="00E14484" w:rsidRDefault="00EC520B" w:rsidP="00014F9A">
      <w:pPr>
        <w:pStyle w:val="ListParagraph"/>
        <w:tabs>
          <w:tab w:val="left" w:pos="7460"/>
        </w:tabs>
        <w:ind w:left="1080"/>
        <w:rPr>
          <w:rFonts w:cstheme="minorHAnsi"/>
          <w:lang w:val="en-GB"/>
        </w:rPr>
      </w:pPr>
    </w:p>
    <w:p w:rsidR="00EC520B" w:rsidRPr="00E14484" w:rsidRDefault="00EC520B" w:rsidP="00014F9A">
      <w:pPr>
        <w:pStyle w:val="ListParagraph"/>
        <w:tabs>
          <w:tab w:val="left" w:pos="7460"/>
        </w:tabs>
        <w:ind w:left="1080"/>
        <w:rPr>
          <w:rFonts w:cstheme="minorHAnsi"/>
          <w:lang w:val="en-GB"/>
        </w:rPr>
      </w:pPr>
    </w:p>
    <w:p w:rsidR="00EC520B" w:rsidRPr="00E14484" w:rsidRDefault="00EC520B" w:rsidP="00014F9A">
      <w:pPr>
        <w:pStyle w:val="ListParagraph"/>
        <w:tabs>
          <w:tab w:val="left" w:pos="7460"/>
        </w:tabs>
        <w:ind w:left="1080"/>
        <w:rPr>
          <w:rFonts w:cstheme="minorHAnsi"/>
          <w:lang w:val="en-GB"/>
        </w:rPr>
      </w:pPr>
    </w:p>
    <w:p w:rsidR="00EC520B" w:rsidRPr="00E14484" w:rsidRDefault="00EC520B" w:rsidP="00014F9A">
      <w:pPr>
        <w:pStyle w:val="ListParagraph"/>
        <w:tabs>
          <w:tab w:val="left" w:pos="7460"/>
        </w:tabs>
        <w:ind w:left="1080"/>
        <w:rPr>
          <w:rFonts w:cstheme="minorHAnsi"/>
          <w:lang w:val="en-GB"/>
        </w:rPr>
      </w:pPr>
    </w:p>
    <w:p w:rsidR="00EC520B" w:rsidRPr="00E14484" w:rsidRDefault="00EC520B" w:rsidP="00014F9A">
      <w:pPr>
        <w:pStyle w:val="ListParagraph"/>
        <w:tabs>
          <w:tab w:val="left" w:pos="7460"/>
        </w:tabs>
        <w:ind w:left="1080"/>
        <w:rPr>
          <w:rFonts w:cstheme="minorHAnsi"/>
          <w:lang w:val="en-GB"/>
        </w:rPr>
      </w:pPr>
    </w:p>
    <w:p w:rsidR="00EC520B" w:rsidRPr="00E14484" w:rsidRDefault="00EC520B" w:rsidP="00014F9A">
      <w:pPr>
        <w:pStyle w:val="ListParagraph"/>
        <w:tabs>
          <w:tab w:val="left" w:pos="7460"/>
        </w:tabs>
        <w:ind w:left="1080"/>
        <w:rPr>
          <w:rFonts w:cstheme="minorHAnsi"/>
          <w:lang w:val="en-GB"/>
        </w:rPr>
      </w:pPr>
    </w:p>
    <w:p w:rsidR="00EC520B" w:rsidRPr="00E14484" w:rsidRDefault="00EC520B" w:rsidP="00014F9A">
      <w:pPr>
        <w:pStyle w:val="ListParagraph"/>
        <w:tabs>
          <w:tab w:val="left" w:pos="7460"/>
        </w:tabs>
        <w:ind w:left="1080"/>
        <w:rPr>
          <w:rFonts w:cstheme="minorHAnsi"/>
          <w:lang w:val="en-GB"/>
        </w:rPr>
      </w:pPr>
    </w:p>
    <w:p w:rsidR="00EC520B" w:rsidRPr="00E14484" w:rsidRDefault="00EC520B" w:rsidP="00014F9A">
      <w:pPr>
        <w:pStyle w:val="ListParagraph"/>
        <w:tabs>
          <w:tab w:val="left" w:pos="7460"/>
        </w:tabs>
        <w:ind w:left="1080"/>
        <w:rPr>
          <w:rFonts w:cstheme="minorHAnsi"/>
          <w:lang w:val="en-GB"/>
        </w:rPr>
      </w:pPr>
    </w:p>
    <w:p w:rsidR="00EC520B" w:rsidRPr="00E14484" w:rsidRDefault="00EC520B" w:rsidP="00014F9A">
      <w:pPr>
        <w:pStyle w:val="ListParagraph"/>
        <w:tabs>
          <w:tab w:val="left" w:pos="7460"/>
        </w:tabs>
        <w:ind w:left="1080"/>
        <w:rPr>
          <w:rFonts w:cstheme="minorHAnsi"/>
          <w:lang w:val="en-GB"/>
        </w:rPr>
      </w:pPr>
    </w:p>
    <w:p w:rsidR="00EC520B" w:rsidRPr="00E14484" w:rsidRDefault="00EC520B" w:rsidP="00014F9A">
      <w:pPr>
        <w:pStyle w:val="ListParagraph"/>
        <w:tabs>
          <w:tab w:val="left" w:pos="7460"/>
        </w:tabs>
        <w:ind w:left="1080"/>
        <w:rPr>
          <w:rFonts w:cstheme="minorHAnsi"/>
          <w:lang w:val="en-GB"/>
        </w:rPr>
      </w:pPr>
    </w:p>
    <w:p w:rsidR="00EC520B" w:rsidRPr="00E14484" w:rsidRDefault="00EC520B" w:rsidP="00014F9A">
      <w:pPr>
        <w:pStyle w:val="ListParagraph"/>
        <w:tabs>
          <w:tab w:val="left" w:pos="7460"/>
        </w:tabs>
        <w:ind w:left="1080"/>
        <w:rPr>
          <w:rFonts w:cstheme="minorHAnsi"/>
          <w:lang w:val="en-GB"/>
        </w:rPr>
      </w:pPr>
    </w:p>
    <w:p w:rsidR="00EC520B" w:rsidRPr="00E14484" w:rsidRDefault="00EC520B" w:rsidP="00014F9A">
      <w:pPr>
        <w:pStyle w:val="ListParagraph"/>
        <w:tabs>
          <w:tab w:val="left" w:pos="7460"/>
        </w:tabs>
        <w:ind w:left="1080"/>
        <w:rPr>
          <w:rFonts w:cstheme="minorHAnsi"/>
          <w:lang w:val="en-GB"/>
        </w:rPr>
      </w:pPr>
    </w:p>
    <w:p w:rsidR="00EC520B" w:rsidRPr="00E14484" w:rsidRDefault="00EC520B" w:rsidP="00014F9A">
      <w:pPr>
        <w:pStyle w:val="ListParagraph"/>
        <w:tabs>
          <w:tab w:val="left" w:pos="7460"/>
        </w:tabs>
        <w:ind w:left="1080"/>
        <w:rPr>
          <w:rFonts w:cstheme="minorHAnsi"/>
          <w:lang w:val="en-GB"/>
        </w:rPr>
      </w:pPr>
    </w:p>
    <w:p w:rsidR="00EC520B" w:rsidRPr="00E14484" w:rsidRDefault="00EC520B" w:rsidP="00014F9A">
      <w:pPr>
        <w:pStyle w:val="ListParagraph"/>
        <w:tabs>
          <w:tab w:val="left" w:pos="7460"/>
        </w:tabs>
        <w:ind w:left="1080"/>
        <w:rPr>
          <w:rFonts w:cstheme="minorHAnsi"/>
          <w:lang w:val="en-GB"/>
        </w:rPr>
      </w:pPr>
    </w:p>
    <w:p w:rsidR="00D72879" w:rsidRPr="00E14484" w:rsidRDefault="00014F9A" w:rsidP="00014F9A">
      <w:pPr>
        <w:pStyle w:val="ListParagraph"/>
        <w:tabs>
          <w:tab w:val="left" w:pos="7460"/>
        </w:tabs>
        <w:ind w:left="1080"/>
        <w:rPr>
          <w:rFonts w:cstheme="minorHAnsi"/>
          <w:lang w:val="en-GB"/>
        </w:rPr>
      </w:pPr>
      <w:r w:rsidRPr="00E14484">
        <w:rPr>
          <w:rFonts w:cstheme="minorHAnsi"/>
          <w:lang w:val="en-GB"/>
        </w:rPr>
        <w:tab/>
      </w:r>
    </w:p>
    <w:p w:rsidR="00E732B2" w:rsidRDefault="00E732B2" w:rsidP="00E732B2">
      <w:pPr>
        <w:pStyle w:val="ListParagraph"/>
        <w:rPr>
          <w:rFonts w:cstheme="minorHAnsi"/>
          <w:lang w:val="en-GB"/>
        </w:rPr>
      </w:pPr>
    </w:p>
    <w:p w:rsidR="00E732B2" w:rsidRDefault="00E732B2" w:rsidP="00E732B2">
      <w:pPr>
        <w:pStyle w:val="ListParagraph"/>
        <w:rPr>
          <w:rFonts w:cstheme="minorHAnsi"/>
          <w:lang w:val="en-GB"/>
        </w:rPr>
      </w:pPr>
    </w:p>
    <w:p w:rsidR="00E732B2" w:rsidRDefault="00E732B2" w:rsidP="00E732B2">
      <w:pPr>
        <w:pStyle w:val="ListParagraph"/>
        <w:rPr>
          <w:rFonts w:cstheme="minorHAnsi"/>
          <w:lang w:val="en-GB"/>
        </w:rPr>
      </w:pPr>
    </w:p>
    <w:p w:rsidR="00E732B2" w:rsidRDefault="00E732B2" w:rsidP="00E732B2">
      <w:pPr>
        <w:pStyle w:val="ListParagraph"/>
        <w:rPr>
          <w:rFonts w:cstheme="minorHAnsi"/>
          <w:lang w:val="en-GB"/>
        </w:rPr>
      </w:pPr>
    </w:p>
    <w:p w:rsidR="00E732B2" w:rsidRDefault="00E732B2" w:rsidP="00E732B2">
      <w:pPr>
        <w:pStyle w:val="ListParagraph"/>
        <w:rPr>
          <w:rFonts w:cstheme="minorHAnsi"/>
          <w:lang w:val="en-GB"/>
        </w:rPr>
      </w:pPr>
    </w:p>
    <w:p w:rsidR="00E732B2" w:rsidRDefault="00E732B2" w:rsidP="00E732B2">
      <w:pPr>
        <w:pStyle w:val="ListParagraph"/>
        <w:rPr>
          <w:rFonts w:cstheme="minorHAnsi"/>
          <w:lang w:val="en-GB"/>
        </w:rPr>
      </w:pPr>
    </w:p>
    <w:p w:rsidR="00E732B2" w:rsidRDefault="00E732B2" w:rsidP="00E732B2">
      <w:pPr>
        <w:pStyle w:val="ListParagraph"/>
        <w:rPr>
          <w:rFonts w:cstheme="minorHAnsi"/>
          <w:lang w:val="en-GB"/>
        </w:rPr>
      </w:pPr>
    </w:p>
    <w:p w:rsidR="00E732B2" w:rsidRDefault="00E732B2" w:rsidP="00E732B2">
      <w:pPr>
        <w:pStyle w:val="ListParagraph"/>
        <w:rPr>
          <w:rFonts w:cstheme="minorHAnsi"/>
          <w:lang w:val="en-GB"/>
        </w:rPr>
      </w:pPr>
    </w:p>
    <w:p w:rsidR="00F14C93" w:rsidRDefault="00F14C93" w:rsidP="00E732B2">
      <w:pPr>
        <w:pStyle w:val="ListParagraph"/>
        <w:rPr>
          <w:rFonts w:cstheme="minorHAnsi"/>
          <w:u w:val="single"/>
          <w:lang w:val="en-GB"/>
        </w:rPr>
      </w:pPr>
    </w:p>
    <w:p w:rsidR="00F14C93" w:rsidRDefault="00F14C93" w:rsidP="00E732B2">
      <w:pPr>
        <w:pStyle w:val="ListParagraph"/>
        <w:rPr>
          <w:rFonts w:cstheme="minorHAnsi"/>
          <w:u w:val="single"/>
          <w:lang w:val="en-GB"/>
        </w:rPr>
      </w:pPr>
    </w:p>
    <w:p w:rsidR="00F14C93" w:rsidRDefault="00F14C93" w:rsidP="00E732B2">
      <w:pPr>
        <w:pStyle w:val="ListParagraph"/>
        <w:rPr>
          <w:rFonts w:cstheme="minorHAnsi"/>
          <w:u w:val="single"/>
          <w:lang w:val="en-GB"/>
        </w:rPr>
      </w:pPr>
    </w:p>
    <w:p w:rsidR="00F14C93" w:rsidRDefault="00F14C93" w:rsidP="00E732B2">
      <w:pPr>
        <w:pStyle w:val="ListParagraph"/>
        <w:rPr>
          <w:rFonts w:cstheme="minorHAnsi"/>
          <w:u w:val="single"/>
          <w:lang w:val="en-GB"/>
        </w:rPr>
      </w:pPr>
    </w:p>
    <w:p w:rsidR="00F14C93" w:rsidRDefault="00F14C93" w:rsidP="00E732B2">
      <w:pPr>
        <w:pStyle w:val="ListParagraph"/>
        <w:rPr>
          <w:rFonts w:cstheme="minorHAnsi"/>
          <w:u w:val="single"/>
          <w:lang w:val="en-GB"/>
        </w:rPr>
      </w:pPr>
    </w:p>
    <w:p w:rsidR="00D72879" w:rsidRPr="00E732B2" w:rsidRDefault="00E732B2" w:rsidP="00E732B2">
      <w:pPr>
        <w:pStyle w:val="ListParagraph"/>
        <w:rPr>
          <w:rFonts w:cstheme="minorHAnsi"/>
          <w:u w:val="single"/>
          <w:lang w:val="en-GB"/>
        </w:rPr>
      </w:pPr>
      <w:r w:rsidRPr="00E732B2">
        <w:rPr>
          <w:rFonts w:cstheme="minorHAnsi"/>
          <w:u w:val="single"/>
          <w:lang w:val="en-GB"/>
        </w:rPr>
        <w:lastRenderedPageBreak/>
        <w:t xml:space="preserve">Academic </w:t>
      </w:r>
      <w:r w:rsidR="00EC520B" w:rsidRPr="00E732B2">
        <w:rPr>
          <w:rFonts w:cstheme="minorHAnsi"/>
          <w:u w:val="single"/>
          <w:lang w:val="en-GB"/>
        </w:rPr>
        <w:t>References</w:t>
      </w:r>
      <w:r w:rsidRPr="00E732B2">
        <w:rPr>
          <w:rFonts w:cstheme="minorHAnsi"/>
          <w:u w:val="single"/>
          <w:lang w:val="en-GB"/>
        </w:rPr>
        <w:t>:</w:t>
      </w:r>
    </w:p>
    <w:p w:rsidR="00D72879" w:rsidRPr="00E14484" w:rsidRDefault="00D72879" w:rsidP="00D72879">
      <w:pPr>
        <w:pStyle w:val="ListParagraph"/>
        <w:rPr>
          <w:rFonts w:cstheme="minorHAnsi"/>
          <w:lang w:val="en-GB"/>
        </w:rPr>
      </w:pPr>
    </w:p>
    <w:p w:rsidR="00D72879" w:rsidRPr="00E14484" w:rsidRDefault="00D72879" w:rsidP="00D72879">
      <w:pPr>
        <w:pStyle w:val="ListParagraph"/>
        <w:rPr>
          <w:rFonts w:cstheme="minorHAnsi"/>
          <w:lang w:val="en-GB"/>
        </w:rPr>
      </w:pPr>
      <w:proofErr w:type="spellStart"/>
      <w:r w:rsidRPr="00E14484">
        <w:rPr>
          <w:rFonts w:cstheme="minorHAnsi"/>
          <w:lang w:val="en-GB"/>
        </w:rPr>
        <w:t>Atiyah</w:t>
      </w:r>
      <w:proofErr w:type="spellEnd"/>
      <w:r w:rsidRPr="00E14484">
        <w:rPr>
          <w:rFonts w:cstheme="minorHAnsi"/>
          <w:lang w:val="en-GB"/>
        </w:rPr>
        <w:t xml:space="preserve">, P.S. (1985) </w:t>
      </w:r>
      <w:proofErr w:type="gramStart"/>
      <w:r w:rsidRPr="00E14484">
        <w:rPr>
          <w:rFonts w:cstheme="minorHAnsi"/>
          <w:i/>
          <w:lang w:val="en-GB"/>
        </w:rPr>
        <w:t>The</w:t>
      </w:r>
      <w:proofErr w:type="gramEnd"/>
      <w:r w:rsidRPr="00E14484">
        <w:rPr>
          <w:rFonts w:cstheme="minorHAnsi"/>
          <w:i/>
          <w:lang w:val="en-GB"/>
        </w:rPr>
        <w:t xml:space="preserve"> Rise and Fall of the Freedom of Contract </w:t>
      </w:r>
      <w:r w:rsidRPr="00E14484">
        <w:rPr>
          <w:rFonts w:cstheme="minorHAnsi"/>
          <w:lang w:val="en-GB"/>
        </w:rPr>
        <w:t>Oxford: Clarendon Press</w:t>
      </w:r>
    </w:p>
    <w:p w:rsidR="00F5087C" w:rsidRPr="00E14484" w:rsidRDefault="00F5087C" w:rsidP="00D72879">
      <w:pPr>
        <w:pStyle w:val="ListParagraph"/>
        <w:rPr>
          <w:rFonts w:cstheme="minorHAnsi"/>
          <w:lang w:val="en-GB"/>
        </w:rPr>
      </w:pPr>
      <w:proofErr w:type="spellStart"/>
      <w:r w:rsidRPr="00E14484">
        <w:rPr>
          <w:rFonts w:cstheme="minorHAnsi"/>
          <w:lang w:val="en-GB"/>
        </w:rPr>
        <w:t>Aylott</w:t>
      </w:r>
      <w:proofErr w:type="spellEnd"/>
      <w:r w:rsidRPr="00E14484">
        <w:rPr>
          <w:rFonts w:cstheme="minorHAnsi"/>
          <w:lang w:val="en-GB"/>
        </w:rPr>
        <w:t xml:space="preserve">, E. (2018) </w:t>
      </w:r>
      <w:proofErr w:type="spellStart"/>
      <w:r w:rsidRPr="00E14484">
        <w:rPr>
          <w:rFonts w:cstheme="minorHAnsi"/>
          <w:i/>
          <w:lang w:val="en-GB"/>
        </w:rPr>
        <w:t>Employement</w:t>
      </w:r>
      <w:proofErr w:type="spellEnd"/>
      <w:r w:rsidRPr="00E14484">
        <w:rPr>
          <w:rFonts w:cstheme="minorHAnsi"/>
          <w:i/>
          <w:lang w:val="en-GB"/>
        </w:rPr>
        <w:t xml:space="preserve"> Law: A practical Introduction</w:t>
      </w:r>
      <w:r w:rsidRPr="00E14484">
        <w:rPr>
          <w:rFonts w:cstheme="minorHAnsi"/>
          <w:lang w:val="en-GB"/>
        </w:rPr>
        <w:t xml:space="preserve"> London: </w:t>
      </w:r>
      <w:proofErr w:type="spellStart"/>
      <w:r w:rsidRPr="00E14484">
        <w:rPr>
          <w:rFonts w:cstheme="minorHAnsi"/>
          <w:lang w:val="en-GB"/>
        </w:rPr>
        <w:t>Kogan</w:t>
      </w:r>
      <w:proofErr w:type="spellEnd"/>
      <w:r w:rsidRPr="00E14484">
        <w:rPr>
          <w:rFonts w:cstheme="minorHAnsi"/>
          <w:lang w:val="en-GB"/>
        </w:rPr>
        <w:t xml:space="preserve"> Page</w:t>
      </w:r>
    </w:p>
    <w:p w:rsidR="00D72879" w:rsidRPr="0060347A" w:rsidRDefault="00E25EBE" w:rsidP="0060347A">
      <w:pPr>
        <w:pStyle w:val="ListParagraph"/>
        <w:rPr>
          <w:rFonts w:cstheme="minorHAnsi"/>
          <w:lang w:val="en-GB"/>
        </w:rPr>
      </w:pPr>
      <w:r w:rsidRPr="00E14484">
        <w:rPr>
          <w:rFonts w:cstheme="minorHAnsi"/>
          <w:lang w:val="en-GB"/>
        </w:rPr>
        <w:t xml:space="preserve">Burnham, S.J. and </w:t>
      </w:r>
      <w:proofErr w:type="spellStart"/>
      <w:r w:rsidRPr="00E14484">
        <w:rPr>
          <w:rFonts w:cstheme="minorHAnsi"/>
          <w:lang w:val="en-GB"/>
        </w:rPr>
        <w:t>Kraynak</w:t>
      </w:r>
      <w:proofErr w:type="spellEnd"/>
      <w:r w:rsidRPr="00E14484">
        <w:rPr>
          <w:rFonts w:cstheme="minorHAnsi"/>
          <w:lang w:val="en-GB"/>
        </w:rPr>
        <w:t xml:space="preserve">, J. (2011) </w:t>
      </w:r>
      <w:r w:rsidRPr="00E14484">
        <w:rPr>
          <w:rFonts w:cstheme="minorHAnsi"/>
          <w:i/>
          <w:lang w:val="en-GB"/>
        </w:rPr>
        <w:t xml:space="preserve">Contract Law for Dummies </w:t>
      </w:r>
      <w:r w:rsidRPr="00E14484">
        <w:rPr>
          <w:rFonts w:cstheme="minorHAnsi"/>
          <w:lang w:val="en-GB"/>
        </w:rPr>
        <w:t>New York: Willey</w:t>
      </w:r>
    </w:p>
    <w:p w:rsidR="003804DB" w:rsidRPr="00E14484" w:rsidRDefault="003804DB" w:rsidP="00D72879">
      <w:pPr>
        <w:pStyle w:val="ListParagraph"/>
        <w:rPr>
          <w:rFonts w:cstheme="minorHAnsi"/>
          <w:lang w:val="en-GB"/>
        </w:rPr>
      </w:pPr>
      <w:r w:rsidRPr="00E14484">
        <w:rPr>
          <w:rFonts w:cstheme="minorHAnsi"/>
          <w:lang w:val="en-GB"/>
        </w:rPr>
        <w:t>Chartered Institute of Personnel and De</w:t>
      </w:r>
      <w:r w:rsidR="00D6118E" w:rsidRPr="00E14484">
        <w:rPr>
          <w:rFonts w:cstheme="minorHAnsi"/>
          <w:lang w:val="en-GB"/>
        </w:rPr>
        <w:t xml:space="preserve">velopment (2021) </w:t>
      </w:r>
      <w:proofErr w:type="spellStart"/>
      <w:r w:rsidR="00D6118E" w:rsidRPr="00E14484">
        <w:rPr>
          <w:rFonts w:cstheme="minorHAnsi"/>
          <w:i/>
          <w:lang w:val="en-GB"/>
        </w:rPr>
        <w:t>Employement</w:t>
      </w:r>
      <w:proofErr w:type="spellEnd"/>
      <w:r w:rsidR="00D6118E" w:rsidRPr="00E14484">
        <w:rPr>
          <w:rFonts w:cstheme="minorHAnsi"/>
          <w:i/>
          <w:lang w:val="en-GB"/>
        </w:rPr>
        <w:t xml:space="preserve"> Law </w:t>
      </w:r>
      <w:r w:rsidR="00D6118E" w:rsidRPr="00E14484">
        <w:rPr>
          <w:rFonts w:cstheme="minorHAnsi"/>
          <w:lang w:val="en-GB"/>
        </w:rPr>
        <w:t xml:space="preserve">Available at: </w:t>
      </w:r>
      <w:r w:rsidR="00292D5C">
        <w:fldChar w:fldCharType="begin"/>
      </w:r>
      <w:r w:rsidR="00292D5C" w:rsidRPr="00982A55">
        <w:rPr>
          <w:lang w:val="en-GB"/>
        </w:rPr>
        <w:instrText xml:space="preserve"> HYPERLINK "https://www.cipd.co.uk/knowledge/fundamentals/emp-law" </w:instrText>
      </w:r>
      <w:r w:rsidR="00292D5C">
        <w:fldChar w:fldCharType="separate"/>
      </w:r>
      <w:r w:rsidR="00D6118E" w:rsidRPr="00E14484">
        <w:rPr>
          <w:rStyle w:val="Hyperlink"/>
          <w:rFonts w:cstheme="minorHAnsi"/>
          <w:lang w:val="en-GB"/>
        </w:rPr>
        <w:t>https://www.cipd.co.uk/knowledge/fundamentals/emp-law</w:t>
      </w:r>
      <w:r w:rsidR="00292D5C">
        <w:rPr>
          <w:rStyle w:val="Hyperlink"/>
          <w:rFonts w:cstheme="minorHAnsi"/>
          <w:lang w:val="en-GB"/>
        </w:rPr>
        <w:fldChar w:fldCharType="end"/>
      </w:r>
      <w:r w:rsidR="00D6118E" w:rsidRPr="00E14484">
        <w:rPr>
          <w:rFonts w:cstheme="minorHAnsi"/>
          <w:lang w:val="en-GB"/>
        </w:rPr>
        <w:t xml:space="preserve"> (Accessed: 5</w:t>
      </w:r>
      <w:r w:rsidR="00D6118E" w:rsidRPr="00E14484">
        <w:rPr>
          <w:rFonts w:cstheme="minorHAnsi"/>
          <w:vertAlign w:val="superscript"/>
          <w:lang w:val="en-GB"/>
        </w:rPr>
        <w:t>th</w:t>
      </w:r>
      <w:r w:rsidR="00D6118E" w:rsidRPr="00E14484">
        <w:rPr>
          <w:rFonts w:cstheme="minorHAnsi"/>
          <w:lang w:val="en-GB"/>
        </w:rPr>
        <w:t xml:space="preserve"> February 2021)</w:t>
      </w:r>
    </w:p>
    <w:p w:rsidR="007C05E1" w:rsidRPr="00E14484" w:rsidRDefault="007C05E1" w:rsidP="00D72879">
      <w:pPr>
        <w:pStyle w:val="ListParagraph"/>
        <w:rPr>
          <w:rFonts w:cstheme="minorHAnsi"/>
          <w:i/>
          <w:lang w:val="en-GB"/>
        </w:rPr>
      </w:pPr>
      <w:proofErr w:type="gramStart"/>
      <w:r w:rsidRPr="00E14484">
        <w:rPr>
          <w:rFonts w:cstheme="minorHAnsi"/>
          <w:lang w:val="en-GB"/>
        </w:rPr>
        <w:t xml:space="preserve">Cornell Law School (2021) </w:t>
      </w:r>
      <w:r w:rsidRPr="00E14484">
        <w:rPr>
          <w:rFonts w:cstheme="minorHAnsi"/>
          <w:i/>
          <w:lang w:val="en-GB"/>
        </w:rPr>
        <w:t>Unilateral Contract</w:t>
      </w:r>
      <w:r w:rsidR="005F119C" w:rsidRPr="00E14484">
        <w:rPr>
          <w:rFonts w:cstheme="minorHAnsi"/>
          <w:lang w:val="en-GB"/>
        </w:rPr>
        <w:t>.</w:t>
      </w:r>
      <w:proofErr w:type="gramEnd"/>
      <w:r w:rsidR="005F119C" w:rsidRPr="00E14484">
        <w:rPr>
          <w:rFonts w:cstheme="minorHAnsi"/>
          <w:lang w:val="en-GB"/>
        </w:rPr>
        <w:t xml:space="preserve"> Available at: </w:t>
      </w:r>
      <w:r w:rsidR="00292D5C">
        <w:fldChar w:fldCharType="begin"/>
      </w:r>
      <w:r w:rsidR="00292D5C" w:rsidRPr="00982A55">
        <w:rPr>
          <w:lang w:val="en-GB"/>
        </w:rPr>
        <w:instrText xml:space="preserve"> HYPERLINK "https://www.law.cornell.edu/wex/unilateral_contract" </w:instrText>
      </w:r>
      <w:r w:rsidR="00292D5C">
        <w:fldChar w:fldCharType="separate"/>
      </w:r>
      <w:r w:rsidR="005F119C" w:rsidRPr="00E14484">
        <w:rPr>
          <w:rStyle w:val="Hyperlink"/>
          <w:rFonts w:cstheme="minorHAnsi"/>
          <w:lang w:val="en-GB"/>
        </w:rPr>
        <w:t>https://www.law.cornell.edu/wex/unilateral_contract</w:t>
      </w:r>
      <w:r w:rsidR="00292D5C">
        <w:rPr>
          <w:rStyle w:val="Hyperlink"/>
          <w:rFonts w:cstheme="minorHAnsi"/>
          <w:lang w:val="en-GB"/>
        </w:rPr>
        <w:fldChar w:fldCharType="end"/>
      </w:r>
      <w:r w:rsidR="005F119C" w:rsidRPr="00E14484">
        <w:rPr>
          <w:rFonts w:cstheme="minorHAnsi"/>
          <w:lang w:val="en-GB"/>
        </w:rPr>
        <w:t xml:space="preserve"> (Accessed: 6 February 2021)</w:t>
      </w:r>
      <w:r w:rsidR="005F119C" w:rsidRPr="00E14484">
        <w:rPr>
          <w:rFonts w:cstheme="minorHAnsi"/>
          <w:i/>
          <w:lang w:val="en-GB"/>
        </w:rPr>
        <w:t xml:space="preserve"> </w:t>
      </w:r>
    </w:p>
    <w:p w:rsidR="00B84A18" w:rsidRPr="00E14484" w:rsidRDefault="00B84A18" w:rsidP="00D72879">
      <w:pPr>
        <w:pStyle w:val="ListParagraph"/>
        <w:rPr>
          <w:rFonts w:cstheme="minorHAnsi"/>
          <w:lang w:val="en-GB"/>
        </w:rPr>
      </w:pPr>
      <w:r w:rsidRPr="00E14484">
        <w:rPr>
          <w:rFonts w:cstheme="minorHAnsi"/>
          <w:lang w:val="en-GB"/>
        </w:rPr>
        <w:t xml:space="preserve">Cornell Law School (2021) </w:t>
      </w:r>
      <w:r w:rsidRPr="00E14484">
        <w:rPr>
          <w:rFonts w:cstheme="minorHAnsi"/>
          <w:i/>
          <w:lang w:val="en-GB"/>
        </w:rPr>
        <w:t xml:space="preserve">Quantum </w:t>
      </w:r>
      <w:proofErr w:type="spellStart"/>
      <w:r w:rsidRPr="00E14484">
        <w:rPr>
          <w:rFonts w:cstheme="minorHAnsi"/>
          <w:i/>
          <w:lang w:val="en-GB"/>
        </w:rPr>
        <w:t>Meruit</w:t>
      </w:r>
      <w:proofErr w:type="spellEnd"/>
      <w:r w:rsidRPr="00E14484">
        <w:rPr>
          <w:rFonts w:cstheme="minorHAnsi"/>
          <w:i/>
          <w:lang w:val="en-GB"/>
        </w:rPr>
        <w:t xml:space="preserve"> </w:t>
      </w:r>
      <w:r w:rsidRPr="00E14484">
        <w:rPr>
          <w:rFonts w:cstheme="minorHAnsi"/>
          <w:lang w:val="en-GB"/>
        </w:rPr>
        <w:t xml:space="preserve">Available at: </w:t>
      </w:r>
      <w:r w:rsidR="00292D5C">
        <w:fldChar w:fldCharType="begin"/>
      </w:r>
      <w:r w:rsidR="00292D5C" w:rsidRPr="00982A55">
        <w:rPr>
          <w:lang w:val="en-GB"/>
        </w:rPr>
        <w:instrText xml:space="preserve"> HYPERLINK "https://www.law.cornell.edu/wex/quantum_meruit" </w:instrText>
      </w:r>
      <w:r w:rsidR="00292D5C">
        <w:fldChar w:fldCharType="separate"/>
      </w:r>
      <w:r w:rsidRPr="00E14484">
        <w:rPr>
          <w:rStyle w:val="Hyperlink"/>
          <w:rFonts w:cstheme="minorHAnsi"/>
          <w:lang w:val="en-GB"/>
        </w:rPr>
        <w:t>https://www.law.cornell.edu/wex/quantum_meruit</w:t>
      </w:r>
      <w:r w:rsidR="00292D5C">
        <w:rPr>
          <w:rStyle w:val="Hyperlink"/>
          <w:rFonts w:cstheme="minorHAnsi"/>
          <w:lang w:val="en-GB"/>
        </w:rPr>
        <w:fldChar w:fldCharType="end"/>
      </w:r>
      <w:r w:rsidRPr="00E14484">
        <w:rPr>
          <w:rFonts w:cstheme="minorHAnsi"/>
          <w:lang w:val="en-GB"/>
        </w:rPr>
        <w:t xml:space="preserve"> (Accessed 6th February 2021)</w:t>
      </w:r>
    </w:p>
    <w:p w:rsidR="0070294B" w:rsidRDefault="0070294B" w:rsidP="00D72879">
      <w:pPr>
        <w:pStyle w:val="ListParagraph"/>
        <w:rPr>
          <w:rFonts w:cstheme="minorHAnsi"/>
          <w:lang w:val="en-GB"/>
        </w:rPr>
      </w:pPr>
      <w:proofErr w:type="spellStart"/>
      <w:r w:rsidRPr="00E14484">
        <w:rPr>
          <w:rFonts w:cstheme="minorHAnsi"/>
          <w:lang w:val="en-GB"/>
        </w:rPr>
        <w:t>Fifinski</w:t>
      </w:r>
      <w:proofErr w:type="spellEnd"/>
      <w:r w:rsidRPr="00E14484">
        <w:rPr>
          <w:rFonts w:cstheme="minorHAnsi"/>
          <w:lang w:val="en-GB"/>
        </w:rPr>
        <w:t xml:space="preserve">, S. and Finch, E. (2010) </w:t>
      </w:r>
      <w:r w:rsidRPr="00E14484">
        <w:rPr>
          <w:rFonts w:cstheme="minorHAnsi"/>
          <w:i/>
          <w:lang w:val="en-GB"/>
        </w:rPr>
        <w:t xml:space="preserve">Contract Law </w:t>
      </w:r>
      <w:r w:rsidRPr="00E14484">
        <w:rPr>
          <w:rFonts w:cstheme="minorHAnsi"/>
          <w:lang w:val="en-GB"/>
        </w:rPr>
        <w:t>Harlow: Pearson</w:t>
      </w:r>
    </w:p>
    <w:p w:rsidR="00A07D44" w:rsidRPr="00A07D44" w:rsidRDefault="00A07D44" w:rsidP="00D72879">
      <w:pPr>
        <w:pStyle w:val="ListParagraph"/>
        <w:rPr>
          <w:rFonts w:cstheme="minorHAnsi"/>
          <w:lang w:val="en-GB"/>
        </w:rPr>
      </w:pPr>
      <w:proofErr w:type="spellStart"/>
      <w:r>
        <w:rPr>
          <w:rFonts w:cstheme="minorHAnsi"/>
          <w:lang w:val="en-GB"/>
        </w:rPr>
        <w:t>Hujo</w:t>
      </w:r>
      <w:proofErr w:type="spellEnd"/>
      <w:r>
        <w:rPr>
          <w:rFonts w:cstheme="minorHAnsi"/>
          <w:lang w:val="en-GB"/>
        </w:rPr>
        <w:t xml:space="preserve">, P. (2006) </w:t>
      </w:r>
      <w:proofErr w:type="gramStart"/>
      <w:r>
        <w:rPr>
          <w:rFonts w:cstheme="minorHAnsi"/>
          <w:i/>
          <w:lang w:val="en-GB"/>
        </w:rPr>
        <w:t>The</w:t>
      </w:r>
      <w:proofErr w:type="gramEnd"/>
      <w:r>
        <w:rPr>
          <w:rFonts w:cstheme="minorHAnsi"/>
          <w:i/>
          <w:lang w:val="en-GB"/>
        </w:rPr>
        <w:t xml:space="preserve"> Doctrine of Intention to Create Legal Relations </w:t>
      </w:r>
      <w:r>
        <w:rPr>
          <w:rFonts w:cstheme="minorHAnsi"/>
          <w:lang w:val="en-GB"/>
        </w:rPr>
        <w:t xml:space="preserve">Dresden: GRIN </w:t>
      </w:r>
      <w:proofErr w:type="spellStart"/>
      <w:r>
        <w:rPr>
          <w:rFonts w:cstheme="minorHAnsi"/>
          <w:lang w:val="en-GB"/>
        </w:rPr>
        <w:t>Verlag</w:t>
      </w:r>
      <w:proofErr w:type="spellEnd"/>
    </w:p>
    <w:p w:rsidR="00CD6805" w:rsidRPr="00E14484" w:rsidRDefault="00706742" w:rsidP="00CD6805">
      <w:pPr>
        <w:pStyle w:val="ListParagraph"/>
        <w:rPr>
          <w:rFonts w:cstheme="minorHAnsi"/>
          <w:lang w:val="en-GB"/>
        </w:rPr>
      </w:pPr>
      <w:r w:rsidRPr="00E14484">
        <w:rPr>
          <w:rFonts w:cstheme="minorHAnsi"/>
          <w:lang w:val="en-GB"/>
        </w:rPr>
        <w:t xml:space="preserve">Lewis, D. and Sergeant, M. (2019) </w:t>
      </w:r>
      <w:proofErr w:type="spellStart"/>
      <w:r w:rsidRPr="00E14484">
        <w:rPr>
          <w:rFonts w:cstheme="minorHAnsi"/>
          <w:i/>
          <w:lang w:val="en-GB"/>
        </w:rPr>
        <w:t>Employement</w:t>
      </w:r>
      <w:proofErr w:type="spellEnd"/>
      <w:r w:rsidRPr="00E14484">
        <w:rPr>
          <w:rFonts w:cstheme="minorHAnsi"/>
          <w:i/>
          <w:lang w:val="en-GB"/>
        </w:rPr>
        <w:t xml:space="preserve"> Law: The </w:t>
      </w:r>
      <w:proofErr w:type="spellStart"/>
      <w:r w:rsidRPr="00E14484">
        <w:rPr>
          <w:rFonts w:cstheme="minorHAnsi"/>
          <w:i/>
          <w:lang w:val="en-GB"/>
        </w:rPr>
        <w:t>Essencials</w:t>
      </w:r>
      <w:proofErr w:type="spellEnd"/>
      <w:r w:rsidRPr="00E14484">
        <w:rPr>
          <w:rFonts w:cstheme="minorHAnsi"/>
          <w:i/>
          <w:lang w:val="en-GB"/>
        </w:rPr>
        <w:t xml:space="preserve"> </w:t>
      </w:r>
      <w:r w:rsidRPr="00E14484">
        <w:rPr>
          <w:rFonts w:cstheme="minorHAnsi"/>
          <w:lang w:val="en-GB"/>
        </w:rPr>
        <w:t xml:space="preserve">London: </w:t>
      </w:r>
      <w:proofErr w:type="spellStart"/>
      <w:r w:rsidRPr="00E14484">
        <w:rPr>
          <w:rFonts w:cstheme="minorHAnsi"/>
          <w:lang w:val="en-GB"/>
        </w:rPr>
        <w:t>Kogan</w:t>
      </w:r>
      <w:proofErr w:type="spellEnd"/>
      <w:r w:rsidRPr="00E14484">
        <w:rPr>
          <w:rFonts w:cstheme="minorHAnsi"/>
          <w:lang w:val="en-GB"/>
        </w:rPr>
        <w:t xml:space="preserve"> Page</w:t>
      </w:r>
    </w:p>
    <w:p w:rsidR="001B4ED8" w:rsidRPr="00E14484" w:rsidRDefault="001B4ED8" w:rsidP="00CD6805">
      <w:pPr>
        <w:pStyle w:val="ListParagraph"/>
        <w:rPr>
          <w:rFonts w:cstheme="minorHAnsi"/>
          <w:lang w:val="en-GB"/>
        </w:rPr>
      </w:pPr>
      <w:proofErr w:type="spellStart"/>
      <w:r w:rsidRPr="00E14484">
        <w:rPr>
          <w:rFonts w:cstheme="minorHAnsi"/>
          <w:lang w:val="en-GB"/>
        </w:rPr>
        <w:t>Lewison</w:t>
      </w:r>
      <w:proofErr w:type="spellEnd"/>
      <w:r w:rsidRPr="00E14484">
        <w:rPr>
          <w:rFonts w:cstheme="minorHAnsi"/>
          <w:lang w:val="en-GB"/>
        </w:rPr>
        <w:t xml:space="preserve">, K. (2013) </w:t>
      </w:r>
      <w:proofErr w:type="gramStart"/>
      <w:r w:rsidRPr="00E14484">
        <w:rPr>
          <w:rFonts w:cstheme="minorHAnsi"/>
          <w:i/>
          <w:lang w:val="en-GB"/>
        </w:rPr>
        <w:t>The</w:t>
      </w:r>
      <w:proofErr w:type="gramEnd"/>
      <w:r w:rsidRPr="00E14484">
        <w:rPr>
          <w:rFonts w:cstheme="minorHAnsi"/>
          <w:i/>
          <w:lang w:val="en-GB"/>
        </w:rPr>
        <w:t xml:space="preserve"> Interpretation of Contracts </w:t>
      </w:r>
      <w:r w:rsidRPr="00E14484">
        <w:rPr>
          <w:rFonts w:cstheme="minorHAnsi"/>
          <w:lang w:val="en-GB"/>
        </w:rPr>
        <w:t>London: Sweet and Maxwell Limited</w:t>
      </w:r>
    </w:p>
    <w:p w:rsidR="00174145" w:rsidRPr="00E14484" w:rsidRDefault="00174145" w:rsidP="00CD6805">
      <w:pPr>
        <w:pStyle w:val="ListParagraph"/>
        <w:rPr>
          <w:rFonts w:cstheme="minorHAnsi"/>
          <w:lang w:val="en-GB"/>
        </w:rPr>
      </w:pPr>
      <w:r w:rsidRPr="00E14484">
        <w:rPr>
          <w:rFonts w:cstheme="minorHAnsi"/>
          <w:lang w:val="en-GB"/>
        </w:rPr>
        <w:t xml:space="preserve">Liao, W. (2015) </w:t>
      </w:r>
      <w:proofErr w:type="gramStart"/>
      <w:r w:rsidRPr="00E14484">
        <w:rPr>
          <w:rFonts w:cstheme="minorHAnsi"/>
          <w:i/>
          <w:lang w:val="en-GB"/>
        </w:rPr>
        <w:t>The</w:t>
      </w:r>
      <w:proofErr w:type="gramEnd"/>
      <w:r w:rsidRPr="00E14484">
        <w:rPr>
          <w:rFonts w:cstheme="minorHAnsi"/>
          <w:i/>
          <w:lang w:val="en-GB"/>
        </w:rPr>
        <w:t xml:space="preserve"> Application of the Theory of Efficient Breach in Contract Law </w:t>
      </w:r>
      <w:r w:rsidRPr="00E14484">
        <w:rPr>
          <w:rFonts w:cstheme="minorHAnsi"/>
          <w:lang w:val="en-GB"/>
        </w:rPr>
        <w:t xml:space="preserve">Cambridge: </w:t>
      </w:r>
      <w:proofErr w:type="spellStart"/>
      <w:r w:rsidRPr="00E14484">
        <w:rPr>
          <w:rFonts w:cstheme="minorHAnsi"/>
          <w:lang w:val="en-GB"/>
        </w:rPr>
        <w:t>Intersentia</w:t>
      </w:r>
      <w:proofErr w:type="spellEnd"/>
    </w:p>
    <w:p w:rsidR="003850E0" w:rsidRPr="00E14484" w:rsidRDefault="003850E0" w:rsidP="00D72879">
      <w:pPr>
        <w:pStyle w:val="ListParagraph"/>
        <w:rPr>
          <w:rFonts w:cstheme="minorHAnsi"/>
          <w:lang w:val="en-GB"/>
        </w:rPr>
      </w:pPr>
      <w:proofErr w:type="spellStart"/>
      <w:r w:rsidRPr="00E14484">
        <w:rPr>
          <w:rFonts w:cstheme="minorHAnsi"/>
          <w:lang w:val="en-GB"/>
        </w:rPr>
        <w:t>Marson</w:t>
      </w:r>
      <w:proofErr w:type="spellEnd"/>
      <w:r w:rsidRPr="00E14484">
        <w:rPr>
          <w:rFonts w:cstheme="minorHAnsi"/>
          <w:lang w:val="en-GB"/>
        </w:rPr>
        <w:t xml:space="preserve">, J. and Ferris, K. (2020) </w:t>
      </w:r>
      <w:r w:rsidRPr="00E14484">
        <w:rPr>
          <w:rFonts w:cstheme="minorHAnsi"/>
          <w:i/>
          <w:lang w:val="en-GB"/>
        </w:rPr>
        <w:t xml:space="preserve">Business Law </w:t>
      </w:r>
      <w:r w:rsidRPr="00E14484">
        <w:rPr>
          <w:rFonts w:cstheme="minorHAnsi"/>
          <w:lang w:val="en-GB"/>
        </w:rPr>
        <w:t>Oxford: Oxford University Press</w:t>
      </w:r>
    </w:p>
    <w:p w:rsidR="00CD6805" w:rsidRPr="00E14484" w:rsidRDefault="00CD6805" w:rsidP="00D72879">
      <w:pPr>
        <w:pStyle w:val="ListParagraph"/>
        <w:rPr>
          <w:rFonts w:cstheme="minorHAnsi"/>
          <w:lang w:val="en-GB"/>
        </w:rPr>
      </w:pPr>
      <w:proofErr w:type="spellStart"/>
      <w:r w:rsidRPr="00E14484">
        <w:rPr>
          <w:rFonts w:cstheme="minorHAnsi"/>
          <w:lang w:val="en-GB"/>
        </w:rPr>
        <w:t>McKendrick</w:t>
      </w:r>
      <w:proofErr w:type="spellEnd"/>
      <w:r w:rsidRPr="00E14484">
        <w:rPr>
          <w:rFonts w:cstheme="minorHAnsi"/>
          <w:lang w:val="en-GB"/>
        </w:rPr>
        <w:t xml:space="preserve">, E. (2020) </w:t>
      </w:r>
      <w:r w:rsidRPr="00E14484">
        <w:rPr>
          <w:rFonts w:cstheme="minorHAnsi"/>
          <w:i/>
          <w:lang w:val="en-GB"/>
        </w:rPr>
        <w:t xml:space="preserve">Contract Law: Text, Cases and materials </w:t>
      </w:r>
      <w:r w:rsidRPr="00E14484">
        <w:rPr>
          <w:rFonts w:cstheme="minorHAnsi"/>
          <w:lang w:val="en-GB"/>
        </w:rPr>
        <w:t>Oxford: Oxford University Press</w:t>
      </w:r>
    </w:p>
    <w:p w:rsidR="006D761A" w:rsidRPr="00E14484" w:rsidRDefault="006D761A" w:rsidP="00D72879">
      <w:pPr>
        <w:pStyle w:val="ListParagraph"/>
        <w:rPr>
          <w:rFonts w:cstheme="minorHAnsi"/>
          <w:lang w:val="en-GB"/>
        </w:rPr>
      </w:pPr>
      <w:r w:rsidRPr="00E14484">
        <w:rPr>
          <w:rFonts w:cstheme="minorHAnsi"/>
          <w:lang w:val="en-GB"/>
        </w:rPr>
        <w:t xml:space="preserve">Murray, R. (2014) </w:t>
      </w:r>
      <w:r w:rsidRPr="00E14484">
        <w:rPr>
          <w:rFonts w:cstheme="minorHAnsi"/>
          <w:i/>
          <w:lang w:val="en-GB"/>
        </w:rPr>
        <w:t xml:space="preserve">Contract Law: The Fundamentals </w:t>
      </w:r>
      <w:r w:rsidRPr="00E14484">
        <w:rPr>
          <w:rFonts w:cstheme="minorHAnsi"/>
          <w:lang w:val="en-GB"/>
        </w:rPr>
        <w:t>London: Sweet and Maxwell</w:t>
      </w:r>
    </w:p>
    <w:p w:rsidR="00136329" w:rsidRDefault="00136329" w:rsidP="00D72879">
      <w:pPr>
        <w:pStyle w:val="ListParagraph"/>
        <w:rPr>
          <w:rFonts w:cstheme="minorHAnsi"/>
          <w:lang w:val="en-GB"/>
        </w:rPr>
      </w:pPr>
      <w:proofErr w:type="spellStart"/>
      <w:r w:rsidRPr="00E14484">
        <w:rPr>
          <w:rFonts w:cstheme="minorHAnsi"/>
          <w:lang w:val="en-GB"/>
        </w:rPr>
        <w:t>Mulcahy</w:t>
      </w:r>
      <w:proofErr w:type="spellEnd"/>
      <w:r w:rsidRPr="00E14484">
        <w:rPr>
          <w:rFonts w:cstheme="minorHAnsi"/>
          <w:lang w:val="en-GB"/>
        </w:rPr>
        <w:t xml:space="preserve">, L. and </w:t>
      </w:r>
      <w:proofErr w:type="spellStart"/>
      <w:r w:rsidRPr="00E14484">
        <w:rPr>
          <w:rFonts w:cstheme="minorHAnsi"/>
          <w:lang w:val="en-GB"/>
        </w:rPr>
        <w:t>Tillotson</w:t>
      </w:r>
      <w:proofErr w:type="spellEnd"/>
      <w:r w:rsidRPr="00E14484">
        <w:rPr>
          <w:rFonts w:cstheme="minorHAnsi"/>
          <w:lang w:val="en-GB"/>
        </w:rPr>
        <w:t xml:space="preserve">, J. (2004) </w:t>
      </w:r>
      <w:r w:rsidRPr="00E14484">
        <w:rPr>
          <w:rFonts w:cstheme="minorHAnsi"/>
          <w:i/>
          <w:lang w:val="en-GB"/>
        </w:rPr>
        <w:t>Contract Law in Perspective</w:t>
      </w:r>
      <w:r w:rsidRPr="00E14484">
        <w:rPr>
          <w:rFonts w:cstheme="minorHAnsi"/>
          <w:lang w:val="en-GB"/>
        </w:rPr>
        <w:t xml:space="preserve"> London: Cavendish Publishing Limited</w:t>
      </w:r>
    </w:p>
    <w:p w:rsidR="002144A7" w:rsidRPr="002144A7" w:rsidRDefault="002144A7" w:rsidP="00D72879">
      <w:pPr>
        <w:pStyle w:val="ListParagraph"/>
        <w:rPr>
          <w:rFonts w:cstheme="minorHAnsi"/>
          <w:lang w:val="en-GB"/>
        </w:rPr>
      </w:pPr>
      <w:r>
        <w:rPr>
          <w:rFonts w:cstheme="minorHAnsi"/>
          <w:lang w:val="en-GB"/>
        </w:rPr>
        <w:t xml:space="preserve">Poole, J. (2001) </w:t>
      </w:r>
      <w:r>
        <w:rPr>
          <w:rFonts w:cstheme="minorHAnsi"/>
          <w:i/>
          <w:lang w:val="en-GB"/>
        </w:rPr>
        <w:t xml:space="preserve">Casebook of Contract </w:t>
      </w:r>
      <w:r w:rsidR="00A07D44">
        <w:rPr>
          <w:rFonts w:cstheme="minorHAnsi"/>
          <w:lang w:val="en-GB"/>
        </w:rPr>
        <w:t>New York: Blackstone</w:t>
      </w:r>
    </w:p>
    <w:p w:rsidR="002144A7" w:rsidRPr="002144A7" w:rsidRDefault="00174145" w:rsidP="002144A7">
      <w:pPr>
        <w:pStyle w:val="ListParagraph"/>
        <w:rPr>
          <w:rFonts w:cstheme="minorHAnsi"/>
          <w:lang w:val="en-GB"/>
        </w:rPr>
      </w:pPr>
      <w:r w:rsidRPr="00E14484">
        <w:rPr>
          <w:rFonts w:cstheme="minorHAnsi"/>
          <w:lang w:val="en-GB"/>
        </w:rPr>
        <w:t xml:space="preserve">Smits, J.W. (2017) </w:t>
      </w:r>
      <w:r w:rsidRPr="00E14484">
        <w:rPr>
          <w:rFonts w:cstheme="minorHAnsi"/>
          <w:i/>
          <w:lang w:val="en-GB"/>
        </w:rPr>
        <w:t>Contract Law: A Comparative Introduction</w:t>
      </w:r>
      <w:r w:rsidRPr="00E14484">
        <w:rPr>
          <w:rFonts w:cstheme="minorHAnsi"/>
          <w:lang w:val="en-GB"/>
        </w:rPr>
        <w:t xml:space="preserve"> London: Edward Elgar Publishing Inc.</w:t>
      </w:r>
    </w:p>
    <w:p w:rsidR="00D060BF" w:rsidRPr="00E14484" w:rsidRDefault="00D060BF" w:rsidP="00D72879">
      <w:pPr>
        <w:pStyle w:val="ListParagraph"/>
        <w:rPr>
          <w:rFonts w:cstheme="minorHAnsi"/>
          <w:i/>
          <w:lang w:val="en-GB"/>
        </w:rPr>
      </w:pPr>
      <w:proofErr w:type="spellStart"/>
      <w:r w:rsidRPr="00E14484">
        <w:rPr>
          <w:rFonts w:cstheme="minorHAnsi"/>
          <w:lang w:val="en-GB"/>
        </w:rPr>
        <w:t>Stahn</w:t>
      </w:r>
      <w:proofErr w:type="spellEnd"/>
      <w:r w:rsidRPr="00E14484">
        <w:rPr>
          <w:rFonts w:cstheme="minorHAnsi"/>
          <w:lang w:val="en-GB"/>
        </w:rPr>
        <w:t>, C. (2019) International Criminal Law Cambridge: Cambridge University Press</w:t>
      </w:r>
    </w:p>
    <w:p w:rsidR="00C45C0E" w:rsidRPr="00E14484" w:rsidRDefault="00C45C0E" w:rsidP="00D72879">
      <w:pPr>
        <w:pStyle w:val="ListParagraph"/>
        <w:rPr>
          <w:rFonts w:cstheme="minorHAnsi"/>
          <w:lang w:val="en-GB"/>
        </w:rPr>
      </w:pPr>
      <w:r w:rsidRPr="00E14484">
        <w:rPr>
          <w:rFonts w:cstheme="minorHAnsi"/>
          <w:lang w:val="en-GB"/>
        </w:rPr>
        <w:t xml:space="preserve">Stone, R. (2005) </w:t>
      </w:r>
      <w:proofErr w:type="gramStart"/>
      <w:r w:rsidRPr="00E14484">
        <w:rPr>
          <w:rFonts w:cstheme="minorHAnsi"/>
          <w:i/>
          <w:lang w:val="en-GB"/>
        </w:rPr>
        <w:t>The</w:t>
      </w:r>
      <w:proofErr w:type="gramEnd"/>
      <w:r w:rsidRPr="00E14484">
        <w:rPr>
          <w:rFonts w:cstheme="minorHAnsi"/>
          <w:i/>
          <w:lang w:val="en-GB"/>
        </w:rPr>
        <w:t xml:space="preserve"> Modern Law of Contract </w:t>
      </w:r>
      <w:r w:rsidRPr="00E14484">
        <w:rPr>
          <w:rFonts w:cstheme="minorHAnsi"/>
          <w:lang w:val="en-GB"/>
        </w:rPr>
        <w:t xml:space="preserve">London: Cavendish Publishing Limited </w:t>
      </w:r>
    </w:p>
    <w:p w:rsidR="001E6CC7" w:rsidRPr="00E14484" w:rsidRDefault="001E6CC7" w:rsidP="00D72879">
      <w:pPr>
        <w:pStyle w:val="ListParagraph"/>
        <w:rPr>
          <w:rFonts w:cstheme="minorHAnsi"/>
          <w:lang w:val="en-GB"/>
        </w:rPr>
      </w:pPr>
      <w:r w:rsidRPr="00E14484">
        <w:rPr>
          <w:rFonts w:cstheme="minorHAnsi"/>
          <w:lang w:val="en-GB"/>
        </w:rPr>
        <w:t xml:space="preserve">Taylor, S. and Emir, A. (2015) </w:t>
      </w:r>
      <w:proofErr w:type="spellStart"/>
      <w:r w:rsidRPr="00E14484">
        <w:rPr>
          <w:rFonts w:cstheme="minorHAnsi"/>
          <w:i/>
          <w:lang w:val="en-GB"/>
        </w:rPr>
        <w:t>Employement</w:t>
      </w:r>
      <w:proofErr w:type="spellEnd"/>
      <w:r w:rsidRPr="00E14484">
        <w:rPr>
          <w:rFonts w:cstheme="minorHAnsi"/>
          <w:i/>
          <w:lang w:val="en-GB"/>
        </w:rPr>
        <w:t xml:space="preserve"> Law: An Introduction </w:t>
      </w:r>
      <w:r w:rsidRPr="00E14484">
        <w:rPr>
          <w:rFonts w:cstheme="minorHAnsi"/>
          <w:lang w:val="en-GB"/>
        </w:rPr>
        <w:t>Oxford: Oxford University Press</w:t>
      </w:r>
    </w:p>
    <w:p w:rsidR="00DC2B56" w:rsidRPr="00E14484" w:rsidRDefault="00DC2B56" w:rsidP="00D72879">
      <w:pPr>
        <w:pStyle w:val="ListParagraph"/>
        <w:rPr>
          <w:rFonts w:cstheme="minorHAnsi"/>
          <w:lang w:val="en-GB"/>
        </w:rPr>
      </w:pPr>
      <w:r w:rsidRPr="00E14484">
        <w:rPr>
          <w:rFonts w:cstheme="minorHAnsi"/>
          <w:lang w:val="en-GB"/>
        </w:rPr>
        <w:t xml:space="preserve">Taylor, R. and Taylor, D. (2019) </w:t>
      </w:r>
      <w:r w:rsidRPr="00E14484">
        <w:rPr>
          <w:rFonts w:cstheme="minorHAnsi"/>
          <w:i/>
          <w:lang w:val="en-GB"/>
        </w:rPr>
        <w:t xml:space="preserve">Contract Law Directions </w:t>
      </w:r>
      <w:r w:rsidRPr="00E14484">
        <w:rPr>
          <w:rFonts w:cstheme="minorHAnsi"/>
          <w:lang w:val="en-GB"/>
        </w:rPr>
        <w:t>Oxford: Oxford University Press</w:t>
      </w:r>
    </w:p>
    <w:p w:rsidR="007838B3" w:rsidRPr="00E14484" w:rsidRDefault="007838B3" w:rsidP="00D72879">
      <w:pPr>
        <w:pStyle w:val="ListParagraph"/>
        <w:rPr>
          <w:rFonts w:cstheme="minorHAnsi"/>
          <w:lang w:val="en-GB"/>
        </w:rPr>
      </w:pPr>
      <w:proofErr w:type="spellStart"/>
      <w:r w:rsidRPr="00E14484">
        <w:rPr>
          <w:rFonts w:cstheme="minorHAnsi"/>
          <w:lang w:val="en-GB"/>
        </w:rPr>
        <w:t>Tempin</w:t>
      </w:r>
      <w:proofErr w:type="spellEnd"/>
      <w:r w:rsidRPr="00E14484">
        <w:rPr>
          <w:rFonts w:cstheme="minorHAnsi"/>
          <w:lang w:val="en-GB"/>
        </w:rPr>
        <w:t xml:space="preserve">, B. (2019) </w:t>
      </w:r>
      <w:r w:rsidRPr="00E14484">
        <w:rPr>
          <w:rFonts w:cstheme="minorHAnsi"/>
          <w:i/>
          <w:lang w:val="en-GB"/>
        </w:rPr>
        <w:t xml:space="preserve">Contracts: A Modern Coursework </w:t>
      </w:r>
      <w:r w:rsidRPr="00E14484">
        <w:rPr>
          <w:rFonts w:cstheme="minorHAnsi"/>
          <w:lang w:val="en-GB"/>
        </w:rPr>
        <w:t xml:space="preserve">New York: </w:t>
      </w:r>
      <w:proofErr w:type="spellStart"/>
      <w:r w:rsidRPr="00E14484">
        <w:rPr>
          <w:rFonts w:cstheme="minorHAnsi"/>
          <w:lang w:val="en-GB"/>
        </w:rPr>
        <w:t>Wolters</w:t>
      </w:r>
      <w:proofErr w:type="spellEnd"/>
      <w:r w:rsidRPr="00E14484">
        <w:rPr>
          <w:rFonts w:cstheme="minorHAnsi"/>
          <w:lang w:val="en-GB"/>
        </w:rPr>
        <w:t xml:space="preserve"> Kluwer</w:t>
      </w:r>
    </w:p>
    <w:p w:rsidR="00164059" w:rsidRPr="00E14484" w:rsidRDefault="00164059" w:rsidP="00D72879">
      <w:pPr>
        <w:pStyle w:val="ListParagraph"/>
        <w:rPr>
          <w:rFonts w:cstheme="minorHAnsi"/>
          <w:lang w:val="en-GB"/>
        </w:rPr>
      </w:pPr>
      <w:r w:rsidRPr="00E14484">
        <w:rPr>
          <w:rFonts w:cstheme="minorHAnsi"/>
          <w:lang w:val="en-GB"/>
        </w:rPr>
        <w:t xml:space="preserve">Turner, C. (2014) </w:t>
      </w:r>
      <w:r w:rsidRPr="00E14484">
        <w:rPr>
          <w:rFonts w:cstheme="minorHAnsi"/>
          <w:i/>
          <w:lang w:val="en-GB"/>
        </w:rPr>
        <w:t xml:space="preserve">Unlocking Contract Law </w:t>
      </w:r>
      <w:r w:rsidRPr="00E14484">
        <w:rPr>
          <w:rFonts w:cstheme="minorHAnsi"/>
          <w:lang w:val="en-GB"/>
        </w:rPr>
        <w:t>Milton Park: Taylor &amp; Francis</w:t>
      </w:r>
    </w:p>
    <w:p w:rsidR="006D761A" w:rsidRPr="00E14484" w:rsidRDefault="00174145" w:rsidP="00D72879">
      <w:pPr>
        <w:pStyle w:val="ListParagraph"/>
        <w:rPr>
          <w:rFonts w:cstheme="minorHAnsi"/>
          <w:lang w:val="en-GB"/>
        </w:rPr>
      </w:pPr>
      <w:r w:rsidRPr="00E14484">
        <w:rPr>
          <w:rFonts w:cstheme="minorHAnsi"/>
          <w:lang w:val="en-GB"/>
        </w:rPr>
        <w:t xml:space="preserve">Young, M. (2010) </w:t>
      </w:r>
      <w:r w:rsidRPr="00E14484">
        <w:rPr>
          <w:rFonts w:cstheme="minorHAnsi"/>
          <w:i/>
          <w:lang w:val="en-GB"/>
        </w:rPr>
        <w:t xml:space="preserve">Understanding Contract </w:t>
      </w:r>
      <w:proofErr w:type="gramStart"/>
      <w:r w:rsidRPr="00E14484">
        <w:rPr>
          <w:rFonts w:cstheme="minorHAnsi"/>
          <w:i/>
          <w:lang w:val="en-GB"/>
        </w:rPr>
        <w:t xml:space="preserve">Law  </w:t>
      </w:r>
      <w:r w:rsidRPr="00E14484">
        <w:rPr>
          <w:rFonts w:cstheme="minorHAnsi"/>
          <w:lang w:val="en-GB"/>
        </w:rPr>
        <w:t>Oxford</w:t>
      </w:r>
      <w:proofErr w:type="gramEnd"/>
      <w:r w:rsidRPr="00E14484">
        <w:rPr>
          <w:rFonts w:cstheme="minorHAnsi"/>
          <w:lang w:val="en-GB"/>
        </w:rPr>
        <w:t>: Taylor and Francis</w:t>
      </w:r>
    </w:p>
    <w:p w:rsidR="007210E7" w:rsidRPr="00E14484" w:rsidRDefault="007210E7" w:rsidP="00D72879">
      <w:pPr>
        <w:pStyle w:val="ListParagraph"/>
        <w:rPr>
          <w:rFonts w:cstheme="minorHAnsi"/>
          <w:lang w:val="en-GB"/>
        </w:rPr>
      </w:pPr>
    </w:p>
    <w:p w:rsidR="007210E7" w:rsidRPr="00E14484" w:rsidRDefault="007210E7" w:rsidP="00D72879">
      <w:pPr>
        <w:pStyle w:val="ListParagraph"/>
        <w:rPr>
          <w:rFonts w:cstheme="minorHAnsi"/>
          <w:lang w:val="en-GB"/>
        </w:rPr>
      </w:pPr>
    </w:p>
    <w:p w:rsidR="002834CD" w:rsidRPr="00E14484" w:rsidRDefault="002834CD" w:rsidP="00D72879">
      <w:pPr>
        <w:pStyle w:val="ListParagraph"/>
        <w:rPr>
          <w:rFonts w:cstheme="minorHAnsi"/>
          <w:lang w:val="en-GB"/>
        </w:rPr>
      </w:pPr>
    </w:p>
    <w:p w:rsidR="002834CD" w:rsidRPr="00E14484" w:rsidRDefault="002834CD" w:rsidP="00D72879">
      <w:pPr>
        <w:pStyle w:val="ListParagraph"/>
        <w:rPr>
          <w:rFonts w:cstheme="minorHAnsi"/>
          <w:lang w:val="en-GB"/>
        </w:rPr>
      </w:pPr>
    </w:p>
    <w:p w:rsidR="002834CD" w:rsidRPr="00E14484" w:rsidRDefault="002834CD" w:rsidP="00D72879">
      <w:pPr>
        <w:pStyle w:val="ListParagraph"/>
        <w:rPr>
          <w:rFonts w:cstheme="minorHAnsi"/>
          <w:lang w:val="en-GB"/>
        </w:rPr>
      </w:pPr>
    </w:p>
    <w:p w:rsidR="002834CD" w:rsidRPr="00E14484" w:rsidRDefault="002834CD" w:rsidP="00D72879">
      <w:pPr>
        <w:pStyle w:val="ListParagraph"/>
        <w:rPr>
          <w:rFonts w:cstheme="minorHAnsi"/>
          <w:lang w:val="en-GB"/>
        </w:rPr>
      </w:pPr>
    </w:p>
    <w:p w:rsidR="002834CD" w:rsidRPr="00E14484" w:rsidRDefault="002834CD" w:rsidP="00D72879">
      <w:pPr>
        <w:pStyle w:val="ListParagraph"/>
        <w:rPr>
          <w:rFonts w:cstheme="minorHAnsi"/>
          <w:lang w:val="en-GB"/>
        </w:rPr>
      </w:pPr>
    </w:p>
    <w:p w:rsidR="002834CD" w:rsidRPr="00E14484" w:rsidRDefault="002834CD" w:rsidP="00D72879">
      <w:pPr>
        <w:pStyle w:val="ListParagraph"/>
        <w:rPr>
          <w:rFonts w:cstheme="minorHAnsi"/>
          <w:lang w:val="en-GB"/>
        </w:rPr>
      </w:pPr>
    </w:p>
    <w:p w:rsidR="002144A7" w:rsidRPr="00E732B2" w:rsidRDefault="002144A7" w:rsidP="00E732B2">
      <w:pPr>
        <w:rPr>
          <w:rFonts w:cstheme="minorHAnsi"/>
          <w:lang w:val="en-GB"/>
        </w:rPr>
      </w:pPr>
    </w:p>
    <w:p w:rsidR="0060347A" w:rsidRDefault="0060347A" w:rsidP="00D72879">
      <w:pPr>
        <w:pStyle w:val="ListParagraph"/>
        <w:rPr>
          <w:rFonts w:cstheme="minorHAnsi"/>
          <w:lang w:val="en-GB"/>
        </w:rPr>
      </w:pPr>
    </w:p>
    <w:p w:rsidR="007210E7" w:rsidRPr="00E14484" w:rsidRDefault="00E732B2" w:rsidP="00D72879">
      <w:pPr>
        <w:pStyle w:val="ListParagraph"/>
        <w:rPr>
          <w:rFonts w:cstheme="minorHAnsi"/>
          <w:lang w:val="en-GB"/>
        </w:rPr>
      </w:pPr>
      <w:r>
        <w:rPr>
          <w:rFonts w:cstheme="minorHAnsi"/>
          <w:lang w:val="en-GB"/>
        </w:rPr>
        <w:lastRenderedPageBreak/>
        <w:t>Case</w:t>
      </w:r>
      <w:r w:rsidR="007210E7" w:rsidRPr="00E14484">
        <w:rPr>
          <w:rFonts w:cstheme="minorHAnsi"/>
          <w:lang w:val="en-GB"/>
        </w:rPr>
        <w:t xml:space="preserve"> </w:t>
      </w:r>
      <w:r>
        <w:rPr>
          <w:rFonts w:cstheme="minorHAnsi"/>
          <w:lang w:val="en-GB"/>
        </w:rPr>
        <w:t>References:</w:t>
      </w:r>
    </w:p>
    <w:p w:rsidR="007210E7" w:rsidRPr="00E14484" w:rsidRDefault="007210E7" w:rsidP="00D72879">
      <w:pPr>
        <w:pStyle w:val="ListParagraph"/>
        <w:rPr>
          <w:rFonts w:cstheme="minorHAnsi"/>
          <w:lang w:val="en-GB"/>
        </w:rPr>
      </w:pPr>
    </w:p>
    <w:p w:rsidR="007210E7" w:rsidRPr="00E14484" w:rsidRDefault="007210E7" w:rsidP="007210E7">
      <w:pPr>
        <w:pStyle w:val="ListParagraph"/>
        <w:rPr>
          <w:rFonts w:cstheme="minorHAnsi"/>
          <w:lang w:val="en-GB"/>
        </w:rPr>
      </w:pPr>
      <w:r w:rsidRPr="00E14484">
        <w:rPr>
          <w:rFonts w:cstheme="minorHAnsi"/>
          <w:lang w:val="en-GB"/>
        </w:rPr>
        <w:t xml:space="preserve">Bolton v </w:t>
      </w:r>
      <w:proofErr w:type="spellStart"/>
      <w:r w:rsidRPr="00E14484">
        <w:rPr>
          <w:rFonts w:cstheme="minorHAnsi"/>
          <w:lang w:val="en-GB"/>
        </w:rPr>
        <w:t>Mahadeva</w:t>
      </w:r>
      <w:proofErr w:type="spellEnd"/>
      <w:r w:rsidRPr="00E14484">
        <w:rPr>
          <w:rFonts w:cstheme="minorHAnsi"/>
          <w:lang w:val="en-GB"/>
        </w:rPr>
        <w:t xml:space="preserve"> (1972) Court of Appeal case 1322. ISURV (Online) Available at: </w:t>
      </w:r>
      <w:r w:rsidR="00292D5C">
        <w:fldChar w:fldCharType="begin"/>
      </w:r>
      <w:r w:rsidR="00292D5C" w:rsidRPr="00982A55">
        <w:rPr>
          <w:lang w:val="en-GB"/>
        </w:rPr>
        <w:instrText xml:space="preserve"> HYPERLINK "https://www.isurv.com/directory_record/3859/bolton_v_mahadeva" </w:instrText>
      </w:r>
      <w:r w:rsidR="00292D5C">
        <w:fldChar w:fldCharType="separate"/>
      </w:r>
      <w:r w:rsidRPr="00E14484">
        <w:rPr>
          <w:rStyle w:val="Hyperlink"/>
          <w:rFonts w:cstheme="minorHAnsi"/>
          <w:lang w:val="en-GB"/>
        </w:rPr>
        <w:t>https://www.isurv.com/directory_record/3859/bolton_v_mahadeva</w:t>
      </w:r>
      <w:r w:rsidR="00292D5C">
        <w:rPr>
          <w:rStyle w:val="Hyperlink"/>
          <w:rFonts w:cstheme="minorHAnsi"/>
          <w:lang w:val="en-GB"/>
        </w:rPr>
        <w:fldChar w:fldCharType="end"/>
      </w:r>
      <w:r w:rsidRPr="00E14484">
        <w:rPr>
          <w:rFonts w:cstheme="minorHAnsi"/>
          <w:lang w:val="en-GB"/>
        </w:rPr>
        <w:t xml:space="preserve"> (</w:t>
      </w:r>
      <w:proofErr w:type="spellStart"/>
      <w:r w:rsidRPr="00E14484">
        <w:rPr>
          <w:rFonts w:cstheme="minorHAnsi"/>
          <w:lang w:val="en-GB"/>
        </w:rPr>
        <w:t>Accesseed</w:t>
      </w:r>
      <w:proofErr w:type="spellEnd"/>
      <w:r w:rsidRPr="00E14484">
        <w:rPr>
          <w:rFonts w:cstheme="minorHAnsi"/>
          <w:lang w:val="en-GB"/>
        </w:rPr>
        <w:t>: 6</w:t>
      </w:r>
      <w:r w:rsidRPr="00E14484">
        <w:rPr>
          <w:rFonts w:cstheme="minorHAnsi"/>
          <w:vertAlign w:val="superscript"/>
          <w:lang w:val="en-GB"/>
        </w:rPr>
        <w:t>th</w:t>
      </w:r>
      <w:r w:rsidRPr="00E14484">
        <w:rPr>
          <w:rFonts w:cstheme="minorHAnsi"/>
          <w:lang w:val="en-GB"/>
        </w:rPr>
        <w:t xml:space="preserve"> February 2021)</w:t>
      </w:r>
    </w:p>
    <w:p w:rsidR="007210E7" w:rsidRPr="00E14484" w:rsidRDefault="007210E7" w:rsidP="007210E7">
      <w:pPr>
        <w:pStyle w:val="ListParagraph"/>
        <w:rPr>
          <w:rFonts w:cstheme="minorHAnsi"/>
          <w:lang w:val="en-GB"/>
        </w:rPr>
      </w:pPr>
      <w:r w:rsidRPr="0060347A">
        <w:rPr>
          <w:rFonts w:cstheme="minorHAnsi"/>
          <w:lang w:val="en-GB"/>
        </w:rPr>
        <w:t>Blue</w:t>
      </w:r>
      <w:r w:rsidR="000534D3" w:rsidRPr="0060347A">
        <w:rPr>
          <w:rFonts w:cstheme="minorHAnsi"/>
          <w:lang w:val="en-GB"/>
        </w:rPr>
        <w:t xml:space="preserve"> v Ashley</w:t>
      </w:r>
      <w:r w:rsidR="000534D3">
        <w:rPr>
          <w:rFonts w:cstheme="minorHAnsi"/>
          <w:i/>
          <w:lang w:val="en-GB"/>
        </w:rPr>
        <w:t xml:space="preserve"> </w:t>
      </w:r>
      <w:r w:rsidRPr="00E14484">
        <w:rPr>
          <w:rFonts w:cstheme="minorHAnsi"/>
          <w:lang w:val="en-GB"/>
        </w:rPr>
        <w:t xml:space="preserve">(2017) High Court of Justice Queen’s Bench Division Commercial Courts. Available at: </w:t>
      </w:r>
      <w:r w:rsidR="00292D5C">
        <w:fldChar w:fldCharType="begin"/>
      </w:r>
      <w:r w:rsidR="00292D5C" w:rsidRPr="00982A55">
        <w:rPr>
          <w:lang w:val="en-GB"/>
        </w:rPr>
        <w:instrText xml:space="preserve"> HYPERLINK "https://www.judiciary.uk/wp-content/uploads/2017/07/blue-v-ashley-2010726.pdf" </w:instrText>
      </w:r>
      <w:r w:rsidR="00292D5C">
        <w:fldChar w:fldCharType="separate"/>
      </w:r>
      <w:r w:rsidRPr="00E14484">
        <w:rPr>
          <w:rStyle w:val="Hyperlink"/>
          <w:rFonts w:cstheme="minorHAnsi"/>
          <w:lang w:val="en-GB"/>
        </w:rPr>
        <w:t>https://www.judiciary.uk/wp-content/uploads/2017/07/blue-v-ashley-2010726.pdf</w:t>
      </w:r>
      <w:r w:rsidR="00292D5C">
        <w:rPr>
          <w:rStyle w:val="Hyperlink"/>
          <w:rFonts w:cstheme="minorHAnsi"/>
          <w:lang w:val="en-GB"/>
        </w:rPr>
        <w:fldChar w:fldCharType="end"/>
      </w:r>
      <w:r w:rsidRPr="00E14484">
        <w:rPr>
          <w:rFonts w:cstheme="minorHAnsi"/>
          <w:lang w:val="en-GB"/>
        </w:rPr>
        <w:t xml:space="preserve"> (Accessed: 15</w:t>
      </w:r>
      <w:r w:rsidRPr="00E14484">
        <w:rPr>
          <w:rFonts w:cstheme="minorHAnsi"/>
          <w:vertAlign w:val="superscript"/>
          <w:lang w:val="en-GB"/>
        </w:rPr>
        <w:t>th</w:t>
      </w:r>
      <w:r w:rsidRPr="00E14484">
        <w:rPr>
          <w:rFonts w:cstheme="minorHAnsi"/>
          <w:lang w:val="en-GB"/>
        </w:rPr>
        <w:t xml:space="preserve"> February 2021)</w:t>
      </w:r>
    </w:p>
    <w:p w:rsidR="007210E7" w:rsidRPr="00E14484" w:rsidRDefault="007210E7" w:rsidP="007210E7">
      <w:pPr>
        <w:pStyle w:val="ListParagraph"/>
        <w:rPr>
          <w:rFonts w:cstheme="minorHAnsi"/>
          <w:lang w:val="en-GB"/>
        </w:rPr>
      </w:pPr>
      <w:proofErr w:type="spellStart"/>
      <w:r w:rsidRPr="0060347A">
        <w:rPr>
          <w:rFonts w:cstheme="minorHAnsi"/>
          <w:lang w:val="en-GB"/>
        </w:rPr>
        <w:t>Cal</w:t>
      </w:r>
      <w:r w:rsidR="001D1CAE" w:rsidRPr="0060347A">
        <w:rPr>
          <w:rFonts w:cstheme="minorHAnsi"/>
          <w:lang w:val="en-GB"/>
        </w:rPr>
        <w:t>rill</w:t>
      </w:r>
      <w:proofErr w:type="spellEnd"/>
      <w:r w:rsidR="001D1CAE" w:rsidRPr="0060347A">
        <w:rPr>
          <w:rFonts w:cstheme="minorHAnsi"/>
          <w:lang w:val="en-GB"/>
        </w:rPr>
        <w:t xml:space="preserve"> v Carbolic Smoke Ball Co.</w:t>
      </w:r>
      <w:r w:rsidR="001D1CAE" w:rsidRPr="00E14484">
        <w:rPr>
          <w:rFonts w:cstheme="minorHAnsi"/>
          <w:i/>
          <w:lang w:val="en-GB"/>
        </w:rPr>
        <w:t xml:space="preserve"> </w:t>
      </w:r>
      <w:r w:rsidRPr="00E14484">
        <w:rPr>
          <w:rFonts w:cstheme="minorHAnsi"/>
          <w:i/>
          <w:lang w:val="en-GB"/>
        </w:rPr>
        <w:t>(</w:t>
      </w:r>
      <w:r w:rsidRPr="00E14484">
        <w:rPr>
          <w:rFonts w:cstheme="minorHAnsi"/>
          <w:lang w:val="en-GB"/>
        </w:rPr>
        <w:t xml:space="preserve">1892) England and Wales Court of Appeal case 256. BAILII (Online) Available at: </w:t>
      </w:r>
      <w:r w:rsidR="00292D5C">
        <w:fldChar w:fldCharType="begin"/>
      </w:r>
      <w:r w:rsidR="00292D5C" w:rsidRPr="00982A55">
        <w:rPr>
          <w:lang w:val="en-GB"/>
        </w:rPr>
        <w:instrText xml:space="preserve"> HYPERLINK "http://www.bailii.org/ew/cases/EWCA/Civ/1892/1.html" </w:instrText>
      </w:r>
      <w:r w:rsidR="00292D5C">
        <w:fldChar w:fldCharType="separate"/>
      </w:r>
      <w:r w:rsidRPr="00E14484">
        <w:rPr>
          <w:rStyle w:val="Hyperlink"/>
          <w:rFonts w:cstheme="minorHAnsi"/>
          <w:lang w:val="en-GB"/>
        </w:rPr>
        <w:t>http://www.bailii.org/ew/cases/EWCA/Civ/1892/1.html</w:t>
      </w:r>
      <w:r w:rsidR="00292D5C">
        <w:rPr>
          <w:rStyle w:val="Hyperlink"/>
          <w:rFonts w:cstheme="minorHAnsi"/>
          <w:lang w:val="en-GB"/>
        </w:rPr>
        <w:fldChar w:fldCharType="end"/>
      </w:r>
      <w:r w:rsidRPr="00E14484">
        <w:rPr>
          <w:rFonts w:cstheme="minorHAnsi"/>
          <w:lang w:val="en-GB"/>
        </w:rPr>
        <w:t xml:space="preserve"> (Accessed: 6 February 2021)</w:t>
      </w:r>
    </w:p>
    <w:p w:rsidR="007210E7" w:rsidRPr="00E14484" w:rsidRDefault="007210E7" w:rsidP="007210E7">
      <w:pPr>
        <w:pStyle w:val="ListParagraph"/>
        <w:rPr>
          <w:rFonts w:cstheme="minorHAnsi"/>
          <w:lang w:val="en-GB"/>
        </w:rPr>
      </w:pPr>
      <w:proofErr w:type="gramStart"/>
      <w:r w:rsidRPr="00E14484">
        <w:rPr>
          <w:rFonts w:cstheme="minorHAnsi"/>
          <w:lang w:val="en-GB"/>
        </w:rPr>
        <w:t>Cutter v Powell (1785)</w:t>
      </w:r>
      <w:r w:rsidR="001D1CAE" w:rsidRPr="00E14484">
        <w:rPr>
          <w:rFonts w:cstheme="minorHAnsi"/>
          <w:lang w:val="en-GB"/>
        </w:rPr>
        <w:t xml:space="preserve"> </w:t>
      </w:r>
      <w:r w:rsidRPr="00E14484">
        <w:rPr>
          <w:rFonts w:cstheme="minorHAnsi"/>
          <w:lang w:val="en-GB"/>
        </w:rPr>
        <w:t>England and Wales High Court Kings Bench Division Decisions case 573.</w:t>
      </w:r>
      <w:proofErr w:type="gramEnd"/>
      <w:r w:rsidRPr="00E14484">
        <w:rPr>
          <w:rFonts w:cstheme="minorHAnsi"/>
          <w:lang w:val="en-GB"/>
        </w:rPr>
        <w:t xml:space="preserve"> BAILII (Online) Available at: </w:t>
      </w:r>
      <w:r w:rsidR="00292D5C">
        <w:fldChar w:fldCharType="begin"/>
      </w:r>
      <w:r w:rsidR="00292D5C" w:rsidRPr="00982A55">
        <w:rPr>
          <w:lang w:val="en-GB"/>
        </w:rPr>
        <w:instrText xml:space="preserve"> HYPERLINK "https://www.bailii.org/ew/cases/EWHC/KB/1795/J13.html" </w:instrText>
      </w:r>
      <w:r w:rsidR="00292D5C">
        <w:fldChar w:fldCharType="separate"/>
      </w:r>
      <w:r w:rsidRPr="00E14484">
        <w:rPr>
          <w:rStyle w:val="Hyperlink"/>
          <w:rFonts w:cstheme="minorHAnsi"/>
          <w:lang w:val="en-GB"/>
        </w:rPr>
        <w:t>https://www.bailii.org/ew/cases/EWHC/KB/1795/J13.html</w:t>
      </w:r>
      <w:r w:rsidR="00292D5C">
        <w:rPr>
          <w:rStyle w:val="Hyperlink"/>
          <w:rFonts w:cstheme="minorHAnsi"/>
          <w:lang w:val="en-GB"/>
        </w:rPr>
        <w:fldChar w:fldCharType="end"/>
      </w:r>
      <w:r w:rsidRPr="00E14484">
        <w:rPr>
          <w:rFonts w:cstheme="minorHAnsi"/>
          <w:lang w:val="en-GB"/>
        </w:rPr>
        <w:t xml:space="preserve"> (Accessed: 6</w:t>
      </w:r>
      <w:r w:rsidRPr="00E14484">
        <w:rPr>
          <w:rFonts w:cstheme="minorHAnsi"/>
          <w:vertAlign w:val="superscript"/>
          <w:lang w:val="en-GB"/>
        </w:rPr>
        <w:t>th</w:t>
      </w:r>
      <w:r w:rsidRPr="00E14484">
        <w:rPr>
          <w:rFonts w:cstheme="minorHAnsi"/>
          <w:lang w:val="en-GB"/>
        </w:rPr>
        <w:t xml:space="preserve"> February 2021)</w:t>
      </w:r>
    </w:p>
    <w:p w:rsidR="001D1CAE" w:rsidRPr="00E14484" w:rsidRDefault="001D1CAE" w:rsidP="007210E7">
      <w:pPr>
        <w:pStyle w:val="ListParagraph"/>
        <w:rPr>
          <w:rFonts w:cstheme="minorHAnsi"/>
          <w:lang w:val="en-GB"/>
        </w:rPr>
      </w:pPr>
      <w:proofErr w:type="gramStart"/>
      <w:r w:rsidRPr="00E14484">
        <w:rPr>
          <w:rFonts w:cstheme="minorHAnsi"/>
          <w:lang w:val="en-GB"/>
        </w:rPr>
        <w:t xml:space="preserve">Dahlia Ltd v Four </w:t>
      </w:r>
      <w:proofErr w:type="spellStart"/>
      <w:r w:rsidRPr="00E14484">
        <w:rPr>
          <w:rFonts w:cstheme="minorHAnsi"/>
          <w:lang w:val="en-GB"/>
        </w:rPr>
        <w:t>Millbank</w:t>
      </w:r>
      <w:proofErr w:type="spellEnd"/>
      <w:r w:rsidRPr="00E14484">
        <w:rPr>
          <w:rFonts w:cstheme="minorHAnsi"/>
          <w:lang w:val="en-GB"/>
        </w:rPr>
        <w:t xml:space="preserve"> Nominees Ltd &amp; </w:t>
      </w:r>
      <w:proofErr w:type="spellStart"/>
      <w:r w:rsidRPr="00E14484">
        <w:rPr>
          <w:rFonts w:cstheme="minorHAnsi"/>
          <w:lang w:val="en-GB"/>
        </w:rPr>
        <w:t>Anor</w:t>
      </w:r>
      <w:proofErr w:type="spellEnd"/>
      <w:r w:rsidRPr="00E14484">
        <w:rPr>
          <w:rFonts w:cstheme="minorHAnsi"/>
          <w:lang w:val="en-GB"/>
        </w:rPr>
        <w:t xml:space="preserve"> [1977] England and Wales Court of Appeal (Civil Division) Decisions case 1977.</w:t>
      </w:r>
      <w:proofErr w:type="gramEnd"/>
      <w:r w:rsidRPr="00E14484">
        <w:rPr>
          <w:rFonts w:cstheme="minorHAnsi"/>
          <w:lang w:val="en-GB"/>
        </w:rPr>
        <w:t xml:space="preserve"> BAILII (Online) Available at: </w:t>
      </w:r>
      <w:r w:rsidR="00292D5C">
        <w:fldChar w:fldCharType="begin"/>
      </w:r>
      <w:r w:rsidR="00292D5C" w:rsidRPr="00982A55">
        <w:rPr>
          <w:lang w:val="en-GB"/>
        </w:rPr>
        <w:instrText xml:space="preserve"> HYPERLINK "https://www.bailii.org/ew/</w:instrText>
      </w:r>
      <w:r w:rsidR="00292D5C" w:rsidRPr="00982A55">
        <w:rPr>
          <w:lang w:val="en-GB"/>
        </w:rPr>
        <w:instrText xml:space="preserve">cases/EWCA/Civ/1977/5.html" </w:instrText>
      </w:r>
      <w:r w:rsidR="00292D5C">
        <w:fldChar w:fldCharType="separate"/>
      </w:r>
      <w:r w:rsidRPr="00E14484">
        <w:rPr>
          <w:rStyle w:val="Hyperlink"/>
          <w:rFonts w:cstheme="minorHAnsi"/>
          <w:lang w:val="en-GB"/>
        </w:rPr>
        <w:t>https://www.bailii.org/ew/cases/EWCA/Civ/1977/5.html</w:t>
      </w:r>
      <w:r w:rsidR="00292D5C">
        <w:rPr>
          <w:rStyle w:val="Hyperlink"/>
          <w:rFonts w:cstheme="minorHAnsi"/>
          <w:lang w:val="en-GB"/>
        </w:rPr>
        <w:fldChar w:fldCharType="end"/>
      </w:r>
      <w:r w:rsidRPr="00E14484">
        <w:rPr>
          <w:rFonts w:cstheme="minorHAnsi"/>
          <w:lang w:val="en-GB"/>
        </w:rPr>
        <w:t xml:space="preserve"> </w:t>
      </w:r>
    </w:p>
    <w:p w:rsidR="001D1CAE" w:rsidRDefault="001D1CAE" w:rsidP="007210E7">
      <w:pPr>
        <w:pStyle w:val="ListParagraph"/>
        <w:rPr>
          <w:rFonts w:cstheme="minorHAnsi"/>
          <w:lang w:val="en-GB"/>
        </w:rPr>
      </w:pPr>
      <w:r w:rsidRPr="00E14484">
        <w:rPr>
          <w:rFonts w:cstheme="minorHAnsi"/>
          <w:lang w:val="en-GB"/>
        </w:rPr>
        <w:t>(Accessed: 28</w:t>
      </w:r>
      <w:r w:rsidRPr="00E14484">
        <w:rPr>
          <w:rFonts w:cstheme="minorHAnsi"/>
          <w:vertAlign w:val="superscript"/>
          <w:lang w:val="en-GB"/>
        </w:rPr>
        <w:t>th</w:t>
      </w:r>
      <w:r w:rsidRPr="00E14484">
        <w:rPr>
          <w:rFonts w:cstheme="minorHAnsi"/>
          <w:lang w:val="en-GB"/>
        </w:rPr>
        <w:t xml:space="preserve"> February 2021)</w:t>
      </w:r>
    </w:p>
    <w:p w:rsidR="00D03F5D" w:rsidRPr="00E14484" w:rsidRDefault="00D03F5D" w:rsidP="007210E7">
      <w:pPr>
        <w:pStyle w:val="ListParagraph"/>
        <w:rPr>
          <w:rFonts w:cstheme="minorHAnsi"/>
          <w:lang w:val="en-GB"/>
        </w:rPr>
      </w:pPr>
      <w:proofErr w:type="spellStart"/>
      <w:proofErr w:type="gramStart"/>
      <w:r w:rsidRPr="00E14484">
        <w:rPr>
          <w:rFonts w:cstheme="minorHAnsi"/>
          <w:lang w:val="en-GB"/>
        </w:rPr>
        <w:t>Errington</w:t>
      </w:r>
      <w:proofErr w:type="spellEnd"/>
      <w:r>
        <w:rPr>
          <w:rFonts w:cstheme="minorHAnsi"/>
          <w:lang w:val="en-GB"/>
        </w:rPr>
        <w:t xml:space="preserve"> v</w:t>
      </w:r>
      <w:r w:rsidRPr="00D03F5D">
        <w:rPr>
          <w:rFonts w:cstheme="minorHAnsi"/>
          <w:lang w:val="en-GB"/>
        </w:rPr>
        <w:t xml:space="preserve"> </w:t>
      </w:r>
      <w:proofErr w:type="spellStart"/>
      <w:r w:rsidRPr="00E14484">
        <w:rPr>
          <w:rFonts w:cstheme="minorHAnsi"/>
          <w:lang w:val="en-GB"/>
        </w:rPr>
        <w:t>Errington</w:t>
      </w:r>
      <w:proofErr w:type="spellEnd"/>
      <w:r>
        <w:rPr>
          <w:rFonts w:cstheme="minorHAnsi"/>
          <w:lang w:val="en-GB"/>
        </w:rPr>
        <w:t xml:space="preserve"> (1951) </w:t>
      </w:r>
      <w:r w:rsidRPr="00E14484">
        <w:rPr>
          <w:rFonts w:cstheme="minorHAnsi"/>
          <w:lang w:val="en-GB"/>
        </w:rPr>
        <w:t>England and Wales Court of Appeal (Civil Division) Decisions.</w:t>
      </w:r>
      <w:proofErr w:type="gramEnd"/>
      <w:r w:rsidRPr="00E14484">
        <w:rPr>
          <w:rFonts w:cstheme="minorHAnsi"/>
          <w:lang w:val="en-GB"/>
        </w:rPr>
        <w:t xml:space="preserve"> BAILII (Online) </w:t>
      </w:r>
      <w:proofErr w:type="spellStart"/>
      <w:r w:rsidRPr="00E14484">
        <w:rPr>
          <w:rFonts w:cstheme="minorHAnsi"/>
          <w:lang w:val="en-GB"/>
        </w:rPr>
        <w:t>Availablet</w:t>
      </w:r>
      <w:proofErr w:type="spellEnd"/>
      <w:r w:rsidRPr="00E14484">
        <w:rPr>
          <w:rFonts w:cstheme="minorHAnsi"/>
          <w:lang w:val="en-GB"/>
        </w:rPr>
        <w:t xml:space="preserve"> at:</w:t>
      </w:r>
      <w:r w:rsidRPr="00D03F5D">
        <w:rPr>
          <w:lang w:val="en-GB"/>
        </w:rPr>
        <w:t xml:space="preserve"> </w:t>
      </w:r>
      <w:r w:rsidR="00292D5C">
        <w:fldChar w:fldCharType="begin"/>
      </w:r>
      <w:r w:rsidR="00292D5C" w:rsidRPr="00982A55">
        <w:rPr>
          <w:lang w:val="en-GB"/>
        </w:rPr>
        <w:instrText xml:space="preserve"> HYPERLINK "https://www.bailii.org/ew/cases/EWCA/Civ/1951/2.html" </w:instrText>
      </w:r>
      <w:r w:rsidR="00292D5C">
        <w:fldChar w:fldCharType="separate"/>
      </w:r>
      <w:r w:rsidRPr="0033334B">
        <w:rPr>
          <w:rStyle w:val="Hyperlink"/>
          <w:rFonts w:cstheme="minorHAnsi"/>
          <w:lang w:val="en-GB"/>
        </w:rPr>
        <w:t>https://www.bailii.org/ew/cases/EWCA/Civ/1951/2.html</w:t>
      </w:r>
      <w:r w:rsidR="00292D5C">
        <w:rPr>
          <w:rStyle w:val="Hyperlink"/>
          <w:rFonts w:cstheme="minorHAnsi"/>
          <w:lang w:val="en-GB"/>
        </w:rPr>
        <w:fldChar w:fldCharType="end"/>
      </w:r>
      <w:r>
        <w:rPr>
          <w:rFonts w:cstheme="minorHAnsi"/>
          <w:lang w:val="en-GB"/>
        </w:rPr>
        <w:t xml:space="preserve"> (Accessed 2nd March 2021)</w:t>
      </w:r>
    </w:p>
    <w:p w:rsidR="001D1CAE" w:rsidRPr="00E14484" w:rsidRDefault="001D1CAE" w:rsidP="007210E7">
      <w:pPr>
        <w:pStyle w:val="ListParagraph"/>
        <w:rPr>
          <w:rFonts w:cstheme="minorHAnsi"/>
          <w:lang w:val="en-GB"/>
        </w:rPr>
      </w:pPr>
      <w:proofErr w:type="spellStart"/>
      <w:proofErr w:type="gramStart"/>
      <w:r w:rsidRPr="00E14484">
        <w:rPr>
          <w:rFonts w:cstheme="minorHAnsi"/>
          <w:lang w:val="en-GB"/>
        </w:rPr>
        <w:t>Errington</w:t>
      </w:r>
      <w:proofErr w:type="spellEnd"/>
      <w:r w:rsidRPr="00E14484">
        <w:rPr>
          <w:rFonts w:cstheme="minorHAnsi"/>
          <w:lang w:val="en-GB"/>
        </w:rPr>
        <w:t xml:space="preserve"> v Wood [1952] England and Wales Court of Appeal (Civil Division) Decisions.</w:t>
      </w:r>
      <w:proofErr w:type="gramEnd"/>
      <w:r w:rsidRPr="00E14484">
        <w:rPr>
          <w:rFonts w:cstheme="minorHAnsi"/>
          <w:lang w:val="en-GB"/>
        </w:rPr>
        <w:t xml:space="preserve"> BAILII (Online) </w:t>
      </w:r>
      <w:proofErr w:type="spellStart"/>
      <w:r w:rsidRPr="00E14484">
        <w:rPr>
          <w:rFonts w:cstheme="minorHAnsi"/>
          <w:lang w:val="en-GB"/>
        </w:rPr>
        <w:t>Availablet</w:t>
      </w:r>
      <w:proofErr w:type="spellEnd"/>
      <w:r w:rsidRPr="00E14484">
        <w:rPr>
          <w:rFonts w:cstheme="minorHAnsi"/>
          <w:lang w:val="en-GB"/>
        </w:rPr>
        <w:t xml:space="preserve"> at: </w:t>
      </w:r>
      <w:r w:rsidR="00292D5C">
        <w:fldChar w:fldCharType="begin"/>
      </w:r>
      <w:r w:rsidR="00292D5C" w:rsidRPr="00982A55">
        <w:rPr>
          <w:lang w:val="en-GB"/>
        </w:rPr>
        <w:instrText xml:space="preserve"> HYPERLINK "https://www.bailii.org/ew/cases/EWCA/Civ/1951/2.html" </w:instrText>
      </w:r>
      <w:r w:rsidR="00292D5C">
        <w:fldChar w:fldCharType="separate"/>
      </w:r>
      <w:r w:rsidRPr="00E14484">
        <w:rPr>
          <w:rStyle w:val="Hyperlink"/>
          <w:rFonts w:cstheme="minorHAnsi"/>
          <w:lang w:val="en-GB"/>
        </w:rPr>
        <w:t>https://www.bailii.org/ew/cases/EWCA/Civ/1951/2.html</w:t>
      </w:r>
      <w:r w:rsidR="00292D5C">
        <w:rPr>
          <w:rStyle w:val="Hyperlink"/>
          <w:rFonts w:cstheme="minorHAnsi"/>
          <w:lang w:val="en-GB"/>
        </w:rPr>
        <w:fldChar w:fldCharType="end"/>
      </w:r>
    </w:p>
    <w:p w:rsidR="001D1CAE" w:rsidRPr="00E14484" w:rsidRDefault="001D1CAE" w:rsidP="007210E7">
      <w:pPr>
        <w:pStyle w:val="ListParagraph"/>
        <w:rPr>
          <w:rFonts w:cstheme="minorHAnsi"/>
          <w:lang w:val="en-GB"/>
        </w:rPr>
      </w:pPr>
      <w:r w:rsidRPr="00E14484">
        <w:rPr>
          <w:rFonts w:cstheme="minorHAnsi"/>
          <w:lang w:val="en-GB"/>
        </w:rPr>
        <w:t>(Accesses 1</w:t>
      </w:r>
      <w:r w:rsidRPr="00E14484">
        <w:rPr>
          <w:rFonts w:cstheme="minorHAnsi"/>
          <w:vertAlign w:val="superscript"/>
          <w:lang w:val="en-GB"/>
        </w:rPr>
        <w:t>st</w:t>
      </w:r>
      <w:r w:rsidRPr="00E14484">
        <w:rPr>
          <w:rFonts w:cstheme="minorHAnsi"/>
          <w:lang w:val="en-GB"/>
        </w:rPr>
        <w:t xml:space="preserve"> March 2021)</w:t>
      </w:r>
    </w:p>
    <w:p w:rsidR="007210E7" w:rsidRPr="00E14484" w:rsidRDefault="001D1CAE" w:rsidP="007210E7">
      <w:pPr>
        <w:pStyle w:val="ListParagraph"/>
        <w:rPr>
          <w:rFonts w:cstheme="minorHAnsi"/>
          <w:lang w:val="en-GB"/>
        </w:rPr>
      </w:pPr>
      <w:r w:rsidRPr="00E14484">
        <w:rPr>
          <w:rFonts w:cstheme="minorHAnsi"/>
          <w:i/>
          <w:lang w:val="en-GB"/>
        </w:rPr>
        <w:t>Fisher v Bell</w:t>
      </w:r>
      <w:r w:rsidR="007210E7" w:rsidRPr="00E14484">
        <w:rPr>
          <w:rFonts w:cstheme="minorHAnsi"/>
          <w:lang w:val="en-GB"/>
        </w:rPr>
        <w:t xml:space="preserve"> (1961) Divisional Court case 394. ICLR (Online) Available at: </w:t>
      </w:r>
      <w:r w:rsidR="00292D5C">
        <w:fldChar w:fldCharType="begin"/>
      </w:r>
      <w:r w:rsidR="00292D5C" w:rsidRPr="00982A55">
        <w:rPr>
          <w:lang w:val="en-GB"/>
        </w:rPr>
        <w:instrText xml:space="preserve"> HYPERLINK "https://www</w:instrText>
      </w:r>
      <w:r w:rsidR="00292D5C" w:rsidRPr="00982A55">
        <w:rPr>
          <w:lang w:val="en-GB"/>
        </w:rPr>
        <w:instrText xml:space="preserve">.iclr.co.uk/document/1961005286/casereport_60346/html" </w:instrText>
      </w:r>
      <w:r w:rsidR="00292D5C">
        <w:fldChar w:fldCharType="separate"/>
      </w:r>
      <w:r w:rsidR="007210E7" w:rsidRPr="00E14484">
        <w:rPr>
          <w:rStyle w:val="Hyperlink"/>
          <w:rFonts w:cstheme="minorHAnsi"/>
          <w:lang w:val="en-GB"/>
        </w:rPr>
        <w:t>https://www.iclr.co.uk/document/1961005286/casereport_60346/html</w:t>
      </w:r>
      <w:r w:rsidR="00292D5C">
        <w:rPr>
          <w:rStyle w:val="Hyperlink"/>
          <w:rFonts w:cstheme="minorHAnsi"/>
          <w:lang w:val="en-GB"/>
        </w:rPr>
        <w:fldChar w:fldCharType="end"/>
      </w:r>
      <w:r w:rsidR="007210E7" w:rsidRPr="00E14484">
        <w:rPr>
          <w:rFonts w:cstheme="minorHAnsi"/>
          <w:lang w:val="en-GB"/>
        </w:rPr>
        <w:t xml:space="preserve"> (Accessed: 6 February 2021)</w:t>
      </w:r>
    </w:p>
    <w:p w:rsidR="007210E7" w:rsidRPr="00E14484" w:rsidRDefault="001D1CAE" w:rsidP="007210E7">
      <w:pPr>
        <w:pStyle w:val="ListParagraph"/>
        <w:rPr>
          <w:rFonts w:cstheme="minorHAnsi"/>
          <w:lang w:val="en-GB"/>
        </w:rPr>
      </w:pPr>
      <w:r w:rsidRPr="00E14484">
        <w:rPr>
          <w:rFonts w:cstheme="minorHAnsi"/>
          <w:lang w:val="en-GB"/>
        </w:rPr>
        <w:t xml:space="preserve">Hadley v </w:t>
      </w:r>
      <w:proofErr w:type="spellStart"/>
      <w:r w:rsidRPr="00E14484">
        <w:rPr>
          <w:rFonts w:cstheme="minorHAnsi"/>
          <w:lang w:val="en-GB"/>
        </w:rPr>
        <w:t>Baxandale</w:t>
      </w:r>
      <w:proofErr w:type="spellEnd"/>
      <w:r w:rsidR="007210E7" w:rsidRPr="00E14484">
        <w:rPr>
          <w:rFonts w:cstheme="minorHAnsi"/>
          <w:lang w:val="en-GB"/>
        </w:rPr>
        <w:t xml:space="preserve"> England and Wales Court of the Exchequer case 1854. BAILII (Online) Available at: </w:t>
      </w:r>
      <w:r w:rsidR="00292D5C">
        <w:fldChar w:fldCharType="begin"/>
      </w:r>
      <w:r w:rsidR="00292D5C" w:rsidRPr="00982A55">
        <w:rPr>
          <w:lang w:val="en-GB"/>
        </w:rPr>
        <w:instrText xml:space="preserve"> HYPERLINK "https://www.bailii.org/ew/cases/EWHC/Exch/1854/J70.html" </w:instrText>
      </w:r>
      <w:r w:rsidR="00292D5C">
        <w:fldChar w:fldCharType="separate"/>
      </w:r>
      <w:r w:rsidR="007210E7" w:rsidRPr="00E14484">
        <w:rPr>
          <w:rStyle w:val="Hyperlink"/>
          <w:rFonts w:cstheme="minorHAnsi"/>
          <w:lang w:val="en-GB"/>
        </w:rPr>
        <w:t>https://www.bailii.org/ew/cases/EWHC/Exch/1854/J70.html</w:t>
      </w:r>
      <w:r w:rsidR="00292D5C">
        <w:rPr>
          <w:rStyle w:val="Hyperlink"/>
          <w:rFonts w:cstheme="minorHAnsi"/>
          <w:lang w:val="en-GB"/>
        </w:rPr>
        <w:fldChar w:fldCharType="end"/>
      </w:r>
      <w:r w:rsidR="007210E7" w:rsidRPr="00E14484">
        <w:rPr>
          <w:rFonts w:cstheme="minorHAnsi"/>
          <w:lang w:val="en-GB"/>
        </w:rPr>
        <w:t xml:space="preserve"> (Accessed 6th February 2021) </w:t>
      </w:r>
    </w:p>
    <w:p w:rsidR="007210E7" w:rsidRPr="00E14484" w:rsidRDefault="001D1CAE" w:rsidP="007210E7">
      <w:pPr>
        <w:pStyle w:val="ListParagraph"/>
        <w:rPr>
          <w:rFonts w:cstheme="minorHAnsi"/>
          <w:lang w:val="en-GB"/>
        </w:rPr>
      </w:pPr>
      <w:proofErr w:type="spellStart"/>
      <w:r w:rsidRPr="00E14484">
        <w:rPr>
          <w:rFonts w:cstheme="minorHAnsi"/>
          <w:lang w:val="en-GB"/>
        </w:rPr>
        <w:t>Hoenig</w:t>
      </w:r>
      <w:proofErr w:type="spellEnd"/>
      <w:r w:rsidRPr="00E14484">
        <w:rPr>
          <w:rFonts w:cstheme="minorHAnsi"/>
          <w:lang w:val="en-GB"/>
        </w:rPr>
        <w:t xml:space="preserve"> v Isaacs </w:t>
      </w:r>
      <w:r w:rsidR="007210E7" w:rsidRPr="00E14484">
        <w:rPr>
          <w:rFonts w:cstheme="minorHAnsi"/>
          <w:lang w:val="en-GB"/>
        </w:rPr>
        <w:t xml:space="preserve">(1952) Supreme Court of Judicature Court of Appeal case 1952. BAILII (Online) Available at: </w:t>
      </w:r>
      <w:r w:rsidR="00292D5C">
        <w:fldChar w:fldCharType="begin"/>
      </w:r>
      <w:r w:rsidR="00292D5C" w:rsidRPr="00982A55">
        <w:rPr>
          <w:lang w:val="en-GB"/>
        </w:rPr>
        <w:instrText xml:space="preserve"> HYPERLINK "https://www.bailii.org/ew/cases/EWCA/Civ/1952/6.html" </w:instrText>
      </w:r>
      <w:r w:rsidR="00292D5C">
        <w:fldChar w:fldCharType="separate"/>
      </w:r>
      <w:r w:rsidR="007210E7" w:rsidRPr="00E14484">
        <w:rPr>
          <w:rStyle w:val="Hyperlink"/>
          <w:rFonts w:cstheme="minorHAnsi"/>
          <w:lang w:val="en-GB"/>
        </w:rPr>
        <w:t>https://www.bailii.org/ew/cases/EWCA/Civ/1952/6.html</w:t>
      </w:r>
      <w:r w:rsidR="00292D5C">
        <w:rPr>
          <w:rStyle w:val="Hyperlink"/>
          <w:rFonts w:cstheme="minorHAnsi"/>
          <w:lang w:val="en-GB"/>
        </w:rPr>
        <w:fldChar w:fldCharType="end"/>
      </w:r>
      <w:r w:rsidR="007210E7" w:rsidRPr="00E14484">
        <w:rPr>
          <w:rFonts w:cstheme="minorHAnsi"/>
          <w:lang w:val="en-GB"/>
        </w:rPr>
        <w:t xml:space="preserve"> (Accessed 6th February 2021) </w:t>
      </w:r>
    </w:p>
    <w:p w:rsidR="002834CD" w:rsidRPr="00E14484" w:rsidRDefault="002834CD" w:rsidP="007210E7">
      <w:pPr>
        <w:pStyle w:val="ListParagraph"/>
        <w:rPr>
          <w:rFonts w:cstheme="minorHAnsi"/>
          <w:lang w:val="en-GB"/>
        </w:rPr>
      </w:pPr>
      <w:proofErr w:type="spellStart"/>
      <w:proofErr w:type="gramStart"/>
      <w:r w:rsidRPr="00E14484">
        <w:rPr>
          <w:rFonts w:cstheme="minorHAnsi"/>
          <w:lang w:val="en-GB"/>
        </w:rPr>
        <w:t>Lampleigh</w:t>
      </w:r>
      <w:proofErr w:type="spellEnd"/>
      <w:r w:rsidRPr="00E14484">
        <w:rPr>
          <w:rFonts w:cstheme="minorHAnsi"/>
          <w:lang w:val="en-GB"/>
        </w:rPr>
        <w:t xml:space="preserve"> v </w:t>
      </w:r>
      <w:proofErr w:type="spellStart"/>
      <w:r w:rsidRPr="00E14484">
        <w:rPr>
          <w:rFonts w:cstheme="minorHAnsi"/>
          <w:lang w:val="en-GB"/>
        </w:rPr>
        <w:t>Brathwait</w:t>
      </w:r>
      <w:proofErr w:type="spellEnd"/>
      <w:r w:rsidRPr="00E14484">
        <w:rPr>
          <w:rFonts w:cstheme="minorHAnsi"/>
          <w:lang w:val="en-GB"/>
        </w:rPr>
        <w:t xml:space="preserve"> [1615] England and Wales High Court (King’s Bench Division) Decisions.</w:t>
      </w:r>
      <w:proofErr w:type="gramEnd"/>
      <w:r w:rsidRPr="00E14484">
        <w:rPr>
          <w:rFonts w:cstheme="minorHAnsi"/>
          <w:lang w:val="en-GB"/>
        </w:rPr>
        <w:t xml:space="preserve"> BAILII (Online) Available at: </w:t>
      </w:r>
      <w:r w:rsidR="00292D5C">
        <w:fldChar w:fldCharType="begin"/>
      </w:r>
      <w:r w:rsidR="00292D5C" w:rsidRPr="00982A55">
        <w:rPr>
          <w:lang w:val="en-GB"/>
        </w:rPr>
        <w:instrText xml:space="preserve"> HYPERLINK "https://www.bailii.org/ew/cases/EWHC/KB/1615/J17.html" </w:instrText>
      </w:r>
      <w:r w:rsidR="00292D5C">
        <w:fldChar w:fldCharType="separate"/>
      </w:r>
      <w:r w:rsidRPr="00E14484">
        <w:rPr>
          <w:rStyle w:val="Hyperlink"/>
          <w:rFonts w:cstheme="minorHAnsi"/>
          <w:lang w:val="en-GB"/>
        </w:rPr>
        <w:t>https://www.bailii.org/ew/cases/EWHC/KB/1615/J17.html</w:t>
      </w:r>
      <w:r w:rsidR="00292D5C">
        <w:rPr>
          <w:rStyle w:val="Hyperlink"/>
          <w:rFonts w:cstheme="minorHAnsi"/>
          <w:lang w:val="en-GB"/>
        </w:rPr>
        <w:fldChar w:fldCharType="end"/>
      </w:r>
      <w:r w:rsidRPr="00E14484">
        <w:rPr>
          <w:rFonts w:cstheme="minorHAnsi"/>
          <w:lang w:val="en-GB"/>
        </w:rPr>
        <w:t xml:space="preserve"> </w:t>
      </w:r>
    </w:p>
    <w:p w:rsidR="002834CD" w:rsidRPr="00E14484" w:rsidRDefault="002834CD" w:rsidP="007210E7">
      <w:pPr>
        <w:pStyle w:val="ListParagraph"/>
        <w:rPr>
          <w:rFonts w:cstheme="minorHAnsi"/>
          <w:lang w:val="en-GB"/>
        </w:rPr>
      </w:pPr>
      <w:r w:rsidRPr="00E14484">
        <w:rPr>
          <w:rFonts w:cstheme="minorHAnsi"/>
          <w:lang w:val="en-GB"/>
        </w:rPr>
        <w:t>(Accessed</w:t>
      </w:r>
      <w:r w:rsidR="00E14484" w:rsidRPr="00E14484">
        <w:rPr>
          <w:rFonts w:cstheme="minorHAnsi"/>
          <w:lang w:val="en-GB"/>
        </w:rPr>
        <w:t xml:space="preserve"> 2nd March 2021)</w:t>
      </w:r>
    </w:p>
    <w:p w:rsidR="00D517AB" w:rsidRDefault="001D1CAE" w:rsidP="00D517AB">
      <w:pPr>
        <w:pStyle w:val="ListParagraph"/>
        <w:rPr>
          <w:rFonts w:cstheme="minorHAnsi"/>
          <w:lang w:val="en-GB"/>
        </w:rPr>
      </w:pPr>
      <w:proofErr w:type="gramStart"/>
      <w:r w:rsidRPr="00E14484">
        <w:rPr>
          <w:rFonts w:cstheme="minorHAnsi"/>
          <w:lang w:val="en-GB"/>
        </w:rPr>
        <w:t xml:space="preserve">Re </w:t>
      </w:r>
      <w:proofErr w:type="spellStart"/>
      <w:r w:rsidRPr="00E14484">
        <w:rPr>
          <w:rFonts w:cstheme="minorHAnsi"/>
          <w:lang w:val="en-GB"/>
        </w:rPr>
        <w:t>McArdle</w:t>
      </w:r>
      <w:proofErr w:type="spellEnd"/>
      <w:r w:rsidR="00D517AB" w:rsidRPr="00E14484">
        <w:rPr>
          <w:rFonts w:cstheme="minorHAnsi"/>
          <w:lang w:val="en-GB"/>
        </w:rPr>
        <w:t xml:space="preserve"> (1951) Court of Appeal.</w:t>
      </w:r>
      <w:proofErr w:type="gramEnd"/>
      <w:r w:rsidR="00D517AB" w:rsidRPr="00E14484">
        <w:rPr>
          <w:rFonts w:cstheme="minorHAnsi"/>
          <w:lang w:val="en-GB"/>
        </w:rPr>
        <w:t xml:space="preserve"> Available at: </w:t>
      </w:r>
      <w:r w:rsidR="00292D5C">
        <w:fldChar w:fldCharType="begin"/>
      </w:r>
      <w:r w:rsidR="00292D5C" w:rsidRPr="00982A55">
        <w:rPr>
          <w:lang w:val="en-GB"/>
        </w:rPr>
        <w:instrText xml:space="preserve"> HYPERLINK "https://ipsaloq</w:instrText>
      </w:r>
      <w:r w:rsidR="00292D5C" w:rsidRPr="00982A55">
        <w:rPr>
          <w:lang w:val="en-GB"/>
        </w:rPr>
        <w:instrText xml:space="preserve">uitur.com/contract-law/cases/re-mcardle/" </w:instrText>
      </w:r>
      <w:r w:rsidR="00292D5C">
        <w:fldChar w:fldCharType="separate"/>
      </w:r>
      <w:r w:rsidR="00D517AB" w:rsidRPr="00E14484">
        <w:rPr>
          <w:rStyle w:val="Hyperlink"/>
          <w:rFonts w:cstheme="minorHAnsi"/>
          <w:lang w:val="en-GB"/>
        </w:rPr>
        <w:t>https://ipsaloquitur.com/contract-law/cases/re-mcardle/</w:t>
      </w:r>
      <w:r w:rsidR="00292D5C">
        <w:rPr>
          <w:rStyle w:val="Hyperlink"/>
          <w:rFonts w:cstheme="minorHAnsi"/>
          <w:lang w:val="en-GB"/>
        </w:rPr>
        <w:fldChar w:fldCharType="end"/>
      </w:r>
      <w:r w:rsidR="00D517AB" w:rsidRPr="00E14484">
        <w:rPr>
          <w:rFonts w:cstheme="minorHAnsi"/>
          <w:lang w:val="en-GB"/>
        </w:rPr>
        <w:t xml:space="preserve"> (Accessed: 15</w:t>
      </w:r>
      <w:r w:rsidR="00D517AB" w:rsidRPr="00E14484">
        <w:rPr>
          <w:rFonts w:cstheme="minorHAnsi"/>
          <w:vertAlign w:val="superscript"/>
          <w:lang w:val="en-GB"/>
        </w:rPr>
        <w:t>th</w:t>
      </w:r>
      <w:r w:rsidR="00D517AB" w:rsidRPr="00E14484">
        <w:rPr>
          <w:rFonts w:cstheme="minorHAnsi"/>
          <w:lang w:val="en-GB"/>
        </w:rPr>
        <w:t xml:space="preserve"> February 2021)</w:t>
      </w:r>
    </w:p>
    <w:p w:rsidR="00C51E25" w:rsidRDefault="00C51E25" w:rsidP="00C51E25">
      <w:pPr>
        <w:pStyle w:val="ListParagraph"/>
        <w:rPr>
          <w:rFonts w:cstheme="minorHAnsi"/>
          <w:lang w:val="en-GB"/>
        </w:rPr>
      </w:pPr>
      <w:proofErr w:type="spellStart"/>
      <w:r>
        <w:rPr>
          <w:rFonts w:cstheme="minorHAnsi"/>
          <w:lang w:val="en-GB"/>
        </w:rPr>
        <w:t>Roscorla</w:t>
      </w:r>
      <w:proofErr w:type="spellEnd"/>
      <w:r>
        <w:rPr>
          <w:rFonts w:cstheme="minorHAnsi"/>
          <w:lang w:val="en-GB"/>
        </w:rPr>
        <w:t xml:space="preserve"> v Thomas (1842</w:t>
      </w:r>
      <w:proofErr w:type="gramStart"/>
      <w:r>
        <w:rPr>
          <w:rFonts w:cstheme="minorHAnsi"/>
          <w:lang w:val="en-GB"/>
        </w:rPr>
        <w:t xml:space="preserve">) </w:t>
      </w:r>
      <w:r w:rsidRPr="00E14484">
        <w:rPr>
          <w:rFonts w:cstheme="minorHAnsi"/>
          <w:lang w:val="en-GB"/>
        </w:rPr>
        <w:t>]</w:t>
      </w:r>
      <w:proofErr w:type="gramEnd"/>
      <w:r w:rsidRPr="00E14484">
        <w:rPr>
          <w:rFonts w:cstheme="minorHAnsi"/>
          <w:lang w:val="en-GB"/>
        </w:rPr>
        <w:t xml:space="preserve"> England and Wales High Court (</w:t>
      </w:r>
      <w:r>
        <w:rPr>
          <w:rFonts w:cstheme="minorHAnsi"/>
          <w:lang w:val="en-GB"/>
        </w:rPr>
        <w:t>Queen’s</w:t>
      </w:r>
      <w:r w:rsidRPr="00E14484">
        <w:rPr>
          <w:rFonts w:cstheme="minorHAnsi"/>
          <w:lang w:val="en-GB"/>
        </w:rPr>
        <w:t xml:space="preserve"> Bench Division) Decisions. BAILII (Online) Available at:</w:t>
      </w:r>
      <w:r w:rsidRPr="00C51E25">
        <w:rPr>
          <w:lang w:val="en-GB"/>
        </w:rPr>
        <w:t xml:space="preserve"> </w:t>
      </w:r>
      <w:r w:rsidR="00292D5C">
        <w:fldChar w:fldCharType="begin"/>
      </w:r>
      <w:r w:rsidR="00292D5C" w:rsidRPr="00982A55">
        <w:rPr>
          <w:lang w:val="en-GB"/>
        </w:rPr>
        <w:instrText xml:space="preserve"> HYPERLINK "https://www.bailii.org/ew/cases/EWHC/1842/J74.html" </w:instrText>
      </w:r>
      <w:r w:rsidR="00292D5C">
        <w:fldChar w:fldCharType="separate"/>
      </w:r>
      <w:r w:rsidRPr="0033334B">
        <w:rPr>
          <w:rStyle w:val="Hyperlink"/>
          <w:rFonts w:cstheme="minorHAnsi"/>
          <w:lang w:val="en-GB"/>
        </w:rPr>
        <w:t>https://www.bailii.org/ew/cases/EWHC/1842/J74.html</w:t>
      </w:r>
      <w:r w:rsidR="00292D5C">
        <w:rPr>
          <w:rStyle w:val="Hyperlink"/>
          <w:rFonts w:cstheme="minorHAnsi"/>
          <w:lang w:val="en-GB"/>
        </w:rPr>
        <w:fldChar w:fldCharType="end"/>
      </w:r>
      <w:r>
        <w:rPr>
          <w:rFonts w:cstheme="minorHAnsi"/>
          <w:lang w:val="en-GB"/>
        </w:rPr>
        <w:t xml:space="preserve"> BAILII (Online)</w:t>
      </w:r>
    </w:p>
    <w:p w:rsidR="00C51E25" w:rsidRDefault="00C51E25" w:rsidP="00C51E25">
      <w:pPr>
        <w:pStyle w:val="ListParagraph"/>
        <w:rPr>
          <w:rFonts w:cstheme="minorHAnsi"/>
          <w:lang w:val="en-GB"/>
        </w:rPr>
      </w:pPr>
      <w:r>
        <w:rPr>
          <w:rFonts w:cstheme="minorHAnsi"/>
          <w:lang w:val="en-GB"/>
        </w:rPr>
        <w:t>(Accessed: 2</w:t>
      </w:r>
      <w:r w:rsidRPr="00C51E25">
        <w:rPr>
          <w:rFonts w:cstheme="minorHAnsi"/>
          <w:vertAlign w:val="superscript"/>
          <w:lang w:val="en-GB"/>
        </w:rPr>
        <w:t>nd</w:t>
      </w:r>
      <w:r>
        <w:rPr>
          <w:rFonts w:cstheme="minorHAnsi"/>
          <w:lang w:val="en-GB"/>
        </w:rPr>
        <w:t xml:space="preserve"> March 2021)</w:t>
      </w:r>
    </w:p>
    <w:p w:rsidR="00F36885" w:rsidRPr="00C51E25" w:rsidRDefault="00F36885" w:rsidP="00C51E25">
      <w:pPr>
        <w:pStyle w:val="ListParagraph"/>
        <w:rPr>
          <w:rFonts w:cstheme="minorHAnsi"/>
          <w:lang w:val="en-GB"/>
        </w:rPr>
      </w:pPr>
      <w:r>
        <w:rPr>
          <w:rFonts w:cstheme="minorHAnsi"/>
          <w:lang w:val="en-GB"/>
        </w:rPr>
        <w:t>Simpkins v Pays (1955</w:t>
      </w:r>
      <w:proofErr w:type="gramStart"/>
      <w:r>
        <w:rPr>
          <w:rFonts w:cstheme="minorHAnsi"/>
          <w:lang w:val="en-GB"/>
        </w:rPr>
        <w:t>) )</w:t>
      </w:r>
      <w:proofErr w:type="gramEnd"/>
      <w:r>
        <w:rPr>
          <w:rFonts w:cstheme="minorHAnsi"/>
          <w:lang w:val="en-GB"/>
        </w:rPr>
        <w:t xml:space="preserve"> </w:t>
      </w:r>
      <w:r w:rsidRPr="00E14484">
        <w:rPr>
          <w:rFonts w:cstheme="minorHAnsi"/>
          <w:lang w:val="en-GB"/>
        </w:rPr>
        <w:t>England and Wales Court of Appeal (Civil Division) Decisions.</w:t>
      </w:r>
      <w:r>
        <w:rPr>
          <w:rFonts w:cstheme="minorHAnsi"/>
          <w:lang w:val="en-GB"/>
        </w:rPr>
        <w:t xml:space="preserve"> Available at: </w:t>
      </w:r>
      <w:hyperlink r:id="rId9" w:history="1">
        <w:r w:rsidRPr="0033334B">
          <w:rPr>
            <w:rStyle w:val="Hyperlink"/>
            <w:rFonts w:cstheme="minorHAnsi"/>
            <w:lang w:val="en-GB"/>
          </w:rPr>
          <w:t>https://simplestudying.com/simpkins-v-pays-1955/</w:t>
        </w:r>
      </w:hyperlink>
      <w:r>
        <w:rPr>
          <w:rFonts w:cstheme="minorHAnsi"/>
          <w:lang w:val="en-GB"/>
        </w:rPr>
        <w:t xml:space="preserve"> (Accessed: 2</w:t>
      </w:r>
      <w:r w:rsidRPr="00F36885">
        <w:rPr>
          <w:rFonts w:cstheme="minorHAnsi"/>
          <w:vertAlign w:val="superscript"/>
          <w:lang w:val="en-GB"/>
        </w:rPr>
        <w:t>nd</w:t>
      </w:r>
      <w:r>
        <w:rPr>
          <w:rFonts w:cstheme="minorHAnsi"/>
          <w:lang w:val="en-GB"/>
        </w:rPr>
        <w:t xml:space="preserve"> March 2021)</w:t>
      </w:r>
    </w:p>
    <w:p w:rsidR="00D517AB" w:rsidRPr="00E14484" w:rsidRDefault="00D517AB" w:rsidP="00D517AB">
      <w:pPr>
        <w:pStyle w:val="ListParagraph"/>
        <w:rPr>
          <w:rFonts w:cstheme="minorHAnsi"/>
          <w:lang w:val="en-GB"/>
        </w:rPr>
      </w:pPr>
      <w:r w:rsidRPr="00E14484">
        <w:rPr>
          <w:rFonts w:cstheme="minorHAnsi"/>
          <w:lang w:val="en-GB"/>
        </w:rPr>
        <w:lastRenderedPageBreak/>
        <w:t>Victoria Laundry (Wind</w:t>
      </w:r>
      <w:r w:rsidR="001D1CAE" w:rsidRPr="00E14484">
        <w:rPr>
          <w:rFonts w:cstheme="minorHAnsi"/>
          <w:lang w:val="en-GB"/>
        </w:rPr>
        <w:t>sor) LD. v Newman Industries Ltd</w:t>
      </w:r>
      <w:r w:rsidRPr="00E14484">
        <w:rPr>
          <w:rFonts w:cstheme="minorHAnsi"/>
          <w:lang w:val="en-GB"/>
        </w:rPr>
        <w:t xml:space="preserve"> England and Wales Court of Appeal case 528 Harvard (Online) Available at: </w:t>
      </w:r>
      <w:hyperlink r:id="rId10" w:history="1">
        <w:r w:rsidRPr="00E14484">
          <w:rPr>
            <w:rStyle w:val="Hyperlink"/>
            <w:rFonts w:cstheme="minorHAnsi"/>
            <w:lang w:val="en-GB"/>
          </w:rPr>
          <w:t>https://h2o.law.harvard.edu/collages/10073</w:t>
        </w:r>
      </w:hyperlink>
      <w:r w:rsidRPr="00E14484">
        <w:rPr>
          <w:rFonts w:cstheme="minorHAnsi"/>
          <w:lang w:val="en-GB"/>
        </w:rPr>
        <w:t xml:space="preserve"> (Accessed: 6</w:t>
      </w:r>
      <w:r w:rsidRPr="00E14484">
        <w:rPr>
          <w:rFonts w:cstheme="minorHAnsi"/>
          <w:vertAlign w:val="superscript"/>
          <w:lang w:val="en-GB"/>
        </w:rPr>
        <w:t>th</w:t>
      </w:r>
      <w:r w:rsidRPr="00E14484">
        <w:rPr>
          <w:rFonts w:cstheme="minorHAnsi"/>
          <w:lang w:val="en-GB"/>
        </w:rPr>
        <w:t xml:space="preserve"> February 2021)</w:t>
      </w:r>
    </w:p>
    <w:p w:rsidR="007210E7" w:rsidRPr="00174145" w:rsidRDefault="007210E7" w:rsidP="00D72879">
      <w:pPr>
        <w:pStyle w:val="ListParagraph"/>
        <w:rPr>
          <w:lang w:val="en-GB"/>
        </w:rPr>
      </w:pPr>
    </w:p>
    <w:sectPr w:rsidR="007210E7" w:rsidRPr="00174145" w:rsidSect="00EE34AF">
      <w:footerReference w:type="default" r:id="rId11"/>
      <w:pgSz w:w="11906" w:h="16838"/>
      <w:pgMar w:top="1417" w:right="1417" w:bottom="1417" w:left="1417"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92D5C" w:rsidRDefault="00292D5C" w:rsidP="009326BD">
      <w:pPr>
        <w:spacing w:after="0" w:line="240" w:lineRule="auto"/>
      </w:pPr>
      <w:r>
        <w:separator/>
      </w:r>
    </w:p>
  </w:endnote>
  <w:endnote w:type="continuationSeparator" w:id="0">
    <w:p w:rsidR="00292D5C" w:rsidRDefault="00292D5C" w:rsidP="009326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78093876"/>
      <w:docPartObj>
        <w:docPartGallery w:val="Page Numbers (Bottom of Page)"/>
        <w:docPartUnique/>
      </w:docPartObj>
    </w:sdtPr>
    <w:sdtEndPr>
      <w:rPr>
        <w:noProof/>
      </w:rPr>
    </w:sdtEndPr>
    <w:sdtContent>
      <w:p w:rsidR="00FC3B5D" w:rsidRDefault="00FC3B5D">
        <w:pPr>
          <w:pStyle w:val="Footer"/>
          <w:jc w:val="center"/>
        </w:pPr>
        <w:r>
          <w:fldChar w:fldCharType="begin"/>
        </w:r>
        <w:r>
          <w:instrText xml:space="preserve"> PAGE   \* MERGEFORMAT </w:instrText>
        </w:r>
        <w:r>
          <w:fldChar w:fldCharType="separate"/>
        </w:r>
        <w:r w:rsidR="00982A55">
          <w:rPr>
            <w:noProof/>
          </w:rPr>
          <w:t>8</w:t>
        </w:r>
        <w:r>
          <w:rPr>
            <w:noProof/>
          </w:rPr>
          <w:fldChar w:fldCharType="end"/>
        </w:r>
      </w:p>
    </w:sdtContent>
  </w:sdt>
  <w:p w:rsidR="00FC3B5D" w:rsidRDefault="00FC3B5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92D5C" w:rsidRDefault="00292D5C" w:rsidP="009326BD">
      <w:pPr>
        <w:spacing w:after="0" w:line="240" w:lineRule="auto"/>
      </w:pPr>
      <w:r>
        <w:separator/>
      </w:r>
    </w:p>
  </w:footnote>
  <w:footnote w:type="continuationSeparator" w:id="0">
    <w:p w:rsidR="00292D5C" w:rsidRDefault="00292D5C" w:rsidP="009326B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6834FC"/>
    <w:multiLevelType w:val="multilevel"/>
    <w:tmpl w:val="FD16F3E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1">
    <w:nsid w:val="1F937771"/>
    <w:multiLevelType w:val="multilevel"/>
    <w:tmpl w:val="F70883DC"/>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2">
    <w:nsid w:val="3D8251E0"/>
    <w:multiLevelType w:val="hybridMultilevel"/>
    <w:tmpl w:val="16DEBB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4D711AA2"/>
    <w:multiLevelType w:val="hybridMultilevel"/>
    <w:tmpl w:val="D820BE4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5243176A"/>
    <w:multiLevelType w:val="hybridMultilevel"/>
    <w:tmpl w:val="16DEBB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
  </w:num>
  <w:num w:numId="2">
    <w:abstractNumId w:val="1"/>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34AF"/>
    <w:rsid w:val="00006216"/>
    <w:rsid w:val="00014F9A"/>
    <w:rsid w:val="0003132A"/>
    <w:rsid w:val="000534D3"/>
    <w:rsid w:val="00067DF8"/>
    <w:rsid w:val="00073C45"/>
    <w:rsid w:val="00083D50"/>
    <w:rsid w:val="000908A4"/>
    <w:rsid w:val="0009292F"/>
    <w:rsid w:val="000A7129"/>
    <w:rsid w:val="000A7501"/>
    <w:rsid w:val="000B33B9"/>
    <w:rsid w:val="000B3DBB"/>
    <w:rsid w:val="000F365B"/>
    <w:rsid w:val="000F4E8A"/>
    <w:rsid w:val="001301E7"/>
    <w:rsid w:val="0013440E"/>
    <w:rsid w:val="00136329"/>
    <w:rsid w:val="00143519"/>
    <w:rsid w:val="00151717"/>
    <w:rsid w:val="00161419"/>
    <w:rsid w:val="00163CB9"/>
    <w:rsid w:val="00164059"/>
    <w:rsid w:val="00165486"/>
    <w:rsid w:val="001706B3"/>
    <w:rsid w:val="00174145"/>
    <w:rsid w:val="001B4ED8"/>
    <w:rsid w:val="001D1CAE"/>
    <w:rsid w:val="001E017B"/>
    <w:rsid w:val="001E6CC7"/>
    <w:rsid w:val="001F2AEB"/>
    <w:rsid w:val="00202924"/>
    <w:rsid w:val="002042C6"/>
    <w:rsid w:val="002144A7"/>
    <w:rsid w:val="002408E5"/>
    <w:rsid w:val="002668CB"/>
    <w:rsid w:val="00272FC9"/>
    <w:rsid w:val="002834CD"/>
    <w:rsid w:val="00292D5C"/>
    <w:rsid w:val="00295B6E"/>
    <w:rsid w:val="002A2B0D"/>
    <w:rsid w:val="002D79A8"/>
    <w:rsid w:val="002D7FBB"/>
    <w:rsid w:val="002E3170"/>
    <w:rsid w:val="002E3515"/>
    <w:rsid w:val="002E7219"/>
    <w:rsid w:val="00320CBB"/>
    <w:rsid w:val="00330ECB"/>
    <w:rsid w:val="00350180"/>
    <w:rsid w:val="00352C7F"/>
    <w:rsid w:val="00370141"/>
    <w:rsid w:val="00374DA7"/>
    <w:rsid w:val="003804DB"/>
    <w:rsid w:val="003850E0"/>
    <w:rsid w:val="00392B70"/>
    <w:rsid w:val="003C1D26"/>
    <w:rsid w:val="003D70CA"/>
    <w:rsid w:val="003E3DCC"/>
    <w:rsid w:val="003E5340"/>
    <w:rsid w:val="003E7295"/>
    <w:rsid w:val="003F4539"/>
    <w:rsid w:val="004164D8"/>
    <w:rsid w:val="004271B5"/>
    <w:rsid w:val="00430C80"/>
    <w:rsid w:val="00431B0B"/>
    <w:rsid w:val="004608C0"/>
    <w:rsid w:val="004A048B"/>
    <w:rsid w:val="004B5656"/>
    <w:rsid w:val="004B5A71"/>
    <w:rsid w:val="004D0285"/>
    <w:rsid w:val="004F35C6"/>
    <w:rsid w:val="004F63DC"/>
    <w:rsid w:val="00500CE7"/>
    <w:rsid w:val="005017EC"/>
    <w:rsid w:val="00505BB7"/>
    <w:rsid w:val="00521881"/>
    <w:rsid w:val="005260D7"/>
    <w:rsid w:val="005518F6"/>
    <w:rsid w:val="00560DC7"/>
    <w:rsid w:val="00580641"/>
    <w:rsid w:val="00581D50"/>
    <w:rsid w:val="005A359B"/>
    <w:rsid w:val="005A75C0"/>
    <w:rsid w:val="005C7234"/>
    <w:rsid w:val="005D6673"/>
    <w:rsid w:val="005E2E81"/>
    <w:rsid w:val="005E7F9B"/>
    <w:rsid w:val="005F119C"/>
    <w:rsid w:val="0060121B"/>
    <w:rsid w:val="006026E1"/>
    <w:rsid w:val="0060347A"/>
    <w:rsid w:val="00604ACC"/>
    <w:rsid w:val="0061417D"/>
    <w:rsid w:val="006168F7"/>
    <w:rsid w:val="006301B9"/>
    <w:rsid w:val="00646BEB"/>
    <w:rsid w:val="006A60AE"/>
    <w:rsid w:val="006B71C0"/>
    <w:rsid w:val="006D761A"/>
    <w:rsid w:val="006E0134"/>
    <w:rsid w:val="006F23CD"/>
    <w:rsid w:val="0070294B"/>
    <w:rsid w:val="00702B9C"/>
    <w:rsid w:val="00706742"/>
    <w:rsid w:val="007210E7"/>
    <w:rsid w:val="00723307"/>
    <w:rsid w:val="007371CF"/>
    <w:rsid w:val="0074659B"/>
    <w:rsid w:val="0077130D"/>
    <w:rsid w:val="007838B3"/>
    <w:rsid w:val="007868F3"/>
    <w:rsid w:val="00796A85"/>
    <w:rsid w:val="007A1A98"/>
    <w:rsid w:val="007C05E1"/>
    <w:rsid w:val="007C4720"/>
    <w:rsid w:val="007C68B9"/>
    <w:rsid w:val="007D03C3"/>
    <w:rsid w:val="007D2582"/>
    <w:rsid w:val="007E1235"/>
    <w:rsid w:val="00801ECB"/>
    <w:rsid w:val="00840902"/>
    <w:rsid w:val="00895517"/>
    <w:rsid w:val="00895B48"/>
    <w:rsid w:val="008C5838"/>
    <w:rsid w:val="008D54AE"/>
    <w:rsid w:val="008F5CAD"/>
    <w:rsid w:val="0090092F"/>
    <w:rsid w:val="009066E2"/>
    <w:rsid w:val="00922B3C"/>
    <w:rsid w:val="009326BD"/>
    <w:rsid w:val="0095042B"/>
    <w:rsid w:val="00956593"/>
    <w:rsid w:val="00964029"/>
    <w:rsid w:val="00982A55"/>
    <w:rsid w:val="00991ED5"/>
    <w:rsid w:val="00993713"/>
    <w:rsid w:val="009C3D73"/>
    <w:rsid w:val="009F700E"/>
    <w:rsid w:val="00A07D44"/>
    <w:rsid w:val="00A12520"/>
    <w:rsid w:val="00A33B21"/>
    <w:rsid w:val="00A40243"/>
    <w:rsid w:val="00A466BD"/>
    <w:rsid w:val="00A51AF3"/>
    <w:rsid w:val="00A81905"/>
    <w:rsid w:val="00A83866"/>
    <w:rsid w:val="00A926C9"/>
    <w:rsid w:val="00AA461B"/>
    <w:rsid w:val="00AB2EB8"/>
    <w:rsid w:val="00AC4DDE"/>
    <w:rsid w:val="00AD73AC"/>
    <w:rsid w:val="00AD78F9"/>
    <w:rsid w:val="00AE1D8B"/>
    <w:rsid w:val="00AE55A3"/>
    <w:rsid w:val="00AF5F64"/>
    <w:rsid w:val="00B37D45"/>
    <w:rsid w:val="00B37D57"/>
    <w:rsid w:val="00B46E81"/>
    <w:rsid w:val="00B542A9"/>
    <w:rsid w:val="00B56619"/>
    <w:rsid w:val="00B60FC4"/>
    <w:rsid w:val="00B837E5"/>
    <w:rsid w:val="00B84A18"/>
    <w:rsid w:val="00BA3322"/>
    <w:rsid w:val="00BC45F2"/>
    <w:rsid w:val="00C120A1"/>
    <w:rsid w:val="00C45C0E"/>
    <w:rsid w:val="00C51E25"/>
    <w:rsid w:val="00C52209"/>
    <w:rsid w:val="00C54BC8"/>
    <w:rsid w:val="00C62C90"/>
    <w:rsid w:val="00C73A74"/>
    <w:rsid w:val="00C83797"/>
    <w:rsid w:val="00CB1535"/>
    <w:rsid w:val="00CD6805"/>
    <w:rsid w:val="00CE7A3B"/>
    <w:rsid w:val="00CF6374"/>
    <w:rsid w:val="00D03F5D"/>
    <w:rsid w:val="00D060BF"/>
    <w:rsid w:val="00D231D4"/>
    <w:rsid w:val="00D517AB"/>
    <w:rsid w:val="00D6118E"/>
    <w:rsid w:val="00D72879"/>
    <w:rsid w:val="00DC2B56"/>
    <w:rsid w:val="00DF7249"/>
    <w:rsid w:val="00E14484"/>
    <w:rsid w:val="00E246CF"/>
    <w:rsid w:val="00E25EBE"/>
    <w:rsid w:val="00E36C7F"/>
    <w:rsid w:val="00E65A16"/>
    <w:rsid w:val="00E732B2"/>
    <w:rsid w:val="00EC520B"/>
    <w:rsid w:val="00ED5A7D"/>
    <w:rsid w:val="00EE34AF"/>
    <w:rsid w:val="00EE4EFD"/>
    <w:rsid w:val="00EE747C"/>
    <w:rsid w:val="00EF2A40"/>
    <w:rsid w:val="00F14C93"/>
    <w:rsid w:val="00F154F4"/>
    <w:rsid w:val="00F36885"/>
    <w:rsid w:val="00F37248"/>
    <w:rsid w:val="00F5087C"/>
    <w:rsid w:val="00F7746C"/>
    <w:rsid w:val="00F8049E"/>
    <w:rsid w:val="00F81E86"/>
    <w:rsid w:val="00F85F26"/>
    <w:rsid w:val="00F962C6"/>
    <w:rsid w:val="00FC3B5D"/>
    <w:rsid w:val="00FD70D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E34AF"/>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EE34AF"/>
    <w:rPr>
      <w:rFonts w:eastAsiaTheme="minorEastAsia"/>
      <w:lang w:val="en-US" w:eastAsia="ja-JP"/>
    </w:rPr>
  </w:style>
  <w:style w:type="paragraph" w:styleId="BalloonText">
    <w:name w:val="Balloon Text"/>
    <w:basedOn w:val="Normal"/>
    <w:link w:val="BalloonTextChar"/>
    <w:uiPriority w:val="99"/>
    <w:semiHidden/>
    <w:unhideWhenUsed/>
    <w:rsid w:val="00EE34A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E34AF"/>
    <w:rPr>
      <w:rFonts w:ascii="Tahoma" w:hAnsi="Tahoma" w:cs="Tahoma"/>
      <w:sz w:val="16"/>
      <w:szCs w:val="16"/>
    </w:rPr>
  </w:style>
  <w:style w:type="paragraph" w:styleId="ListParagraph">
    <w:name w:val="List Paragraph"/>
    <w:basedOn w:val="Normal"/>
    <w:uiPriority w:val="34"/>
    <w:qFormat/>
    <w:rsid w:val="000A7129"/>
    <w:pPr>
      <w:ind w:left="720"/>
      <w:contextualSpacing/>
    </w:pPr>
  </w:style>
  <w:style w:type="paragraph" w:customStyle="1" w:styleId="paragraph">
    <w:name w:val="paragraph"/>
    <w:basedOn w:val="Normal"/>
    <w:rsid w:val="00295B6E"/>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normaltextrun">
    <w:name w:val="normaltextrun"/>
    <w:basedOn w:val="DefaultParagraphFont"/>
    <w:rsid w:val="00295B6E"/>
  </w:style>
  <w:style w:type="character" w:customStyle="1" w:styleId="eop">
    <w:name w:val="eop"/>
    <w:basedOn w:val="DefaultParagraphFont"/>
    <w:rsid w:val="00295B6E"/>
  </w:style>
  <w:style w:type="paragraph" w:styleId="Header">
    <w:name w:val="header"/>
    <w:basedOn w:val="Normal"/>
    <w:link w:val="HeaderChar"/>
    <w:uiPriority w:val="99"/>
    <w:unhideWhenUsed/>
    <w:rsid w:val="009326BD"/>
    <w:pPr>
      <w:tabs>
        <w:tab w:val="center" w:pos="4536"/>
        <w:tab w:val="right" w:pos="9072"/>
      </w:tabs>
      <w:spacing w:after="0" w:line="240" w:lineRule="auto"/>
    </w:pPr>
  </w:style>
  <w:style w:type="character" w:customStyle="1" w:styleId="HeaderChar">
    <w:name w:val="Header Char"/>
    <w:basedOn w:val="DefaultParagraphFont"/>
    <w:link w:val="Header"/>
    <w:uiPriority w:val="99"/>
    <w:rsid w:val="009326BD"/>
  </w:style>
  <w:style w:type="paragraph" w:styleId="Footer">
    <w:name w:val="footer"/>
    <w:basedOn w:val="Normal"/>
    <w:link w:val="FooterChar"/>
    <w:uiPriority w:val="99"/>
    <w:unhideWhenUsed/>
    <w:rsid w:val="009326BD"/>
    <w:pPr>
      <w:tabs>
        <w:tab w:val="center" w:pos="4536"/>
        <w:tab w:val="right" w:pos="9072"/>
      </w:tabs>
      <w:spacing w:after="0" w:line="240" w:lineRule="auto"/>
    </w:pPr>
  </w:style>
  <w:style w:type="character" w:customStyle="1" w:styleId="FooterChar">
    <w:name w:val="Footer Char"/>
    <w:basedOn w:val="DefaultParagraphFont"/>
    <w:link w:val="Footer"/>
    <w:uiPriority w:val="99"/>
    <w:rsid w:val="009326BD"/>
  </w:style>
  <w:style w:type="character" w:customStyle="1" w:styleId="hgkelc">
    <w:name w:val="hgkelc"/>
    <w:basedOn w:val="DefaultParagraphFont"/>
    <w:rsid w:val="005D6673"/>
  </w:style>
  <w:style w:type="character" w:styleId="Hyperlink">
    <w:name w:val="Hyperlink"/>
    <w:basedOn w:val="DefaultParagraphFont"/>
    <w:uiPriority w:val="99"/>
    <w:unhideWhenUsed/>
    <w:rsid w:val="00D6118E"/>
    <w:rPr>
      <w:color w:val="0000FF" w:themeColor="hyperlink"/>
      <w:u w:val="single"/>
    </w:rPr>
  </w:style>
  <w:style w:type="character" w:styleId="Strong">
    <w:name w:val="Strong"/>
    <w:basedOn w:val="DefaultParagraphFont"/>
    <w:uiPriority w:val="22"/>
    <w:qFormat/>
    <w:rsid w:val="00164059"/>
    <w:rPr>
      <w:b/>
      <w:bCs/>
    </w:rPr>
  </w:style>
  <w:style w:type="paragraph" w:styleId="NormalWeb">
    <w:name w:val="Normal (Web)"/>
    <w:basedOn w:val="Normal"/>
    <w:uiPriority w:val="99"/>
    <w:semiHidden/>
    <w:unhideWhenUsed/>
    <w:rsid w:val="00164059"/>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acopre">
    <w:name w:val="acopre"/>
    <w:basedOn w:val="DefaultParagraphFont"/>
    <w:rsid w:val="004271B5"/>
  </w:style>
  <w:style w:type="character" w:styleId="Emphasis">
    <w:name w:val="Emphasis"/>
    <w:basedOn w:val="DefaultParagraphFont"/>
    <w:uiPriority w:val="20"/>
    <w:qFormat/>
    <w:rsid w:val="00E732B2"/>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E34AF"/>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EE34AF"/>
    <w:rPr>
      <w:rFonts w:eastAsiaTheme="minorEastAsia"/>
      <w:lang w:val="en-US" w:eastAsia="ja-JP"/>
    </w:rPr>
  </w:style>
  <w:style w:type="paragraph" w:styleId="BalloonText">
    <w:name w:val="Balloon Text"/>
    <w:basedOn w:val="Normal"/>
    <w:link w:val="BalloonTextChar"/>
    <w:uiPriority w:val="99"/>
    <w:semiHidden/>
    <w:unhideWhenUsed/>
    <w:rsid w:val="00EE34A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E34AF"/>
    <w:rPr>
      <w:rFonts w:ascii="Tahoma" w:hAnsi="Tahoma" w:cs="Tahoma"/>
      <w:sz w:val="16"/>
      <w:szCs w:val="16"/>
    </w:rPr>
  </w:style>
  <w:style w:type="paragraph" w:styleId="ListParagraph">
    <w:name w:val="List Paragraph"/>
    <w:basedOn w:val="Normal"/>
    <w:uiPriority w:val="34"/>
    <w:qFormat/>
    <w:rsid w:val="000A7129"/>
    <w:pPr>
      <w:ind w:left="720"/>
      <w:contextualSpacing/>
    </w:pPr>
  </w:style>
  <w:style w:type="paragraph" w:customStyle="1" w:styleId="paragraph">
    <w:name w:val="paragraph"/>
    <w:basedOn w:val="Normal"/>
    <w:rsid w:val="00295B6E"/>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normaltextrun">
    <w:name w:val="normaltextrun"/>
    <w:basedOn w:val="DefaultParagraphFont"/>
    <w:rsid w:val="00295B6E"/>
  </w:style>
  <w:style w:type="character" w:customStyle="1" w:styleId="eop">
    <w:name w:val="eop"/>
    <w:basedOn w:val="DefaultParagraphFont"/>
    <w:rsid w:val="00295B6E"/>
  </w:style>
  <w:style w:type="paragraph" w:styleId="Header">
    <w:name w:val="header"/>
    <w:basedOn w:val="Normal"/>
    <w:link w:val="HeaderChar"/>
    <w:uiPriority w:val="99"/>
    <w:unhideWhenUsed/>
    <w:rsid w:val="009326BD"/>
    <w:pPr>
      <w:tabs>
        <w:tab w:val="center" w:pos="4536"/>
        <w:tab w:val="right" w:pos="9072"/>
      </w:tabs>
      <w:spacing w:after="0" w:line="240" w:lineRule="auto"/>
    </w:pPr>
  </w:style>
  <w:style w:type="character" w:customStyle="1" w:styleId="HeaderChar">
    <w:name w:val="Header Char"/>
    <w:basedOn w:val="DefaultParagraphFont"/>
    <w:link w:val="Header"/>
    <w:uiPriority w:val="99"/>
    <w:rsid w:val="009326BD"/>
  </w:style>
  <w:style w:type="paragraph" w:styleId="Footer">
    <w:name w:val="footer"/>
    <w:basedOn w:val="Normal"/>
    <w:link w:val="FooterChar"/>
    <w:uiPriority w:val="99"/>
    <w:unhideWhenUsed/>
    <w:rsid w:val="009326BD"/>
    <w:pPr>
      <w:tabs>
        <w:tab w:val="center" w:pos="4536"/>
        <w:tab w:val="right" w:pos="9072"/>
      </w:tabs>
      <w:spacing w:after="0" w:line="240" w:lineRule="auto"/>
    </w:pPr>
  </w:style>
  <w:style w:type="character" w:customStyle="1" w:styleId="FooterChar">
    <w:name w:val="Footer Char"/>
    <w:basedOn w:val="DefaultParagraphFont"/>
    <w:link w:val="Footer"/>
    <w:uiPriority w:val="99"/>
    <w:rsid w:val="009326BD"/>
  </w:style>
  <w:style w:type="character" w:customStyle="1" w:styleId="hgkelc">
    <w:name w:val="hgkelc"/>
    <w:basedOn w:val="DefaultParagraphFont"/>
    <w:rsid w:val="005D6673"/>
  </w:style>
  <w:style w:type="character" w:styleId="Hyperlink">
    <w:name w:val="Hyperlink"/>
    <w:basedOn w:val="DefaultParagraphFont"/>
    <w:uiPriority w:val="99"/>
    <w:unhideWhenUsed/>
    <w:rsid w:val="00D6118E"/>
    <w:rPr>
      <w:color w:val="0000FF" w:themeColor="hyperlink"/>
      <w:u w:val="single"/>
    </w:rPr>
  </w:style>
  <w:style w:type="character" w:styleId="Strong">
    <w:name w:val="Strong"/>
    <w:basedOn w:val="DefaultParagraphFont"/>
    <w:uiPriority w:val="22"/>
    <w:qFormat/>
    <w:rsid w:val="00164059"/>
    <w:rPr>
      <w:b/>
      <w:bCs/>
    </w:rPr>
  </w:style>
  <w:style w:type="paragraph" w:styleId="NormalWeb">
    <w:name w:val="Normal (Web)"/>
    <w:basedOn w:val="Normal"/>
    <w:uiPriority w:val="99"/>
    <w:semiHidden/>
    <w:unhideWhenUsed/>
    <w:rsid w:val="00164059"/>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acopre">
    <w:name w:val="acopre"/>
    <w:basedOn w:val="DefaultParagraphFont"/>
    <w:rsid w:val="004271B5"/>
  </w:style>
  <w:style w:type="character" w:styleId="Emphasis">
    <w:name w:val="Emphasis"/>
    <w:basedOn w:val="DefaultParagraphFont"/>
    <w:uiPriority w:val="20"/>
    <w:qFormat/>
    <w:rsid w:val="00E732B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838422">
      <w:bodyDiv w:val="1"/>
      <w:marLeft w:val="0"/>
      <w:marRight w:val="0"/>
      <w:marTop w:val="0"/>
      <w:marBottom w:val="0"/>
      <w:divBdr>
        <w:top w:val="none" w:sz="0" w:space="0" w:color="auto"/>
        <w:left w:val="none" w:sz="0" w:space="0" w:color="auto"/>
        <w:bottom w:val="none" w:sz="0" w:space="0" w:color="auto"/>
        <w:right w:val="none" w:sz="0" w:space="0" w:color="auto"/>
      </w:divBdr>
    </w:div>
    <w:div w:id="15280696">
      <w:bodyDiv w:val="1"/>
      <w:marLeft w:val="0"/>
      <w:marRight w:val="0"/>
      <w:marTop w:val="0"/>
      <w:marBottom w:val="0"/>
      <w:divBdr>
        <w:top w:val="none" w:sz="0" w:space="0" w:color="auto"/>
        <w:left w:val="none" w:sz="0" w:space="0" w:color="auto"/>
        <w:bottom w:val="none" w:sz="0" w:space="0" w:color="auto"/>
        <w:right w:val="none" w:sz="0" w:space="0" w:color="auto"/>
      </w:divBdr>
    </w:div>
    <w:div w:id="282926329">
      <w:bodyDiv w:val="1"/>
      <w:marLeft w:val="0"/>
      <w:marRight w:val="0"/>
      <w:marTop w:val="0"/>
      <w:marBottom w:val="0"/>
      <w:divBdr>
        <w:top w:val="none" w:sz="0" w:space="0" w:color="auto"/>
        <w:left w:val="none" w:sz="0" w:space="0" w:color="auto"/>
        <w:bottom w:val="none" w:sz="0" w:space="0" w:color="auto"/>
        <w:right w:val="none" w:sz="0" w:space="0" w:color="auto"/>
      </w:divBdr>
    </w:div>
    <w:div w:id="480124475">
      <w:bodyDiv w:val="1"/>
      <w:marLeft w:val="0"/>
      <w:marRight w:val="0"/>
      <w:marTop w:val="0"/>
      <w:marBottom w:val="0"/>
      <w:divBdr>
        <w:top w:val="none" w:sz="0" w:space="0" w:color="auto"/>
        <w:left w:val="none" w:sz="0" w:space="0" w:color="auto"/>
        <w:bottom w:val="none" w:sz="0" w:space="0" w:color="auto"/>
        <w:right w:val="none" w:sz="0" w:space="0" w:color="auto"/>
      </w:divBdr>
    </w:div>
    <w:div w:id="777220018">
      <w:bodyDiv w:val="1"/>
      <w:marLeft w:val="0"/>
      <w:marRight w:val="0"/>
      <w:marTop w:val="0"/>
      <w:marBottom w:val="0"/>
      <w:divBdr>
        <w:top w:val="none" w:sz="0" w:space="0" w:color="auto"/>
        <w:left w:val="none" w:sz="0" w:space="0" w:color="auto"/>
        <w:bottom w:val="none" w:sz="0" w:space="0" w:color="auto"/>
        <w:right w:val="none" w:sz="0" w:space="0" w:color="auto"/>
      </w:divBdr>
    </w:div>
    <w:div w:id="870385992">
      <w:bodyDiv w:val="1"/>
      <w:marLeft w:val="0"/>
      <w:marRight w:val="0"/>
      <w:marTop w:val="0"/>
      <w:marBottom w:val="0"/>
      <w:divBdr>
        <w:top w:val="none" w:sz="0" w:space="0" w:color="auto"/>
        <w:left w:val="none" w:sz="0" w:space="0" w:color="auto"/>
        <w:bottom w:val="none" w:sz="0" w:space="0" w:color="auto"/>
        <w:right w:val="none" w:sz="0" w:space="0" w:color="auto"/>
      </w:divBdr>
    </w:div>
    <w:div w:id="920866931">
      <w:bodyDiv w:val="1"/>
      <w:marLeft w:val="0"/>
      <w:marRight w:val="0"/>
      <w:marTop w:val="0"/>
      <w:marBottom w:val="0"/>
      <w:divBdr>
        <w:top w:val="none" w:sz="0" w:space="0" w:color="auto"/>
        <w:left w:val="none" w:sz="0" w:space="0" w:color="auto"/>
        <w:bottom w:val="none" w:sz="0" w:space="0" w:color="auto"/>
        <w:right w:val="none" w:sz="0" w:space="0" w:color="auto"/>
      </w:divBdr>
    </w:div>
    <w:div w:id="983661870">
      <w:bodyDiv w:val="1"/>
      <w:marLeft w:val="0"/>
      <w:marRight w:val="0"/>
      <w:marTop w:val="0"/>
      <w:marBottom w:val="0"/>
      <w:divBdr>
        <w:top w:val="none" w:sz="0" w:space="0" w:color="auto"/>
        <w:left w:val="none" w:sz="0" w:space="0" w:color="auto"/>
        <w:bottom w:val="none" w:sz="0" w:space="0" w:color="auto"/>
        <w:right w:val="none" w:sz="0" w:space="0" w:color="auto"/>
      </w:divBdr>
    </w:div>
    <w:div w:id="1201287276">
      <w:bodyDiv w:val="1"/>
      <w:marLeft w:val="0"/>
      <w:marRight w:val="0"/>
      <w:marTop w:val="0"/>
      <w:marBottom w:val="0"/>
      <w:divBdr>
        <w:top w:val="none" w:sz="0" w:space="0" w:color="auto"/>
        <w:left w:val="none" w:sz="0" w:space="0" w:color="auto"/>
        <w:bottom w:val="none" w:sz="0" w:space="0" w:color="auto"/>
        <w:right w:val="none" w:sz="0" w:space="0" w:color="auto"/>
      </w:divBdr>
    </w:div>
    <w:div w:id="1308631986">
      <w:bodyDiv w:val="1"/>
      <w:marLeft w:val="0"/>
      <w:marRight w:val="0"/>
      <w:marTop w:val="0"/>
      <w:marBottom w:val="0"/>
      <w:divBdr>
        <w:top w:val="none" w:sz="0" w:space="0" w:color="auto"/>
        <w:left w:val="none" w:sz="0" w:space="0" w:color="auto"/>
        <w:bottom w:val="none" w:sz="0" w:space="0" w:color="auto"/>
        <w:right w:val="none" w:sz="0" w:space="0" w:color="auto"/>
      </w:divBdr>
    </w:div>
    <w:div w:id="1484003882">
      <w:bodyDiv w:val="1"/>
      <w:marLeft w:val="0"/>
      <w:marRight w:val="0"/>
      <w:marTop w:val="0"/>
      <w:marBottom w:val="0"/>
      <w:divBdr>
        <w:top w:val="none" w:sz="0" w:space="0" w:color="auto"/>
        <w:left w:val="none" w:sz="0" w:space="0" w:color="auto"/>
        <w:bottom w:val="none" w:sz="0" w:space="0" w:color="auto"/>
        <w:right w:val="none" w:sz="0" w:space="0" w:color="auto"/>
      </w:divBdr>
    </w:div>
    <w:div w:id="1525510076">
      <w:bodyDiv w:val="1"/>
      <w:marLeft w:val="0"/>
      <w:marRight w:val="0"/>
      <w:marTop w:val="0"/>
      <w:marBottom w:val="0"/>
      <w:divBdr>
        <w:top w:val="none" w:sz="0" w:space="0" w:color="auto"/>
        <w:left w:val="none" w:sz="0" w:space="0" w:color="auto"/>
        <w:bottom w:val="none" w:sz="0" w:space="0" w:color="auto"/>
        <w:right w:val="none" w:sz="0" w:space="0" w:color="auto"/>
      </w:divBdr>
    </w:div>
    <w:div w:id="1647926880">
      <w:bodyDiv w:val="1"/>
      <w:marLeft w:val="0"/>
      <w:marRight w:val="0"/>
      <w:marTop w:val="0"/>
      <w:marBottom w:val="0"/>
      <w:divBdr>
        <w:top w:val="none" w:sz="0" w:space="0" w:color="auto"/>
        <w:left w:val="none" w:sz="0" w:space="0" w:color="auto"/>
        <w:bottom w:val="none" w:sz="0" w:space="0" w:color="auto"/>
        <w:right w:val="none" w:sz="0" w:space="0" w:color="auto"/>
      </w:divBdr>
    </w:div>
    <w:div w:id="1877235427">
      <w:bodyDiv w:val="1"/>
      <w:marLeft w:val="0"/>
      <w:marRight w:val="0"/>
      <w:marTop w:val="0"/>
      <w:marBottom w:val="0"/>
      <w:divBdr>
        <w:top w:val="none" w:sz="0" w:space="0" w:color="auto"/>
        <w:left w:val="none" w:sz="0" w:space="0" w:color="auto"/>
        <w:bottom w:val="none" w:sz="0" w:space="0" w:color="auto"/>
        <w:right w:val="none" w:sz="0" w:space="0" w:color="auto"/>
      </w:divBdr>
    </w:div>
    <w:div w:id="2030370995">
      <w:bodyDiv w:val="1"/>
      <w:marLeft w:val="0"/>
      <w:marRight w:val="0"/>
      <w:marTop w:val="0"/>
      <w:marBottom w:val="0"/>
      <w:divBdr>
        <w:top w:val="none" w:sz="0" w:space="0" w:color="auto"/>
        <w:left w:val="none" w:sz="0" w:space="0" w:color="auto"/>
        <w:bottom w:val="none" w:sz="0" w:space="0" w:color="auto"/>
        <w:right w:val="none" w:sz="0" w:space="0" w:color="auto"/>
      </w:divBdr>
    </w:div>
    <w:div w:id="21388355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https://h2o.law.harvard.edu/collages/10073" TargetMode="External"/><Relationship Id="rId4" Type="http://schemas.microsoft.com/office/2007/relationships/stylesWithEffects" Target="stylesWithEffects.xml"/><Relationship Id="rId9" Type="http://schemas.openxmlformats.org/officeDocument/2006/relationships/hyperlink" Target="https://simplestudying.com/simpkins-v-pays-195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BY</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9</Pages>
  <Words>3169</Words>
  <Characters>19014</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Law Portfolio- Assignment One</vt:lpstr>
    </vt:vector>
  </TitlesOfParts>
  <Company/>
  <LinksUpToDate>false</LinksUpToDate>
  <CharactersWithSpaces>22139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Law Portfolio- Assignment One</dc:title>
  <dc:subject>Lecturer: Louise Holmes Module code: BMLW5006</dc:subject>
  <dc:creator>Krzysztof Rutkowski</dc:creator>
  <cp:lastModifiedBy>Krzysztof Rutkowski</cp:lastModifiedBy>
  <cp:revision>6</cp:revision>
  <dcterms:created xsi:type="dcterms:W3CDTF">2021-03-03T11:07:00Z</dcterms:created>
  <dcterms:modified xsi:type="dcterms:W3CDTF">2021-03-05T10:57:00Z</dcterms:modified>
</cp:coreProperties>
</file>