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E0381AD" w14:textId="77777777" w:rsidR="00044AE5" w:rsidRPr="00C361E9" w:rsidRDefault="00044AE5" w:rsidP="00C361E9">
      <w:pPr>
        <w:spacing w:after="800" w:line="360" w:lineRule="auto"/>
        <w:jc w:val="both"/>
        <w:rPr>
          <w:rFonts w:ascii="Arial" w:hAnsi="Arial" w:cs="Arial"/>
        </w:rPr>
      </w:pPr>
    </w:p>
    <w:p w14:paraId="37927096" w14:textId="68B8AAF0" w:rsidR="00044AE5" w:rsidRPr="00C361E9" w:rsidRDefault="00C361E9" w:rsidP="00C361E9">
      <w:pPr>
        <w:spacing w:after="400" w:line="360" w:lineRule="auto"/>
        <w:jc w:val="center"/>
        <w:rPr>
          <w:rFonts w:ascii="Arial" w:eastAsia="Arial" w:hAnsi="Arial" w:cs="Arial"/>
          <w:b/>
          <w:bCs/>
        </w:rPr>
      </w:pPr>
      <w:r>
        <w:rPr>
          <w:rFonts w:ascii="Arial" w:eastAsia="Arial" w:hAnsi="Arial" w:cs="Arial"/>
          <w:b/>
          <w:bCs/>
        </w:rPr>
        <w:t>PERSON-CENTRED</w:t>
      </w:r>
      <w:r w:rsidRPr="00C361E9">
        <w:rPr>
          <w:rFonts w:ascii="Arial" w:eastAsia="Arial" w:hAnsi="Arial" w:cs="Arial"/>
          <w:b/>
          <w:bCs/>
        </w:rPr>
        <w:t xml:space="preserve"> CARE AND PARTNERSHIP WORKING IN MENTAL HEALTH SERVICES</w:t>
      </w:r>
    </w:p>
    <w:p w14:paraId="45E723B7" w14:textId="2D4F0A74" w:rsidR="00044AE5" w:rsidRPr="00C361E9" w:rsidRDefault="00C361E9" w:rsidP="00C361E9">
      <w:pPr>
        <w:spacing w:before="800" w:line="360" w:lineRule="auto"/>
        <w:jc w:val="center"/>
        <w:rPr>
          <w:rFonts w:ascii="Arial" w:hAnsi="Arial" w:cs="Arial"/>
          <w:b/>
          <w:bCs/>
        </w:rPr>
      </w:pPr>
      <w:r w:rsidRPr="00C361E9">
        <w:rPr>
          <w:rFonts w:ascii="Arial" w:eastAsia="Arial" w:hAnsi="Arial" w:cs="Arial"/>
          <w:b/>
          <w:bCs/>
        </w:rPr>
        <w:t>STUDENT NAME:</w:t>
      </w:r>
      <w:r w:rsidR="00BB1124">
        <w:rPr>
          <w:rFonts w:ascii="Arial" w:eastAsia="Arial" w:hAnsi="Arial" w:cs="Arial"/>
          <w:b/>
          <w:bCs/>
        </w:rPr>
        <w:t xml:space="preserve"> Farzana Hameed</w:t>
      </w:r>
    </w:p>
    <w:p w14:paraId="4F52076F" w14:textId="0012294B" w:rsidR="00044AE5" w:rsidRPr="00C361E9" w:rsidRDefault="00C361E9" w:rsidP="00C361E9">
      <w:pPr>
        <w:spacing w:before="200" w:line="360" w:lineRule="auto"/>
        <w:jc w:val="center"/>
        <w:rPr>
          <w:rFonts w:ascii="Arial" w:eastAsia="Arial" w:hAnsi="Arial" w:cs="Arial"/>
          <w:b/>
          <w:bCs/>
        </w:rPr>
      </w:pPr>
      <w:r w:rsidRPr="00C361E9">
        <w:rPr>
          <w:rFonts w:ascii="Arial" w:eastAsia="Arial" w:hAnsi="Arial" w:cs="Arial"/>
          <w:b/>
          <w:bCs/>
        </w:rPr>
        <w:t>STUDENT ID:</w:t>
      </w:r>
      <w:r w:rsidR="00BB1124">
        <w:rPr>
          <w:rFonts w:ascii="Arial" w:eastAsia="Arial" w:hAnsi="Arial" w:cs="Arial"/>
          <w:b/>
          <w:bCs/>
        </w:rPr>
        <w:t xml:space="preserve"> 2432703</w:t>
      </w:r>
    </w:p>
    <w:p w14:paraId="18F41301" w14:textId="1EC32400" w:rsidR="00044AE5" w:rsidRPr="00C361E9" w:rsidRDefault="00C361E9" w:rsidP="00C361E9">
      <w:pPr>
        <w:spacing w:before="800" w:line="360" w:lineRule="auto"/>
        <w:jc w:val="center"/>
        <w:rPr>
          <w:rFonts w:ascii="Arial" w:eastAsia="Arial" w:hAnsi="Arial" w:cs="Arial"/>
          <w:b/>
          <w:bCs/>
        </w:rPr>
      </w:pPr>
      <w:r w:rsidRPr="00C361E9">
        <w:rPr>
          <w:rFonts w:ascii="Arial" w:eastAsia="Arial" w:hAnsi="Arial" w:cs="Arial"/>
          <w:b/>
          <w:bCs/>
        </w:rPr>
        <w:t>MODULE: PRINCIPLES OF HEALTH AND SOCIAL CARE PRACTICE</w:t>
      </w:r>
    </w:p>
    <w:p w14:paraId="6689D37E" w14:textId="6766D5FD" w:rsidR="00044AE5" w:rsidRPr="00C361E9" w:rsidRDefault="00C361E9" w:rsidP="00C361E9">
      <w:pPr>
        <w:spacing w:before="800" w:line="360" w:lineRule="auto"/>
        <w:jc w:val="center"/>
        <w:rPr>
          <w:rFonts w:ascii="Arial" w:eastAsia="Arial" w:hAnsi="Arial" w:cs="Arial"/>
          <w:b/>
          <w:bCs/>
        </w:rPr>
      </w:pPr>
      <w:r w:rsidRPr="00C361E9">
        <w:rPr>
          <w:rFonts w:ascii="Arial" w:eastAsia="Arial" w:hAnsi="Arial" w:cs="Arial"/>
          <w:b/>
          <w:bCs/>
        </w:rPr>
        <w:t>MODULE CODE: BMHP5016</w:t>
      </w:r>
    </w:p>
    <w:p w14:paraId="50838993" w14:textId="0E92C882" w:rsidR="00044AE5" w:rsidRPr="00C361E9" w:rsidRDefault="00C361E9" w:rsidP="00C361E9">
      <w:pPr>
        <w:spacing w:before="200" w:line="360" w:lineRule="auto"/>
        <w:jc w:val="center"/>
        <w:rPr>
          <w:rFonts w:ascii="Arial" w:eastAsia="Arial" w:hAnsi="Arial" w:cs="Arial"/>
          <w:b/>
          <w:bCs/>
        </w:rPr>
      </w:pPr>
      <w:r w:rsidRPr="00C361E9">
        <w:rPr>
          <w:rFonts w:ascii="Arial" w:eastAsia="Arial" w:hAnsi="Arial" w:cs="Arial"/>
          <w:b/>
          <w:bCs/>
        </w:rPr>
        <w:t>COMPONENT 2: WRITTEN ASSIGNMENT (REPORT</w:t>
      </w:r>
    </w:p>
    <w:p w14:paraId="6141AF75" w14:textId="437C8A19" w:rsidR="00044AE5" w:rsidRPr="00C361E9" w:rsidRDefault="00C361E9" w:rsidP="00C361E9">
      <w:pPr>
        <w:spacing w:line="360" w:lineRule="auto"/>
        <w:jc w:val="center"/>
        <w:rPr>
          <w:rFonts w:ascii="Arial" w:eastAsia="Arial" w:hAnsi="Arial" w:cs="Arial"/>
          <w:b/>
          <w:bCs/>
        </w:rPr>
      </w:pPr>
      <w:r w:rsidRPr="00C361E9">
        <w:rPr>
          <w:rFonts w:ascii="Arial" w:eastAsia="Arial" w:hAnsi="Arial" w:cs="Arial"/>
          <w:b/>
          <w:bCs/>
        </w:rPr>
        <w:t>UNIVERSITY OF WALES TRINITY SAINT DAVID</w:t>
      </w:r>
    </w:p>
    <w:p w14:paraId="2FF4FA4A" w14:textId="628FEEC9" w:rsidR="00044AE5" w:rsidRPr="00C361E9" w:rsidRDefault="00C361E9" w:rsidP="00C361E9">
      <w:pPr>
        <w:spacing w:line="360" w:lineRule="auto"/>
        <w:jc w:val="center"/>
        <w:rPr>
          <w:rFonts w:ascii="Arial" w:hAnsi="Arial" w:cs="Arial"/>
          <w:b/>
          <w:bCs/>
        </w:rPr>
      </w:pPr>
      <w:r w:rsidRPr="00C361E9">
        <w:rPr>
          <w:rFonts w:ascii="Arial" w:eastAsia="Arial" w:hAnsi="Arial" w:cs="Arial"/>
          <w:b/>
          <w:bCs/>
        </w:rPr>
        <w:t>SUBMISSION DATE: JULY 26</w:t>
      </w:r>
      <w:r w:rsidRPr="00C361E9">
        <w:rPr>
          <w:rFonts w:ascii="Arial" w:eastAsia="Arial" w:hAnsi="Arial" w:cs="Arial"/>
          <w:b/>
          <w:bCs/>
          <w:vertAlign w:val="superscript"/>
        </w:rPr>
        <w:t>TH</w:t>
      </w:r>
      <w:r w:rsidRPr="00C361E9">
        <w:rPr>
          <w:rFonts w:ascii="Arial" w:eastAsia="Arial" w:hAnsi="Arial" w:cs="Arial"/>
          <w:b/>
          <w:bCs/>
        </w:rPr>
        <w:t>, 2026</w:t>
      </w:r>
    </w:p>
    <w:p w14:paraId="6ADD5FD5" w14:textId="6432BA1A" w:rsidR="00044AE5" w:rsidRPr="00C361E9" w:rsidRDefault="00044AE5" w:rsidP="00C361E9">
      <w:pPr>
        <w:spacing w:after="400" w:line="360" w:lineRule="auto"/>
        <w:jc w:val="center"/>
        <w:rPr>
          <w:rFonts w:ascii="Arial" w:hAnsi="Arial" w:cs="Arial"/>
        </w:rPr>
      </w:pPr>
    </w:p>
    <w:p w14:paraId="091A73C1" w14:textId="77777777" w:rsidR="00044AE5" w:rsidRPr="00C361E9" w:rsidRDefault="00044AE5" w:rsidP="00C361E9">
      <w:pPr>
        <w:spacing w:after="400" w:line="360" w:lineRule="auto"/>
        <w:jc w:val="center"/>
        <w:rPr>
          <w:rFonts w:ascii="Arial" w:hAnsi="Arial" w:cs="Arial"/>
        </w:rPr>
      </w:pPr>
    </w:p>
    <w:p w14:paraId="618C3455" w14:textId="77777777" w:rsidR="00044AE5" w:rsidRPr="00C361E9" w:rsidRDefault="00044AE5" w:rsidP="00C361E9">
      <w:pPr>
        <w:spacing w:line="360" w:lineRule="auto"/>
        <w:jc w:val="both"/>
        <w:rPr>
          <w:rFonts w:ascii="Arial" w:hAnsi="Arial" w:cs="Arial"/>
        </w:rPr>
      </w:pPr>
    </w:p>
    <w:p w14:paraId="252816E8" w14:textId="77777777" w:rsidR="00044AE5" w:rsidRPr="00C361E9" w:rsidRDefault="00044AE5" w:rsidP="00C361E9">
      <w:pPr>
        <w:spacing w:line="360" w:lineRule="auto"/>
        <w:jc w:val="both"/>
        <w:rPr>
          <w:rFonts w:ascii="Arial" w:hAnsi="Arial" w:cs="Arial"/>
        </w:rPr>
      </w:pPr>
    </w:p>
    <w:p w14:paraId="5ED586C8" w14:textId="77777777" w:rsidR="00044AE5" w:rsidRPr="00C361E9" w:rsidRDefault="00044AE5" w:rsidP="00C361E9">
      <w:pPr>
        <w:spacing w:line="360" w:lineRule="auto"/>
        <w:jc w:val="both"/>
        <w:rPr>
          <w:rFonts w:ascii="Arial" w:eastAsiaTheme="majorEastAsia" w:hAnsi="Arial" w:cs="Arial"/>
          <w:b/>
          <w:bCs/>
        </w:rPr>
      </w:pPr>
      <w:r w:rsidRPr="00C361E9">
        <w:rPr>
          <w:rFonts w:ascii="Arial" w:hAnsi="Arial" w:cs="Arial"/>
          <w:b/>
          <w:bCs/>
        </w:rPr>
        <w:br w:type="page"/>
      </w:r>
    </w:p>
    <w:p w14:paraId="41A9977D" w14:textId="1E41D6AE" w:rsidR="00044AE5" w:rsidRPr="00C361E9" w:rsidRDefault="00044AE5" w:rsidP="00C361E9">
      <w:pPr>
        <w:pStyle w:val="Heading1"/>
        <w:spacing w:line="360" w:lineRule="auto"/>
        <w:jc w:val="both"/>
        <w:rPr>
          <w:rFonts w:ascii="Arial" w:hAnsi="Arial" w:cs="Arial"/>
          <w:b/>
          <w:bCs/>
          <w:color w:val="auto"/>
          <w:sz w:val="22"/>
          <w:szCs w:val="22"/>
        </w:rPr>
      </w:pPr>
      <w:bookmarkStart w:id="0" w:name="_Toc235497358"/>
      <w:r w:rsidRPr="00C361E9">
        <w:rPr>
          <w:rFonts w:ascii="Arial" w:hAnsi="Arial" w:cs="Arial"/>
          <w:b/>
          <w:bCs/>
          <w:color w:val="auto"/>
          <w:sz w:val="22"/>
          <w:szCs w:val="22"/>
        </w:rPr>
        <w:t>Abstract</w:t>
      </w:r>
      <w:bookmarkEnd w:id="0"/>
    </w:p>
    <w:p w14:paraId="22255D38" w14:textId="40A0A1FD" w:rsidR="00044AE5" w:rsidRPr="00C361E9" w:rsidRDefault="00044AE5" w:rsidP="00C361E9">
      <w:pPr>
        <w:spacing w:line="360" w:lineRule="auto"/>
        <w:jc w:val="both"/>
        <w:rPr>
          <w:rFonts w:ascii="Arial" w:hAnsi="Arial" w:cs="Arial"/>
        </w:rPr>
      </w:pPr>
      <w:r w:rsidRPr="00C361E9">
        <w:rPr>
          <w:rFonts w:ascii="Arial" w:hAnsi="Arial" w:cs="Arial"/>
        </w:rPr>
        <w:t xml:space="preserve">This report reviews Person Centred Care (PCC) and Partnership Working (PW) as applied to mental health services in the United Kingdom. It identifies PCC and explores the advantages and disadvantages of this approach, then examines the theoretical underpinning for a person-centred approach: </w:t>
      </w:r>
      <w:proofErr w:type="spellStart"/>
      <w:r w:rsidRPr="00C361E9">
        <w:rPr>
          <w:rFonts w:ascii="Arial" w:hAnsi="Arial" w:cs="Arial"/>
        </w:rPr>
        <w:t>Rogerian</w:t>
      </w:r>
      <w:proofErr w:type="spellEnd"/>
      <w:r w:rsidRPr="00C361E9">
        <w:rPr>
          <w:rFonts w:ascii="Arial" w:hAnsi="Arial" w:cs="Arial"/>
        </w:rPr>
        <w:t xml:space="preserve"> client-centred theory, </w:t>
      </w:r>
      <w:proofErr w:type="spellStart"/>
      <w:r w:rsidRPr="00C361E9">
        <w:rPr>
          <w:rFonts w:ascii="Arial" w:hAnsi="Arial" w:cs="Arial"/>
        </w:rPr>
        <w:t>Kitwood's</w:t>
      </w:r>
      <w:proofErr w:type="spellEnd"/>
      <w:r w:rsidRPr="00C361E9">
        <w:rPr>
          <w:rFonts w:ascii="Arial" w:hAnsi="Arial" w:cs="Arial"/>
        </w:rPr>
        <w:t xml:space="preserve"> theory of personhood, and the </w:t>
      </w:r>
      <w:proofErr w:type="spellStart"/>
      <w:r w:rsidRPr="00C361E9">
        <w:rPr>
          <w:rFonts w:ascii="Arial" w:hAnsi="Arial" w:cs="Arial"/>
        </w:rPr>
        <w:t>biopsychosocial</w:t>
      </w:r>
      <w:proofErr w:type="spellEnd"/>
      <w:r w:rsidRPr="00C361E9">
        <w:rPr>
          <w:rFonts w:ascii="Arial" w:hAnsi="Arial" w:cs="Arial"/>
        </w:rPr>
        <w:t xml:space="preserve"> model. The concepts of autonomy, beneficence, non-maleficence and justice are explored and discussed in the context of conflicting principles that occur when compulsory treatment is applied. PW is appraised based on its benefits and issues and against Integrated Care Systems. Relevant policy and legislation are then considered, such as the Mental Health Act 1983 (as amended), the Mental Health Act 2025, the Care Act 2014, the Health and Care Act 2022, the Human Rights Act 1998 and the Equality Act 2010. The report highlights that there has been much progress in the integration and embedding of PCC and PW within mental health care, but there are structural, cultural and resource barriers. Proposals are included on workforce training, digital innovation and investment in partnership models that are grounded in the community.</w:t>
      </w:r>
    </w:p>
    <w:p w14:paraId="6D733FFF" w14:textId="32CC5984" w:rsidR="00044AE5" w:rsidRPr="00C361E9" w:rsidRDefault="00044AE5" w:rsidP="00C361E9">
      <w:pPr>
        <w:spacing w:line="360" w:lineRule="auto"/>
        <w:jc w:val="both"/>
        <w:rPr>
          <w:rFonts w:ascii="Arial" w:hAnsi="Arial" w:cs="Arial"/>
        </w:rPr>
      </w:pPr>
      <w:r w:rsidRPr="00C361E9">
        <w:rPr>
          <w:rFonts w:ascii="Arial" w:hAnsi="Arial" w:cs="Arial"/>
        </w:rPr>
        <w:br w:type="page"/>
      </w:r>
    </w:p>
    <w:p w14:paraId="6492E748" w14:textId="77777777" w:rsidR="00044AE5" w:rsidRPr="00C361E9" w:rsidRDefault="00044AE5" w:rsidP="00C361E9">
      <w:pPr>
        <w:spacing w:line="360" w:lineRule="auto"/>
        <w:jc w:val="both"/>
        <w:rPr>
          <w:rFonts w:ascii="Arial" w:hAnsi="Arial" w:cs="Arial"/>
        </w:rPr>
      </w:pPr>
    </w:p>
    <w:sdt>
      <w:sdtPr>
        <w:rPr>
          <w:rFonts w:ascii="Arial" w:eastAsiaTheme="minorHAnsi" w:hAnsi="Arial" w:cs="Arial"/>
          <w:color w:val="auto"/>
          <w:sz w:val="22"/>
          <w:szCs w:val="22"/>
          <w:lang w:val="en-GB"/>
        </w:rPr>
        <w:id w:val="921451871"/>
        <w:docPartObj>
          <w:docPartGallery w:val="Table of Contents"/>
          <w:docPartUnique/>
        </w:docPartObj>
      </w:sdtPr>
      <w:sdtEndPr>
        <w:rPr>
          <w:b/>
          <w:bCs/>
          <w:noProof/>
        </w:rPr>
      </w:sdtEndPr>
      <w:sdtContent>
        <w:p w14:paraId="41485D66" w14:textId="284C8AD0" w:rsidR="00044AE5" w:rsidRPr="00C361E9" w:rsidRDefault="00044AE5" w:rsidP="00C361E9">
          <w:pPr>
            <w:pStyle w:val="TOCHeading"/>
            <w:spacing w:line="360" w:lineRule="auto"/>
            <w:jc w:val="both"/>
            <w:rPr>
              <w:rFonts w:ascii="Arial" w:hAnsi="Arial" w:cs="Arial"/>
              <w:color w:val="auto"/>
              <w:sz w:val="22"/>
              <w:szCs w:val="22"/>
            </w:rPr>
          </w:pPr>
          <w:r w:rsidRPr="00C361E9">
            <w:rPr>
              <w:rFonts w:ascii="Arial" w:hAnsi="Arial" w:cs="Arial"/>
              <w:color w:val="auto"/>
              <w:sz w:val="22"/>
              <w:szCs w:val="22"/>
            </w:rPr>
            <w:t>Table of Contents</w:t>
          </w:r>
        </w:p>
        <w:p w14:paraId="7AAC76BD" w14:textId="02A7CE5B" w:rsidR="00EF1057" w:rsidRDefault="00044AE5">
          <w:pPr>
            <w:pStyle w:val="TOC1"/>
            <w:tabs>
              <w:tab w:val="right" w:leader="dot" w:pos="9016"/>
            </w:tabs>
            <w:rPr>
              <w:rFonts w:eastAsiaTheme="minorEastAsia"/>
              <w:noProof/>
              <w:lang/>
            </w:rPr>
          </w:pPr>
          <w:r w:rsidRPr="00C361E9">
            <w:rPr>
              <w:rFonts w:ascii="Arial" w:hAnsi="Arial" w:cs="Arial"/>
            </w:rPr>
            <w:fldChar w:fldCharType="begin"/>
          </w:r>
          <w:r w:rsidRPr="00C361E9">
            <w:rPr>
              <w:rFonts w:ascii="Arial" w:hAnsi="Arial" w:cs="Arial"/>
            </w:rPr>
            <w:instrText xml:space="preserve"> TOC \o "1-3" \h \z \u </w:instrText>
          </w:r>
          <w:r w:rsidRPr="00C361E9">
            <w:rPr>
              <w:rFonts w:ascii="Arial" w:hAnsi="Arial" w:cs="Arial"/>
            </w:rPr>
            <w:fldChar w:fldCharType="separate"/>
          </w:r>
          <w:hyperlink w:anchor="_Toc235497358" w:history="1">
            <w:r w:rsidR="00EF1057" w:rsidRPr="00D744D4">
              <w:rPr>
                <w:rStyle w:val="Hyperlink"/>
                <w:rFonts w:ascii="Arial" w:hAnsi="Arial" w:cs="Arial"/>
                <w:b/>
                <w:bCs/>
                <w:noProof/>
              </w:rPr>
              <w:t>Abstract</w:t>
            </w:r>
            <w:r w:rsidR="00EF1057">
              <w:rPr>
                <w:noProof/>
                <w:webHidden/>
              </w:rPr>
              <w:tab/>
            </w:r>
            <w:r w:rsidR="00EF1057">
              <w:rPr>
                <w:noProof/>
                <w:webHidden/>
              </w:rPr>
              <w:fldChar w:fldCharType="begin"/>
            </w:r>
            <w:r w:rsidR="00EF1057">
              <w:rPr>
                <w:noProof/>
                <w:webHidden/>
              </w:rPr>
              <w:instrText xml:space="preserve"> PAGEREF _Toc235497358 \h </w:instrText>
            </w:r>
            <w:r w:rsidR="00EF1057">
              <w:rPr>
                <w:noProof/>
                <w:webHidden/>
              </w:rPr>
            </w:r>
            <w:r w:rsidR="00EF1057">
              <w:rPr>
                <w:noProof/>
                <w:webHidden/>
              </w:rPr>
              <w:fldChar w:fldCharType="separate"/>
            </w:r>
            <w:r w:rsidR="00EF1057">
              <w:rPr>
                <w:noProof/>
                <w:webHidden/>
              </w:rPr>
              <w:t>2</w:t>
            </w:r>
            <w:r w:rsidR="00EF1057">
              <w:rPr>
                <w:noProof/>
                <w:webHidden/>
              </w:rPr>
              <w:fldChar w:fldCharType="end"/>
            </w:r>
          </w:hyperlink>
        </w:p>
        <w:p w14:paraId="45542480" w14:textId="433FB759" w:rsidR="00EF1057" w:rsidRDefault="00EF1057">
          <w:pPr>
            <w:pStyle w:val="TOC1"/>
            <w:tabs>
              <w:tab w:val="right" w:leader="dot" w:pos="9016"/>
            </w:tabs>
            <w:rPr>
              <w:rFonts w:eastAsiaTheme="minorEastAsia"/>
              <w:noProof/>
              <w:lang/>
            </w:rPr>
          </w:pPr>
          <w:hyperlink w:anchor="_Toc235497359" w:history="1">
            <w:r w:rsidRPr="00D744D4">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_Toc235497359 \h </w:instrText>
            </w:r>
            <w:r>
              <w:rPr>
                <w:noProof/>
                <w:webHidden/>
              </w:rPr>
            </w:r>
            <w:r>
              <w:rPr>
                <w:noProof/>
                <w:webHidden/>
              </w:rPr>
              <w:fldChar w:fldCharType="separate"/>
            </w:r>
            <w:r>
              <w:rPr>
                <w:noProof/>
                <w:webHidden/>
              </w:rPr>
              <w:t>4</w:t>
            </w:r>
            <w:r>
              <w:rPr>
                <w:noProof/>
                <w:webHidden/>
              </w:rPr>
              <w:fldChar w:fldCharType="end"/>
            </w:r>
          </w:hyperlink>
        </w:p>
        <w:p w14:paraId="48091572" w14:textId="1EC754A3" w:rsidR="00EF1057" w:rsidRDefault="00EF1057">
          <w:pPr>
            <w:pStyle w:val="TOC1"/>
            <w:tabs>
              <w:tab w:val="right" w:leader="dot" w:pos="9016"/>
            </w:tabs>
            <w:rPr>
              <w:rFonts w:eastAsiaTheme="minorEastAsia"/>
              <w:noProof/>
              <w:lang/>
            </w:rPr>
          </w:pPr>
          <w:hyperlink w:anchor="_Toc235497360" w:history="1">
            <w:r w:rsidRPr="00D744D4">
              <w:rPr>
                <w:rStyle w:val="Hyperlink"/>
                <w:rFonts w:ascii="Arial" w:hAnsi="Arial" w:cs="Arial"/>
                <w:b/>
                <w:bCs/>
                <w:noProof/>
              </w:rPr>
              <w:t>Definition of Person-Centred Care</w:t>
            </w:r>
            <w:r>
              <w:rPr>
                <w:noProof/>
                <w:webHidden/>
              </w:rPr>
              <w:tab/>
            </w:r>
            <w:r>
              <w:rPr>
                <w:noProof/>
                <w:webHidden/>
              </w:rPr>
              <w:fldChar w:fldCharType="begin"/>
            </w:r>
            <w:r>
              <w:rPr>
                <w:noProof/>
                <w:webHidden/>
              </w:rPr>
              <w:instrText xml:space="preserve"> PAGEREF _Toc235497360 \h </w:instrText>
            </w:r>
            <w:r>
              <w:rPr>
                <w:noProof/>
                <w:webHidden/>
              </w:rPr>
            </w:r>
            <w:r>
              <w:rPr>
                <w:noProof/>
                <w:webHidden/>
              </w:rPr>
              <w:fldChar w:fldCharType="separate"/>
            </w:r>
            <w:r>
              <w:rPr>
                <w:noProof/>
                <w:webHidden/>
              </w:rPr>
              <w:t>4</w:t>
            </w:r>
            <w:r>
              <w:rPr>
                <w:noProof/>
                <w:webHidden/>
              </w:rPr>
              <w:fldChar w:fldCharType="end"/>
            </w:r>
          </w:hyperlink>
        </w:p>
        <w:p w14:paraId="1F88932D" w14:textId="7AA54D3F" w:rsidR="00EF1057" w:rsidRDefault="00EF1057">
          <w:pPr>
            <w:pStyle w:val="TOC1"/>
            <w:tabs>
              <w:tab w:val="right" w:leader="dot" w:pos="9016"/>
            </w:tabs>
            <w:rPr>
              <w:rFonts w:eastAsiaTheme="minorEastAsia"/>
              <w:noProof/>
              <w:lang/>
            </w:rPr>
          </w:pPr>
          <w:hyperlink w:anchor="_Toc235497361" w:history="1">
            <w:r w:rsidRPr="00D744D4">
              <w:rPr>
                <w:rStyle w:val="Hyperlink"/>
                <w:rFonts w:ascii="Arial" w:hAnsi="Arial" w:cs="Arial"/>
                <w:b/>
                <w:bCs/>
                <w:noProof/>
              </w:rPr>
              <w:t>Relevant Theories</w:t>
            </w:r>
            <w:r>
              <w:rPr>
                <w:noProof/>
                <w:webHidden/>
              </w:rPr>
              <w:tab/>
            </w:r>
            <w:r>
              <w:rPr>
                <w:noProof/>
                <w:webHidden/>
              </w:rPr>
              <w:fldChar w:fldCharType="begin"/>
            </w:r>
            <w:r>
              <w:rPr>
                <w:noProof/>
                <w:webHidden/>
              </w:rPr>
              <w:instrText xml:space="preserve"> PAGEREF _Toc235497361 \h </w:instrText>
            </w:r>
            <w:r>
              <w:rPr>
                <w:noProof/>
                <w:webHidden/>
              </w:rPr>
            </w:r>
            <w:r>
              <w:rPr>
                <w:noProof/>
                <w:webHidden/>
              </w:rPr>
              <w:fldChar w:fldCharType="separate"/>
            </w:r>
            <w:r>
              <w:rPr>
                <w:noProof/>
                <w:webHidden/>
              </w:rPr>
              <w:t>4</w:t>
            </w:r>
            <w:r>
              <w:rPr>
                <w:noProof/>
                <w:webHidden/>
              </w:rPr>
              <w:fldChar w:fldCharType="end"/>
            </w:r>
          </w:hyperlink>
        </w:p>
        <w:p w14:paraId="5582FA3E" w14:textId="0D0E1FB3" w:rsidR="00EF1057" w:rsidRDefault="00EF1057">
          <w:pPr>
            <w:pStyle w:val="TOC1"/>
            <w:tabs>
              <w:tab w:val="right" w:leader="dot" w:pos="9016"/>
            </w:tabs>
            <w:rPr>
              <w:rFonts w:eastAsiaTheme="minorEastAsia"/>
              <w:noProof/>
              <w:lang/>
            </w:rPr>
          </w:pPr>
          <w:hyperlink w:anchor="_Toc235497362" w:history="1">
            <w:r w:rsidRPr="00D744D4">
              <w:rPr>
                <w:rStyle w:val="Hyperlink"/>
                <w:rFonts w:ascii="Arial" w:hAnsi="Arial" w:cs="Arial"/>
                <w:b/>
                <w:bCs/>
                <w:noProof/>
              </w:rPr>
              <w:t>Ethical Fundamentals</w:t>
            </w:r>
            <w:r>
              <w:rPr>
                <w:noProof/>
                <w:webHidden/>
              </w:rPr>
              <w:tab/>
            </w:r>
            <w:r>
              <w:rPr>
                <w:noProof/>
                <w:webHidden/>
              </w:rPr>
              <w:fldChar w:fldCharType="begin"/>
            </w:r>
            <w:r>
              <w:rPr>
                <w:noProof/>
                <w:webHidden/>
              </w:rPr>
              <w:instrText xml:space="preserve"> PAGEREF _Toc235497362 \h </w:instrText>
            </w:r>
            <w:r>
              <w:rPr>
                <w:noProof/>
                <w:webHidden/>
              </w:rPr>
            </w:r>
            <w:r>
              <w:rPr>
                <w:noProof/>
                <w:webHidden/>
              </w:rPr>
              <w:fldChar w:fldCharType="separate"/>
            </w:r>
            <w:r>
              <w:rPr>
                <w:noProof/>
                <w:webHidden/>
              </w:rPr>
              <w:t>5</w:t>
            </w:r>
            <w:r>
              <w:rPr>
                <w:noProof/>
                <w:webHidden/>
              </w:rPr>
              <w:fldChar w:fldCharType="end"/>
            </w:r>
          </w:hyperlink>
        </w:p>
        <w:p w14:paraId="1CC6EEA6" w14:textId="0E44A43A" w:rsidR="00EF1057" w:rsidRDefault="00EF1057">
          <w:pPr>
            <w:pStyle w:val="TOC1"/>
            <w:tabs>
              <w:tab w:val="right" w:leader="dot" w:pos="9016"/>
            </w:tabs>
            <w:rPr>
              <w:rFonts w:eastAsiaTheme="minorEastAsia"/>
              <w:noProof/>
              <w:lang/>
            </w:rPr>
          </w:pPr>
          <w:hyperlink w:anchor="_Toc235497363" w:history="1">
            <w:r w:rsidRPr="00D744D4">
              <w:rPr>
                <w:rStyle w:val="Hyperlink"/>
                <w:rFonts w:ascii="Arial" w:eastAsia="Arial" w:hAnsi="Arial" w:cs="Arial"/>
                <w:b/>
                <w:bCs/>
                <w:noProof/>
              </w:rPr>
              <w:t>Evaluation of Partnership Working</w:t>
            </w:r>
            <w:r>
              <w:rPr>
                <w:noProof/>
                <w:webHidden/>
              </w:rPr>
              <w:tab/>
            </w:r>
            <w:r>
              <w:rPr>
                <w:noProof/>
                <w:webHidden/>
              </w:rPr>
              <w:fldChar w:fldCharType="begin"/>
            </w:r>
            <w:r>
              <w:rPr>
                <w:noProof/>
                <w:webHidden/>
              </w:rPr>
              <w:instrText xml:space="preserve"> PAGEREF _Toc235497363 \h </w:instrText>
            </w:r>
            <w:r>
              <w:rPr>
                <w:noProof/>
                <w:webHidden/>
              </w:rPr>
            </w:r>
            <w:r>
              <w:rPr>
                <w:noProof/>
                <w:webHidden/>
              </w:rPr>
              <w:fldChar w:fldCharType="separate"/>
            </w:r>
            <w:r>
              <w:rPr>
                <w:noProof/>
                <w:webHidden/>
              </w:rPr>
              <w:t>6</w:t>
            </w:r>
            <w:r>
              <w:rPr>
                <w:noProof/>
                <w:webHidden/>
              </w:rPr>
              <w:fldChar w:fldCharType="end"/>
            </w:r>
          </w:hyperlink>
        </w:p>
        <w:p w14:paraId="16BE0CC8" w14:textId="267DAA1C" w:rsidR="00EF1057" w:rsidRDefault="00EF1057">
          <w:pPr>
            <w:pStyle w:val="TOC1"/>
            <w:tabs>
              <w:tab w:val="right" w:leader="dot" w:pos="9016"/>
            </w:tabs>
            <w:rPr>
              <w:rFonts w:eastAsiaTheme="minorEastAsia"/>
              <w:noProof/>
              <w:lang/>
            </w:rPr>
          </w:pPr>
          <w:hyperlink w:anchor="_Toc235497364" w:history="1">
            <w:r w:rsidRPr="00D744D4">
              <w:rPr>
                <w:rStyle w:val="Hyperlink"/>
                <w:rFonts w:ascii="Arial" w:hAnsi="Arial" w:cs="Arial"/>
                <w:b/>
                <w:bCs/>
                <w:noProof/>
              </w:rPr>
              <w:t>Policy and Legislation</w:t>
            </w:r>
            <w:r>
              <w:rPr>
                <w:noProof/>
                <w:webHidden/>
              </w:rPr>
              <w:tab/>
            </w:r>
            <w:r>
              <w:rPr>
                <w:noProof/>
                <w:webHidden/>
              </w:rPr>
              <w:fldChar w:fldCharType="begin"/>
            </w:r>
            <w:r>
              <w:rPr>
                <w:noProof/>
                <w:webHidden/>
              </w:rPr>
              <w:instrText xml:space="preserve"> PAGEREF _Toc235497364 \h </w:instrText>
            </w:r>
            <w:r>
              <w:rPr>
                <w:noProof/>
                <w:webHidden/>
              </w:rPr>
            </w:r>
            <w:r>
              <w:rPr>
                <w:noProof/>
                <w:webHidden/>
              </w:rPr>
              <w:fldChar w:fldCharType="separate"/>
            </w:r>
            <w:r>
              <w:rPr>
                <w:noProof/>
                <w:webHidden/>
              </w:rPr>
              <w:t>7</w:t>
            </w:r>
            <w:r>
              <w:rPr>
                <w:noProof/>
                <w:webHidden/>
              </w:rPr>
              <w:fldChar w:fldCharType="end"/>
            </w:r>
          </w:hyperlink>
        </w:p>
        <w:p w14:paraId="13FD0A28" w14:textId="73C08DC6" w:rsidR="00EF1057" w:rsidRDefault="00EF1057">
          <w:pPr>
            <w:pStyle w:val="TOC1"/>
            <w:tabs>
              <w:tab w:val="right" w:leader="dot" w:pos="9016"/>
            </w:tabs>
            <w:rPr>
              <w:rFonts w:eastAsiaTheme="minorEastAsia"/>
              <w:noProof/>
              <w:lang/>
            </w:rPr>
          </w:pPr>
          <w:hyperlink w:anchor="_Toc235497365" w:history="1">
            <w:r w:rsidRPr="00D744D4">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_Toc235497365 \h </w:instrText>
            </w:r>
            <w:r>
              <w:rPr>
                <w:noProof/>
                <w:webHidden/>
              </w:rPr>
            </w:r>
            <w:r>
              <w:rPr>
                <w:noProof/>
                <w:webHidden/>
              </w:rPr>
              <w:fldChar w:fldCharType="separate"/>
            </w:r>
            <w:r>
              <w:rPr>
                <w:noProof/>
                <w:webHidden/>
              </w:rPr>
              <w:t>7</w:t>
            </w:r>
            <w:r>
              <w:rPr>
                <w:noProof/>
                <w:webHidden/>
              </w:rPr>
              <w:fldChar w:fldCharType="end"/>
            </w:r>
          </w:hyperlink>
        </w:p>
        <w:p w14:paraId="6D7B6E87" w14:textId="70116621" w:rsidR="00EF1057" w:rsidRDefault="00EF1057">
          <w:pPr>
            <w:pStyle w:val="TOC1"/>
            <w:tabs>
              <w:tab w:val="right" w:leader="dot" w:pos="9016"/>
            </w:tabs>
            <w:rPr>
              <w:rFonts w:eastAsiaTheme="minorEastAsia"/>
              <w:noProof/>
              <w:lang/>
            </w:rPr>
          </w:pPr>
          <w:hyperlink w:anchor="_Toc235497366" w:history="1">
            <w:r w:rsidRPr="00D744D4">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_Toc235497366 \h </w:instrText>
            </w:r>
            <w:r>
              <w:rPr>
                <w:noProof/>
                <w:webHidden/>
              </w:rPr>
            </w:r>
            <w:r>
              <w:rPr>
                <w:noProof/>
                <w:webHidden/>
              </w:rPr>
              <w:fldChar w:fldCharType="separate"/>
            </w:r>
            <w:r>
              <w:rPr>
                <w:noProof/>
                <w:webHidden/>
              </w:rPr>
              <w:t>8</w:t>
            </w:r>
            <w:r>
              <w:rPr>
                <w:noProof/>
                <w:webHidden/>
              </w:rPr>
              <w:fldChar w:fldCharType="end"/>
            </w:r>
          </w:hyperlink>
        </w:p>
        <w:p w14:paraId="334C349E" w14:textId="4026E61D" w:rsidR="00EF1057" w:rsidRDefault="00EF1057">
          <w:pPr>
            <w:pStyle w:val="TOC1"/>
            <w:tabs>
              <w:tab w:val="right" w:leader="dot" w:pos="9016"/>
            </w:tabs>
            <w:rPr>
              <w:rFonts w:eastAsiaTheme="minorEastAsia"/>
              <w:noProof/>
              <w:lang/>
            </w:rPr>
          </w:pPr>
          <w:hyperlink w:anchor="_Toc235497367" w:history="1">
            <w:r w:rsidRPr="00D744D4">
              <w:rPr>
                <w:rStyle w:val="Hyperlink"/>
                <w:rFonts w:ascii="Arial" w:eastAsia="Arial" w:hAnsi="Arial" w:cs="Arial"/>
                <w:b/>
                <w:bCs/>
                <w:noProof/>
              </w:rPr>
              <w:t>Reference List</w:t>
            </w:r>
            <w:r>
              <w:rPr>
                <w:noProof/>
                <w:webHidden/>
              </w:rPr>
              <w:tab/>
            </w:r>
            <w:r>
              <w:rPr>
                <w:noProof/>
                <w:webHidden/>
              </w:rPr>
              <w:fldChar w:fldCharType="begin"/>
            </w:r>
            <w:r>
              <w:rPr>
                <w:noProof/>
                <w:webHidden/>
              </w:rPr>
              <w:instrText xml:space="preserve"> PAGEREF _Toc235497367 \h </w:instrText>
            </w:r>
            <w:r>
              <w:rPr>
                <w:noProof/>
                <w:webHidden/>
              </w:rPr>
            </w:r>
            <w:r>
              <w:rPr>
                <w:noProof/>
                <w:webHidden/>
              </w:rPr>
              <w:fldChar w:fldCharType="separate"/>
            </w:r>
            <w:r>
              <w:rPr>
                <w:noProof/>
                <w:webHidden/>
              </w:rPr>
              <w:t>9</w:t>
            </w:r>
            <w:r>
              <w:rPr>
                <w:noProof/>
                <w:webHidden/>
              </w:rPr>
              <w:fldChar w:fldCharType="end"/>
            </w:r>
          </w:hyperlink>
        </w:p>
        <w:p w14:paraId="1033E1A2" w14:textId="0D8B69BE" w:rsidR="00044AE5" w:rsidRPr="00C361E9" w:rsidRDefault="00044AE5" w:rsidP="00C361E9">
          <w:pPr>
            <w:spacing w:line="360" w:lineRule="auto"/>
            <w:jc w:val="both"/>
            <w:rPr>
              <w:rFonts w:ascii="Arial" w:hAnsi="Arial" w:cs="Arial"/>
            </w:rPr>
          </w:pPr>
          <w:r w:rsidRPr="00C361E9">
            <w:rPr>
              <w:rFonts w:ascii="Arial" w:hAnsi="Arial" w:cs="Arial"/>
              <w:b/>
              <w:bCs/>
              <w:noProof/>
            </w:rPr>
            <w:fldChar w:fldCharType="end"/>
          </w:r>
        </w:p>
      </w:sdtContent>
    </w:sdt>
    <w:p w14:paraId="1CA000B8" w14:textId="77777777" w:rsidR="00044AE5" w:rsidRPr="00C361E9" w:rsidRDefault="00044AE5" w:rsidP="00C361E9">
      <w:pPr>
        <w:spacing w:line="360" w:lineRule="auto"/>
        <w:jc w:val="both"/>
        <w:rPr>
          <w:rFonts w:ascii="Arial" w:hAnsi="Arial" w:cs="Arial"/>
        </w:rPr>
      </w:pPr>
    </w:p>
    <w:p w14:paraId="5495B62D" w14:textId="77777777" w:rsidR="00044AE5" w:rsidRPr="00C361E9" w:rsidRDefault="00044AE5" w:rsidP="00C361E9">
      <w:pPr>
        <w:spacing w:line="360" w:lineRule="auto"/>
        <w:jc w:val="both"/>
        <w:rPr>
          <w:rFonts w:ascii="Arial" w:eastAsiaTheme="majorEastAsia" w:hAnsi="Arial" w:cs="Arial"/>
          <w:b/>
          <w:bCs/>
        </w:rPr>
      </w:pPr>
      <w:r w:rsidRPr="00C361E9">
        <w:rPr>
          <w:rFonts w:ascii="Arial" w:hAnsi="Arial" w:cs="Arial"/>
          <w:b/>
          <w:bCs/>
        </w:rPr>
        <w:br w:type="page"/>
      </w:r>
    </w:p>
    <w:p w14:paraId="0E75F9C6" w14:textId="5E3C910E" w:rsidR="00044AE5" w:rsidRPr="00C361E9" w:rsidRDefault="00044AE5" w:rsidP="00C361E9">
      <w:pPr>
        <w:pStyle w:val="Heading1"/>
        <w:spacing w:line="360" w:lineRule="auto"/>
        <w:jc w:val="both"/>
        <w:rPr>
          <w:rFonts w:ascii="Arial" w:hAnsi="Arial" w:cs="Arial"/>
          <w:b/>
          <w:bCs/>
          <w:color w:val="auto"/>
          <w:sz w:val="22"/>
          <w:szCs w:val="22"/>
        </w:rPr>
      </w:pPr>
      <w:bookmarkStart w:id="1" w:name="_Toc235497359"/>
      <w:r w:rsidRPr="00C361E9">
        <w:rPr>
          <w:rFonts w:ascii="Arial" w:hAnsi="Arial" w:cs="Arial"/>
          <w:b/>
          <w:bCs/>
          <w:color w:val="auto"/>
          <w:sz w:val="22"/>
          <w:szCs w:val="22"/>
        </w:rPr>
        <w:t>Introduction</w:t>
      </w:r>
      <w:bookmarkEnd w:id="1"/>
    </w:p>
    <w:p w14:paraId="5EFBDEE5" w14:textId="77777777" w:rsidR="00044AE5" w:rsidRPr="00C361E9" w:rsidRDefault="00044AE5" w:rsidP="00C361E9">
      <w:pPr>
        <w:spacing w:line="360" w:lineRule="auto"/>
        <w:jc w:val="both"/>
        <w:rPr>
          <w:rFonts w:ascii="Arial" w:hAnsi="Arial" w:cs="Arial"/>
        </w:rPr>
      </w:pPr>
      <w:r w:rsidRPr="00C361E9">
        <w:rPr>
          <w:rFonts w:ascii="Arial" w:hAnsi="Arial" w:cs="Arial"/>
        </w:rPr>
        <w:t>This report is designed to revisit, in a critical manner, and explore PCC and PW as it relates to health and social care practice with mental health services used as a practicable context throughout. Mental health services have been chosen because they provide a clear and powerful context for examining the two concepts, and illustrate tensions more highly developed between promoting autonomy and invoking statutory powers of compulsion.</w:t>
      </w:r>
    </w:p>
    <w:p w14:paraId="7FA2D958" w14:textId="5DA7E87D" w:rsidR="00044AE5" w:rsidRPr="00C361E9" w:rsidRDefault="00044AE5" w:rsidP="00C361E9">
      <w:pPr>
        <w:spacing w:line="360" w:lineRule="auto"/>
        <w:jc w:val="both"/>
        <w:rPr>
          <w:rFonts w:ascii="Arial" w:hAnsi="Arial" w:cs="Arial"/>
        </w:rPr>
      </w:pPr>
      <w:r w:rsidRPr="00C361E9">
        <w:rPr>
          <w:rFonts w:ascii="Arial" w:hAnsi="Arial" w:cs="Arial"/>
        </w:rPr>
        <w:t>It is structured as follows: Definition of PCC and its benefits and limitations; exploration of theories underpinning PCC; considerations of ethical principles informing practice; discussion of policy and legislation; the provision of evidence-based recommendations; and a summary of key findings.</w:t>
      </w:r>
    </w:p>
    <w:p w14:paraId="2579033A" w14:textId="63F101DF" w:rsidR="00044AE5" w:rsidRPr="00C361E9" w:rsidRDefault="00044AE5" w:rsidP="00C361E9">
      <w:pPr>
        <w:pStyle w:val="Heading1"/>
        <w:spacing w:line="360" w:lineRule="auto"/>
        <w:jc w:val="both"/>
        <w:rPr>
          <w:rFonts w:ascii="Arial" w:hAnsi="Arial" w:cs="Arial"/>
          <w:b/>
          <w:bCs/>
          <w:color w:val="auto"/>
          <w:sz w:val="22"/>
          <w:szCs w:val="22"/>
        </w:rPr>
      </w:pPr>
      <w:bookmarkStart w:id="2" w:name="_Toc235497360"/>
      <w:r w:rsidRPr="00C361E9">
        <w:rPr>
          <w:rFonts w:ascii="Arial" w:hAnsi="Arial" w:cs="Arial"/>
          <w:b/>
          <w:bCs/>
          <w:color w:val="auto"/>
          <w:sz w:val="22"/>
          <w:szCs w:val="22"/>
        </w:rPr>
        <w:t>Definition of Person-Centred Care</w:t>
      </w:r>
      <w:bookmarkEnd w:id="2"/>
    </w:p>
    <w:p w14:paraId="2E7D7E18" w14:textId="77777777" w:rsidR="00044AE5" w:rsidRPr="00C361E9" w:rsidRDefault="00044AE5" w:rsidP="00C361E9">
      <w:pPr>
        <w:spacing w:line="360" w:lineRule="auto"/>
        <w:jc w:val="both"/>
        <w:rPr>
          <w:rFonts w:ascii="Arial" w:hAnsi="Arial" w:cs="Arial"/>
        </w:rPr>
      </w:pPr>
      <w:r w:rsidRPr="00C361E9">
        <w:rPr>
          <w:rFonts w:ascii="Arial" w:hAnsi="Arial" w:cs="Arial"/>
        </w:rPr>
        <w:t>PCC can be defined in a broad way as an approach to care wherein patients are held as partners in their care, and not only medicine and the symptoms of illness are examined, but also the person and context associated with their sickness (</w:t>
      </w:r>
      <w:proofErr w:type="spellStart"/>
      <w:r w:rsidRPr="00C361E9">
        <w:rPr>
          <w:rFonts w:ascii="Arial" w:hAnsi="Arial" w:cs="Arial"/>
        </w:rPr>
        <w:t>Glas</w:t>
      </w:r>
      <w:proofErr w:type="spellEnd"/>
      <w:r w:rsidRPr="00C361E9">
        <w:rPr>
          <w:rFonts w:ascii="Arial" w:hAnsi="Arial" w:cs="Arial"/>
        </w:rPr>
        <w:t xml:space="preserve">, 2022). </w:t>
      </w:r>
      <w:proofErr w:type="spellStart"/>
      <w:r w:rsidRPr="00C361E9">
        <w:rPr>
          <w:rFonts w:ascii="Arial" w:hAnsi="Arial" w:cs="Arial"/>
        </w:rPr>
        <w:t>Glas</w:t>
      </w:r>
      <w:proofErr w:type="spellEnd"/>
      <w:r w:rsidRPr="00C361E9">
        <w:rPr>
          <w:rFonts w:ascii="Arial" w:hAnsi="Arial" w:cs="Arial"/>
        </w:rPr>
        <w:t xml:space="preserve"> (2022) suggests that PCC is not a specific model, but rather a style of thinking that embraces the person's context and the co-regulatory functions of the clinician in the relationship between them. This represents ‘recovery-focused practice' in mental health services; collaborative care planning; and user participation in care planning, including via advance planning documents.</w:t>
      </w:r>
    </w:p>
    <w:p w14:paraId="1F5B3723" w14:textId="7461076A" w:rsidR="00044AE5" w:rsidRPr="00C361E9" w:rsidRDefault="00044AE5" w:rsidP="00C361E9">
      <w:pPr>
        <w:spacing w:line="360" w:lineRule="auto"/>
        <w:jc w:val="both"/>
        <w:rPr>
          <w:rFonts w:ascii="Arial" w:hAnsi="Arial" w:cs="Arial"/>
        </w:rPr>
      </w:pPr>
      <w:r w:rsidRPr="00C361E9">
        <w:rPr>
          <w:rFonts w:ascii="Arial" w:hAnsi="Arial" w:cs="Arial"/>
        </w:rPr>
        <w:t>The advantages of this type of policy are great. Although mental health services reform has taken place over decades, patients have noted concerns about clinicians' association with their everyday needs, which PCC directly addresses, seeking to enhance the therapeutic relationship and, in the mental health context, to promote connection to the community and de-escalate non-engagement in services.</w:t>
      </w:r>
    </w:p>
    <w:p w14:paraId="095EFA15" w14:textId="0451FE04" w:rsidR="00044AE5" w:rsidRPr="00C361E9" w:rsidRDefault="00044AE5" w:rsidP="00C361E9">
      <w:pPr>
        <w:spacing w:line="360" w:lineRule="auto"/>
        <w:jc w:val="both"/>
        <w:rPr>
          <w:rFonts w:ascii="Arial" w:hAnsi="Arial" w:cs="Arial"/>
        </w:rPr>
      </w:pPr>
      <w:r w:rsidRPr="00C361E9">
        <w:rPr>
          <w:rFonts w:ascii="Arial" w:hAnsi="Arial" w:cs="Arial"/>
        </w:rPr>
        <w:t xml:space="preserve">But there have been some weaknesses that PCC has acknowledged. The term is </w:t>
      </w:r>
      <w:proofErr w:type="spellStart"/>
      <w:r w:rsidRPr="00C361E9">
        <w:rPr>
          <w:rFonts w:ascii="Arial" w:hAnsi="Arial" w:cs="Arial"/>
        </w:rPr>
        <w:t>uncontented</w:t>
      </w:r>
      <w:proofErr w:type="spellEnd"/>
      <w:r w:rsidRPr="00C361E9">
        <w:rPr>
          <w:rFonts w:ascii="Arial" w:hAnsi="Arial" w:cs="Arial"/>
        </w:rPr>
        <w:t xml:space="preserve"> and can refer to many different approaches to practising, as </w:t>
      </w:r>
      <w:proofErr w:type="spellStart"/>
      <w:r w:rsidRPr="00C361E9">
        <w:rPr>
          <w:rFonts w:ascii="Arial" w:hAnsi="Arial" w:cs="Arial"/>
        </w:rPr>
        <w:t>Glas</w:t>
      </w:r>
      <w:proofErr w:type="spellEnd"/>
      <w:r w:rsidRPr="00C361E9">
        <w:rPr>
          <w:rFonts w:ascii="Arial" w:hAnsi="Arial" w:cs="Arial"/>
        </w:rPr>
        <w:t xml:space="preserve"> (2022) points out, which can otherwise lead to it becoming a slogan instead of a real different approach to practising. Cultural resistance to giving up decision-making power where there is potential for risk can also impact the level of PCC that can be achieved in practice in mental health, and compulsory powers under the Mental Health Act will never enable a service user to have the maximum amount of choice.</w:t>
      </w:r>
    </w:p>
    <w:p w14:paraId="1BACAC3B" w14:textId="77777777" w:rsidR="00044AE5" w:rsidRPr="00C361E9" w:rsidRDefault="00044AE5" w:rsidP="00C361E9">
      <w:pPr>
        <w:pStyle w:val="Heading1"/>
        <w:spacing w:line="360" w:lineRule="auto"/>
        <w:jc w:val="both"/>
        <w:rPr>
          <w:rFonts w:ascii="Arial" w:hAnsi="Arial" w:cs="Arial"/>
          <w:b/>
          <w:bCs/>
          <w:color w:val="auto"/>
          <w:sz w:val="22"/>
          <w:szCs w:val="22"/>
        </w:rPr>
      </w:pPr>
      <w:bookmarkStart w:id="3" w:name="_Toc235497361"/>
      <w:r w:rsidRPr="00C361E9">
        <w:rPr>
          <w:rFonts w:ascii="Arial" w:hAnsi="Arial" w:cs="Arial"/>
          <w:b/>
          <w:bCs/>
          <w:color w:val="auto"/>
          <w:sz w:val="22"/>
          <w:szCs w:val="22"/>
        </w:rPr>
        <w:t>Relevant Theories</w:t>
      </w:r>
      <w:bookmarkEnd w:id="3"/>
    </w:p>
    <w:p w14:paraId="4A581A8A" w14:textId="0A54E8BD" w:rsidR="00044AE5" w:rsidRPr="00C361E9" w:rsidRDefault="00044AE5" w:rsidP="00C361E9">
      <w:pPr>
        <w:spacing w:line="360" w:lineRule="auto"/>
        <w:jc w:val="both"/>
        <w:rPr>
          <w:rFonts w:ascii="Arial" w:hAnsi="Arial" w:cs="Arial"/>
        </w:rPr>
      </w:pPr>
      <w:r w:rsidRPr="00C361E9">
        <w:rPr>
          <w:rFonts w:ascii="Arial" w:hAnsi="Arial" w:cs="Arial"/>
        </w:rPr>
        <w:t>There are several theories that underlie PCC which are directly related to mental health practice, but each gives only a partial explanation. Rogers' (1951) client-centred theory, which posits that unconditional positive regard, empathy and genuineness form the conditions for personal growth, is the foundation for client-centred therapy in mental health care, but was derived from one-to-one psychotherapy and provides little information for clinical practice in multidisciplinary or compulsory settings.</w:t>
      </w:r>
    </w:p>
    <w:p w14:paraId="30FF086F" w14:textId="18B091D0" w:rsidR="00044AE5" w:rsidRPr="00C361E9" w:rsidRDefault="00044AE5" w:rsidP="00C361E9">
      <w:pPr>
        <w:spacing w:line="360" w:lineRule="auto"/>
        <w:jc w:val="both"/>
        <w:rPr>
          <w:rFonts w:ascii="Arial" w:hAnsi="Arial" w:cs="Arial"/>
        </w:rPr>
      </w:pPr>
      <w:proofErr w:type="spellStart"/>
      <w:r w:rsidRPr="00C361E9">
        <w:rPr>
          <w:rFonts w:ascii="Arial" w:hAnsi="Arial" w:cs="Arial"/>
        </w:rPr>
        <w:t>Kitwood</w:t>
      </w:r>
      <w:proofErr w:type="spellEnd"/>
      <w:r w:rsidRPr="00C361E9">
        <w:rPr>
          <w:rFonts w:ascii="Arial" w:hAnsi="Arial" w:cs="Arial"/>
        </w:rPr>
        <w:t xml:space="preserve"> (1997) developed a theory on personhood that fills in some of this. Although created in dementia care, it has been broadly disseminated to a range of mental health services and has focused on a relational understanding of personhood over a fixed sense of “person-hood”, and upon the social and institutional settings where distress occurs; it has comparatively little to say about the biological dimension of illness. The </w:t>
      </w:r>
      <w:proofErr w:type="spellStart"/>
      <w:r w:rsidRPr="00C361E9">
        <w:rPr>
          <w:rFonts w:ascii="Arial" w:hAnsi="Arial" w:cs="Arial"/>
        </w:rPr>
        <w:t>biopsychosocial</w:t>
      </w:r>
      <w:proofErr w:type="spellEnd"/>
      <w:r w:rsidRPr="00C361E9">
        <w:rPr>
          <w:rFonts w:ascii="Arial" w:hAnsi="Arial" w:cs="Arial"/>
        </w:rPr>
        <w:t xml:space="preserve"> model of mental health and illness (Engel, 1977) </w:t>
      </w:r>
      <w:proofErr w:type="spellStart"/>
      <w:r w:rsidRPr="00C361E9">
        <w:rPr>
          <w:rFonts w:ascii="Arial" w:hAnsi="Arial" w:cs="Arial"/>
        </w:rPr>
        <w:t>recognizes</w:t>
      </w:r>
      <w:proofErr w:type="spellEnd"/>
      <w:r w:rsidRPr="00C361E9">
        <w:rPr>
          <w:rFonts w:ascii="Arial" w:hAnsi="Arial" w:cs="Arial"/>
        </w:rPr>
        <w:t xml:space="preserve"> the rest and suggests that illness and illness are caused by an interaction of biological, psychological and social factors, which supports holistic assessment that focuses on medication, therapy and social factors such as housing and employment rather than biomedical assessment and treatment.</w:t>
      </w:r>
    </w:p>
    <w:p w14:paraId="42F35E2B" w14:textId="3F739387" w:rsidR="00044AE5" w:rsidRPr="00C361E9" w:rsidRDefault="00044AE5" w:rsidP="00C361E9">
      <w:pPr>
        <w:spacing w:line="360" w:lineRule="auto"/>
        <w:jc w:val="both"/>
        <w:rPr>
          <w:rFonts w:ascii="Arial" w:hAnsi="Arial" w:cs="Arial"/>
        </w:rPr>
      </w:pPr>
      <w:r w:rsidRPr="00C361E9">
        <w:rPr>
          <w:rFonts w:ascii="Arial" w:hAnsi="Arial" w:cs="Arial"/>
        </w:rPr>
        <w:t xml:space="preserve">A more recent synthesis is that of </w:t>
      </w:r>
      <w:proofErr w:type="spellStart"/>
      <w:r w:rsidRPr="00C361E9">
        <w:rPr>
          <w:rFonts w:ascii="Arial" w:hAnsi="Arial" w:cs="Arial"/>
        </w:rPr>
        <w:t>Glas</w:t>
      </w:r>
      <w:proofErr w:type="spellEnd"/>
      <w:r w:rsidRPr="00C361E9">
        <w:rPr>
          <w:rFonts w:ascii="Arial" w:hAnsi="Arial" w:cs="Arial"/>
        </w:rPr>
        <w:t xml:space="preserve"> (2022), which claims that person-centred psychiatry is a form of thinking that looks at the person- and context-specific nature of an illness's issues in the person-clinician interaction itself, not a separate, additional model. When taken together, these theories point to a shared understanding that mental illness must be examined and treated within a relationship structure and in the context of a relationship; they vary in focus: Rogers puts the focus on the caring relationship; </w:t>
      </w:r>
      <w:proofErr w:type="spellStart"/>
      <w:r w:rsidRPr="00C361E9">
        <w:rPr>
          <w:rFonts w:ascii="Arial" w:hAnsi="Arial" w:cs="Arial"/>
        </w:rPr>
        <w:t>Kitwood</w:t>
      </w:r>
      <w:proofErr w:type="spellEnd"/>
      <w:r w:rsidRPr="00C361E9">
        <w:rPr>
          <w:rFonts w:ascii="Arial" w:hAnsi="Arial" w:cs="Arial"/>
        </w:rPr>
        <w:t xml:space="preserve"> </w:t>
      </w:r>
      <w:proofErr w:type="spellStart"/>
      <w:r w:rsidRPr="00C361E9">
        <w:rPr>
          <w:rFonts w:ascii="Arial" w:hAnsi="Arial" w:cs="Arial"/>
        </w:rPr>
        <w:t>emphasizes</w:t>
      </w:r>
      <w:proofErr w:type="spellEnd"/>
      <w:r w:rsidRPr="00C361E9">
        <w:rPr>
          <w:rFonts w:ascii="Arial" w:hAnsi="Arial" w:cs="Arial"/>
        </w:rPr>
        <w:t xml:space="preserve"> the concept of relational personhood; Engel places the focus on systemic interaction; and </w:t>
      </w:r>
      <w:proofErr w:type="spellStart"/>
      <w:r w:rsidRPr="00C361E9">
        <w:rPr>
          <w:rFonts w:ascii="Arial" w:hAnsi="Arial" w:cs="Arial"/>
        </w:rPr>
        <w:t>Glas</w:t>
      </w:r>
      <w:proofErr w:type="spellEnd"/>
      <w:r w:rsidRPr="00C361E9">
        <w:rPr>
          <w:rFonts w:ascii="Arial" w:hAnsi="Arial" w:cs="Arial"/>
        </w:rPr>
        <w:t xml:space="preserve"> focuses on the reflective stance of the clinician. The focus here on plurality reflects PCC in mental health as a series of related perspectives, not as a single perspective, which contributes to the mixed-up picture that is seen across implementation.</w:t>
      </w:r>
    </w:p>
    <w:p w14:paraId="0D707B47" w14:textId="77777777" w:rsidR="00044AE5" w:rsidRPr="00C361E9" w:rsidRDefault="00044AE5" w:rsidP="00C361E9">
      <w:pPr>
        <w:pStyle w:val="Heading1"/>
        <w:spacing w:line="360" w:lineRule="auto"/>
        <w:jc w:val="both"/>
        <w:rPr>
          <w:rFonts w:ascii="Arial" w:hAnsi="Arial" w:cs="Arial"/>
          <w:b/>
          <w:bCs/>
          <w:color w:val="auto"/>
          <w:sz w:val="22"/>
          <w:szCs w:val="22"/>
        </w:rPr>
      </w:pPr>
      <w:bookmarkStart w:id="4" w:name="_Toc235497362"/>
      <w:r w:rsidRPr="00C361E9">
        <w:rPr>
          <w:rFonts w:ascii="Arial" w:hAnsi="Arial" w:cs="Arial"/>
          <w:b/>
          <w:bCs/>
          <w:color w:val="auto"/>
          <w:sz w:val="22"/>
          <w:szCs w:val="22"/>
        </w:rPr>
        <w:t>Ethical Fundamentals</w:t>
      </w:r>
      <w:bookmarkEnd w:id="4"/>
    </w:p>
    <w:p w14:paraId="2F361C99" w14:textId="77777777" w:rsidR="00044AE5" w:rsidRPr="00C361E9" w:rsidRDefault="00044AE5" w:rsidP="00C361E9">
      <w:pPr>
        <w:spacing w:line="360" w:lineRule="auto"/>
        <w:jc w:val="both"/>
        <w:rPr>
          <w:rFonts w:ascii="Arial" w:hAnsi="Arial" w:cs="Arial"/>
        </w:rPr>
      </w:pPr>
      <w:r w:rsidRPr="00C361E9">
        <w:rPr>
          <w:rFonts w:ascii="Arial" w:hAnsi="Arial" w:cs="Arial"/>
        </w:rPr>
        <w:t>The four principles of Biomedical ethics identified by Beauchamp and Childress (2019) are autonomy, beneficence, non-maleficence and justice, important in the context of mental health services and are widely used to understand ethical practice in health and social care.</w:t>
      </w:r>
    </w:p>
    <w:p w14:paraId="49F3F033" w14:textId="77777777" w:rsidR="00044AE5" w:rsidRPr="00C361E9" w:rsidRDefault="00044AE5" w:rsidP="00C361E9">
      <w:pPr>
        <w:spacing w:line="360" w:lineRule="auto"/>
        <w:jc w:val="both"/>
        <w:rPr>
          <w:rFonts w:ascii="Arial" w:hAnsi="Arial" w:cs="Arial"/>
        </w:rPr>
      </w:pPr>
      <w:r w:rsidRPr="00C361E9">
        <w:rPr>
          <w:rFonts w:ascii="Arial" w:hAnsi="Arial" w:cs="Arial"/>
        </w:rPr>
        <w:t xml:space="preserve">The concept of autonomy, the need to make choices about one's health care, is directly applicable to PCC, and may also be relevant to non-maleficence and beneficence when the mental condition of the service user puts themselves or others at risk. It is most often evident in decisions to detain under the Mental Health Act 1983. While the four principles provide little practical guidance in this instance, Martinho, Santa-Rosa and </w:t>
      </w:r>
      <w:proofErr w:type="spellStart"/>
      <w:r w:rsidRPr="00C361E9">
        <w:rPr>
          <w:rFonts w:ascii="Arial" w:hAnsi="Arial" w:cs="Arial"/>
        </w:rPr>
        <w:t>Silvestre</w:t>
      </w:r>
      <w:proofErr w:type="spellEnd"/>
      <w:r w:rsidRPr="00C361E9">
        <w:rPr>
          <w:rFonts w:ascii="Arial" w:hAnsi="Arial" w:cs="Arial"/>
        </w:rPr>
        <w:t xml:space="preserve"> (2022) suggest compulsory treatment should be done in view of four principles: the prevention of real harm, the assessment of whether the restriction is the least one possible, whether the burden is counterbalanced with genuine support, and whether the reasons are documented and open to challenge. This questions the balance of the reasons for detention with that of the risk, that community alternatives have genuinely been exhausted, and that the decision has been clearly justified and appealable to a service user who does not wish to be detained when there is an acute psychosis.</w:t>
      </w:r>
    </w:p>
    <w:p w14:paraId="2E52AD78" w14:textId="7225D16D" w:rsidR="00044AE5" w:rsidRPr="00C361E9" w:rsidRDefault="00044AE5" w:rsidP="00C361E9">
      <w:pPr>
        <w:spacing w:line="360" w:lineRule="auto"/>
        <w:jc w:val="both"/>
        <w:rPr>
          <w:rFonts w:ascii="Arial" w:hAnsi="Arial" w:cs="Arial"/>
        </w:rPr>
      </w:pPr>
      <w:r w:rsidRPr="00C361E9">
        <w:rPr>
          <w:rFonts w:ascii="Arial" w:hAnsi="Arial" w:cs="Arial"/>
        </w:rPr>
        <w:t>Justice demands that resources for mental health care and limitations on freedom be fairly apportioned and not taken undue advantage of any specific group. A more paternalistic view is focused on safety and clinical reasoning, while a rights-based view is that we need to minimise compulsion and maximise patient voice. How these are worked out in each instance is not just an issue of mechanical application of rules but is a constant consideration in each practice – and resourcing, partnership working, and legislation provide a great deal of space for each practitioner to consider this.</w:t>
      </w:r>
    </w:p>
    <w:p w14:paraId="5F234E16" w14:textId="4EB33F90" w:rsidR="00044AE5" w:rsidRPr="00C361E9" w:rsidRDefault="00044AE5" w:rsidP="00C361E9">
      <w:pPr>
        <w:pStyle w:val="Heading1"/>
        <w:spacing w:before="300" w:after="150" w:line="360" w:lineRule="auto"/>
        <w:jc w:val="both"/>
        <w:rPr>
          <w:rFonts w:ascii="Arial" w:hAnsi="Arial" w:cs="Arial"/>
          <w:color w:val="auto"/>
          <w:sz w:val="22"/>
          <w:szCs w:val="22"/>
        </w:rPr>
      </w:pPr>
      <w:bookmarkStart w:id="5" w:name="_Toc235497363"/>
      <w:r w:rsidRPr="00C361E9">
        <w:rPr>
          <w:rFonts w:ascii="Arial" w:eastAsia="Arial" w:hAnsi="Arial" w:cs="Arial"/>
          <w:b/>
          <w:bCs/>
          <w:color w:val="auto"/>
          <w:sz w:val="22"/>
          <w:szCs w:val="22"/>
        </w:rPr>
        <w:t>Evaluation of Partnership Working</w:t>
      </w:r>
      <w:bookmarkEnd w:id="5"/>
    </w:p>
    <w:p w14:paraId="024FE3FF" w14:textId="5D6DFA2C" w:rsidR="00044AE5" w:rsidRPr="00C361E9" w:rsidRDefault="00044AE5" w:rsidP="00C361E9">
      <w:pPr>
        <w:spacing w:line="360" w:lineRule="auto"/>
        <w:jc w:val="both"/>
        <w:rPr>
          <w:rFonts w:ascii="Arial" w:hAnsi="Arial" w:cs="Arial"/>
        </w:rPr>
      </w:pPr>
      <w:r w:rsidRPr="00C361E9">
        <w:rPr>
          <w:rFonts w:ascii="Arial" w:hAnsi="Arial" w:cs="Arial"/>
        </w:rPr>
        <w:t>PW is about inter-agency, inter-professional, service user and carer working together, towards common objectives in health and social care. PW is vital in mental health services, as needs are often shared across mental health and physical health services, social care, support for housing and support for work and/or criminal justice systems, and are therefore dependent on coordination between several agencies. The Health and Care Act 2022 brought in new legislation for the introduction of an Integrated Care System, which has a statutory remit to plan and deliver services together within a given area.</w:t>
      </w:r>
    </w:p>
    <w:p w14:paraId="4DEA5101" w14:textId="101BE60E" w:rsidR="00044AE5" w:rsidRPr="00C361E9" w:rsidRDefault="00044AE5" w:rsidP="00C361E9">
      <w:pPr>
        <w:spacing w:line="360" w:lineRule="auto"/>
        <w:jc w:val="both"/>
        <w:rPr>
          <w:rFonts w:ascii="Arial" w:hAnsi="Arial" w:cs="Arial"/>
        </w:rPr>
      </w:pPr>
      <w:r w:rsidRPr="00C361E9">
        <w:rPr>
          <w:rFonts w:ascii="Arial" w:hAnsi="Arial" w:cs="Arial"/>
        </w:rPr>
        <w:t>Thomson and Chatterjee (2023) conducted a rapid evidence review across the UK on integrated care, which identified collaboration, good inter-professional working and a shared person-centred approach as factors that enable an integrated approach to succeed. In mental health, this means that early interventions by community mental health teams in conjunction with social work and with housing services and voluntary sector organisations could help to minimise the need for admission in patients in crisis, such as through crisis cafes and co-located home treatment teams. The same review, however, found that there are significant barriers such as cost-effectiveness of integration, lack of a standardised evaluation system, and friction between different professional roles and cultures (Thomson and Chatterjee, 2023). Additional funding streams and commissioning mechanisms can, in turn, further increase the potential for silos that inhibit integration. The overall impact of PW is positive when it exists in contexts that are well resourced and where there is a true culture of collaboration; however, the effects are hard to prove and are limited when they are not (Thomson and Chatterjee, 2023).</w:t>
      </w:r>
    </w:p>
    <w:p w14:paraId="31326304" w14:textId="77777777" w:rsidR="00044AE5" w:rsidRPr="00C361E9" w:rsidRDefault="00044AE5" w:rsidP="00C361E9">
      <w:pPr>
        <w:pStyle w:val="Heading1"/>
        <w:spacing w:line="360" w:lineRule="auto"/>
        <w:jc w:val="both"/>
        <w:rPr>
          <w:rFonts w:ascii="Arial" w:hAnsi="Arial" w:cs="Arial"/>
          <w:b/>
          <w:bCs/>
          <w:color w:val="auto"/>
          <w:sz w:val="22"/>
          <w:szCs w:val="22"/>
        </w:rPr>
      </w:pPr>
      <w:bookmarkStart w:id="6" w:name="_Toc235497364"/>
      <w:r w:rsidRPr="00C361E9">
        <w:rPr>
          <w:rFonts w:ascii="Arial" w:hAnsi="Arial" w:cs="Arial"/>
          <w:b/>
          <w:bCs/>
          <w:color w:val="auto"/>
          <w:sz w:val="22"/>
          <w:szCs w:val="22"/>
        </w:rPr>
        <w:t>Policy and Legislation</w:t>
      </w:r>
      <w:bookmarkEnd w:id="6"/>
    </w:p>
    <w:p w14:paraId="750D5E27" w14:textId="049A88BB" w:rsidR="00044AE5" w:rsidRPr="00C361E9" w:rsidRDefault="00044AE5" w:rsidP="00C361E9">
      <w:pPr>
        <w:spacing w:line="360" w:lineRule="auto"/>
        <w:jc w:val="both"/>
        <w:rPr>
          <w:rFonts w:ascii="Arial" w:hAnsi="Arial" w:cs="Arial"/>
        </w:rPr>
      </w:pPr>
      <w:r w:rsidRPr="00C361E9">
        <w:rPr>
          <w:rFonts w:ascii="Arial" w:hAnsi="Arial" w:cs="Arial"/>
        </w:rPr>
        <w:t>Mental health services are impacted by a variety of policy and legislation. The Mental Health Act 1983 (as amended) is the fundamental law of mental disorder assessment, detention and treatment. The Mental Health Act 2025, which came into effect on 18 December 2025, brings a substantial amount of change, focused on enhancing choice and minimising compulsion, such as the introduction of statutory advance choice documents, the limits of community treatment orders and the new role of nominated person (House of Commons Library, 2025). Implementation is, however, going to be a process of several years, with the key aspects not coming into force until at least 2027, whilst practice continues effectively under the 1983 Act until a new Code of Practice is introduced.</w:t>
      </w:r>
    </w:p>
    <w:p w14:paraId="1CE1E5DF" w14:textId="77777777" w:rsidR="00044AE5" w:rsidRPr="00C361E9" w:rsidRDefault="00044AE5" w:rsidP="00C361E9">
      <w:pPr>
        <w:spacing w:line="360" w:lineRule="auto"/>
        <w:jc w:val="both"/>
        <w:rPr>
          <w:rFonts w:ascii="Arial" w:hAnsi="Arial" w:cs="Arial"/>
        </w:rPr>
      </w:pPr>
      <w:r w:rsidRPr="00C361E9">
        <w:rPr>
          <w:rFonts w:ascii="Arial" w:hAnsi="Arial" w:cs="Arial"/>
        </w:rPr>
        <w:t xml:space="preserve">The Care Act 2014 underpins PCC and PW with its embracing of the wellbeing principle and the requirement to co-operate with partners and the Health and Care Act 2022 provided Integrated Care Systems a statutory basis. The involvement of the Human Rights Act 1998, specifically in this instance Articles 5 and 8, which require that any restriction on liberty or private life be lawful, necessary and proportionate, will influence the way the dilemmas as described above are handled and worked through. Persistent racial inequalities in detention highlight the need for legislative protections, as well as investment in culturally responsive practice; the Equality Act 2010 mandates that services are not discriminatory and a recent </w:t>
      </w:r>
      <w:proofErr w:type="spellStart"/>
      <w:r w:rsidRPr="00C361E9">
        <w:rPr>
          <w:rFonts w:ascii="Arial" w:hAnsi="Arial" w:cs="Arial"/>
        </w:rPr>
        <w:t>photovoice</w:t>
      </w:r>
      <w:proofErr w:type="spellEnd"/>
      <w:r w:rsidRPr="00C361E9">
        <w:rPr>
          <w:rFonts w:ascii="Arial" w:hAnsi="Arial" w:cs="Arial"/>
        </w:rPr>
        <w:t xml:space="preserve"> study found ethnically diverse participants often received dismissive responses and a lack of culturally responsive care (</w:t>
      </w:r>
      <w:proofErr w:type="spellStart"/>
      <w:r w:rsidRPr="00C361E9">
        <w:rPr>
          <w:rFonts w:ascii="Arial" w:hAnsi="Arial" w:cs="Arial"/>
        </w:rPr>
        <w:t>Bhui</w:t>
      </w:r>
      <w:proofErr w:type="spellEnd"/>
      <w:r w:rsidRPr="00C361E9">
        <w:rPr>
          <w:rFonts w:ascii="Arial" w:hAnsi="Arial" w:cs="Arial"/>
        </w:rPr>
        <w:t xml:space="preserve"> et al., 2025).</w:t>
      </w:r>
    </w:p>
    <w:p w14:paraId="213C5E7A" w14:textId="77777777" w:rsidR="00044AE5" w:rsidRPr="00C361E9" w:rsidRDefault="00044AE5" w:rsidP="00C361E9">
      <w:pPr>
        <w:spacing w:line="360" w:lineRule="auto"/>
        <w:jc w:val="both"/>
        <w:rPr>
          <w:rFonts w:ascii="Arial" w:hAnsi="Arial" w:cs="Arial"/>
        </w:rPr>
      </w:pPr>
      <w:r w:rsidRPr="00C361E9">
        <w:rPr>
          <w:rFonts w:ascii="Arial" w:hAnsi="Arial" w:cs="Arial"/>
        </w:rPr>
        <w:t>These policies are intended to support PCC and PW in principle; however, they have to be funded and supported by an adequate workforce if the intent is to reduce compulsion as the Mental Health Act 2025 hopes to do, and to strengthen the alternatives to staying in hospital.</w:t>
      </w:r>
    </w:p>
    <w:p w14:paraId="24012638" w14:textId="77777777" w:rsidR="00044AE5" w:rsidRPr="00C361E9" w:rsidRDefault="00044AE5" w:rsidP="00C361E9">
      <w:pPr>
        <w:pStyle w:val="Heading1"/>
        <w:spacing w:line="360" w:lineRule="auto"/>
        <w:jc w:val="both"/>
        <w:rPr>
          <w:rFonts w:ascii="Arial" w:hAnsi="Arial" w:cs="Arial"/>
          <w:b/>
          <w:bCs/>
          <w:color w:val="auto"/>
          <w:sz w:val="22"/>
          <w:szCs w:val="22"/>
        </w:rPr>
      </w:pPr>
      <w:bookmarkStart w:id="7" w:name="_Toc235497365"/>
      <w:r w:rsidRPr="00C361E9">
        <w:rPr>
          <w:rFonts w:ascii="Arial" w:hAnsi="Arial" w:cs="Arial"/>
          <w:b/>
          <w:bCs/>
          <w:color w:val="auto"/>
          <w:sz w:val="22"/>
          <w:szCs w:val="22"/>
        </w:rPr>
        <w:t>Recommendations</w:t>
      </w:r>
      <w:bookmarkEnd w:id="7"/>
    </w:p>
    <w:p w14:paraId="5B23F926" w14:textId="0EB8AE20" w:rsidR="00044AE5" w:rsidRPr="00C361E9" w:rsidRDefault="00044AE5" w:rsidP="00C361E9">
      <w:pPr>
        <w:spacing w:line="360" w:lineRule="auto"/>
        <w:jc w:val="both"/>
        <w:rPr>
          <w:rFonts w:ascii="Arial" w:hAnsi="Arial" w:cs="Arial"/>
        </w:rPr>
      </w:pPr>
      <w:r w:rsidRPr="00C361E9">
        <w:rPr>
          <w:rFonts w:ascii="Arial" w:hAnsi="Arial" w:cs="Arial"/>
        </w:rPr>
        <w:t>Several recommendations follow. Strengthening staff skills in recovery-oriented, trauma-informed and culturally competent practice would assist staff to integrate PCC more routinely, addressing the above gap in culturally responsive care. (</w:t>
      </w:r>
      <w:proofErr w:type="spellStart"/>
      <w:r w:rsidRPr="00C361E9">
        <w:rPr>
          <w:rFonts w:ascii="Arial" w:hAnsi="Arial" w:cs="Arial"/>
        </w:rPr>
        <w:t>Bhui</w:t>
      </w:r>
      <w:proofErr w:type="spellEnd"/>
      <w:r w:rsidRPr="00C361E9">
        <w:rPr>
          <w:rFonts w:ascii="Arial" w:hAnsi="Arial" w:cs="Arial"/>
        </w:rPr>
        <w:t xml:space="preserve"> et al., 2025) Improved use of technology, including making sure that health, social care and voluntary sector partners share digital care records, will facilitate tackling the challenges of coordination raised in this report. Co-production in service design would ensure that services are designed in a way that reflects lived experience and not professional convenience: Norton's (2025) scoping review suggests co-production should be used as part of services, but it is inconsistent and often underfunded. Investment in community-based alternatives to admission should continue to be a priority to support the intentions of the Mental Health Act 2025 to reduce compulsory powers, and additional work is needed to assess the effects of the 2025 changes as they are rolled out.</w:t>
      </w:r>
    </w:p>
    <w:p w14:paraId="0E1A1999" w14:textId="77777777" w:rsidR="00044AE5" w:rsidRPr="00C361E9" w:rsidRDefault="00044AE5" w:rsidP="00C361E9">
      <w:pPr>
        <w:spacing w:line="360" w:lineRule="auto"/>
        <w:jc w:val="both"/>
        <w:rPr>
          <w:rFonts w:ascii="Arial" w:hAnsi="Arial" w:cs="Arial"/>
        </w:rPr>
      </w:pPr>
      <w:r w:rsidRPr="00C361E9">
        <w:rPr>
          <w:rFonts w:ascii="Arial" w:hAnsi="Arial" w:cs="Arial"/>
        </w:rPr>
        <w:t>However, some challenges that may come with these suggestions should be accepted. Limited funding and existing manpower shortages can hinder the implementation of training and technology; some service user groups may be digitally excluded, thus limiting digital tools' reach; cultural resistance to decision-making power sharing can continue to slow the transition towards fully person centred collaborative practice.</w:t>
      </w:r>
    </w:p>
    <w:p w14:paraId="1A54C08D" w14:textId="77777777" w:rsidR="00044AE5" w:rsidRPr="00C361E9" w:rsidRDefault="00044AE5" w:rsidP="00C361E9">
      <w:pPr>
        <w:pStyle w:val="Heading1"/>
        <w:spacing w:line="360" w:lineRule="auto"/>
        <w:jc w:val="both"/>
        <w:rPr>
          <w:rFonts w:ascii="Arial" w:hAnsi="Arial" w:cs="Arial"/>
          <w:b/>
          <w:bCs/>
          <w:color w:val="auto"/>
          <w:sz w:val="22"/>
          <w:szCs w:val="22"/>
        </w:rPr>
      </w:pPr>
      <w:bookmarkStart w:id="8" w:name="_Toc235497366"/>
      <w:r w:rsidRPr="00C361E9">
        <w:rPr>
          <w:rFonts w:ascii="Arial" w:hAnsi="Arial" w:cs="Arial"/>
          <w:b/>
          <w:bCs/>
          <w:color w:val="auto"/>
          <w:sz w:val="22"/>
          <w:szCs w:val="22"/>
        </w:rPr>
        <w:t>Conclusion</w:t>
      </w:r>
      <w:bookmarkEnd w:id="8"/>
    </w:p>
    <w:p w14:paraId="406B9D04" w14:textId="5DFCCC67" w:rsidR="00044AE5" w:rsidRPr="00C361E9" w:rsidRDefault="00044AE5" w:rsidP="00C361E9">
      <w:pPr>
        <w:spacing w:line="360" w:lineRule="auto"/>
        <w:jc w:val="both"/>
        <w:rPr>
          <w:rFonts w:ascii="Arial" w:hAnsi="Arial" w:cs="Arial"/>
        </w:rPr>
      </w:pPr>
      <w:r w:rsidRPr="00C361E9">
        <w:rPr>
          <w:rFonts w:ascii="Arial" w:hAnsi="Arial" w:cs="Arial"/>
        </w:rPr>
        <w:t xml:space="preserve">This report has examined PCC and PW within the context of UK mental health services. It has discussed the concept of PCC and its pros and cons before examining the theoretical support, such as client-centred theory, the theory of personhood and the </w:t>
      </w:r>
      <w:proofErr w:type="spellStart"/>
      <w:r w:rsidRPr="00C361E9">
        <w:rPr>
          <w:rFonts w:ascii="Arial" w:hAnsi="Arial" w:cs="Arial"/>
        </w:rPr>
        <w:t>biopsychosocial</w:t>
      </w:r>
      <w:proofErr w:type="spellEnd"/>
      <w:r w:rsidRPr="00C361E9">
        <w:rPr>
          <w:rFonts w:ascii="Arial" w:hAnsi="Arial" w:cs="Arial"/>
        </w:rPr>
        <w:t xml:space="preserve"> model. It has raised ethical issues about autonomy, beneficence, non-maleficence and justice in the context of compulsory treatment; it has considered the benefits of PW regarding its role in providing a holistic approach to service delivery, but also the difficulties of co-ordinating PW. There are potential examples of policy and legislation that will support PCC and PW in principle, such as the Mental Health Act 2025, the Care Act 2014 and the Health and Care Act 2022 – however the impact of PCC and PW relies heavily on resourcing.</w:t>
      </w:r>
    </w:p>
    <w:p w14:paraId="0B7A5F50" w14:textId="37283B4D" w:rsidR="00666549" w:rsidRPr="00C361E9" w:rsidRDefault="00044AE5" w:rsidP="00C361E9">
      <w:pPr>
        <w:spacing w:line="360" w:lineRule="auto"/>
        <w:jc w:val="both"/>
        <w:rPr>
          <w:rFonts w:ascii="Arial" w:hAnsi="Arial" w:cs="Arial"/>
        </w:rPr>
      </w:pPr>
      <w:r w:rsidRPr="00C361E9">
        <w:rPr>
          <w:rFonts w:ascii="Arial" w:hAnsi="Arial" w:cs="Arial"/>
        </w:rPr>
        <w:t>PCC and PW are key to high-quality mental health care, but as illustrated in this report, there are ongoing structural, cultural and financial barriers to their full realisation. Differently proposed approaches – better training, build digital innovations, strengthen co-production and fund and develop community alternatives – offer a practical way forward towards more person-centred and collaborative mental health services, as is being talked about in current reform.</w:t>
      </w:r>
    </w:p>
    <w:p w14:paraId="1AD8AF34" w14:textId="77777777" w:rsidR="00C361E9" w:rsidRPr="00C361E9" w:rsidRDefault="00C361E9" w:rsidP="00C361E9">
      <w:pPr>
        <w:spacing w:line="360" w:lineRule="auto"/>
        <w:jc w:val="both"/>
        <w:rPr>
          <w:rFonts w:ascii="Arial" w:eastAsia="Arial" w:hAnsi="Arial" w:cs="Arial"/>
          <w:b/>
          <w:bCs/>
        </w:rPr>
      </w:pPr>
      <w:r w:rsidRPr="00C361E9">
        <w:rPr>
          <w:rFonts w:ascii="Arial" w:eastAsia="Arial" w:hAnsi="Arial" w:cs="Arial"/>
          <w:b/>
          <w:bCs/>
        </w:rPr>
        <w:br w:type="page"/>
      </w:r>
    </w:p>
    <w:p w14:paraId="18EDA697" w14:textId="5445F519" w:rsidR="00044AE5" w:rsidRPr="00C361E9" w:rsidRDefault="00044AE5" w:rsidP="00C361E9">
      <w:pPr>
        <w:pStyle w:val="Heading1"/>
        <w:spacing w:before="300" w:after="150" w:line="360" w:lineRule="auto"/>
        <w:jc w:val="both"/>
        <w:rPr>
          <w:rFonts w:ascii="Arial" w:hAnsi="Arial" w:cs="Arial"/>
          <w:color w:val="auto"/>
          <w:sz w:val="22"/>
          <w:szCs w:val="22"/>
        </w:rPr>
      </w:pPr>
      <w:bookmarkStart w:id="9" w:name="_Toc235497367"/>
      <w:r w:rsidRPr="00C361E9">
        <w:rPr>
          <w:rFonts w:ascii="Arial" w:eastAsia="Arial" w:hAnsi="Arial" w:cs="Arial"/>
          <w:b/>
          <w:bCs/>
          <w:color w:val="auto"/>
          <w:sz w:val="22"/>
          <w:szCs w:val="22"/>
        </w:rPr>
        <w:t>Reference List</w:t>
      </w:r>
      <w:bookmarkEnd w:id="9"/>
    </w:p>
    <w:p w14:paraId="701CB3A3" w14:textId="77777777" w:rsidR="00044AE5" w:rsidRPr="00C361E9" w:rsidRDefault="00044AE5" w:rsidP="00C361E9">
      <w:pPr>
        <w:spacing w:after="120" w:line="360" w:lineRule="auto"/>
        <w:ind w:left="720" w:hanging="720"/>
        <w:jc w:val="both"/>
        <w:rPr>
          <w:rFonts w:ascii="Arial" w:hAnsi="Arial" w:cs="Arial"/>
        </w:rPr>
      </w:pPr>
      <w:r w:rsidRPr="00C361E9">
        <w:rPr>
          <w:rFonts w:ascii="Arial" w:eastAsia="Arial" w:hAnsi="Arial" w:cs="Arial"/>
        </w:rPr>
        <w:t xml:space="preserve">Beauchamp, T.L. and Childress, J.F. (2019) Principles of Biomedical Ethics. 8th </w:t>
      </w:r>
      <w:proofErr w:type="spellStart"/>
      <w:r w:rsidRPr="00C361E9">
        <w:rPr>
          <w:rFonts w:ascii="Arial" w:eastAsia="Arial" w:hAnsi="Arial" w:cs="Arial"/>
        </w:rPr>
        <w:t>edn</w:t>
      </w:r>
      <w:proofErr w:type="spellEnd"/>
      <w:r w:rsidRPr="00C361E9">
        <w:rPr>
          <w:rFonts w:ascii="Arial" w:eastAsia="Arial" w:hAnsi="Arial" w:cs="Arial"/>
        </w:rPr>
        <w:t>. New York: Oxford University Press.</w:t>
      </w:r>
    </w:p>
    <w:p w14:paraId="18246AAE" w14:textId="77777777" w:rsidR="00044AE5" w:rsidRPr="00C361E9" w:rsidRDefault="00044AE5" w:rsidP="00C361E9">
      <w:pPr>
        <w:spacing w:after="120" w:line="360" w:lineRule="auto"/>
        <w:ind w:left="720" w:hanging="720"/>
        <w:jc w:val="both"/>
        <w:rPr>
          <w:rFonts w:ascii="Arial" w:eastAsia="Arial" w:hAnsi="Arial" w:cs="Arial"/>
        </w:rPr>
      </w:pPr>
      <w:proofErr w:type="spellStart"/>
      <w:r w:rsidRPr="00C361E9">
        <w:rPr>
          <w:rFonts w:ascii="Arial" w:eastAsia="Arial" w:hAnsi="Arial" w:cs="Arial"/>
        </w:rPr>
        <w:t>Bhui</w:t>
      </w:r>
      <w:proofErr w:type="spellEnd"/>
      <w:r w:rsidRPr="00C361E9">
        <w:rPr>
          <w:rFonts w:ascii="Arial" w:eastAsia="Arial" w:hAnsi="Arial" w:cs="Arial"/>
        </w:rPr>
        <w:t xml:space="preserve">, K., Mooney, R., Joseph, D., McCabe, R., </w:t>
      </w:r>
      <w:proofErr w:type="spellStart"/>
      <w:r w:rsidRPr="00C361E9">
        <w:rPr>
          <w:rFonts w:ascii="Arial" w:eastAsia="Arial" w:hAnsi="Arial" w:cs="Arial"/>
        </w:rPr>
        <w:t>Newbigging</w:t>
      </w:r>
      <w:proofErr w:type="spellEnd"/>
      <w:r w:rsidRPr="00C361E9">
        <w:rPr>
          <w:rFonts w:ascii="Arial" w:eastAsia="Arial" w:hAnsi="Arial" w:cs="Arial"/>
        </w:rPr>
        <w:t xml:space="preserve">, K., McCrone, P., </w:t>
      </w:r>
      <w:proofErr w:type="spellStart"/>
      <w:r w:rsidRPr="00C361E9">
        <w:rPr>
          <w:rFonts w:ascii="Arial" w:eastAsia="Arial" w:hAnsi="Arial" w:cs="Arial"/>
        </w:rPr>
        <w:t>Raghavan</w:t>
      </w:r>
      <w:proofErr w:type="spellEnd"/>
      <w:r w:rsidRPr="00C361E9">
        <w:rPr>
          <w:rFonts w:ascii="Arial" w:eastAsia="Arial" w:hAnsi="Arial" w:cs="Arial"/>
        </w:rPr>
        <w:t xml:space="preserve">, R., Keating, F., Husain, N. and </w:t>
      </w:r>
      <w:proofErr w:type="spellStart"/>
      <w:r w:rsidRPr="00C361E9">
        <w:rPr>
          <w:rFonts w:ascii="Arial" w:eastAsia="Arial" w:hAnsi="Arial" w:cs="Arial"/>
        </w:rPr>
        <w:t>Morey</w:t>
      </w:r>
      <w:proofErr w:type="spellEnd"/>
      <w:r w:rsidRPr="00C361E9">
        <w:rPr>
          <w:rFonts w:ascii="Arial" w:eastAsia="Arial" w:hAnsi="Arial" w:cs="Arial"/>
        </w:rPr>
        <w:t xml:space="preserve">, T. (2025) 'Racialised experience of detention under the Mental Health Act: a </w:t>
      </w:r>
      <w:proofErr w:type="spellStart"/>
      <w:r w:rsidRPr="00C361E9">
        <w:rPr>
          <w:rFonts w:ascii="Arial" w:eastAsia="Arial" w:hAnsi="Arial" w:cs="Arial"/>
        </w:rPr>
        <w:t>photovoice</w:t>
      </w:r>
      <w:proofErr w:type="spellEnd"/>
      <w:r w:rsidRPr="00C361E9">
        <w:rPr>
          <w:rFonts w:ascii="Arial" w:eastAsia="Arial" w:hAnsi="Arial" w:cs="Arial"/>
        </w:rPr>
        <w:t xml:space="preserve"> investigation', BMJ Mental Health, 28(1), e301655. </w:t>
      </w:r>
      <w:hyperlink r:id="rId7" w:history="1">
        <w:r w:rsidRPr="00C361E9">
          <w:rPr>
            <w:rStyle w:val="Hyperlink"/>
            <w:rFonts w:ascii="Arial" w:hAnsi="Arial" w:cs="Arial"/>
            <w:color w:val="auto"/>
          </w:rPr>
          <w:t>https://doi.org/10.1136/bmjment-2025-301655</w:t>
        </w:r>
      </w:hyperlink>
    </w:p>
    <w:p w14:paraId="481D4F6E" w14:textId="77777777" w:rsidR="00044AE5" w:rsidRPr="00C361E9" w:rsidRDefault="00044AE5" w:rsidP="00C361E9">
      <w:pPr>
        <w:spacing w:after="120" w:line="360" w:lineRule="auto"/>
        <w:ind w:left="720" w:hanging="720"/>
        <w:jc w:val="both"/>
        <w:rPr>
          <w:rFonts w:ascii="Arial" w:eastAsia="Arial" w:hAnsi="Arial" w:cs="Arial"/>
        </w:rPr>
      </w:pPr>
      <w:r w:rsidRPr="00C361E9">
        <w:rPr>
          <w:rFonts w:ascii="Arial" w:eastAsia="Arial" w:hAnsi="Arial" w:cs="Arial"/>
        </w:rPr>
        <w:t xml:space="preserve">Care Act 2014. Available at: </w:t>
      </w:r>
      <w:hyperlink r:id="rId8" w:history="1">
        <w:r w:rsidRPr="00C361E9">
          <w:rPr>
            <w:rStyle w:val="Hyperlink"/>
            <w:rFonts w:ascii="Arial" w:hAnsi="Arial" w:cs="Arial"/>
            <w:color w:val="auto"/>
          </w:rPr>
          <w:t>https://www.legislation.gov.uk/ukpga/2014/23/contents</w:t>
        </w:r>
      </w:hyperlink>
    </w:p>
    <w:p w14:paraId="277D0DF9" w14:textId="77777777" w:rsidR="00044AE5" w:rsidRPr="00C361E9" w:rsidRDefault="00044AE5" w:rsidP="00C361E9">
      <w:pPr>
        <w:spacing w:after="120" w:line="360" w:lineRule="auto"/>
        <w:ind w:left="720" w:hanging="720"/>
        <w:jc w:val="both"/>
        <w:rPr>
          <w:rFonts w:ascii="Arial" w:hAnsi="Arial" w:cs="Arial"/>
        </w:rPr>
      </w:pPr>
      <w:r w:rsidRPr="00C361E9">
        <w:rPr>
          <w:rFonts w:ascii="Arial" w:eastAsia="Arial" w:hAnsi="Arial" w:cs="Arial"/>
        </w:rPr>
        <w:t>Engel, G.L. (1977) 'The need for a new medical model: a challenge for biomedicine', Science, 196(4286), pp.129–136.</w:t>
      </w:r>
    </w:p>
    <w:p w14:paraId="038DC93A" w14:textId="77777777" w:rsidR="00044AE5" w:rsidRPr="00C361E9" w:rsidRDefault="00044AE5" w:rsidP="00C361E9">
      <w:pPr>
        <w:spacing w:after="120" w:line="360" w:lineRule="auto"/>
        <w:ind w:left="720" w:hanging="720"/>
        <w:jc w:val="both"/>
        <w:rPr>
          <w:rFonts w:ascii="Arial" w:eastAsia="Arial" w:hAnsi="Arial" w:cs="Arial"/>
        </w:rPr>
      </w:pPr>
      <w:r w:rsidRPr="00C361E9">
        <w:rPr>
          <w:rFonts w:ascii="Arial" w:eastAsia="Arial" w:hAnsi="Arial" w:cs="Arial"/>
        </w:rPr>
        <w:t xml:space="preserve">Equality Act 2010. Available at: </w:t>
      </w:r>
      <w:hyperlink r:id="rId9" w:history="1">
        <w:r w:rsidRPr="00C361E9">
          <w:rPr>
            <w:rStyle w:val="Hyperlink"/>
            <w:rFonts w:ascii="Arial" w:hAnsi="Arial" w:cs="Arial"/>
            <w:color w:val="auto"/>
          </w:rPr>
          <w:t>https://www.legislation.gov.uk/ukpga/2010/15/contents</w:t>
        </w:r>
      </w:hyperlink>
    </w:p>
    <w:p w14:paraId="716D5949" w14:textId="77777777" w:rsidR="00044AE5" w:rsidRPr="00C361E9" w:rsidRDefault="00044AE5" w:rsidP="00C361E9">
      <w:pPr>
        <w:spacing w:after="120" w:line="360" w:lineRule="auto"/>
        <w:ind w:left="720" w:hanging="720"/>
        <w:jc w:val="both"/>
        <w:rPr>
          <w:rFonts w:ascii="Arial" w:eastAsia="Arial" w:hAnsi="Arial" w:cs="Arial"/>
        </w:rPr>
      </w:pPr>
      <w:proofErr w:type="spellStart"/>
      <w:r w:rsidRPr="00C361E9">
        <w:rPr>
          <w:rFonts w:ascii="Arial" w:eastAsia="Arial" w:hAnsi="Arial" w:cs="Arial"/>
        </w:rPr>
        <w:t>Glas</w:t>
      </w:r>
      <w:proofErr w:type="spellEnd"/>
      <w:r w:rsidRPr="00C361E9">
        <w:rPr>
          <w:rFonts w:ascii="Arial" w:eastAsia="Arial" w:hAnsi="Arial" w:cs="Arial"/>
        </w:rPr>
        <w:t xml:space="preserve">, G. (2022) 'Person-centred care in psychiatry: a clinical and philosophically informed approach', BJPsych Advances, 28(5), pp.333–341. </w:t>
      </w:r>
      <w:hyperlink r:id="rId10" w:history="1">
        <w:r w:rsidRPr="00C361E9">
          <w:rPr>
            <w:rStyle w:val="Hyperlink"/>
            <w:rFonts w:ascii="Arial" w:hAnsi="Arial" w:cs="Arial"/>
            <w:color w:val="auto"/>
          </w:rPr>
          <w:t>https://doi.org/10.1192/bja.2021.75</w:t>
        </w:r>
      </w:hyperlink>
    </w:p>
    <w:p w14:paraId="0B072D99" w14:textId="77777777" w:rsidR="00044AE5" w:rsidRPr="00C361E9" w:rsidRDefault="00044AE5" w:rsidP="00C361E9">
      <w:pPr>
        <w:spacing w:after="120" w:line="360" w:lineRule="auto"/>
        <w:ind w:left="720" w:hanging="720"/>
        <w:jc w:val="both"/>
        <w:rPr>
          <w:rFonts w:ascii="Arial" w:eastAsia="Arial" w:hAnsi="Arial" w:cs="Arial"/>
        </w:rPr>
      </w:pPr>
      <w:r w:rsidRPr="00C361E9">
        <w:rPr>
          <w:rFonts w:ascii="Arial" w:eastAsia="Arial" w:hAnsi="Arial" w:cs="Arial"/>
        </w:rPr>
        <w:t xml:space="preserve">Health and Care Act 2022. </w:t>
      </w:r>
      <w:hyperlink r:id="rId11" w:history="1">
        <w:r w:rsidRPr="00C361E9">
          <w:rPr>
            <w:rStyle w:val="Hyperlink"/>
            <w:rFonts w:ascii="Arial" w:hAnsi="Arial" w:cs="Arial"/>
            <w:color w:val="auto"/>
          </w:rPr>
          <w:t>https://www.legislation.gov.uk/ukpga/2022/31/contents</w:t>
        </w:r>
      </w:hyperlink>
    </w:p>
    <w:p w14:paraId="2D6D0599" w14:textId="77777777" w:rsidR="00044AE5" w:rsidRPr="00C361E9" w:rsidRDefault="00044AE5" w:rsidP="00C361E9">
      <w:pPr>
        <w:spacing w:after="120" w:line="360" w:lineRule="auto"/>
        <w:ind w:left="720" w:hanging="720"/>
        <w:jc w:val="both"/>
        <w:rPr>
          <w:rFonts w:ascii="Arial" w:eastAsia="Arial" w:hAnsi="Arial" w:cs="Arial"/>
        </w:rPr>
      </w:pPr>
      <w:r w:rsidRPr="00C361E9">
        <w:rPr>
          <w:rFonts w:ascii="Arial" w:eastAsia="Arial" w:hAnsi="Arial" w:cs="Arial"/>
        </w:rPr>
        <w:t xml:space="preserve">House of Commons Library (2025) Mental Health Bill [HL] 2024-25: Progress of the Bill. </w:t>
      </w:r>
      <w:hyperlink r:id="rId12" w:history="1">
        <w:r w:rsidRPr="00C361E9">
          <w:rPr>
            <w:rStyle w:val="Hyperlink"/>
            <w:rFonts w:ascii="Arial" w:hAnsi="Arial" w:cs="Arial"/>
            <w:color w:val="auto"/>
          </w:rPr>
          <w:t>https://commonslibrary.parliament.uk/research-briefings/cbp-10317/</w:t>
        </w:r>
      </w:hyperlink>
    </w:p>
    <w:p w14:paraId="4A7C8F34" w14:textId="77777777" w:rsidR="00044AE5" w:rsidRPr="00C361E9" w:rsidRDefault="00044AE5" w:rsidP="00C361E9">
      <w:pPr>
        <w:spacing w:after="120" w:line="360" w:lineRule="auto"/>
        <w:jc w:val="both"/>
        <w:rPr>
          <w:rFonts w:ascii="Arial" w:eastAsia="Arial" w:hAnsi="Arial" w:cs="Arial"/>
        </w:rPr>
      </w:pPr>
      <w:r w:rsidRPr="00C361E9">
        <w:rPr>
          <w:rFonts w:ascii="Arial" w:eastAsia="Arial" w:hAnsi="Arial" w:cs="Arial"/>
        </w:rPr>
        <w:t xml:space="preserve">Human Rights Act 1998. Available at: </w:t>
      </w:r>
      <w:hyperlink r:id="rId13" w:history="1">
        <w:r w:rsidRPr="00C361E9">
          <w:rPr>
            <w:rStyle w:val="Hyperlink"/>
            <w:rFonts w:ascii="Arial" w:hAnsi="Arial" w:cs="Arial"/>
            <w:color w:val="auto"/>
          </w:rPr>
          <w:t>https://www.legislation.gov.uk/ukpga/1998/42/contents</w:t>
        </w:r>
      </w:hyperlink>
    </w:p>
    <w:p w14:paraId="278EA8D1" w14:textId="77777777" w:rsidR="00044AE5" w:rsidRPr="00C361E9" w:rsidRDefault="00044AE5" w:rsidP="00C361E9">
      <w:pPr>
        <w:spacing w:after="120" w:line="360" w:lineRule="auto"/>
        <w:ind w:left="720" w:hanging="720"/>
        <w:jc w:val="both"/>
        <w:rPr>
          <w:rFonts w:ascii="Arial" w:hAnsi="Arial" w:cs="Arial"/>
        </w:rPr>
      </w:pPr>
      <w:proofErr w:type="spellStart"/>
      <w:r w:rsidRPr="00C361E9">
        <w:rPr>
          <w:rFonts w:ascii="Arial" w:eastAsia="Arial" w:hAnsi="Arial" w:cs="Arial"/>
        </w:rPr>
        <w:t>Kitwood</w:t>
      </w:r>
      <w:proofErr w:type="spellEnd"/>
      <w:r w:rsidRPr="00C361E9">
        <w:rPr>
          <w:rFonts w:ascii="Arial" w:eastAsia="Arial" w:hAnsi="Arial" w:cs="Arial"/>
        </w:rPr>
        <w:t>, T. (1997) Dementia Reconsidered: The Person Comes First. Buckingham: Open University Press.</w:t>
      </w:r>
    </w:p>
    <w:p w14:paraId="26EF151F" w14:textId="77777777" w:rsidR="00044AE5" w:rsidRPr="00C361E9" w:rsidRDefault="00044AE5" w:rsidP="00C361E9">
      <w:pPr>
        <w:spacing w:after="120" w:line="360" w:lineRule="auto"/>
        <w:ind w:left="720" w:hanging="720"/>
        <w:jc w:val="both"/>
        <w:rPr>
          <w:rFonts w:ascii="Arial" w:eastAsia="Arial" w:hAnsi="Arial" w:cs="Arial"/>
        </w:rPr>
      </w:pPr>
      <w:r w:rsidRPr="00C361E9">
        <w:rPr>
          <w:rFonts w:ascii="Arial" w:eastAsia="Arial" w:hAnsi="Arial" w:cs="Arial"/>
        </w:rPr>
        <w:t xml:space="preserve">Martinho, S.M., Santa-Rosa, B. and </w:t>
      </w:r>
      <w:proofErr w:type="spellStart"/>
      <w:r w:rsidRPr="00C361E9">
        <w:rPr>
          <w:rFonts w:ascii="Arial" w:eastAsia="Arial" w:hAnsi="Arial" w:cs="Arial"/>
        </w:rPr>
        <w:t>Silvestre</w:t>
      </w:r>
      <w:proofErr w:type="spellEnd"/>
      <w:r w:rsidRPr="00C361E9">
        <w:rPr>
          <w:rFonts w:ascii="Arial" w:eastAsia="Arial" w:hAnsi="Arial" w:cs="Arial"/>
        </w:rPr>
        <w:t xml:space="preserve">, M. (2022) 'Where the public health principles meet the individual: a framework for the ethics of compulsory outpatient treatment in psychiatry', BMC Medical Ethics, 23, 77. </w:t>
      </w:r>
      <w:hyperlink r:id="rId14" w:history="1">
        <w:r w:rsidRPr="00C361E9">
          <w:rPr>
            <w:rStyle w:val="Hyperlink"/>
            <w:rFonts w:ascii="Arial" w:hAnsi="Arial" w:cs="Arial"/>
            <w:color w:val="auto"/>
          </w:rPr>
          <w:t>https://doi.org/10.1186/s12910-022-00814-8</w:t>
        </w:r>
      </w:hyperlink>
    </w:p>
    <w:p w14:paraId="3D0A0CC5" w14:textId="77777777" w:rsidR="00044AE5" w:rsidRPr="00C361E9" w:rsidRDefault="00044AE5" w:rsidP="00C361E9">
      <w:pPr>
        <w:spacing w:after="120" w:line="360" w:lineRule="auto"/>
        <w:ind w:left="720" w:hanging="720"/>
        <w:jc w:val="both"/>
        <w:rPr>
          <w:rFonts w:ascii="Arial" w:eastAsia="Arial" w:hAnsi="Arial" w:cs="Arial"/>
        </w:rPr>
      </w:pPr>
      <w:r w:rsidRPr="00C361E9">
        <w:rPr>
          <w:rFonts w:ascii="Arial" w:eastAsia="Arial" w:hAnsi="Arial" w:cs="Arial"/>
        </w:rPr>
        <w:t xml:space="preserve">Mental Health Act 1983 (as amended). </w:t>
      </w:r>
      <w:hyperlink r:id="rId15" w:history="1">
        <w:r w:rsidRPr="00C361E9">
          <w:rPr>
            <w:rStyle w:val="Hyperlink"/>
            <w:rFonts w:ascii="Arial" w:hAnsi="Arial" w:cs="Arial"/>
            <w:color w:val="auto"/>
          </w:rPr>
          <w:t>https://www.legislation.gov.uk/ukpga/1983/20/contents</w:t>
        </w:r>
      </w:hyperlink>
    </w:p>
    <w:p w14:paraId="4598B87C" w14:textId="77777777" w:rsidR="00044AE5" w:rsidRPr="00C361E9" w:rsidRDefault="00044AE5" w:rsidP="00C361E9">
      <w:pPr>
        <w:spacing w:after="120" w:line="360" w:lineRule="auto"/>
        <w:ind w:left="720" w:hanging="720"/>
        <w:jc w:val="both"/>
        <w:rPr>
          <w:rFonts w:ascii="Arial" w:eastAsia="Arial" w:hAnsi="Arial" w:cs="Arial"/>
        </w:rPr>
      </w:pPr>
      <w:r w:rsidRPr="00C361E9">
        <w:rPr>
          <w:rFonts w:ascii="Arial" w:eastAsia="Arial" w:hAnsi="Arial" w:cs="Arial"/>
        </w:rPr>
        <w:t xml:space="preserve">Mental Health Act 2025. : </w:t>
      </w:r>
      <w:hyperlink r:id="rId16" w:history="1">
        <w:r w:rsidRPr="00C361E9">
          <w:rPr>
            <w:rStyle w:val="Hyperlink"/>
            <w:rFonts w:ascii="Arial" w:hAnsi="Arial" w:cs="Arial"/>
            <w:color w:val="auto"/>
          </w:rPr>
          <w:t>https://www.legislation.gov.uk/ukpga/2025/33/contents</w:t>
        </w:r>
      </w:hyperlink>
    </w:p>
    <w:p w14:paraId="0EEA3B80" w14:textId="77777777" w:rsidR="00044AE5" w:rsidRPr="00C361E9" w:rsidRDefault="00044AE5" w:rsidP="00C361E9">
      <w:pPr>
        <w:spacing w:after="120" w:line="360" w:lineRule="auto"/>
        <w:ind w:left="720" w:hanging="720"/>
        <w:jc w:val="both"/>
        <w:rPr>
          <w:rFonts w:ascii="Arial" w:eastAsia="Arial" w:hAnsi="Arial" w:cs="Arial"/>
        </w:rPr>
      </w:pPr>
      <w:r w:rsidRPr="00C361E9">
        <w:rPr>
          <w:rFonts w:ascii="Arial" w:eastAsia="Arial" w:hAnsi="Arial" w:cs="Arial"/>
        </w:rPr>
        <w:t>Norton, M.J. (2025) 'Co-production and mental health service provision: a scoping review', Irish Journal of Psychological Medicine, pp.1–14.</w:t>
      </w:r>
      <w:r w:rsidRPr="00C361E9">
        <w:rPr>
          <w:rFonts w:ascii="Arial" w:eastAsia="Arial" w:hAnsi="Arial" w:cs="Arial"/>
          <w:lang w:val="en-US"/>
        </w:rPr>
        <w:t xml:space="preserve"> </w:t>
      </w:r>
      <w:hyperlink r:id="rId17" w:history="1">
        <w:r w:rsidRPr="00C361E9">
          <w:rPr>
            <w:rStyle w:val="Hyperlink"/>
            <w:rFonts w:ascii="Arial" w:hAnsi="Arial" w:cs="Arial"/>
            <w:color w:val="auto"/>
          </w:rPr>
          <w:t>https://doi.org/10.1017/ipm.2025.16</w:t>
        </w:r>
      </w:hyperlink>
    </w:p>
    <w:p w14:paraId="4AF957CB" w14:textId="77777777" w:rsidR="00044AE5" w:rsidRPr="00C361E9" w:rsidRDefault="00044AE5" w:rsidP="00C361E9">
      <w:pPr>
        <w:spacing w:after="120" w:line="360" w:lineRule="auto"/>
        <w:ind w:left="720" w:hanging="720"/>
        <w:jc w:val="both"/>
        <w:rPr>
          <w:rFonts w:ascii="Arial" w:eastAsia="Arial" w:hAnsi="Arial" w:cs="Arial"/>
        </w:rPr>
      </w:pPr>
      <w:r w:rsidRPr="00C361E9">
        <w:rPr>
          <w:rFonts w:ascii="Arial" w:eastAsia="Arial" w:hAnsi="Arial" w:cs="Arial"/>
        </w:rPr>
        <w:t>Rogers, C.R. (1951) Client-Centred Therapy: Its Current Practice, Implications, and Theory. Boston: Houghton Mifflin.</w:t>
      </w:r>
    </w:p>
    <w:p w14:paraId="5AA9ECB9" w14:textId="77777777" w:rsidR="00044AE5" w:rsidRPr="00C361E9" w:rsidRDefault="00044AE5" w:rsidP="00C361E9">
      <w:pPr>
        <w:spacing w:after="120" w:line="360" w:lineRule="auto"/>
        <w:ind w:left="720" w:hanging="720"/>
        <w:jc w:val="both"/>
        <w:rPr>
          <w:rFonts w:ascii="Arial" w:eastAsia="Arial" w:hAnsi="Arial" w:cs="Arial"/>
        </w:rPr>
      </w:pPr>
      <w:r w:rsidRPr="00C361E9">
        <w:rPr>
          <w:rFonts w:ascii="Arial" w:eastAsia="Arial" w:hAnsi="Arial" w:cs="Arial"/>
        </w:rPr>
        <w:t xml:space="preserve">Thomson, L.J.M. and Chatterjee, H.J. (2023) 'Barriers and enablers of integrated care in the UK: a rapid evidence review of review articles and grey literature 2018–2022', Frontiers in Public Health, 11, 1286479.  </w:t>
      </w:r>
      <w:hyperlink r:id="rId18" w:history="1">
        <w:r w:rsidRPr="00C361E9">
          <w:rPr>
            <w:rStyle w:val="Hyperlink"/>
            <w:rFonts w:ascii="Arial" w:hAnsi="Arial" w:cs="Arial"/>
            <w:color w:val="auto"/>
          </w:rPr>
          <w:t>https://doi.org/10.3389/fpubh.2023.1286479</w:t>
        </w:r>
      </w:hyperlink>
    </w:p>
    <w:p w14:paraId="43EB5737" w14:textId="77777777" w:rsidR="00044AE5" w:rsidRPr="00C361E9" w:rsidRDefault="00044AE5" w:rsidP="00C361E9">
      <w:pPr>
        <w:spacing w:after="120" w:line="360" w:lineRule="auto"/>
        <w:ind w:left="720" w:hanging="720"/>
        <w:jc w:val="both"/>
        <w:rPr>
          <w:rFonts w:ascii="Arial" w:hAnsi="Arial" w:cs="Arial"/>
        </w:rPr>
      </w:pPr>
    </w:p>
    <w:p w14:paraId="1D77D330" w14:textId="77777777" w:rsidR="00044AE5" w:rsidRPr="00C361E9" w:rsidRDefault="00044AE5" w:rsidP="00C361E9">
      <w:pPr>
        <w:spacing w:line="360" w:lineRule="auto"/>
        <w:jc w:val="both"/>
        <w:rPr>
          <w:rFonts w:ascii="Arial" w:hAnsi="Arial" w:cs="Arial"/>
        </w:rPr>
      </w:pPr>
    </w:p>
    <w:sectPr w:rsidR="00044AE5" w:rsidRPr="00C361E9">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1AD1F26" w14:textId="77777777" w:rsidR="002B640C" w:rsidRDefault="002B640C" w:rsidP="00044AE5">
      <w:pPr>
        <w:spacing w:after="0" w:line="240" w:lineRule="auto"/>
      </w:pPr>
      <w:r>
        <w:separator/>
      </w:r>
    </w:p>
  </w:endnote>
  <w:endnote w:type="continuationSeparator" w:id="0">
    <w:p w14:paraId="1054E426" w14:textId="77777777" w:rsidR="002B640C" w:rsidRDefault="002B640C" w:rsidP="00044A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749469860"/>
      <w:docPartObj>
        <w:docPartGallery w:val="Page Numbers (Bottom of Page)"/>
        <w:docPartUnique/>
      </w:docPartObj>
    </w:sdtPr>
    <w:sdtContent>
      <w:sdt>
        <w:sdtPr>
          <w:id w:val="-1705238520"/>
          <w:docPartObj>
            <w:docPartGallery w:val="Page Numbers (Top of Page)"/>
            <w:docPartUnique/>
          </w:docPartObj>
        </w:sdtPr>
        <w:sdtContent>
          <w:p w14:paraId="115DE645" w14:textId="6E24D6EC" w:rsidR="00044AE5" w:rsidRDefault="00044AE5">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0DEA390" w14:textId="77777777" w:rsidR="00044AE5" w:rsidRDefault="00044A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F23C101" w14:textId="77777777" w:rsidR="002B640C" w:rsidRDefault="002B640C" w:rsidP="00044AE5">
      <w:pPr>
        <w:spacing w:after="0" w:line="240" w:lineRule="auto"/>
      </w:pPr>
      <w:r>
        <w:separator/>
      </w:r>
    </w:p>
  </w:footnote>
  <w:footnote w:type="continuationSeparator" w:id="0">
    <w:p w14:paraId="19C3C75C" w14:textId="77777777" w:rsidR="002B640C" w:rsidRDefault="002B640C" w:rsidP="00044AE5">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4AE5"/>
    <w:rsid w:val="00044AE5"/>
    <w:rsid w:val="002B640C"/>
    <w:rsid w:val="0030172C"/>
    <w:rsid w:val="00666549"/>
    <w:rsid w:val="00BB1124"/>
    <w:rsid w:val="00C361E9"/>
    <w:rsid w:val="00EF1057"/>
    <w:rsid w:val="00F87F6A"/>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96A5A"/>
  <w15:chartTrackingRefBased/>
  <w15:docId w15:val="{A00BFF48-7CD3-4C65-8079-1F0D621B0B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44A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4AE5"/>
    <w:rPr>
      <w:rFonts w:asciiTheme="majorHAnsi" w:eastAsiaTheme="majorEastAsia" w:hAnsiTheme="majorHAnsi" w:cstheme="majorBidi"/>
      <w:color w:val="2F5496" w:themeColor="accent1" w:themeShade="BF"/>
      <w:sz w:val="32"/>
      <w:szCs w:val="32"/>
      <w:lang w:val="en-GB"/>
    </w:rPr>
  </w:style>
  <w:style w:type="character" w:styleId="Hyperlink">
    <w:name w:val="Hyperlink"/>
    <w:uiPriority w:val="99"/>
    <w:unhideWhenUsed/>
    <w:rsid w:val="00044AE5"/>
    <w:rPr>
      <w:color w:val="0563C1"/>
      <w:u w:val="single"/>
    </w:rPr>
  </w:style>
  <w:style w:type="paragraph" w:styleId="TOCHeading">
    <w:name w:val="TOC Heading"/>
    <w:basedOn w:val="Heading1"/>
    <w:next w:val="Normal"/>
    <w:uiPriority w:val="39"/>
    <w:unhideWhenUsed/>
    <w:qFormat/>
    <w:rsid w:val="00044AE5"/>
    <w:pPr>
      <w:outlineLvl w:val="9"/>
    </w:pPr>
    <w:rPr>
      <w:lang w:val="en-US"/>
    </w:rPr>
  </w:style>
  <w:style w:type="paragraph" w:styleId="TOC1">
    <w:name w:val="toc 1"/>
    <w:basedOn w:val="Normal"/>
    <w:next w:val="Normal"/>
    <w:autoRedefine/>
    <w:uiPriority w:val="39"/>
    <w:unhideWhenUsed/>
    <w:rsid w:val="00044AE5"/>
    <w:pPr>
      <w:spacing w:after="100"/>
    </w:pPr>
  </w:style>
  <w:style w:type="paragraph" w:styleId="Header">
    <w:name w:val="header"/>
    <w:basedOn w:val="Normal"/>
    <w:link w:val="HeaderChar"/>
    <w:uiPriority w:val="99"/>
    <w:unhideWhenUsed/>
    <w:rsid w:val="00044A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4AE5"/>
    <w:rPr>
      <w:lang w:val="en-GB"/>
    </w:rPr>
  </w:style>
  <w:style w:type="paragraph" w:styleId="Footer">
    <w:name w:val="footer"/>
    <w:basedOn w:val="Normal"/>
    <w:link w:val="FooterChar"/>
    <w:uiPriority w:val="99"/>
    <w:unhideWhenUsed/>
    <w:rsid w:val="00044A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4AE5"/>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4/23/contents" TargetMode="External"/><Relationship Id="rId13" Type="http://schemas.openxmlformats.org/officeDocument/2006/relationships/hyperlink" Target="https://www.legislation.gov.uk/ukpga/1998/42/contents" TargetMode="External"/><Relationship Id="rId18" Type="http://schemas.openxmlformats.org/officeDocument/2006/relationships/hyperlink" Target="https://doi.org/10.3389/fpubh.2023.1286479"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doi.org/10.1136/bmjment-2025-301655" TargetMode="External"/><Relationship Id="rId12" Type="http://schemas.openxmlformats.org/officeDocument/2006/relationships/hyperlink" Target="https://commonslibrary.parliament.uk/research-briefings/cbp-10317/" TargetMode="External"/><Relationship Id="rId17" Type="http://schemas.openxmlformats.org/officeDocument/2006/relationships/hyperlink" Target="https://doi.org/10.1017/ipm.2025.16" TargetMode="External"/><Relationship Id="rId2" Type="http://schemas.openxmlformats.org/officeDocument/2006/relationships/styles" Target="styles.xml"/><Relationship Id="rId16" Type="http://schemas.openxmlformats.org/officeDocument/2006/relationships/hyperlink" Target="https://www.legislation.gov.uk/ukpga/2025/33/content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egislation.gov.uk/ukpga/2022/31/contents" TargetMode="External"/><Relationship Id="rId5" Type="http://schemas.openxmlformats.org/officeDocument/2006/relationships/footnotes" Target="footnotes.xml"/><Relationship Id="rId15" Type="http://schemas.openxmlformats.org/officeDocument/2006/relationships/hyperlink" Target="https://www.legislation.gov.uk/ukpga/1983/20/contents" TargetMode="External"/><Relationship Id="rId10" Type="http://schemas.openxmlformats.org/officeDocument/2006/relationships/hyperlink" Target="https://doi.org/10.1192/bja.2021.75"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legislation.gov.uk/ukpga/2010/15/contents" TargetMode="External"/><Relationship Id="rId14" Type="http://schemas.openxmlformats.org/officeDocument/2006/relationships/hyperlink" Target="https://doi.org/10.1186/s12910-022-0081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70E1E9-8B9A-435F-B594-9D7099AD6E1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2772</Words>
  <Characters>15806</Characters>
  <Application>Microsoft Office Word</Application>
  <DocSecurity>0</DocSecurity>
  <Lines>131</Lines>
  <Paragraphs>37</Paragraphs>
  <ScaleCrop>false</ScaleCrop>
  <Company/>
  <LinksUpToDate>false</LinksUpToDate>
  <CharactersWithSpaces>18541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Farzana Mukhtar</cp:lastModifiedBy>
  <cp:revision>4</cp:revision>
  <dcterms:created xsi:type="dcterms:W3CDTF">2026-07-21T00:25:00Z</dcterms:created>
  <dcterms:modified xsi:type="dcterms:W3CDTF">2026-07-25T14:20:00Z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c8f24815-b4b0-40b8-b578-9a134e3e6560</vt:lpwstr>
  </property>
</Properties>
</file>