
<file path=[Content_Types].xml><?xml version="1.0" encoding="utf-8"?>
<Types xmlns="http://schemas.openxmlformats.org/package/2006/content-types">
  <Default ContentType="application/xml" Extension="xml"/>
  <Default ContentType="image/png" Extension="png"/>
  <Default ContentType="application/vnd.openxmlformats-officedocument.obfuscatedFont" Extension="odttf"/>
  <Default ContentType="application/vnd.openxmlformats-package.relationships+xml" Extension="rels"/>
  <Override ContentType="application/vnd.openxmlformats-officedocument.wordprocessingml.settings+xml" PartName="/word/settings.xml"/>
  <Override ContentType="application/xml" PartName="/customXML/item1.xml"/>
  <Override ContentType="application/vnd.openxmlformats-officedocument.customXmlProperties+xml" PartName="/customXML/itemProps1.xml"/>
  <Override ContentType="application/vnd.openxmlformats-officedocument.wordprocessingml.styles+xml" PartName="/word/styles.xml"/>
  <Override ContentType="application/vnd.openxmlformats-officedocument.wordprocessingml.fontTable+xml" PartName="/word/fontTable.xml"/>
  <Override ContentType="application/vnd.openxmlformats-officedocument.wordprocessingml.numbering+xml" PartName="/word/numbering.xml"/>
  <Override ContentType="application/vnd.openxmlformats-officedocument.wordprocessingml.document.main+xml" PartName="/word/document.xml"/>
  <Override ContentType="application/vnd.openxmlformats-officedocument.theme+xml" PartName="/word/theme/theme1.xml"/>
</Types>
</file>

<file path=_rels/.rels><?xml version="1.0" encoding="UTF-8" standalone="yes"?><Relationships xmlns="http://schemas.openxmlformats.org/package/2006/relationships"><Relationship Id="rId1" Type="http://schemas.openxmlformats.org/officeDocument/2006/relationships/officeDocument" Target="word/document.xml"/></Relationships>
</file>

<file path=word/document.xml><?xml version="1.0" encoding="utf-8"?>
<w:document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body>
    <w:p w:rsidR="00000000" w:rsidDel="00000000" w:rsidP="00000000" w:rsidRDefault="00000000" w:rsidRPr="00000000" w14:paraId="00000001">
      <w:pPr>
        <w:spacing w:after="160" w:line="279" w:lineRule="auto"/>
        <w:jc w:val="center"/>
        <w:rPr>
          <w:rFonts w:ascii="Aptos" w:cs="Aptos" w:eastAsia="Aptos" w:hAnsi="Aptos"/>
          <w:sz w:val="24"/>
          <w:szCs w:val="24"/>
        </w:rPr>
      </w:pPr>
      <w:r w:rsidDel="00000000" w:rsidR="00000000" w:rsidRPr="00000000">
        <w:rPr>
          <w:rFonts w:ascii="Aptos" w:cs="Aptos" w:eastAsia="Aptos" w:hAnsi="Aptos"/>
          <w:sz w:val="24"/>
          <w:szCs w:val="24"/>
        </w:rPr>
        <w:drawing>
          <wp:inline distB="0" distT="0" distL="0" distR="0">
            <wp:extent cx="3209925" cy="1428750"/>
            <wp:effectExtent b="0" l="0" r="0" t="0"/>
            <wp:docPr id="2" name="image1.png"/>
            <a:graphic>
              <a:graphicData uri="http://schemas.openxmlformats.org/drawingml/2006/picture">
                <pic:pic>
                  <pic:nvPicPr>
                    <pic:cNvPr id="0" name="image1.png"/>
                    <pic:cNvPicPr preferRelativeResize="0"/>
                  </pic:nvPicPr>
                  <pic:blipFill>
                    <a:blip r:embed="rId7"/>
                    <a:srcRect b="0" l="0" r="0" t="0"/>
                    <a:stretch>
                      <a:fillRect/>
                    </a:stretch>
                  </pic:blipFill>
                  <pic:spPr>
                    <a:xfrm>
                      <a:off x="0" y="0"/>
                      <a:ext cx="3209925" cy="1428750"/>
                    </a:xfrm>
                    <a:prstGeom prst="rect"/>
                    <a:ln/>
                  </pic:spPr>
                </pic:pic>
              </a:graphicData>
            </a:graphic>
          </wp:inline>
        </w:drawing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2">
      <w:pPr>
        <w:spacing w:after="160" w:line="279" w:lineRule="auto"/>
        <w:jc w:val="center"/>
        <w:rPr>
          <w:b w:val="1"/>
          <w:bCs w:val="1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3">
      <w:pPr>
        <w:spacing w:line="279" w:lineRule="auto"/>
        <w:ind w:left="360" w:firstLine="0"/>
        <w:rPr>
          <w:b w:val="1"/>
          <w:bCs w:val="1"/>
        </w:rPr>
      </w:pPr>
      <w:r w:rsidDel="00000000" w:rsidR="00000000" w:rsidRPr="00000000">
        <w:rPr>
          <w:b w:val="1"/>
          <w:bCs w:val="1"/>
          <w:rtl w:val="0"/>
        </w:rPr>
        <w:t xml:space="preserve">      Name: Jacqueline Riley-Lamb</w:t>
      </w:r>
    </w:p>
    <w:p w:rsidR="00000000" w:rsidDel="00000000" w:rsidP="00000000" w:rsidRDefault="00000000" w:rsidRPr="00000000" w14:paraId="00000004">
      <w:pPr>
        <w:numPr>
          <w:ilvl w:val="0"/>
          <w:numId w:val="1"/>
        </w:numPr>
        <w:spacing w:line="279" w:lineRule="auto"/>
        <w:ind w:left="720" w:hanging="360"/>
        <w:rPr>
          <w:b w:val="1"/>
          <w:bCs w:val="1"/>
        </w:rPr>
      </w:pPr>
      <w:r w:rsidDel="00000000" w:rsidR="00000000" w:rsidRPr="00000000">
        <w:rPr>
          <w:b w:val="1"/>
          <w:bCs w:val="1"/>
          <w:rtl w:val="0"/>
        </w:rPr>
        <w:t xml:space="preserve">Student number: 2244727</w:t>
      </w:r>
    </w:p>
    <w:p w:rsidR="00000000" w:rsidDel="00000000" w:rsidP="00000000" w:rsidRDefault="00000000" w:rsidRPr="00000000" w14:paraId="00000005">
      <w:pPr>
        <w:numPr>
          <w:ilvl w:val="0"/>
          <w:numId w:val="1"/>
        </w:numPr>
        <w:spacing w:line="279" w:lineRule="auto"/>
        <w:ind w:left="720" w:hanging="360"/>
        <w:rPr>
          <w:b w:val="1"/>
          <w:bCs w:val="1"/>
        </w:rPr>
      </w:pPr>
      <w:r w:rsidDel="00000000" w:rsidR="00000000" w:rsidRPr="00000000">
        <w:rPr>
          <w:b w:val="1"/>
          <w:bCs w:val="1"/>
          <w:rtl w:val="0"/>
        </w:rPr>
        <w:t xml:space="preserve">Module code: BMHP6027</w:t>
      </w:r>
    </w:p>
    <w:p w:rsidR="00000000" w:rsidDel="00000000" w:rsidP="00000000" w:rsidRDefault="00000000" w:rsidRPr="00000000" w14:paraId="00000006">
      <w:pPr>
        <w:numPr>
          <w:ilvl w:val="0"/>
          <w:numId w:val="1"/>
        </w:numPr>
        <w:spacing w:line="279" w:lineRule="auto"/>
        <w:ind w:left="720" w:hanging="360"/>
        <w:rPr>
          <w:b w:val="1"/>
          <w:bCs w:val="1"/>
        </w:rPr>
      </w:pPr>
      <w:r w:rsidDel="00000000" w:rsidR="00000000" w:rsidRPr="00000000">
        <w:rPr>
          <w:b w:val="1"/>
          <w:bCs w:val="1"/>
          <w:rtl w:val="0"/>
        </w:rPr>
        <w:t xml:space="preserve">Module Name: Empowering the Older Person</w:t>
      </w:r>
    </w:p>
    <w:p w:rsidR="00000000" w:rsidDel="00000000" w:rsidP="00000000" w:rsidRDefault="00000000" w:rsidRPr="00000000" w14:paraId="00000007">
      <w:pPr>
        <w:numPr>
          <w:ilvl w:val="0"/>
          <w:numId w:val="1"/>
        </w:numPr>
        <w:spacing w:line="279" w:lineRule="auto"/>
        <w:ind w:left="720" w:hanging="360"/>
        <w:rPr>
          <w:b w:val="1"/>
          <w:bCs w:val="1"/>
        </w:rPr>
      </w:pPr>
      <w:r w:rsidDel="00000000" w:rsidR="00000000" w:rsidRPr="00000000">
        <w:rPr>
          <w:b w:val="1"/>
          <w:bCs w:val="1"/>
          <w:rtl w:val="0"/>
        </w:rPr>
        <w:t xml:space="preserve">Lecturer’s name: Rizwan Nadim</w:t>
      </w:r>
    </w:p>
    <w:p w:rsidR="00000000" w:rsidDel="00000000" w:rsidP="00000000" w:rsidRDefault="00000000" w:rsidRPr="00000000" w14:paraId="00000008">
      <w:pPr>
        <w:numPr>
          <w:ilvl w:val="0"/>
          <w:numId w:val="1"/>
        </w:numPr>
        <w:spacing w:line="279" w:lineRule="auto"/>
        <w:ind w:left="720" w:hanging="360"/>
        <w:rPr>
          <w:b w:val="1"/>
          <w:bCs w:val="1"/>
        </w:rPr>
      </w:pPr>
      <w:r w:rsidDel="00000000" w:rsidR="00000000" w:rsidRPr="00000000">
        <w:rPr>
          <w:b w:val="1"/>
          <w:bCs w:val="1"/>
          <w:rtl w:val="0"/>
        </w:rPr>
        <w:t xml:space="preserve">Assignment title: Component 2 – Debate / Discussion</w:t>
      </w:r>
    </w:p>
    <w:p w:rsidR="00000000" w:rsidDel="00000000" w:rsidP="00000000" w:rsidRDefault="00000000" w:rsidRPr="00000000" w14:paraId="00000009">
      <w:pPr>
        <w:spacing w:after="160" w:line="279" w:lineRule="auto"/>
        <w:jc w:val="center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A">
      <w:pPr>
        <w:spacing w:after="160" w:line="279" w:lineRule="auto"/>
        <w:jc w:val="center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B">
      <w:pPr>
        <w:spacing w:after="160" w:line="279" w:lineRule="auto"/>
        <w:jc w:val="center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C">
      <w:pPr>
        <w:spacing w:after="160" w:line="279" w:lineRule="auto"/>
        <w:jc w:val="center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D">
      <w:pPr>
        <w:spacing w:after="160" w:line="279" w:lineRule="auto"/>
        <w:jc w:val="center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E">
      <w:pPr>
        <w:spacing w:after="160" w:line="279" w:lineRule="auto"/>
        <w:jc w:val="center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F">
      <w:pPr>
        <w:spacing w:after="160" w:line="279" w:lineRule="auto"/>
        <w:jc w:val="center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0">
      <w:pPr>
        <w:spacing w:after="160" w:line="279" w:lineRule="auto"/>
        <w:jc w:val="center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1">
      <w:pPr>
        <w:spacing w:after="160" w:line="279" w:lineRule="auto"/>
        <w:jc w:val="center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2">
      <w:pPr>
        <w:spacing w:after="160" w:line="279" w:lineRule="auto"/>
        <w:jc w:val="center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3">
      <w:pPr>
        <w:spacing w:after="160" w:line="279" w:lineRule="auto"/>
        <w:jc w:val="center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4">
      <w:pPr>
        <w:spacing w:after="160" w:line="279" w:lineRule="auto"/>
        <w:jc w:val="center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5">
      <w:pPr>
        <w:spacing w:after="160" w:line="279" w:lineRule="auto"/>
        <w:jc w:val="center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6">
      <w:pPr>
        <w:spacing w:after="160" w:line="279" w:lineRule="auto"/>
        <w:jc w:val="center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7">
      <w:pPr>
        <w:spacing w:after="160" w:line="279" w:lineRule="auto"/>
        <w:jc w:val="center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8">
      <w:pPr>
        <w:spacing w:after="160" w:line="279" w:lineRule="auto"/>
        <w:jc w:val="center"/>
        <w:rPr>
          <w:i w:val="1"/>
          <w:iCs w:val="1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9">
      <w:pPr>
        <w:spacing w:after="160" w:line="279" w:lineRule="auto"/>
        <w:jc w:val="center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A">
      <w:pPr>
        <w:spacing w:after="160" w:line="279" w:lineRule="auto"/>
        <w:jc w:val="center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B">
      <w:pPr>
        <w:spacing w:after="160" w:line="279" w:lineRule="auto"/>
        <w:jc w:val="center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C">
      <w:pPr>
        <w:spacing w:after="160" w:line="279" w:lineRule="auto"/>
        <w:jc w:val="center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D">
      <w:pPr>
        <w:spacing w:after="160" w:line="279" w:lineRule="auto"/>
        <w:jc w:val="left"/>
        <w:rPr>
          <w:b w:val="1"/>
          <w:bCs w:val="1"/>
        </w:rPr>
      </w:pPr>
      <w:r w:rsidDel="00000000" w:rsidR="00000000" w:rsidRPr="00000000">
        <w:rPr>
          <w:b w:val="1"/>
          <w:bCs w:val="1"/>
          <w:rtl w:val="0"/>
        </w:rPr>
        <w:t xml:space="preserve">References:</w:t>
      </w:r>
    </w:p>
    <w:p w:rsidR="00000000" w:rsidDel="00000000" w:rsidP="00000000" w:rsidRDefault="00000000" w:rsidRPr="00000000" w14:paraId="0000001E">
      <w:pPr>
        <w:spacing w:after="160" w:line="279" w:lineRule="auto"/>
        <w:jc w:val="left"/>
        <w:rPr/>
      </w:pPr>
      <w:r w:rsidDel="00000000" w:rsidR="00000000" w:rsidRPr="00000000">
        <w:rPr>
          <w:rtl w:val="0"/>
        </w:rPr>
        <w:t xml:space="preserve">AgeUK (2025) </w:t>
      </w:r>
      <w:r w:rsidDel="00000000" w:rsidR="00000000" w:rsidRPr="00000000">
        <w:rPr>
          <w:i w:val="1"/>
          <w:iCs w:val="1"/>
          <w:rtl w:val="0"/>
        </w:rPr>
        <w:t xml:space="preserve">Helping older people get online. </w:t>
      </w:r>
      <w:r w:rsidDel="00000000" w:rsidR="00000000" w:rsidRPr="00000000">
        <w:rPr>
          <w:rtl w:val="0"/>
        </w:rPr>
        <w:t xml:space="preserve">Available at: </w:t>
      </w:r>
      <w:hyperlink r:id="rId8">
        <w:r w:rsidDel="00000000" w:rsidR="00000000" w:rsidRPr="00000000">
          <w:rPr>
            <w:color w:val="1155cc"/>
            <w:u w:val="single"/>
            <w:rtl w:val="0"/>
          </w:rPr>
          <w:t xml:space="preserve">https://www.ageuk.org.uk/our-impact/programmes/digital-skills/</w:t>
        </w:r>
      </w:hyperlink>
      <w:r w:rsidDel="00000000" w:rsidR="00000000" w:rsidRPr="00000000">
        <w:rPr>
          <w:rtl w:val="0"/>
        </w:rPr>
        <w:t xml:space="preserve"> (Accessed: 11 March 2026).</w:t>
      </w:r>
    </w:p>
    <w:p w:rsidR="00000000" w:rsidDel="00000000" w:rsidP="00000000" w:rsidRDefault="00000000" w:rsidRPr="00000000" w14:paraId="0000001F">
      <w:pPr>
        <w:spacing w:after="160" w:line="279" w:lineRule="auto"/>
        <w:jc w:val="left"/>
        <w:rPr/>
      </w:pPr>
      <w:r w:rsidDel="00000000" w:rsidR="00000000" w:rsidRPr="00000000">
        <w:rPr>
          <w:rtl w:val="0"/>
        </w:rPr>
        <w:t xml:space="preserve">Centre for Ageing Better (2020) </w:t>
      </w:r>
      <w:r w:rsidDel="00000000" w:rsidR="00000000" w:rsidRPr="00000000">
        <w:rPr>
          <w:i w:val="1"/>
          <w:iCs w:val="1"/>
          <w:rtl w:val="0"/>
        </w:rPr>
        <w:t xml:space="preserve">How the digital divide affects older adults’ use of technology during COVID-19. </w:t>
      </w:r>
      <w:r w:rsidDel="00000000" w:rsidR="00000000" w:rsidRPr="00000000">
        <w:rPr>
          <w:rtl w:val="0"/>
        </w:rPr>
        <w:t xml:space="preserve">Available at: </w:t>
      </w:r>
      <w:hyperlink r:id="rId9">
        <w:r w:rsidDel="00000000" w:rsidR="00000000" w:rsidRPr="00000000">
          <w:rPr>
            <w:color w:val="1155cc"/>
            <w:u w:val="single"/>
            <w:rtl w:val="0"/>
          </w:rPr>
          <w:t xml:space="preserve">https://ageing-better.org.uk/blogs/how-digital-divide-affects-older-adults-use-technology-during-covid-19#:~:text=In%20the%20study%20we%20carried,the%20buttons%20were%20too%20small</w:t>
        </w:r>
      </w:hyperlink>
      <w:r w:rsidDel="00000000" w:rsidR="00000000" w:rsidRPr="00000000">
        <w:rPr>
          <w:rtl w:val="0"/>
        </w:rPr>
        <w:t xml:space="preserve">. (Accessed 9 March 2026). </w:t>
      </w:r>
    </w:p>
    <w:p w:rsidR="00000000" w:rsidDel="00000000" w:rsidP="00000000" w:rsidRDefault="00000000" w:rsidRPr="00000000" w14:paraId="00000020">
      <w:pPr>
        <w:spacing w:after="160" w:line="279" w:lineRule="auto"/>
        <w:rPr/>
      </w:pPr>
      <w:r w:rsidDel="00000000" w:rsidR="00000000" w:rsidRPr="00000000">
        <w:rPr>
          <w:rtl w:val="0"/>
        </w:rPr>
        <w:t xml:space="preserve">Connecting The Unconnected (2023) </w:t>
      </w:r>
      <w:r w:rsidDel="00000000" w:rsidR="00000000" w:rsidRPr="00000000">
        <w:rPr>
          <w:i w:val="1"/>
          <w:iCs w:val="1"/>
          <w:rtl w:val="0"/>
        </w:rPr>
        <w:t xml:space="preserve">Impact of the Digital Divide: Economic, Social and Educational Consequences. </w:t>
      </w:r>
      <w:r w:rsidDel="00000000" w:rsidR="00000000" w:rsidRPr="00000000">
        <w:rPr>
          <w:rtl w:val="0"/>
        </w:rPr>
        <w:t xml:space="preserve">Available at: </w:t>
      </w:r>
      <w:hyperlink r:id="rId10">
        <w:r w:rsidDel="00000000" w:rsidR="00000000" w:rsidRPr="00000000">
          <w:rPr>
            <w:color w:val="1155cc"/>
            <w:u w:val="single"/>
            <w:rtl w:val="0"/>
          </w:rPr>
          <w:t xml:space="preserve">https://ctu.ieee.org/blog/2023/02/27/impact-of-the-digital-divide-economic-social-and-educational-consequences/</w:t>
        </w:r>
      </w:hyperlink>
      <w:r w:rsidDel="00000000" w:rsidR="00000000" w:rsidRPr="00000000">
        <w:rPr>
          <w:rtl w:val="0"/>
        </w:rPr>
        <w:t xml:space="preserve"> (Accessed: 9 March 2026). </w:t>
      </w:r>
    </w:p>
    <w:p w:rsidR="00000000" w:rsidDel="00000000" w:rsidP="00000000" w:rsidRDefault="00000000" w:rsidRPr="00000000" w14:paraId="00000021">
      <w:pPr>
        <w:spacing w:after="160" w:line="279" w:lineRule="auto"/>
        <w:rPr/>
      </w:pPr>
      <w:r w:rsidDel="00000000" w:rsidR="00000000" w:rsidRPr="00000000">
        <w:rPr>
          <w:rtl w:val="0"/>
        </w:rPr>
        <w:t xml:space="preserve">Department of Health &amp; Social Care (2025) </w:t>
      </w:r>
      <w:r w:rsidDel="00000000" w:rsidR="00000000" w:rsidRPr="00000000">
        <w:rPr>
          <w:i w:val="1"/>
          <w:iCs w:val="1"/>
          <w:rtl w:val="0"/>
        </w:rPr>
        <w:t xml:space="preserve">Care and support statutory guidance. </w:t>
      </w:r>
      <w:r w:rsidDel="00000000" w:rsidR="00000000" w:rsidRPr="00000000">
        <w:rPr>
          <w:rtl w:val="0"/>
        </w:rPr>
        <w:t xml:space="preserve">Available at: </w:t>
      </w:r>
      <w:hyperlink r:id="rId11">
        <w:r w:rsidDel="00000000" w:rsidR="00000000" w:rsidRPr="00000000">
          <w:rPr>
            <w:color w:val="1155cc"/>
            <w:u w:val="single"/>
            <w:rtl w:val="0"/>
          </w:rPr>
          <w:t xml:space="preserve">https://www.gov.uk/government/publications/care-act-statutory-guidance/care-and-support-statutory-guidance</w:t>
        </w:r>
      </w:hyperlink>
      <w:r w:rsidDel="00000000" w:rsidR="00000000" w:rsidRPr="00000000">
        <w:rPr>
          <w:rtl w:val="0"/>
        </w:rPr>
        <w:t xml:space="preserve"> (Accessed: 9 March 2026). </w:t>
      </w:r>
    </w:p>
    <w:p w:rsidR="00000000" w:rsidDel="00000000" w:rsidP="00000000" w:rsidRDefault="00000000" w:rsidRPr="00000000" w14:paraId="00000022">
      <w:pPr>
        <w:spacing w:after="160" w:line="279" w:lineRule="auto"/>
        <w:rPr/>
      </w:pPr>
      <w:r w:rsidDel="00000000" w:rsidR="00000000" w:rsidRPr="00000000">
        <w:rPr>
          <w:rtl w:val="0"/>
        </w:rPr>
        <w:t xml:space="preserve">Good Things Foundation (2024) </w:t>
      </w:r>
      <w:r w:rsidDel="00000000" w:rsidR="00000000" w:rsidRPr="00000000">
        <w:rPr>
          <w:i w:val="1"/>
          <w:iCs w:val="1"/>
          <w:rtl w:val="0"/>
        </w:rPr>
        <w:t xml:space="preserve">The challenges of digital transformation in healthcare. </w:t>
      </w:r>
      <w:r w:rsidDel="00000000" w:rsidR="00000000" w:rsidRPr="00000000">
        <w:rPr>
          <w:rtl w:val="0"/>
        </w:rPr>
        <w:t xml:space="preserve">Available at: </w:t>
      </w:r>
      <w:hyperlink r:id="rId12">
        <w:r w:rsidDel="00000000" w:rsidR="00000000" w:rsidRPr="00000000">
          <w:rPr>
            <w:color w:val="1155cc"/>
            <w:u w:val="single"/>
            <w:rtl w:val="0"/>
          </w:rPr>
          <w:t xml:space="preserve">https://www.goodthingsfoundation.org/discover/digital-inclusion-insights/digital-inclusion-insights-2024/challenges-of-digital-transformation-healthcare</w:t>
        </w:r>
      </w:hyperlink>
      <w:r w:rsidDel="00000000" w:rsidR="00000000" w:rsidRPr="00000000">
        <w:rPr>
          <w:rtl w:val="0"/>
        </w:rPr>
        <w:t xml:space="preserve"> (Accessed: 9 March 2026). </w:t>
      </w:r>
    </w:p>
    <w:p w:rsidR="00000000" w:rsidDel="00000000" w:rsidP="00000000" w:rsidRDefault="00000000" w:rsidRPr="00000000" w14:paraId="00000023">
      <w:pPr>
        <w:spacing w:after="160" w:line="279" w:lineRule="auto"/>
        <w:jc w:val="left"/>
        <w:rPr/>
      </w:pPr>
      <w:r w:rsidDel="00000000" w:rsidR="00000000" w:rsidRPr="00000000">
        <w:rPr>
          <w:rtl w:val="0"/>
        </w:rPr>
        <w:t xml:space="preserve">Gifford.A. (2024) </w:t>
      </w:r>
      <w:r w:rsidDel="00000000" w:rsidR="00000000" w:rsidRPr="00000000">
        <w:rPr>
          <w:i w:val="1"/>
          <w:iCs w:val="1"/>
          <w:rtl w:val="0"/>
        </w:rPr>
        <w:t xml:space="preserve">The Digital Divide: Tackling Inequality in Access to Tech, UK Tech Week. </w:t>
      </w:r>
      <w:r w:rsidDel="00000000" w:rsidR="00000000" w:rsidRPr="00000000">
        <w:rPr>
          <w:rtl w:val="0"/>
        </w:rPr>
        <w:t xml:space="preserve">Available at: </w:t>
      </w:r>
      <w:hyperlink r:id="rId13">
        <w:r w:rsidDel="00000000" w:rsidR="00000000" w:rsidRPr="00000000">
          <w:rPr>
            <w:color w:val="1155cc"/>
            <w:u w:val="single"/>
            <w:rtl w:val="0"/>
          </w:rPr>
          <w:t xml:space="preserve">https://uktechweek.org/2024/12/18/the-digital-divide-tackling-inequality-in-access-to-tech/</w:t>
        </w:r>
      </w:hyperlink>
      <w:r w:rsidDel="00000000" w:rsidR="00000000" w:rsidRPr="00000000">
        <w:rPr>
          <w:rtl w:val="0"/>
        </w:rPr>
        <w:t xml:space="preserve"> (Accessed: 9 March 2026).</w:t>
      </w:r>
    </w:p>
    <w:p w:rsidR="00000000" w:rsidDel="00000000" w:rsidP="00000000" w:rsidRDefault="00000000" w:rsidRPr="00000000" w14:paraId="00000024">
      <w:pPr>
        <w:spacing w:after="160" w:line="279" w:lineRule="auto"/>
        <w:rPr/>
      </w:pPr>
      <w:r w:rsidDel="00000000" w:rsidR="00000000" w:rsidRPr="00000000">
        <w:rPr>
          <w:rtl w:val="0"/>
        </w:rPr>
        <w:t xml:space="preserve">Mubarak, F and Suomi, R. (2022) </w:t>
      </w:r>
      <w:r w:rsidDel="00000000" w:rsidR="00000000" w:rsidRPr="00000000">
        <w:rPr>
          <w:i w:val="1"/>
          <w:iCs w:val="1"/>
          <w:rtl w:val="0"/>
        </w:rPr>
        <w:t xml:space="preserve">Elderly Forgotten? Digital Exclusion in the Information Age and the Rising Grey Digital Divide. </w:t>
      </w:r>
      <w:r w:rsidDel="00000000" w:rsidR="00000000" w:rsidRPr="00000000">
        <w:rPr>
          <w:rtl w:val="0"/>
        </w:rPr>
        <w:t xml:space="preserve">Available at: </w:t>
      </w:r>
      <w:hyperlink r:id="rId14">
        <w:r w:rsidDel="00000000" w:rsidR="00000000" w:rsidRPr="00000000">
          <w:rPr>
            <w:color w:val="1155cc"/>
            <w:u w:val="single"/>
            <w:rtl w:val="0"/>
          </w:rPr>
          <w:t xml:space="preserve">https://journals.sagepub.com/doi/full/10.1177/00469580221096272</w:t>
        </w:r>
      </w:hyperlink>
      <w:r w:rsidDel="00000000" w:rsidR="00000000" w:rsidRPr="00000000">
        <w:rPr>
          <w:rtl w:val="0"/>
        </w:rPr>
        <w:t xml:space="preserve"> (Accessed: 9 March 2026). </w:t>
      </w:r>
    </w:p>
    <w:p w:rsidR="00000000" w:rsidDel="00000000" w:rsidP="00000000" w:rsidRDefault="00000000" w:rsidRPr="00000000" w14:paraId="00000025">
      <w:pPr>
        <w:spacing w:after="160" w:line="279" w:lineRule="auto"/>
        <w:rPr/>
      </w:pPr>
      <w:r w:rsidDel="00000000" w:rsidR="00000000" w:rsidRPr="00000000">
        <w:rPr>
          <w:rtl w:val="0"/>
        </w:rPr>
        <w:t xml:space="preserve">Murray, T.F (2022) </w:t>
      </w:r>
      <w:r w:rsidDel="00000000" w:rsidR="00000000" w:rsidRPr="00000000">
        <w:rPr>
          <w:i w:val="1"/>
          <w:iCs w:val="1"/>
          <w:rtl w:val="0"/>
        </w:rPr>
        <w:t xml:space="preserve">Disengagement Theory. </w:t>
      </w:r>
      <w:r w:rsidDel="00000000" w:rsidR="00000000" w:rsidRPr="00000000">
        <w:rPr>
          <w:rtl w:val="0"/>
        </w:rPr>
        <w:t xml:space="preserve">Available at: </w:t>
      </w:r>
      <w:hyperlink r:id="rId15">
        <w:r w:rsidDel="00000000" w:rsidR="00000000" w:rsidRPr="00000000">
          <w:rPr>
            <w:color w:val="1155cc"/>
            <w:u w:val="single"/>
            <w:rtl w:val="0"/>
          </w:rPr>
          <w:t xml:space="preserve">https://psychologyfanatic.com/disengagement-theory/</w:t>
        </w:r>
      </w:hyperlink>
      <w:r w:rsidDel="00000000" w:rsidR="00000000" w:rsidRPr="00000000">
        <w:rPr>
          <w:rtl w:val="0"/>
        </w:rPr>
        <w:t xml:space="preserve"> (Accessed: 9 March 2026). </w:t>
      </w:r>
    </w:p>
    <w:p w:rsidR="00000000" w:rsidDel="00000000" w:rsidP="00000000" w:rsidRDefault="00000000" w:rsidRPr="00000000" w14:paraId="00000026">
      <w:pPr>
        <w:spacing w:after="160" w:line="279" w:lineRule="auto"/>
        <w:jc w:val="left"/>
        <w:rPr/>
      </w:pPr>
      <w:r w:rsidDel="00000000" w:rsidR="00000000" w:rsidRPr="00000000">
        <w:rPr>
          <w:rtl w:val="0"/>
        </w:rPr>
        <w:t xml:space="preserve">NHS England (2024) </w:t>
      </w:r>
      <w:r w:rsidDel="00000000" w:rsidR="00000000" w:rsidRPr="00000000">
        <w:rPr>
          <w:i w:val="1"/>
          <w:iCs w:val="1"/>
          <w:rtl w:val="0"/>
        </w:rPr>
        <w:t xml:space="preserve">Inclusive digital healthcare: a framework for NHS action on digital inclusion. </w:t>
      </w:r>
      <w:r w:rsidDel="00000000" w:rsidR="00000000" w:rsidRPr="00000000">
        <w:rPr>
          <w:rtl w:val="0"/>
        </w:rPr>
        <w:t xml:space="preserve">Available at: </w:t>
      </w:r>
      <w:hyperlink r:id="rId16">
        <w:r w:rsidDel="00000000" w:rsidR="00000000" w:rsidRPr="00000000">
          <w:rPr>
            <w:color w:val="1155cc"/>
            <w:u w:val="single"/>
            <w:rtl w:val="0"/>
          </w:rPr>
          <w:t xml:space="preserve">https://www.england.nhs.uk/long-read/inclusive-digital-healthcare-a-framework-for-nhs-action-on-digital-inclusion/#:~:text=The%20challenge</w:t>
        </w:r>
      </w:hyperlink>
      <w:r w:rsidDel="00000000" w:rsidR="00000000" w:rsidRPr="00000000">
        <w:rPr>
          <w:rtl w:val="0"/>
        </w:rPr>
        <w:t xml:space="preserve"> (Accessed: 11 March 2026). </w:t>
      </w:r>
    </w:p>
    <w:p w:rsidR="00000000" w:rsidDel="00000000" w:rsidP="00000000" w:rsidRDefault="00000000" w:rsidRPr="00000000" w14:paraId="00000027">
      <w:pPr>
        <w:spacing w:after="160" w:line="279" w:lineRule="auto"/>
        <w:jc w:val="left"/>
        <w:rPr/>
      </w:pPr>
      <w:r w:rsidDel="00000000" w:rsidR="00000000" w:rsidRPr="00000000">
        <w:rPr>
          <w:rtl w:val="0"/>
        </w:rPr>
        <w:t xml:space="preserve">NHS England (2025) </w:t>
      </w:r>
      <w:r w:rsidDel="00000000" w:rsidR="00000000" w:rsidRPr="00000000">
        <w:rPr>
          <w:i w:val="1"/>
          <w:iCs w:val="1"/>
          <w:rtl w:val="0"/>
        </w:rPr>
        <w:t xml:space="preserve">Medical devices and digital tools. </w:t>
      </w:r>
      <w:r w:rsidDel="00000000" w:rsidR="00000000" w:rsidRPr="00000000">
        <w:rPr>
          <w:rtl w:val="0"/>
        </w:rPr>
        <w:t xml:space="preserve">Available at: </w:t>
      </w:r>
      <w:hyperlink r:id="rId17">
        <w:r w:rsidDel="00000000" w:rsidR="00000000" w:rsidRPr="00000000">
          <w:rPr>
            <w:color w:val="1155cc"/>
            <w:u w:val="single"/>
            <w:rtl w:val="0"/>
          </w:rPr>
          <w:t xml:space="preserve">https://www.england.nhs.uk/long-read/medical-devices-and-digital-tools/</w:t>
        </w:r>
      </w:hyperlink>
      <w:r w:rsidDel="00000000" w:rsidR="00000000" w:rsidRPr="00000000">
        <w:rPr>
          <w:rtl w:val="0"/>
        </w:rPr>
        <w:t xml:space="preserve"> (Accessed: 9 March 2026).</w:t>
      </w:r>
    </w:p>
    <w:p w:rsidR="00000000" w:rsidDel="00000000" w:rsidP="00000000" w:rsidRDefault="00000000" w:rsidRPr="00000000" w14:paraId="00000028">
      <w:pPr>
        <w:spacing w:after="160" w:line="279" w:lineRule="auto"/>
        <w:jc w:val="left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9">
      <w:pPr>
        <w:spacing w:after="160" w:line="279" w:lineRule="auto"/>
        <w:jc w:val="left"/>
        <w:rPr/>
      </w:pPr>
      <w:r w:rsidDel="00000000" w:rsidR="00000000" w:rsidRPr="00000000">
        <w:rPr>
          <w:rtl w:val="0"/>
        </w:rPr>
        <w:t xml:space="preserve">NHS England (2025) </w:t>
      </w:r>
      <w:r w:rsidDel="00000000" w:rsidR="00000000" w:rsidRPr="00000000">
        <w:rPr>
          <w:i w:val="1"/>
          <w:iCs w:val="1"/>
          <w:rtl w:val="0"/>
        </w:rPr>
        <w:t xml:space="preserve">Tackling digital exclusion and health literacy: How libraries can help bridge the gap. </w:t>
      </w:r>
      <w:r w:rsidDel="00000000" w:rsidR="00000000" w:rsidRPr="00000000">
        <w:rPr>
          <w:rtl w:val="0"/>
        </w:rPr>
        <w:t xml:space="preserve">Available at: </w:t>
      </w:r>
      <w:hyperlink r:id="rId18">
        <w:r w:rsidDel="00000000" w:rsidR="00000000" w:rsidRPr="00000000">
          <w:rPr>
            <w:color w:val="1155cc"/>
            <w:u w:val="single"/>
            <w:rtl w:val="0"/>
          </w:rPr>
          <w:t xml:space="preserve">https://www.england.nhs.uk/blog/tackling-digital-exclusion-and-health-literacy-how-libraries-can-help-bridge-the-gap/</w:t>
        </w:r>
      </w:hyperlink>
      <w:r w:rsidDel="00000000" w:rsidR="00000000" w:rsidRPr="00000000">
        <w:rPr>
          <w:rtl w:val="0"/>
        </w:rPr>
        <w:t xml:space="preserve"> (Accessed: 9 March 2026). </w:t>
      </w:r>
    </w:p>
    <w:p w:rsidR="00000000" w:rsidDel="00000000" w:rsidP="00000000" w:rsidRDefault="00000000" w:rsidRPr="00000000" w14:paraId="0000002A">
      <w:pPr>
        <w:spacing w:after="160" w:line="279" w:lineRule="auto"/>
        <w:jc w:val="left"/>
        <w:rPr/>
      </w:pPr>
      <w:r w:rsidDel="00000000" w:rsidR="00000000" w:rsidRPr="00000000">
        <w:rPr>
          <w:rtl w:val="0"/>
        </w:rPr>
        <w:t xml:space="preserve">NHS England (2026) </w:t>
      </w:r>
      <w:r w:rsidDel="00000000" w:rsidR="00000000" w:rsidRPr="00000000">
        <w:rPr>
          <w:i w:val="1"/>
          <w:iCs w:val="1"/>
          <w:rtl w:val="0"/>
        </w:rPr>
        <w:t xml:space="preserve">Digital. </w:t>
      </w:r>
      <w:r w:rsidDel="00000000" w:rsidR="00000000" w:rsidRPr="00000000">
        <w:rPr>
          <w:rtl w:val="0"/>
        </w:rPr>
        <w:t xml:space="preserve">Available at: </w:t>
      </w:r>
      <w:hyperlink r:id="rId19">
        <w:r w:rsidDel="00000000" w:rsidR="00000000" w:rsidRPr="00000000">
          <w:rPr>
            <w:color w:val="1155cc"/>
            <w:u w:val="single"/>
            <w:rtl w:val="0"/>
          </w:rPr>
          <w:t xml:space="preserve">https://digital.nhs.uk/services/nhs-app</w:t>
        </w:r>
      </w:hyperlink>
      <w:r w:rsidDel="00000000" w:rsidR="00000000" w:rsidRPr="00000000">
        <w:rPr>
          <w:rtl w:val="0"/>
        </w:rPr>
        <w:t xml:space="preserve"> (Accessed: 9 March 2026). </w:t>
      </w:r>
    </w:p>
    <w:p w:rsidR="00000000" w:rsidDel="00000000" w:rsidP="00000000" w:rsidRDefault="00000000" w:rsidRPr="00000000" w14:paraId="0000002B">
      <w:pPr>
        <w:spacing w:after="160" w:line="279" w:lineRule="auto"/>
        <w:jc w:val="left"/>
        <w:rPr/>
      </w:pPr>
      <w:r w:rsidDel="00000000" w:rsidR="00000000" w:rsidRPr="00000000">
        <w:rPr>
          <w:rtl w:val="0"/>
        </w:rPr>
        <w:t xml:space="preserve">NHS England Digital (2025) </w:t>
      </w:r>
      <w:r w:rsidDel="00000000" w:rsidR="00000000" w:rsidRPr="00000000">
        <w:rPr>
          <w:i w:val="1"/>
          <w:iCs w:val="1"/>
          <w:rtl w:val="0"/>
        </w:rPr>
        <w:t xml:space="preserve">Multi-factor authentication (MFA) policy. </w:t>
      </w:r>
      <w:r w:rsidDel="00000000" w:rsidR="00000000" w:rsidRPr="00000000">
        <w:rPr>
          <w:rtl w:val="0"/>
        </w:rPr>
        <w:t xml:space="preserve">Available at: </w:t>
      </w:r>
      <w:hyperlink r:id="rId20">
        <w:r w:rsidDel="00000000" w:rsidR="00000000" w:rsidRPr="00000000">
          <w:rPr>
            <w:color w:val="1155cc"/>
            <w:u w:val="single"/>
            <w:rtl w:val="0"/>
          </w:rPr>
          <w:t xml:space="preserve">https://digital.nhs.uk/cyber-and-data-security/guidance-and-assurance/multi-factor-authentication-mfa-policy</w:t>
        </w:r>
      </w:hyperlink>
      <w:r w:rsidDel="00000000" w:rsidR="00000000" w:rsidRPr="00000000">
        <w:rPr>
          <w:rtl w:val="0"/>
        </w:rPr>
        <w:t xml:space="preserve"> (Accessed: 9 March 2026).</w:t>
      </w:r>
    </w:p>
    <w:p w:rsidR="00000000" w:rsidDel="00000000" w:rsidP="00000000" w:rsidRDefault="00000000" w:rsidRPr="00000000" w14:paraId="0000002C">
      <w:pPr>
        <w:spacing w:after="160" w:line="279" w:lineRule="auto"/>
        <w:jc w:val="left"/>
        <w:rPr/>
      </w:pPr>
      <w:r w:rsidDel="00000000" w:rsidR="00000000" w:rsidRPr="00000000">
        <w:rPr>
          <w:rtl w:val="0"/>
        </w:rPr>
        <w:t xml:space="preserve">Nuffield Trust (2022) </w:t>
      </w:r>
      <w:r w:rsidDel="00000000" w:rsidR="00000000" w:rsidRPr="00000000">
        <w:rPr>
          <w:i w:val="1"/>
          <w:iCs w:val="1"/>
          <w:rtl w:val="0"/>
        </w:rPr>
        <w:t xml:space="preserve">Digital health care across the UK: where are we now? </w:t>
      </w:r>
      <w:r w:rsidDel="00000000" w:rsidR="00000000" w:rsidRPr="00000000">
        <w:rPr>
          <w:rtl w:val="0"/>
        </w:rPr>
        <w:t xml:space="preserve">Available at: </w:t>
      </w:r>
      <w:hyperlink r:id="rId21">
        <w:r w:rsidDel="00000000" w:rsidR="00000000" w:rsidRPr="00000000">
          <w:rPr>
            <w:color w:val="1155cc"/>
            <w:u w:val="single"/>
            <w:rtl w:val="0"/>
          </w:rPr>
          <w:t xml:space="preserve">https://www.nuffieldtrust.org.uk/resource/digital-health-care-across-the-uk-where-are-we-now#:~:text=What%20is%20digital%20health%20and,are%20pivotal%20in%20supporting%20this</w:t>
        </w:r>
      </w:hyperlink>
      <w:r w:rsidDel="00000000" w:rsidR="00000000" w:rsidRPr="00000000">
        <w:rPr>
          <w:rtl w:val="0"/>
        </w:rPr>
        <w:t xml:space="preserve"> (Accessed: 5 March).</w:t>
      </w:r>
    </w:p>
    <w:p w:rsidR="00000000" w:rsidDel="00000000" w:rsidP="00000000" w:rsidRDefault="00000000" w:rsidRPr="00000000" w14:paraId="0000002D">
      <w:pPr>
        <w:spacing w:after="160" w:line="279" w:lineRule="auto"/>
        <w:jc w:val="left"/>
        <w:rPr/>
      </w:pPr>
      <w:r w:rsidDel="00000000" w:rsidR="00000000" w:rsidRPr="00000000">
        <w:rPr>
          <w:rtl w:val="0"/>
        </w:rPr>
        <w:t xml:space="preserve">Quality Compliance Systems (2024) </w:t>
      </w:r>
      <w:r w:rsidDel="00000000" w:rsidR="00000000" w:rsidRPr="00000000">
        <w:rPr>
          <w:i w:val="1"/>
          <w:iCs w:val="1"/>
          <w:rtl w:val="0"/>
        </w:rPr>
        <w:t xml:space="preserve">What is Empowerment in Health and Social Care? </w:t>
      </w:r>
      <w:r w:rsidDel="00000000" w:rsidR="00000000" w:rsidRPr="00000000">
        <w:rPr>
          <w:rtl w:val="0"/>
        </w:rPr>
        <w:t xml:space="preserve">Available at: </w:t>
      </w:r>
      <w:hyperlink r:id="rId22">
        <w:r w:rsidDel="00000000" w:rsidR="00000000" w:rsidRPr="00000000">
          <w:rPr>
            <w:color w:val="1155cc"/>
            <w:u w:val="single"/>
            <w:rtl w:val="0"/>
          </w:rPr>
          <w:t xml:space="preserve">https://www.qcs.co.uk/what-is-empowerment-in-health-and-social-care/</w:t>
        </w:r>
      </w:hyperlink>
      <w:r w:rsidDel="00000000" w:rsidR="00000000" w:rsidRPr="00000000">
        <w:rPr>
          <w:rtl w:val="0"/>
        </w:rPr>
        <w:t xml:space="preserve"> (Accessed: 9 March 2026). </w:t>
      </w:r>
    </w:p>
    <w:p w:rsidR="00000000" w:rsidDel="00000000" w:rsidP="00000000" w:rsidRDefault="00000000" w:rsidRPr="00000000" w14:paraId="0000002E">
      <w:pPr>
        <w:spacing w:after="160" w:line="279" w:lineRule="auto"/>
        <w:jc w:val="left"/>
        <w:rPr/>
      </w:pPr>
      <w:r w:rsidDel="00000000" w:rsidR="00000000" w:rsidRPr="00000000">
        <w:rPr>
          <w:rtl w:val="0"/>
        </w:rPr>
        <w:t xml:space="preserve">TechUK (2024) </w:t>
      </w:r>
      <w:r w:rsidDel="00000000" w:rsidR="00000000" w:rsidRPr="00000000">
        <w:rPr>
          <w:i w:val="1"/>
          <w:iCs w:val="1"/>
          <w:rtl w:val="0"/>
        </w:rPr>
        <w:t xml:space="preserve">Bridging the Digital Skills Gap: Ensuring Inclusive and Sustainable  Services in a Smarter State. </w:t>
      </w:r>
      <w:r w:rsidDel="00000000" w:rsidR="00000000" w:rsidRPr="00000000">
        <w:rPr>
          <w:rtl w:val="0"/>
        </w:rPr>
        <w:t xml:space="preserve">Available at: </w:t>
      </w:r>
      <w:hyperlink r:id="rId23">
        <w:r w:rsidDel="00000000" w:rsidR="00000000" w:rsidRPr="00000000">
          <w:rPr>
            <w:color w:val="1155cc"/>
            <w:u w:val="single"/>
            <w:rtl w:val="0"/>
          </w:rPr>
          <w:t xml:space="preserve">https://www.techuk.org/resource/bridging-the-digital-skills-gap-ensuring-inclusive-and-sustainable-services-in-a-smarter-state.html</w:t>
        </w:r>
      </w:hyperlink>
      <w:r w:rsidDel="00000000" w:rsidR="00000000" w:rsidRPr="00000000">
        <w:rPr>
          <w:rtl w:val="0"/>
        </w:rPr>
        <w:t xml:space="preserve"> (Accessed: 9 March 2026). </w:t>
      </w:r>
    </w:p>
    <w:p w:rsidR="00000000" w:rsidDel="00000000" w:rsidP="00000000" w:rsidRDefault="00000000" w:rsidRPr="00000000" w14:paraId="0000002F">
      <w:pPr>
        <w:spacing w:after="160" w:line="279" w:lineRule="auto"/>
        <w:jc w:val="left"/>
        <w:rPr/>
      </w:pPr>
      <w:r w:rsidDel="00000000" w:rsidR="00000000" w:rsidRPr="00000000">
        <w:rPr>
          <w:rtl w:val="0"/>
        </w:rPr>
        <w:t xml:space="preserve">The King’s Fund (2025) </w:t>
      </w:r>
      <w:r w:rsidDel="00000000" w:rsidR="00000000" w:rsidRPr="00000000">
        <w:rPr>
          <w:i w:val="1"/>
          <w:iCs w:val="1"/>
          <w:rtl w:val="0"/>
        </w:rPr>
        <w:t xml:space="preserve">Designing inclusive and trusted digital health services with people and communities. </w:t>
      </w:r>
      <w:r w:rsidDel="00000000" w:rsidR="00000000" w:rsidRPr="00000000">
        <w:rPr>
          <w:rtl w:val="0"/>
        </w:rPr>
        <w:t xml:space="preserve">Available at: </w:t>
      </w:r>
      <w:hyperlink r:id="rId24">
        <w:r w:rsidDel="00000000" w:rsidR="00000000" w:rsidRPr="00000000">
          <w:rPr>
            <w:color w:val="1155cc"/>
            <w:u w:val="single"/>
            <w:rtl w:val="0"/>
          </w:rPr>
          <w:t xml:space="preserve">https://www.kingsfund.org.uk/insight-and-analysis/long-reads/inclusive-digital-services-people-communities</w:t>
        </w:r>
      </w:hyperlink>
      <w:r w:rsidDel="00000000" w:rsidR="00000000" w:rsidRPr="00000000">
        <w:rPr>
          <w:rtl w:val="0"/>
        </w:rPr>
        <w:t xml:space="preserve"> (Accessed: 5 March 2026). </w:t>
      </w:r>
    </w:p>
    <w:p w:rsidR="00000000" w:rsidDel="00000000" w:rsidP="00000000" w:rsidRDefault="00000000" w:rsidRPr="00000000" w14:paraId="00000030">
      <w:pPr>
        <w:spacing w:after="160" w:line="279" w:lineRule="auto"/>
        <w:jc w:val="left"/>
        <w:rPr/>
      </w:pPr>
      <w:r w:rsidDel="00000000" w:rsidR="00000000" w:rsidRPr="00000000">
        <w:rPr>
          <w:rtl w:val="0"/>
        </w:rPr>
        <w:t xml:space="preserve">UK  Parliament (2024) </w:t>
      </w:r>
      <w:r w:rsidDel="00000000" w:rsidR="00000000" w:rsidRPr="00000000">
        <w:rPr>
          <w:i w:val="1"/>
          <w:iCs w:val="1"/>
          <w:rtl w:val="0"/>
        </w:rPr>
        <w:t xml:space="preserve">The UK’s changing population. </w:t>
      </w:r>
      <w:r w:rsidDel="00000000" w:rsidR="00000000" w:rsidRPr="00000000">
        <w:rPr>
          <w:rtl w:val="0"/>
        </w:rPr>
        <w:t xml:space="preserve">Available at: </w:t>
      </w:r>
      <w:hyperlink r:id="rId25">
        <w:r w:rsidDel="00000000" w:rsidR="00000000" w:rsidRPr="00000000">
          <w:rPr>
            <w:color w:val="1155cc"/>
            <w:u w:val="single"/>
            <w:rtl w:val="0"/>
          </w:rPr>
          <w:t xml:space="preserve">https://commonslibrary.parliament.uk/the-uks-changing-population/</w:t>
        </w:r>
      </w:hyperlink>
      <w:r w:rsidDel="00000000" w:rsidR="00000000" w:rsidRPr="00000000">
        <w:rPr>
          <w:rtl w:val="0"/>
        </w:rPr>
        <w:t xml:space="preserve"> (Accessed: 5 March 2026).</w:t>
      </w:r>
    </w:p>
    <w:p w:rsidR="00000000" w:rsidDel="00000000" w:rsidP="00000000" w:rsidRDefault="00000000" w:rsidRPr="00000000" w14:paraId="00000031">
      <w:pPr>
        <w:spacing w:after="160" w:line="279" w:lineRule="auto"/>
        <w:jc w:val="left"/>
        <w:rPr/>
      </w:pPr>
      <w:r w:rsidDel="00000000" w:rsidR="00000000" w:rsidRPr="00000000">
        <w:rPr>
          <w:rtl w:val="0"/>
        </w:rPr>
        <w:t xml:space="preserve">Virtual College (2024) </w:t>
      </w:r>
      <w:r w:rsidDel="00000000" w:rsidR="00000000" w:rsidRPr="00000000">
        <w:rPr>
          <w:i w:val="1"/>
          <w:iCs w:val="1"/>
          <w:rtl w:val="0"/>
        </w:rPr>
        <w:t xml:space="preserve">What Does Empowering an Individual Mean in Social Care? </w:t>
      </w:r>
      <w:r w:rsidDel="00000000" w:rsidR="00000000" w:rsidRPr="00000000">
        <w:rPr>
          <w:rtl w:val="0"/>
        </w:rPr>
        <w:t xml:space="preserve">Available at: </w:t>
      </w:r>
      <w:hyperlink r:id="rId26">
        <w:r w:rsidDel="00000000" w:rsidR="00000000" w:rsidRPr="00000000">
          <w:rPr>
            <w:color w:val="1155cc"/>
            <w:u w:val="single"/>
            <w:rtl w:val="0"/>
          </w:rPr>
          <w:t xml:space="preserve">https://www.virtual-college.co.uk/resources/empowering-an-individual-meaning</w:t>
        </w:r>
      </w:hyperlink>
      <w:r w:rsidDel="00000000" w:rsidR="00000000" w:rsidRPr="00000000">
        <w:rPr>
          <w:rtl w:val="0"/>
        </w:rPr>
        <w:t xml:space="preserve"> (Accessed: 5 March 2026).</w:t>
      </w:r>
    </w:p>
    <w:p w:rsidR="00000000" w:rsidDel="00000000" w:rsidP="00000000" w:rsidRDefault="00000000" w:rsidRPr="00000000" w14:paraId="00000032">
      <w:pPr>
        <w:spacing w:after="160" w:line="279" w:lineRule="auto"/>
        <w:jc w:val="left"/>
        <w:rPr/>
      </w:pPr>
      <w:r w:rsidDel="00000000" w:rsidR="00000000" w:rsidRPr="00000000">
        <w:rPr>
          <w:rtl w:val="0"/>
        </w:rPr>
        <w:t xml:space="preserve">Older People’s Commissioner for Wales (2025) </w:t>
      </w:r>
      <w:r w:rsidDel="00000000" w:rsidR="00000000" w:rsidRPr="00000000">
        <w:rPr>
          <w:i w:val="1"/>
          <w:iCs w:val="1"/>
          <w:rtl w:val="0"/>
        </w:rPr>
        <w:t xml:space="preserve">Older people at risk of digital ageism and social exclusion, warns Commissioner. </w:t>
      </w:r>
      <w:r w:rsidDel="00000000" w:rsidR="00000000" w:rsidRPr="00000000">
        <w:rPr>
          <w:rtl w:val="0"/>
        </w:rPr>
        <w:t xml:space="preserve">Available at: </w:t>
      </w:r>
      <w:hyperlink r:id="rId27">
        <w:r w:rsidDel="00000000" w:rsidR="00000000" w:rsidRPr="00000000">
          <w:rPr>
            <w:color w:val="1155cc"/>
            <w:u w:val="single"/>
            <w:rtl w:val="0"/>
          </w:rPr>
          <w:t xml:space="preserve">https://olderpeople.wales/resource/digital-ageism/</w:t>
        </w:r>
      </w:hyperlink>
      <w:r w:rsidDel="00000000" w:rsidR="00000000" w:rsidRPr="00000000">
        <w:rPr>
          <w:rtl w:val="0"/>
        </w:rPr>
        <w:t xml:space="preserve"> (Accessed: 9 March 2026). </w:t>
      </w:r>
    </w:p>
    <w:p w:rsidR="00000000" w:rsidDel="00000000" w:rsidP="00000000" w:rsidRDefault="00000000" w:rsidRPr="00000000" w14:paraId="00000033">
      <w:pPr>
        <w:spacing w:after="160" w:line="279" w:lineRule="auto"/>
        <w:jc w:val="left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4">
      <w:pPr>
        <w:spacing w:after="160" w:line="279" w:lineRule="auto"/>
        <w:jc w:val="left"/>
        <w:rPr>
          <w:rFonts w:ascii="Aptos" w:cs="Aptos" w:eastAsia="Aptos" w:hAnsi="Aptos"/>
          <w:sz w:val="24"/>
          <w:szCs w:val="24"/>
        </w:rPr>
      </w:pPr>
      <w:r w:rsidDel="00000000" w:rsidR="00000000" w:rsidRPr="00000000">
        <w:rPr>
          <w:rtl w:val="0"/>
        </w:rPr>
      </w:r>
    </w:p>
    <w:sectPr>
      <w:pgSz w:h="16834" w:w="11909" w:orient="portrait"/>
      <w:pgMar w:bottom="1440" w:top="1440" w:left="1440" w:right="1440" w:header="720" w:footer="720"/>
      <w:pgNumType w:start="1"/>
    </w:sectPr>
  </w:body>
</w:document>
</file>

<file path=word/fontTable.xml><?xml version="1.0" encoding="utf-8"?>
<w:font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font w:name="Arial"/>
  <w:font w:name="Aptos"/>
</w:fonts>
</file>

<file path=word/numbering.xml><?xml version="1.0" encoding="utf-8"?>
<w:numbering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abstractNum w:abstractNumId="1">
    <w:lvl w:ilvl="0">
      <w:start w:val="0"/>
      <w:numFmt w:val="bullet"/>
      <w:lvlText w:val=" "/>
      <w:lvlJc w:val="left"/>
      <w:pPr>
        <w:ind w:left="720" w:hanging="360"/>
      </w:pPr>
      <w:rPr>
        <w:u w:val="none"/>
      </w:rPr>
    </w:lvl>
    <w:lvl w:ilvl="1">
      <w:start w:val="0"/>
      <w:numFmt w:val="bullet"/>
      <w:lvlText w:val=" "/>
      <w:lvlJc w:val="left"/>
      <w:pPr>
        <w:ind w:left="1440" w:hanging="360"/>
      </w:pPr>
      <w:rPr>
        <w:u w:val="none"/>
      </w:rPr>
    </w:lvl>
    <w:lvl w:ilvl="2">
      <w:start w:val="0"/>
      <w:numFmt w:val="bullet"/>
      <w:lvlText w:val=" "/>
      <w:lvlJc w:val="left"/>
      <w:pPr>
        <w:ind w:left="2160" w:hanging="360"/>
      </w:pPr>
      <w:rPr>
        <w:u w:val="none"/>
      </w:rPr>
    </w:lvl>
    <w:lvl w:ilvl="3">
      <w:start w:val="0"/>
      <w:numFmt w:val="bullet"/>
      <w:lvlText w:val=" "/>
      <w:lvlJc w:val="left"/>
      <w:pPr>
        <w:ind w:left="2880" w:hanging="360"/>
      </w:pPr>
      <w:rPr>
        <w:u w:val="none"/>
      </w:rPr>
    </w:lvl>
    <w:lvl w:ilvl="4">
      <w:start w:val="0"/>
      <w:numFmt w:val="bullet"/>
      <w:lvlText w:val=" "/>
      <w:lvlJc w:val="left"/>
      <w:pPr>
        <w:ind w:left="3600" w:hanging="360"/>
      </w:pPr>
      <w:rPr>
        <w:u w:val="none"/>
      </w:rPr>
    </w:lvl>
    <w:lvl w:ilvl="5">
      <w:start w:val="0"/>
      <w:numFmt w:val="bullet"/>
      <w:lvlText w:val=" "/>
      <w:lvlJc w:val="left"/>
      <w:pPr>
        <w:ind w:left="4320" w:hanging="360"/>
      </w:pPr>
      <w:rPr>
        <w:u w:val="none"/>
      </w:rPr>
    </w:lvl>
    <w:lvl w:ilvl="6">
      <w:start w:val="0"/>
      <w:numFmt w:val="bullet"/>
      <w:lvlText w:val=" "/>
      <w:lvlJc w:val="left"/>
      <w:pPr>
        <w:ind w:left="5040" w:hanging="360"/>
      </w:pPr>
      <w:rPr>
        <w:u w:val="none"/>
      </w:rPr>
    </w:lvl>
    <w:lvl w:ilvl="7">
      <w:start w:val="0"/>
      <w:numFmt w:val="bullet"/>
      <w:lvlText w:val=" "/>
      <w:lvlJc w:val="left"/>
      <w:pPr>
        <w:ind w:left="5760" w:hanging="360"/>
      </w:pPr>
      <w:rPr>
        <w:u w:val="none"/>
      </w:rPr>
    </w:lvl>
    <w:lvl w:ilvl="8">
      <w:start w:val="0"/>
      <w:numFmt w:val="bullet"/>
      <w:lvlText w:val=" "/>
      <w:lvlJc w:val="left"/>
      <w:pPr>
        <w:ind w:left="6480" w:hanging="360"/>
      </w:pPr>
      <w:rPr>
        <w:u w:val="none"/>
      </w:r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embedTrueTypeFonts w:val="1"/>
  <w:defaultTabStop w:val="720"/>
  <w:compat>
    <w:compatSetting w:val="15" w:name="compatibilityMode" w:uri="http://schemas.microsoft.com/office/word"/>
  </w:compat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docDefaults>
    <w:rPrDefault>
      <w:rPr>
        <w:rFonts w:ascii="Arial" w:cs="Arial" w:eastAsia="Arial" w:hAnsi="Arial"/>
        <w:sz w:val="22"/>
        <w:szCs w:val="22"/>
        <w:lang w:val="en_GB"/>
      </w:rPr>
    </w:rPrDefault>
    <w:pPrDefault>
      <w:pPr>
        <w:spacing w:line="276" w:lineRule="auto"/>
      </w:pPr>
    </w:pPrDefault>
  </w:docDefaults>
  <w:style w:type="table" w:styleId="TableNormal" w:default="1">
    <w:name w:val="TableNormal"/>
    <w:tblPr>
      <w:tblCellMar>
        <w:top w:w="100.0" w:type="dxa"/>
        <w:left w:w="100.0" w:type="dxa"/>
        <w:bottom w:w="100.0" w:type="dxa"/>
        <w:right w:w="100.0" w:type="dxa"/>
      </w:tblCellMar>
    </w:tblPr>
  </w:style>
  <w:style w:type="paragraph" w:styleId="Normal" w:default="1">
    <w:name w:val="normal"/>
  </w:style>
  <w:style w:type="paragraph" w:styleId="Heading1">
    <w:name w:val="heading 1"/>
    <w:basedOn w:val="Normal"/>
    <w:next w:val="Normal"/>
    <w:pPr>
      <w:keepNext w:val="1"/>
      <w:keepLines w:val="1"/>
      <w:pageBreakBefore w:val="0"/>
      <w:spacing w:after="120" w:before="400" w:lineRule="auto"/>
    </w:pPr>
    <w:rPr>
      <w:sz w:val="40"/>
      <w:szCs w:val="40"/>
    </w:rPr>
  </w:style>
  <w:style w:type="paragraph" w:styleId="Heading2">
    <w:name w:val="heading 2"/>
    <w:basedOn w:val="Normal"/>
    <w:next w:val="Normal"/>
    <w:pPr>
      <w:keepNext w:val="1"/>
      <w:keepLines w:val="1"/>
      <w:pageBreakBefore w:val="0"/>
      <w:spacing w:after="120" w:before="360" w:lineRule="auto"/>
    </w:pPr>
    <w:rPr>
      <w:b w:val="0"/>
      <w:bCs w:val="0"/>
      <w:sz w:val="32"/>
      <w:szCs w:val="32"/>
    </w:rPr>
  </w:style>
  <w:style w:type="paragraph" w:styleId="Heading3">
    <w:name w:val="heading 3"/>
    <w:basedOn w:val="Normal"/>
    <w:next w:val="Normal"/>
    <w:pPr>
      <w:keepNext w:val="1"/>
      <w:keepLines w:val="1"/>
      <w:pageBreakBefore w:val="0"/>
      <w:spacing w:after="80" w:before="320" w:lineRule="auto"/>
    </w:pPr>
    <w:rPr>
      <w:b w:val="0"/>
      <w:bCs w:val="0"/>
      <w:color w:val="434343"/>
      <w:sz w:val="28"/>
      <w:szCs w:val="28"/>
    </w:rPr>
  </w:style>
  <w:style w:type="paragraph" w:styleId="Heading4">
    <w:name w:val="heading 4"/>
    <w:basedOn w:val="Normal"/>
    <w:next w:val="Normal"/>
    <w:pPr>
      <w:keepNext w:val="1"/>
      <w:keepLines w:val="1"/>
      <w:pageBreakBefore w:val="0"/>
      <w:spacing w:after="80" w:before="280" w:lineRule="auto"/>
    </w:pPr>
    <w:rPr>
      <w:color w:val="666666"/>
      <w:sz w:val="24"/>
      <w:szCs w:val="24"/>
    </w:rPr>
  </w:style>
  <w:style w:type="paragraph" w:styleId="Heading5">
    <w:name w:val="heading 5"/>
    <w:basedOn w:val="Normal"/>
    <w:next w:val="Normal"/>
    <w:pPr>
      <w:keepNext w:val="1"/>
      <w:keepLines w:val="1"/>
      <w:pageBreakBefore w:val="0"/>
      <w:spacing w:after="80" w:before="240" w:lineRule="auto"/>
    </w:pPr>
    <w:rPr>
      <w:color w:val="666666"/>
      <w:sz w:val="22"/>
      <w:szCs w:val="22"/>
    </w:rPr>
  </w:style>
  <w:style w:type="paragraph" w:styleId="Heading6">
    <w:name w:val="heading 6"/>
    <w:basedOn w:val="Normal"/>
    <w:next w:val="Normal"/>
    <w:pPr>
      <w:keepNext w:val="1"/>
      <w:keepLines w:val="1"/>
      <w:pageBreakBefore w:val="0"/>
      <w:spacing w:after="80" w:before="240" w:lineRule="auto"/>
    </w:pPr>
    <w:rPr>
      <w:i w:val="1"/>
      <w:iCs w:val="1"/>
      <w:color w:val="666666"/>
      <w:sz w:val="22"/>
      <w:szCs w:val="22"/>
    </w:rPr>
  </w:style>
  <w:style w:type="paragraph" w:styleId="Title">
    <w:name w:val="Title"/>
    <w:basedOn w:val="Normal"/>
    <w:next w:val="Normal"/>
    <w:pPr>
      <w:keepNext w:val="1"/>
      <w:keepLines w:val="1"/>
      <w:pageBreakBefore w:val="0"/>
      <w:spacing w:after="60" w:before="0" w:lineRule="auto"/>
    </w:pPr>
    <w:rPr>
      <w:sz w:val="52"/>
      <w:szCs w:val="52"/>
    </w:rPr>
  </w:style>
  <w:style w:type="table" w:styleId="TableNormal" w:default="1">
    <w:name w:val="TableNormal"/>
    <w:tblPr>
      <w:tblCellMar>
        <w:top w:w="100.0" w:type="dxa"/>
        <w:left w:w="100.0" w:type="dxa"/>
        <w:bottom w:w="100.0" w:type="dxa"/>
        <w:right w:w="100.0" w:type="dxa"/>
      </w:tblCellMar>
    </w:tblPr>
  </w:style>
  <w:style w:type="paragraph" w:styleId="Normal" w:default="1">
    <w:name w:val="normal"/>
  </w:style>
  <w:style w:type="paragraph" w:styleId="Subtitle">
    <w:name w:val="Subtitle"/>
    <w:basedOn w:val="Normal"/>
    <w:next w:val="Normal"/>
    <w:pPr>
      <w:keepNext w:val="1"/>
      <w:keepLines w:val="1"/>
      <w:pageBreakBefore w:val="0"/>
      <w:spacing w:after="320" w:before="0" w:lineRule="auto"/>
    </w:pPr>
    <w:rPr>
      <w:rFonts w:ascii="Arial" w:cs="Arial" w:eastAsia="Arial" w:hAnsi="Arial"/>
      <w:i w:val="0"/>
      <w:iCs w:val="0"/>
      <w:color w:val="666666"/>
      <w:sz w:val="30"/>
      <w:szCs w:val="30"/>
    </w:rPr>
  </w:style>
</w:styles>
</file>

<file path=word/_rels/document.xml.rels><?xml version="1.0" encoding="UTF-8" standalone="yes"?><Relationships xmlns="http://schemas.openxmlformats.org/package/2006/relationships"><Relationship Id="rId20" Type="http://schemas.openxmlformats.org/officeDocument/2006/relationships/hyperlink" Target="https://digital.nhs.uk/cyber-and-data-security/guidance-and-assurance/multi-factor-authentication-mfa-policy" TargetMode="External"/><Relationship Id="rId22" Type="http://schemas.openxmlformats.org/officeDocument/2006/relationships/hyperlink" Target="https://www.qcs.co.uk/what-is-empowerment-in-health-and-social-care/" TargetMode="External"/><Relationship Id="rId21" Type="http://schemas.openxmlformats.org/officeDocument/2006/relationships/hyperlink" Target="https://www.nuffieldtrust.org.uk/resource/digital-health-care-across-the-uk-where-are-we-now#:~:text=What%20is%20digital%20health%20and,are%20pivotal%20in%20supporting%20this" TargetMode="External"/><Relationship Id="rId24" Type="http://schemas.openxmlformats.org/officeDocument/2006/relationships/hyperlink" Target="https://www.kingsfund.org.uk/insight-and-analysis/long-reads/inclusive-digital-services-people-communities" TargetMode="External"/><Relationship Id="rId23" Type="http://schemas.openxmlformats.org/officeDocument/2006/relationships/hyperlink" Target="https://www.techuk.org/resource/bridging-the-digital-skills-gap-ensuring-inclusive-and-sustainable-services-in-a-smarter-state.html" TargetMode="External"/><Relationship Id="rId1" Type="http://schemas.openxmlformats.org/officeDocument/2006/relationships/theme" Target="theme/theme1.xml"/><Relationship Id="rId2" Type="http://schemas.openxmlformats.org/officeDocument/2006/relationships/settings" Target="settings.xml"/><Relationship Id="rId3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hyperlink" Target="https://ageing-better.org.uk/blogs/how-digital-divide-affects-older-adults-use-technology-during-covid-19#:~:text=In%20the%20study%20we%20carried,the%20buttons%20were%20too%20small" TargetMode="External"/><Relationship Id="rId26" Type="http://schemas.openxmlformats.org/officeDocument/2006/relationships/hyperlink" Target="https://www.virtual-college.co.uk/resources/empowering-an-individual-meaning" TargetMode="External"/><Relationship Id="rId25" Type="http://schemas.openxmlformats.org/officeDocument/2006/relationships/hyperlink" Target="https://commonslibrary.parliament.uk/the-uks-changing-population/" TargetMode="External"/><Relationship Id="rId27" Type="http://schemas.openxmlformats.org/officeDocument/2006/relationships/hyperlink" Target="https://olderpeople.wales/resource/digital-ageism/" TargetMode="External"/><Relationship Id="rId5" Type="http://schemas.openxmlformats.org/officeDocument/2006/relationships/styles" Target="styles.xml"/><Relationship Id="rId6" Type="http://schemas.openxmlformats.org/officeDocument/2006/relationships/customXml" Target="../customXML/item1.xml"/><Relationship Id="rId7" Type="http://schemas.openxmlformats.org/officeDocument/2006/relationships/image" Target="media/image1.png"/><Relationship Id="rId8" Type="http://schemas.openxmlformats.org/officeDocument/2006/relationships/hyperlink" Target="https://www.ageuk.org.uk/our-impact/programmes/digital-skills/" TargetMode="External"/><Relationship Id="rId11" Type="http://schemas.openxmlformats.org/officeDocument/2006/relationships/hyperlink" Target="https://www.gov.uk/government/publications/care-act-statutory-guidance/care-and-support-statutory-guidance" TargetMode="External"/><Relationship Id="rId10" Type="http://schemas.openxmlformats.org/officeDocument/2006/relationships/hyperlink" Target="https://ctu.ieee.org/blog/2023/02/27/impact-of-the-digital-divide-economic-social-and-educational-consequences/" TargetMode="External"/><Relationship Id="rId13" Type="http://schemas.openxmlformats.org/officeDocument/2006/relationships/hyperlink" Target="https://uktechweek.org/2024/12/18/the-digital-divide-tackling-inequality-in-access-to-tech/" TargetMode="External"/><Relationship Id="rId12" Type="http://schemas.openxmlformats.org/officeDocument/2006/relationships/hyperlink" Target="https://www.goodthingsfoundation.org/discover/digital-inclusion-insights/digital-inclusion-insights-2024/challenges-of-digital-transformation-healthcare" TargetMode="External"/><Relationship Id="rId15" Type="http://schemas.openxmlformats.org/officeDocument/2006/relationships/hyperlink" Target="https://psychologyfanatic.com/disengagement-theory/" TargetMode="External"/><Relationship Id="rId14" Type="http://schemas.openxmlformats.org/officeDocument/2006/relationships/hyperlink" Target="https://journals.sagepub.com/doi/full/10.1177/00469580221096272" TargetMode="External"/><Relationship Id="rId17" Type="http://schemas.openxmlformats.org/officeDocument/2006/relationships/hyperlink" Target="https://www.england.nhs.uk/long-read/medical-devices-and-digital-tools/" TargetMode="External"/><Relationship Id="rId16" Type="http://schemas.openxmlformats.org/officeDocument/2006/relationships/hyperlink" Target="https://www.england.nhs.uk/long-read/inclusive-digital-healthcare-a-framework-for-nhs-action-on-digital-inclusion/#:~:text=The%20challenge" TargetMode="External"/><Relationship Id="rId19" Type="http://schemas.openxmlformats.org/officeDocument/2006/relationships/hyperlink" Target="https://digital.nhs.uk/services/nhs-app" TargetMode="External"/><Relationship Id="rId18" Type="http://schemas.openxmlformats.org/officeDocument/2006/relationships/hyperlink" Target="https://www.england.nhs.uk/blog/tackling-digital-exclusion-and-health-literacy-how-libraries-can-help-bridge-the-gap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go:gDocsCustomXmlDataStorage xmlns:go="http://customooxmlschemas.google.com/" xmlns:r="http://schemas.openxmlformats.org/officeDocument/2006/relationships" uri="GoogleDocsCustomDataVersion2">
  <go:docsCustomData xmlns:go="http://customooxmlschemas.google.com/" roundtripDataSignature="AMtx7mgu6yDI6v0uVBdEYmhsja2bMquPUA==">CgMxLjA4AHIhMWNpZThGY1F1SDBJVHhERlhUZjJoQ0w0elYteWhsbGE5</go:docsCustomData>
</go:gDocsCustomXmlDataStorage>
</file>

<file path=customXML/itemProps1.xml><?xml version="1.0" encoding="utf-8"?>
<ds:datastoreItem xmlns:ds="http://schemas.openxmlformats.org/officeDocument/2006/customXml" ds:itemID="{11111111-1234-1234-1234-123412341234}">
  <ds:schemaRefs>
    <ds:schemaRef ds:uri="http://schemas.openxmlformats.org/officeDocument/2006/relationships"/>
    <ds:schemaRef ds:uri="http://customooxmlschemas.google.com/"/>
  </ds:schemaRefs>
</ds:datastoreItem>
</file>