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39366" w14:textId="7E2DEE77" w:rsidR="006C6802" w:rsidRPr="006A47B5" w:rsidRDefault="006A47B5" w:rsidP="006A47B5">
      <w:pPr>
        <w:pStyle w:val="Title"/>
      </w:pPr>
      <w:r w:rsidRPr="006A47B5">
        <w:t xml:space="preserve">Explain and assess Aristotle’s account of the good. </w:t>
      </w:r>
    </w:p>
    <w:p w14:paraId="644A3364" w14:textId="6936345C" w:rsidR="006C4A99" w:rsidRDefault="00592D4C" w:rsidP="0036050A">
      <w:r>
        <w:t>In this essay I am going to firstly address what Aristotle</w:t>
      </w:r>
      <w:r w:rsidR="0047162F">
        <w:t>’</w:t>
      </w:r>
      <w:r>
        <w:t xml:space="preserve">s idea of the good is by splitting the idea into three separate parts, the good, the importance of virtues and the concept of </w:t>
      </w:r>
      <w:r w:rsidR="0047162F">
        <w:t>eudemonia</w:t>
      </w:r>
      <w:r>
        <w:t xml:space="preserve"> of a ‘</w:t>
      </w:r>
      <w:r w:rsidR="0047162F">
        <w:t>flourishing</w:t>
      </w:r>
      <w:r>
        <w:t xml:space="preserve"> life’. By first addressing these ideas that he provides in </w:t>
      </w:r>
      <w:r>
        <w:rPr>
          <w:i/>
          <w:iCs/>
        </w:rPr>
        <w:t>The Nicomachean Ethics</w:t>
      </w:r>
      <w:r>
        <w:rPr>
          <w:rStyle w:val="FootnoteReference"/>
          <w:i/>
          <w:iCs/>
        </w:rPr>
        <w:footnoteReference w:id="1"/>
      </w:r>
      <w:r>
        <w:rPr>
          <w:i/>
          <w:iCs/>
        </w:rPr>
        <w:t xml:space="preserve"> </w:t>
      </w:r>
      <w:r>
        <w:t xml:space="preserve">I will then be able to assess the validity </w:t>
      </w:r>
      <w:r w:rsidR="0047162F">
        <w:t xml:space="preserve">of the ideas that he sets out by considering how applicable these ideas are both to modern society but also to the general application of the idea of the good. </w:t>
      </w:r>
    </w:p>
    <w:p w14:paraId="7C6CEF74" w14:textId="3AA3F5FA" w:rsidR="006C4A99" w:rsidRDefault="006C4A99" w:rsidP="0036050A">
      <w:r w:rsidRPr="006C4A99">
        <w:t>For</w:t>
      </w:r>
      <w:r>
        <w:t xml:space="preserve"> Aristotle</w:t>
      </w:r>
      <w:r w:rsidRPr="006C4A99">
        <w:t xml:space="preserve"> the </w:t>
      </w:r>
      <w:r>
        <w:t>“</w:t>
      </w:r>
      <w:r w:rsidRPr="006C4A99">
        <w:t>knowledge of the good is a great importance</w:t>
      </w:r>
      <w:r>
        <w:t>”</w:t>
      </w:r>
      <w:r>
        <w:rPr>
          <w:rStyle w:val="FootnoteReference"/>
        </w:rPr>
        <w:footnoteReference w:id="2"/>
      </w:r>
      <w:r w:rsidR="004D7B35">
        <w:t xml:space="preserve">. </w:t>
      </w:r>
      <w:r w:rsidRPr="006C4A99">
        <w:t>This is as every action is in pursuit of the good. It is the knowledge of the good that allows us to live our lives in a way that will allow us to achieve any goals that we set ourselves. However</w:t>
      </w:r>
      <w:r>
        <w:t xml:space="preserve">, </w:t>
      </w:r>
      <w:r w:rsidRPr="006C4A99">
        <w:t>despite the importance of knowledge of the good</w:t>
      </w:r>
      <w:r>
        <w:t xml:space="preserve">, </w:t>
      </w:r>
      <w:r w:rsidRPr="006C4A99">
        <w:t>Aristotle argues that there are no universal goods as our idea of what is good is relative in both its own terms and as a result there are no common ideas of the good within substances</w:t>
      </w:r>
      <w:r>
        <w:t xml:space="preserve">. </w:t>
      </w:r>
      <w:r w:rsidR="00576EEA">
        <w:t>A</w:t>
      </w:r>
      <w:r w:rsidRPr="006C4A99">
        <w:t>s a result</w:t>
      </w:r>
      <w:r>
        <w:t xml:space="preserve">, </w:t>
      </w:r>
      <w:r w:rsidRPr="006C4A99">
        <w:t>Aristotle argues that the</w:t>
      </w:r>
      <w:r w:rsidR="00576EEA">
        <w:t>re</w:t>
      </w:r>
      <w:r w:rsidRPr="006C4A99">
        <w:t xml:space="preserve"> </w:t>
      </w:r>
      <w:r w:rsidR="00576EEA">
        <w:t>“</w:t>
      </w:r>
      <w:r w:rsidRPr="006C4A99">
        <w:t>cannot be a single universal common to all cases</w:t>
      </w:r>
      <w:r w:rsidR="00576EEA">
        <w:t>”</w:t>
      </w:r>
      <w:r>
        <w:rPr>
          <w:rStyle w:val="FootnoteReference"/>
        </w:rPr>
        <w:footnoteReference w:id="3"/>
      </w:r>
      <w:r w:rsidRPr="006C4A99">
        <w:t xml:space="preserve"> when the good is concerned</w:t>
      </w:r>
      <w:r>
        <w:t xml:space="preserve">. </w:t>
      </w:r>
      <w:r w:rsidRPr="006C4A99">
        <w:t xml:space="preserve"> For Aristotle</w:t>
      </w:r>
      <w:r>
        <w:t xml:space="preserve">, </w:t>
      </w:r>
      <w:r w:rsidRPr="006C4A99">
        <w:t>the idea of the good can be split into two senses. Firstly</w:t>
      </w:r>
      <w:r w:rsidR="00576EEA">
        <w:t>,</w:t>
      </w:r>
      <w:r w:rsidRPr="006C4A99">
        <w:t xml:space="preserve"> th</w:t>
      </w:r>
      <w:r w:rsidR="00576EEA">
        <w:t>at an</w:t>
      </w:r>
      <w:r w:rsidRPr="006C4A99">
        <w:t xml:space="preserve"> object is good in its own right and </w:t>
      </w:r>
      <w:r w:rsidR="00576EEA">
        <w:t>s</w:t>
      </w:r>
      <w:r w:rsidRPr="006C4A99">
        <w:t>econdly that something is good if it is a means to secure something else that is good in itself. For Aristotle</w:t>
      </w:r>
      <w:r>
        <w:t xml:space="preserve">, </w:t>
      </w:r>
      <w:r w:rsidRPr="006C4A99">
        <w:t>intelligence was considered something that is good in itself as it allows people to Excel and is important within a society or state</w:t>
      </w:r>
      <w:r>
        <w:t xml:space="preserve">. </w:t>
      </w:r>
    </w:p>
    <w:p w14:paraId="43B7AFE8" w14:textId="35B7A6E1" w:rsidR="005D735B" w:rsidRDefault="006C4A99" w:rsidP="0036050A">
      <w:r w:rsidRPr="006C4A99">
        <w:t xml:space="preserve">Aristotle separates virtues into </w:t>
      </w:r>
      <w:r w:rsidR="00576EEA">
        <w:t>two</w:t>
      </w:r>
      <w:r w:rsidRPr="006C4A99">
        <w:t xml:space="preserve"> different types</w:t>
      </w:r>
      <w:r>
        <w:t xml:space="preserve">, </w:t>
      </w:r>
      <w:r w:rsidRPr="006C4A99">
        <w:t>intelligent virtues intellectual virtues and moral virtues. More virtues of virtues such as courage modesty in generosity. These are the virtues that we're able to acquire and develop through repetition and habit</w:t>
      </w:r>
      <w:r w:rsidR="00576EEA">
        <w:rPr>
          <w:rStyle w:val="FootnoteReference"/>
        </w:rPr>
        <w:footnoteReference w:id="4"/>
      </w:r>
      <w:r w:rsidRPr="006C4A99">
        <w:t xml:space="preserve">. </w:t>
      </w:r>
      <w:r w:rsidR="00576EEA">
        <w:t xml:space="preserve">Aristotle </w:t>
      </w:r>
      <w:r w:rsidRPr="006C4A99">
        <w:t>argues that although we have these virtues as a result of our nature</w:t>
      </w:r>
      <w:r>
        <w:t>,</w:t>
      </w:r>
      <w:r w:rsidR="005D735B">
        <w:t xml:space="preserve"> </w:t>
      </w:r>
      <w:r w:rsidRPr="006C4A99">
        <w:t xml:space="preserve">we are only able to fully develop these virtues through habit. It is only through reputation until these characteristics all virtues become habit that a person is considered a virtuous person. </w:t>
      </w:r>
      <w:r w:rsidR="005D735B">
        <w:t>However,</w:t>
      </w:r>
      <w:r w:rsidRPr="006C4A99">
        <w:t xml:space="preserve"> despite these traits become inhabit it is still common for people to occasionally not show these virtues in their behaviour. For example</w:t>
      </w:r>
      <w:r w:rsidR="005D735B">
        <w:t>,</w:t>
      </w:r>
      <w:r w:rsidRPr="006C4A99">
        <w:t xml:space="preserve"> someone who is considered generous may not always show this virtue in their behaviour however most of the time they would still act in a way that is considered to be generous such as by donating money to charity. Intellectual virtues </w:t>
      </w:r>
      <w:r w:rsidR="00576EEA">
        <w:t>are</w:t>
      </w:r>
      <w:r w:rsidRPr="006C4A99">
        <w:t xml:space="preserve"> virtues such as practical wisdom</w:t>
      </w:r>
      <w:r w:rsidR="00576EEA">
        <w:t xml:space="preserve"> (phronesis),</w:t>
      </w:r>
      <w:r w:rsidRPr="006C4A99">
        <w:t xml:space="preserve"> scientific knowledge </w:t>
      </w:r>
      <w:r w:rsidR="00576EEA">
        <w:t xml:space="preserve">(episteme), </w:t>
      </w:r>
      <w:r w:rsidRPr="006C4A99">
        <w:t>artistic knowledge</w:t>
      </w:r>
      <w:r w:rsidR="00576EEA">
        <w:t xml:space="preserve"> (teche)</w:t>
      </w:r>
      <w:r w:rsidRPr="006C4A99">
        <w:t xml:space="preserve"> and philosophical wisdom</w:t>
      </w:r>
      <w:r w:rsidR="00576EEA">
        <w:t xml:space="preserve"> (sophia)</w:t>
      </w:r>
      <w:r w:rsidRPr="006C4A99">
        <w:t xml:space="preserve">. These virtues are ones that are required to achieve </w:t>
      </w:r>
      <w:r w:rsidR="005D735B">
        <w:t xml:space="preserve">eudemonia </w:t>
      </w:r>
      <w:r w:rsidRPr="006C4A99">
        <w:t>and are acquired through experience a</w:t>
      </w:r>
      <w:r w:rsidR="00576EEA">
        <w:t>nd</w:t>
      </w:r>
      <w:r w:rsidRPr="006C4A99">
        <w:t xml:space="preserve"> instruction. Intellectual virtues are developed over a period of time and require more effort to develop and moral virtues. However</w:t>
      </w:r>
      <w:r w:rsidR="005D735B">
        <w:t>,</w:t>
      </w:r>
      <w:r w:rsidRPr="006C4A99">
        <w:t xml:space="preserve"> despite </w:t>
      </w:r>
      <w:r w:rsidR="00576EEA">
        <w:t xml:space="preserve">this </w:t>
      </w:r>
      <w:r w:rsidRPr="006C4A99">
        <w:t>both types of virtues are acquired through exercise in these virtues. As a result</w:t>
      </w:r>
      <w:r w:rsidR="005D735B">
        <w:t>,</w:t>
      </w:r>
      <w:r w:rsidRPr="006C4A99">
        <w:t xml:space="preserve"> the virtues that we possess are not like senses in that we do not already possess them before we use them and apply the virtues but </w:t>
      </w:r>
      <w:r w:rsidR="005D735B" w:rsidRPr="006C4A99">
        <w:t>rather,</w:t>
      </w:r>
      <w:r w:rsidRPr="006C4A99">
        <w:t xml:space="preserve"> we apply the virtues and then we are able to possess them</w:t>
      </w:r>
      <w:r w:rsidR="00576EEA">
        <w:rPr>
          <w:rStyle w:val="FootnoteReference"/>
        </w:rPr>
        <w:footnoteReference w:id="5"/>
      </w:r>
      <w:r w:rsidRPr="006C4A99">
        <w:t>. Furthermore</w:t>
      </w:r>
      <w:r w:rsidR="005D735B">
        <w:t>,</w:t>
      </w:r>
      <w:r w:rsidRPr="006C4A99">
        <w:t xml:space="preserve"> our virtues are developed and exercised in the same kinds of actions that first helped to develop the virtues. Aristotle gives the </w:t>
      </w:r>
      <w:r w:rsidR="005D735B" w:rsidRPr="006C4A99">
        <w:t>example,</w:t>
      </w:r>
      <w:r w:rsidRPr="006C4A99">
        <w:t xml:space="preserve"> but we are only able to have the virtue of courage by first being brave one faced by an alarming situation</w:t>
      </w:r>
      <w:r w:rsidR="005D7662">
        <w:rPr>
          <w:rStyle w:val="FootnoteReference"/>
        </w:rPr>
        <w:footnoteReference w:id="6"/>
      </w:r>
      <w:r w:rsidRPr="006C4A99">
        <w:t xml:space="preserve">. </w:t>
      </w:r>
      <w:r w:rsidR="005D735B" w:rsidRPr="005D735B">
        <w:t xml:space="preserve">Aristotle also highlights the importance of having a mean between </w:t>
      </w:r>
      <w:r w:rsidR="005D7662">
        <w:t>two</w:t>
      </w:r>
      <w:r w:rsidR="005D735B" w:rsidRPr="005D735B">
        <w:t xml:space="preserve"> extremes</w:t>
      </w:r>
      <w:r w:rsidR="005D7662">
        <w:t>.</w:t>
      </w:r>
      <w:r w:rsidR="005D735B" w:rsidRPr="005D735B">
        <w:t xml:space="preserve"> For example</w:t>
      </w:r>
      <w:r w:rsidR="005D7662">
        <w:t>,</w:t>
      </w:r>
      <w:r w:rsidR="005D735B" w:rsidRPr="005D735B">
        <w:t xml:space="preserve"> </w:t>
      </w:r>
      <w:r w:rsidR="005D7662">
        <w:t>for the virtue of</w:t>
      </w:r>
      <w:r w:rsidR="005D735B" w:rsidRPr="005D735B">
        <w:t xml:space="preserve"> courage</w:t>
      </w:r>
      <w:r w:rsidR="005D735B">
        <w:t xml:space="preserve">, </w:t>
      </w:r>
      <w:r w:rsidR="005D735B" w:rsidRPr="005D735B">
        <w:t xml:space="preserve">the excess would be recklessness however a lack </w:t>
      </w:r>
      <w:r w:rsidR="005D7662">
        <w:t xml:space="preserve">of </w:t>
      </w:r>
      <w:r w:rsidR="005D735B" w:rsidRPr="005D735B">
        <w:t>courage would be considered cowardice</w:t>
      </w:r>
      <w:r w:rsidR="005D735B">
        <w:t xml:space="preserve">. </w:t>
      </w:r>
      <w:r w:rsidR="005D7662">
        <w:t>B</w:t>
      </w:r>
      <w:r w:rsidR="005D735B" w:rsidRPr="005D735B">
        <w:t xml:space="preserve">oth of </w:t>
      </w:r>
      <w:r w:rsidR="005D735B" w:rsidRPr="005D735B">
        <w:lastRenderedPageBreak/>
        <w:t>these extremes are not considered the correct action in a situation however courage is often encouraged in many situations. As a result</w:t>
      </w:r>
      <w:r w:rsidR="005D735B">
        <w:t>,</w:t>
      </w:r>
      <w:r w:rsidR="005D735B" w:rsidRPr="005D735B">
        <w:t xml:space="preserve"> the doctrine of the mean is important in order to know what the most appropriate or virtuous way is to act in different situations. It is in such situations that highlights the importance of practical wisdom for Aristotle. This is as it is only through our practical reasoning that we are able to decide on what is the most virtuous way to act and it is only through practical wisdom that we are able to develop these virtues. </w:t>
      </w:r>
    </w:p>
    <w:p w14:paraId="5B9CB63C" w14:textId="750C4D6D" w:rsidR="00470842" w:rsidRDefault="005D735B" w:rsidP="0036050A">
      <w:r w:rsidRPr="005D735B">
        <w:t xml:space="preserve">Aristotle argues that the good is the ultimate aim of human life in which practical wisdom is necessary. This was highlighted by his idea of eudaimonia. This can be loosely translated as </w:t>
      </w:r>
      <w:proofErr w:type="gramStart"/>
      <w:r w:rsidRPr="005D735B">
        <w:t>happiness</w:t>
      </w:r>
      <w:r>
        <w:t>,</w:t>
      </w:r>
      <w:proofErr w:type="gramEnd"/>
      <w:r>
        <w:t xml:space="preserve"> </w:t>
      </w:r>
      <w:r w:rsidRPr="005D735B">
        <w:t xml:space="preserve">however the concept is much more than just happiness by itself but rather reflects to the idea of a flourishing life. To be able to achieve the highest good a person </w:t>
      </w:r>
      <w:r>
        <w:t>must apply their practical</w:t>
      </w:r>
      <w:r w:rsidRPr="005D735B">
        <w:t xml:space="preserve"> wisdom </w:t>
      </w:r>
      <w:r>
        <w:t>and</w:t>
      </w:r>
      <w:r w:rsidRPr="005D735B">
        <w:t xml:space="preserve"> reason as it is this that sets humans apart from other animals such as chi</w:t>
      </w:r>
      <w:r>
        <w:t>mps. F</w:t>
      </w:r>
      <w:r w:rsidRPr="005D735B">
        <w:t>or Aristotle</w:t>
      </w:r>
      <w:r>
        <w:t xml:space="preserve">, </w:t>
      </w:r>
      <w:r w:rsidR="005D7662">
        <w:t>e</w:t>
      </w:r>
      <w:r w:rsidRPr="005D735B">
        <w:t>udaimonia is the highest good a name of human life and in a public life this goodness is the end pursued rather than any other virtues such as honour</w:t>
      </w:r>
      <w:r w:rsidR="005D7662">
        <w:rPr>
          <w:rStyle w:val="FootnoteReference"/>
        </w:rPr>
        <w:footnoteReference w:id="7"/>
      </w:r>
      <w:r>
        <w:t xml:space="preserve">. </w:t>
      </w:r>
      <w:r w:rsidRPr="005D735B">
        <w:t>Furthermore</w:t>
      </w:r>
      <w:r>
        <w:t xml:space="preserve">, </w:t>
      </w:r>
      <w:r w:rsidRPr="005D735B">
        <w:t xml:space="preserve">Aristotle argues that if there was only to be </w:t>
      </w:r>
      <w:r w:rsidR="005D7662">
        <w:t>one</w:t>
      </w:r>
      <w:r w:rsidRPr="005D735B">
        <w:t xml:space="preserve"> final and it would be the good</w:t>
      </w:r>
      <w:r w:rsidR="005D7662">
        <w:rPr>
          <w:rStyle w:val="FootnoteReference"/>
        </w:rPr>
        <w:footnoteReference w:id="8"/>
      </w:r>
      <w:r w:rsidRPr="005D735B">
        <w:t xml:space="preserve"> and it is the good and happiness there is something final in itself and is not rely on anything else and it is only happiness that would fit such a description</w:t>
      </w:r>
      <w:r w:rsidR="005D7662">
        <w:rPr>
          <w:rStyle w:val="FootnoteReference"/>
        </w:rPr>
        <w:footnoteReference w:id="9"/>
      </w:r>
      <w:r>
        <w:t xml:space="preserve">. </w:t>
      </w:r>
      <w:r w:rsidRPr="005D735B">
        <w:t>In addition happiness demands not only this complete goodness</w:t>
      </w:r>
      <w:r>
        <w:t xml:space="preserve">, </w:t>
      </w:r>
      <w:r w:rsidRPr="005D735B">
        <w:t>but also demands a complete life</w:t>
      </w:r>
      <w:r w:rsidR="005D7662">
        <w:rPr>
          <w:rStyle w:val="FootnoteReference"/>
        </w:rPr>
        <w:footnoteReference w:id="10"/>
      </w:r>
      <w:r w:rsidRPr="005D735B">
        <w:t xml:space="preserve"> as throughout our lives we will inevitably experience misfortunes and at the end of the month life they would have also experienced fortunes on a happy man is that who has not met a miserable end</w:t>
      </w:r>
      <w:r w:rsidR="005D7662">
        <w:rPr>
          <w:rStyle w:val="FootnoteReference"/>
        </w:rPr>
        <w:footnoteReference w:id="11"/>
      </w:r>
      <w:r>
        <w:t>.</w:t>
      </w:r>
    </w:p>
    <w:p w14:paraId="2A6022C3" w14:textId="1B8161DB" w:rsidR="002B397B" w:rsidRDefault="00470842" w:rsidP="0036050A">
      <w:r w:rsidRPr="00470842">
        <w:t xml:space="preserve">A criticism that could be brought on </w:t>
      </w:r>
      <w:r w:rsidR="003F5AC1">
        <w:t>A</w:t>
      </w:r>
      <w:r w:rsidRPr="00470842">
        <w:t>ristotle's account of the good is that the virtues that he uses are relative to his own soc</w:t>
      </w:r>
      <w:r w:rsidR="003F5AC1">
        <w:t>iety</w:t>
      </w:r>
      <w:r w:rsidRPr="00470842">
        <w:t xml:space="preserve"> and as a result they have limited implication for modern society</w:t>
      </w:r>
      <w:r>
        <w:t xml:space="preserve">. </w:t>
      </w:r>
      <w:r w:rsidR="003F5AC1">
        <w:t>T</w:t>
      </w:r>
      <w:r w:rsidRPr="00470842">
        <w:t xml:space="preserve">he </w:t>
      </w:r>
      <w:r>
        <w:t xml:space="preserve">relativism </w:t>
      </w:r>
      <w:r w:rsidR="003F5AC1">
        <w:t>o</w:t>
      </w:r>
      <w:r w:rsidRPr="00470842">
        <w:t xml:space="preserve">f </w:t>
      </w:r>
      <w:r w:rsidR="003F5AC1">
        <w:t>A</w:t>
      </w:r>
      <w:r w:rsidRPr="00470842">
        <w:t xml:space="preserve">ristotle's virtue </w:t>
      </w:r>
      <w:r w:rsidR="003F5AC1">
        <w:t xml:space="preserve">is </w:t>
      </w:r>
      <w:r w:rsidRPr="00470842">
        <w:t xml:space="preserve">highlighted by the </w:t>
      </w:r>
      <w:r w:rsidR="003F5AC1" w:rsidRPr="00470842">
        <w:t>inconsistenc</w:t>
      </w:r>
      <w:r w:rsidR="003F5AC1">
        <w:t>y</w:t>
      </w:r>
      <w:r>
        <w:t xml:space="preserve"> </w:t>
      </w:r>
      <w:r w:rsidRPr="00470842">
        <w:t xml:space="preserve">of </w:t>
      </w:r>
      <w:r w:rsidR="003F5AC1">
        <w:t>his</w:t>
      </w:r>
      <w:r w:rsidRPr="00470842">
        <w:t xml:space="preserve"> virtue</w:t>
      </w:r>
      <w:r w:rsidR="003F5AC1">
        <w:t>s</w:t>
      </w:r>
      <w:r w:rsidRPr="00470842">
        <w:t xml:space="preserve"> compared with</w:t>
      </w:r>
      <w:r w:rsidR="003F5AC1">
        <w:t xml:space="preserve"> Plato’s</w:t>
      </w:r>
      <w:r w:rsidRPr="00470842">
        <w:t xml:space="preserve"> virtues or qualities</w:t>
      </w:r>
      <w:r>
        <w:t xml:space="preserve">. </w:t>
      </w:r>
      <w:r w:rsidR="003F5AC1">
        <w:t>T</w:t>
      </w:r>
      <w:r w:rsidRPr="00470842">
        <w:t>his is as although both Plato</w:t>
      </w:r>
      <w:r>
        <w:t xml:space="preserve"> </w:t>
      </w:r>
      <w:r w:rsidRPr="00470842">
        <w:t>and Aristotle agreed on the virtues of wisdom</w:t>
      </w:r>
      <w:r>
        <w:t xml:space="preserve">, </w:t>
      </w:r>
      <w:r w:rsidRPr="00470842">
        <w:t>courage</w:t>
      </w:r>
      <w:r>
        <w:t xml:space="preserve">, </w:t>
      </w:r>
      <w:r w:rsidRPr="00470842">
        <w:t>temperance and justice</w:t>
      </w:r>
      <w:r>
        <w:t xml:space="preserve">, </w:t>
      </w:r>
      <w:r w:rsidRPr="00470842">
        <w:t>Aristotle went on to include a</w:t>
      </w:r>
      <w:r w:rsidR="003F5AC1">
        <w:t xml:space="preserve"> further five</w:t>
      </w:r>
      <w:r w:rsidRPr="00470842">
        <w:t xml:space="preserve"> virtues. This then raises the question of what virtues are most important to be able to achieve ultimate happiness or </w:t>
      </w:r>
      <w:r w:rsidR="003F5AC1">
        <w:t>eudaimonia</w:t>
      </w:r>
      <w:r>
        <w:t xml:space="preserve">. </w:t>
      </w:r>
      <w:r w:rsidRPr="00470842">
        <w:t>Furthermore</w:t>
      </w:r>
      <w:r>
        <w:t xml:space="preserve">, </w:t>
      </w:r>
      <w:r w:rsidRPr="00470842">
        <w:t>more modern philosophers such as Kauffman argued that virtues th</w:t>
      </w:r>
      <w:r w:rsidR="003F5AC1">
        <w:t xml:space="preserve">at </w:t>
      </w:r>
      <w:r w:rsidRPr="00470842">
        <w:t xml:space="preserve">are required </w:t>
      </w:r>
      <w:r w:rsidR="003F5AC1">
        <w:t xml:space="preserve">are </w:t>
      </w:r>
      <w:r w:rsidRPr="00470842">
        <w:t>ambition</w:t>
      </w:r>
      <w:r w:rsidR="003F5AC1">
        <w:t>,</w:t>
      </w:r>
      <w:r w:rsidRPr="00470842">
        <w:t xml:space="preserve"> love</w:t>
      </w:r>
      <w:r w:rsidR="003F5AC1">
        <w:t>,</w:t>
      </w:r>
      <w:r w:rsidRPr="00470842">
        <w:t xml:space="preserve"> courage</w:t>
      </w:r>
      <w:r w:rsidR="003F5AC1">
        <w:t>,</w:t>
      </w:r>
      <w:r w:rsidRPr="00470842">
        <w:t xml:space="preserve"> and honesty</w:t>
      </w:r>
      <w:r w:rsidR="003F5AC1">
        <w:rPr>
          <w:rStyle w:val="FootnoteReference"/>
        </w:rPr>
        <w:footnoteReference w:id="12"/>
      </w:r>
      <w:r w:rsidRPr="00470842">
        <w:t xml:space="preserve"> which then introduces a further </w:t>
      </w:r>
      <w:r w:rsidR="003F5AC1">
        <w:t>three</w:t>
      </w:r>
      <w:r w:rsidRPr="00470842">
        <w:t xml:space="preserve"> virtues not mentioned by Plato or Aristotle. This once again highlights that the idea of virtues are relative to different periods in history as we would not consider the same actions virtuous as what actions were considered virtuous within ancient Greece. </w:t>
      </w:r>
      <w:r w:rsidR="002B397B" w:rsidRPr="002B397B">
        <w:t>For example</w:t>
      </w:r>
      <w:r w:rsidR="00A67066">
        <w:t>,</w:t>
      </w:r>
      <w:r w:rsidR="002B397B" w:rsidRPr="002B397B">
        <w:t xml:space="preserve"> slavery was common in ancient Greece where is now will consider it immoral and unjust. In addition</w:t>
      </w:r>
      <w:r w:rsidR="00A67066">
        <w:t>,</w:t>
      </w:r>
      <w:r w:rsidR="002B397B" w:rsidRPr="002B397B">
        <w:t xml:space="preserve"> the concept of virtues is not only historically relative but is also culturally relative. What ma</w:t>
      </w:r>
      <w:r w:rsidR="00A67066">
        <w:t>y</w:t>
      </w:r>
      <w:r w:rsidR="002B397B" w:rsidRPr="002B397B">
        <w:t xml:space="preserve"> be considered a virtue in one community may not be considered a virtue in another. For example</w:t>
      </w:r>
      <w:r w:rsidR="00A67066">
        <w:t>, different</w:t>
      </w:r>
      <w:r w:rsidR="002B397B" w:rsidRPr="002B397B">
        <w:t xml:space="preserve"> cultures </w:t>
      </w:r>
      <w:r w:rsidR="00A67066">
        <w:t>often have</w:t>
      </w:r>
      <w:r w:rsidR="002B397B" w:rsidRPr="002B397B">
        <w:t xml:space="preserve"> different ideas of justice. This can be highlighted by the idea of the death penalty as it is used as part of the justice system in some countries such as the United States whereas in other countries it is considered to be a moral such as in Britain. This once again highlights how relative concept of food you got both in terms of historical factors as the death penalty used to be much more common, but also in terms of cultural factors. Therefore</w:t>
      </w:r>
      <w:r w:rsidR="00A67066">
        <w:t>,</w:t>
      </w:r>
      <w:r w:rsidR="002B397B" w:rsidRPr="002B397B">
        <w:t xml:space="preserve"> restricting the application of </w:t>
      </w:r>
      <w:r w:rsidR="00A67066">
        <w:t>A</w:t>
      </w:r>
      <w:r w:rsidR="002B397B" w:rsidRPr="002B397B">
        <w:t>ristotle's idea of the good and the roll virtues playing this.</w:t>
      </w:r>
    </w:p>
    <w:p w14:paraId="4A050F51" w14:textId="67E3043E" w:rsidR="002B397B" w:rsidRDefault="002B397B" w:rsidP="0036050A">
      <w:r w:rsidRPr="002B397B">
        <w:lastRenderedPageBreak/>
        <w:t>Although the objection of relativism holds some grounds, it could still be argued that virtues remain universal. This is as although our ideas may have developed</w:t>
      </w:r>
      <w:r>
        <w:t xml:space="preserve">, </w:t>
      </w:r>
      <w:r w:rsidRPr="002B397B">
        <w:t xml:space="preserve">our </w:t>
      </w:r>
      <w:r w:rsidR="00A67066">
        <w:t>core</w:t>
      </w:r>
      <w:r w:rsidRPr="002B397B">
        <w:t xml:space="preserve"> concepts often remained the same and the virtues as proposed by Aristotle is still considered relevant today. Referring back to the idea of the death penalty</w:t>
      </w:r>
      <w:r w:rsidR="00A67066">
        <w:t>,</w:t>
      </w:r>
      <w:r w:rsidRPr="002B397B">
        <w:t xml:space="preserve"> our idea of how justice should be carried out has changed in the fact that many cultures no longer believe in the death penalty who used to use it</w:t>
      </w:r>
      <w:r w:rsidR="00A67066">
        <w:t>.</w:t>
      </w:r>
      <w:r w:rsidRPr="002B397B">
        <w:t xml:space="preserve"> </w:t>
      </w:r>
      <w:r w:rsidR="00A67066">
        <w:t>H</w:t>
      </w:r>
      <w:r w:rsidRPr="002B397B">
        <w:t>owever</w:t>
      </w:r>
      <w:r w:rsidR="00E428D5">
        <w:t>,</w:t>
      </w:r>
      <w:r w:rsidRPr="002B397B">
        <w:t xml:space="preserve"> justice remains a vital concept in these societies. Furthermore</w:t>
      </w:r>
      <w:r w:rsidR="00A67066">
        <w:t>,</w:t>
      </w:r>
      <w:r w:rsidRPr="002B397B">
        <w:t xml:space="preserve"> these virtues according to </w:t>
      </w:r>
      <w:r w:rsidR="00A67066">
        <w:t>Nussbaum</w:t>
      </w:r>
      <w:r w:rsidRPr="002B397B">
        <w:t xml:space="preserve">, are universal. For example if there was a burning building the virtual courage would be important in all cultures as people would not approve of an individual who acts who has excessive courage all recklessness but they would also not be in favour of an individual who shows a lacking courage or </w:t>
      </w:r>
      <w:r w:rsidR="00A67066">
        <w:t>cowardice</w:t>
      </w:r>
      <w:r w:rsidRPr="002B397B">
        <w:t xml:space="preserve"> but the mean between these </w:t>
      </w:r>
      <w:r w:rsidR="00A67066">
        <w:t>two</w:t>
      </w:r>
      <w:r w:rsidRPr="002B397B">
        <w:t xml:space="preserve"> extremes, which in each situation can be determined through </w:t>
      </w:r>
      <w:r w:rsidR="00A67066">
        <w:t>p</w:t>
      </w:r>
      <w:r w:rsidRPr="002B397B">
        <w:t>ractical reason</w:t>
      </w:r>
      <w:r>
        <w:t xml:space="preserve">, </w:t>
      </w:r>
      <w:r w:rsidRPr="002B397B">
        <w:t>but instead it is how the communities choose to apply these virtues as a relative to the communities and not to the virtues themselves. Furthermore</w:t>
      </w:r>
      <w:r w:rsidR="00A67066">
        <w:t>,</w:t>
      </w:r>
      <w:r w:rsidRPr="002B397B">
        <w:t xml:space="preserve"> many other virtues that are suggested by different philosophers often have similar </w:t>
      </w:r>
      <w:r w:rsidR="00A67066">
        <w:t>or</w:t>
      </w:r>
      <w:r w:rsidR="00E428D5">
        <w:t xml:space="preserve"> an </w:t>
      </w:r>
      <w:r w:rsidRPr="002B397B">
        <w:t>overlap of virtues</w:t>
      </w:r>
      <w:r w:rsidR="00E428D5">
        <w:t>.</w:t>
      </w:r>
      <w:r w:rsidRPr="002B397B">
        <w:t xml:space="preserve"> </w:t>
      </w:r>
      <w:r w:rsidR="00E428D5">
        <w:t>F</w:t>
      </w:r>
      <w:r w:rsidRPr="002B397B">
        <w:t>or example</w:t>
      </w:r>
      <w:r w:rsidR="00E428D5">
        <w:t>,</w:t>
      </w:r>
      <w:r w:rsidRPr="002B397B">
        <w:t xml:space="preserve"> courage remains a virtue for both Plato Aristotle as well as Kaufman. </w:t>
      </w:r>
    </w:p>
    <w:p w14:paraId="6F2C2C60" w14:textId="6616AD7B" w:rsidR="0047162F" w:rsidRDefault="002B397B" w:rsidP="0036050A">
      <w:r w:rsidRPr="002B397B">
        <w:t>However</w:t>
      </w:r>
      <w:r w:rsidR="00A67066">
        <w:t>,</w:t>
      </w:r>
      <w:r w:rsidRPr="002B397B">
        <w:t xml:space="preserve"> the importance of practical wisdom in itself causes a problem for the ideas of virtues as it </w:t>
      </w:r>
      <w:r w:rsidR="00E428D5">
        <w:t xml:space="preserve">leads to a </w:t>
      </w:r>
      <w:r w:rsidRPr="002B397B">
        <w:t xml:space="preserve">conclusion </w:t>
      </w:r>
      <w:r w:rsidR="00E428D5">
        <w:t>that is</w:t>
      </w:r>
      <w:r w:rsidRPr="002B397B">
        <w:t xml:space="preserve"> to</w:t>
      </w:r>
      <w:r w:rsidR="00E428D5">
        <w:t>o</w:t>
      </w:r>
      <w:r w:rsidRPr="002B397B">
        <w:t xml:space="preserve"> exclusive. This is as it excludes people who don't have the capacit</w:t>
      </w:r>
      <w:r w:rsidR="00E428D5">
        <w:t>y</w:t>
      </w:r>
      <w:r w:rsidRPr="002B397B">
        <w:t xml:space="preserve"> of practical wisdom. This causes an issue for the application of </w:t>
      </w:r>
      <w:r w:rsidR="00E428D5">
        <w:t>A</w:t>
      </w:r>
      <w:r w:rsidRPr="002B397B">
        <w:t>ristotle's idea of the good as although in theory it is possible for anyone to achieve eudemonia through practical wisdom and habitual practice as not all people are able to have practical wisdom for example because of a disability</w:t>
      </w:r>
      <w:r w:rsidR="00E428D5">
        <w:t xml:space="preserve"> they are then</w:t>
      </w:r>
      <w:r w:rsidRPr="002B397B">
        <w:t xml:space="preserve"> not considered to have the necessary skills to be human which disregards them as less than human which is highly </w:t>
      </w:r>
      <w:r w:rsidR="00E428D5">
        <w:t>im</w:t>
      </w:r>
      <w:r w:rsidRPr="002B397B">
        <w:t>moral. As a result</w:t>
      </w:r>
      <w:r w:rsidR="00E428D5">
        <w:t>,</w:t>
      </w:r>
      <w:r w:rsidRPr="002B397B">
        <w:t xml:space="preserve"> the argument that </w:t>
      </w:r>
      <w:r w:rsidR="00E428D5">
        <w:t>A</w:t>
      </w:r>
      <w:r w:rsidRPr="002B397B">
        <w:t>ristotle's idea of the good and the roles that virtue play is to</w:t>
      </w:r>
      <w:r w:rsidR="00E428D5">
        <w:t>o</w:t>
      </w:r>
      <w:r w:rsidRPr="002B397B">
        <w:t xml:space="preserve"> relative as there are many different ideas of what is considered to be virtuous and even people</w:t>
      </w:r>
      <w:r w:rsidR="00E428D5">
        <w:t xml:space="preserve"> had</w:t>
      </w:r>
      <w:r w:rsidRPr="002B397B">
        <w:t xml:space="preserve"> the same virtues</w:t>
      </w:r>
      <w:r w:rsidR="00E428D5">
        <w:t>,</w:t>
      </w:r>
      <w:r w:rsidRPr="002B397B">
        <w:t xml:space="preserve"> the ways in which they are applied hugely differs based on the individual and the community that they are part of. As a result the concept of virtues and the ideas of figured are not able to provide practical advice on how one should act in a certain situation come but instead results in the advice that inaction is right </w:t>
      </w:r>
      <w:r w:rsidR="00E428D5">
        <w:t>i</w:t>
      </w:r>
      <w:r w:rsidRPr="002B397B">
        <w:t>f and only if it is what a virtuous agent would do in a situation</w:t>
      </w:r>
      <w:r w:rsidR="00E428D5">
        <w:rPr>
          <w:rStyle w:val="FootnoteReference"/>
        </w:rPr>
        <w:footnoteReference w:id="13"/>
      </w:r>
      <w:r w:rsidRPr="002B397B">
        <w:t>. This results in advice that is both relative to the community as well as only being relevant to the people who are considered to hold practical wisdom</w:t>
      </w:r>
      <w:r w:rsidR="00E428D5">
        <w:t>,</w:t>
      </w:r>
      <w:r w:rsidRPr="002B397B">
        <w:t xml:space="preserve"> which for Aristotle was limited to </w:t>
      </w:r>
      <w:r w:rsidR="00E428D5" w:rsidRPr="002B397B">
        <w:t>Athenian</w:t>
      </w:r>
      <w:r w:rsidRPr="002B397B">
        <w:t xml:space="preserve"> men and therefore ignores women and </w:t>
      </w:r>
      <w:r w:rsidR="00592D4C">
        <w:t xml:space="preserve">significantly </w:t>
      </w:r>
      <w:r w:rsidRPr="002B397B">
        <w:t>more of the population</w:t>
      </w:r>
      <w:r>
        <w:t xml:space="preserve">. </w:t>
      </w:r>
      <w:r w:rsidRPr="002B397B">
        <w:t>Furthermore</w:t>
      </w:r>
      <w:r w:rsidR="00E428D5">
        <w:t>,</w:t>
      </w:r>
      <w:r w:rsidRPr="002B397B">
        <w:t xml:space="preserve"> even as individuals we do not always act in the same way</w:t>
      </w:r>
      <w:r>
        <w:t xml:space="preserve">. </w:t>
      </w:r>
      <w:r w:rsidR="00592D4C">
        <w:t>T</w:t>
      </w:r>
      <w:r w:rsidR="00592D4C" w:rsidRPr="002B397B">
        <w:t>hese further compromises</w:t>
      </w:r>
      <w:r w:rsidRPr="002B397B">
        <w:t xml:space="preserve"> </w:t>
      </w:r>
      <w:r w:rsidR="004E4783">
        <w:t>Aristotle</w:t>
      </w:r>
      <w:r w:rsidRPr="002B397B">
        <w:t>'s idea of virtues and a good as it raises the question of how often a person must act in a way to be considered a virtuous person. Furthermore</w:t>
      </w:r>
      <w:r>
        <w:t xml:space="preserve">, </w:t>
      </w:r>
      <w:r w:rsidRPr="002B397B">
        <w:t xml:space="preserve">how often or consistent do they need to act in order to achieve eudaimonia or flourishing life. This again raises the issue to the consistency of </w:t>
      </w:r>
      <w:r w:rsidR="00592D4C">
        <w:t>A</w:t>
      </w:r>
      <w:r w:rsidRPr="002B397B">
        <w:t>ristotle's theory as it results in the idea and application of virtues being both relative to different cultures and different periods of times bet as well it is also relative to each individual and their situation as there are some situations where an individual may act in a more virtuous way than they did the previous day. As a result</w:t>
      </w:r>
      <w:r w:rsidR="00592D4C">
        <w:t>,</w:t>
      </w:r>
      <w:r w:rsidRPr="002B397B">
        <w:t xml:space="preserve"> how and who determine</w:t>
      </w:r>
      <w:r w:rsidR="00592D4C">
        <w:t>s</w:t>
      </w:r>
      <w:r w:rsidRPr="002B397B">
        <w:t xml:space="preserve"> what people are considered virtuous and who is not.</w:t>
      </w:r>
    </w:p>
    <w:p w14:paraId="28ADDFCB" w14:textId="523F67BC" w:rsidR="005D735B" w:rsidRDefault="00A05D7B" w:rsidP="0036050A">
      <w:r>
        <w:t xml:space="preserve">In conclusion, Aristotle’s idea of the good is limited as it is highly relative both in terms of historical factors but also in terms of cultural relativism. This is as different communities have their own idea of what virtues are most important and also have different ideas of what the virtues are, which in turn has an effect on what </w:t>
      </w:r>
      <w:r w:rsidR="00446C99">
        <w:t>their idea of a flourishing life i</w:t>
      </w:r>
      <w:r w:rsidR="006F2A21">
        <w:t>s</w:t>
      </w:r>
      <w:r w:rsidR="006C6802">
        <w:t xml:space="preserve">. The issue of relativism is also a problem for </w:t>
      </w:r>
      <w:r w:rsidR="006A47B5">
        <w:t>A</w:t>
      </w:r>
      <w:r w:rsidR="006C6802">
        <w:t>ristotle</w:t>
      </w:r>
      <w:r w:rsidR="006A47B5">
        <w:t>’</w:t>
      </w:r>
      <w:r w:rsidR="006C6802">
        <w:t>s idea of the good as the concept of virtues is relative to each person</w:t>
      </w:r>
      <w:r w:rsidR="006A47B5">
        <w:t xml:space="preserve"> and the situation that they are in. As a result</w:t>
      </w:r>
      <w:r w:rsidR="004D7B35">
        <w:t>,</w:t>
      </w:r>
      <w:r w:rsidR="006A47B5">
        <w:t xml:space="preserve"> a person is unlikely to continually act in a consistent way as the environment around them will have an effect on their behaviour. </w:t>
      </w:r>
      <w:proofErr w:type="gramStart"/>
      <w:r w:rsidR="006A47B5">
        <w:t>Therefore</w:t>
      </w:r>
      <w:proofErr w:type="gramEnd"/>
      <w:r w:rsidR="006A47B5">
        <w:t xml:space="preserve"> the argument proposed </w:t>
      </w:r>
      <w:r w:rsidR="006A47B5">
        <w:lastRenderedPageBreak/>
        <w:t xml:space="preserve">by Nussbaum that the virtues are universal falls short and the concept of the good provides little explanation to the way that people act to achieve true happiness or what their final end is. </w:t>
      </w:r>
    </w:p>
    <w:p w14:paraId="657B7ACD" w14:textId="4D22ECB4" w:rsidR="0036050A" w:rsidRDefault="0036050A" w:rsidP="0036050A"/>
    <w:p w14:paraId="08D51F98" w14:textId="77777777" w:rsidR="0036050A" w:rsidRDefault="0036050A" w:rsidP="0036050A">
      <w:pPr>
        <w:pStyle w:val="Subtitle"/>
      </w:pPr>
      <w:r>
        <w:t xml:space="preserve">Bibliography </w:t>
      </w:r>
    </w:p>
    <w:p w14:paraId="722DE857" w14:textId="77777777" w:rsidR="00AD5356" w:rsidRPr="0036050A" w:rsidRDefault="00AD5356" w:rsidP="0036050A">
      <w:pPr>
        <w:pStyle w:val="FootnoteText"/>
        <w:numPr>
          <w:ilvl w:val="0"/>
          <w:numId w:val="3"/>
        </w:numPr>
        <w:rPr>
          <w:sz w:val="22"/>
          <w:szCs w:val="22"/>
        </w:rPr>
      </w:pPr>
      <w:r w:rsidRPr="0036050A">
        <w:rPr>
          <w:sz w:val="22"/>
          <w:szCs w:val="22"/>
        </w:rPr>
        <w:t>Aristotle</w:t>
      </w:r>
      <w:r w:rsidRPr="0036050A">
        <w:rPr>
          <w:sz w:val="22"/>
          <w:szCs w:val="22"/>
        </w:rPr>
        <w:t>.</w:t>
      </w:r>
      <w:r w:rsidRPr="0036050A">
        <w:rPr>
          <w:sz w:val="22"/>
          <w:szCs w:val="22"/>
        </w:rPr>
        <w:t xml:space="preserve"> </w:t>
      </w:r>
      <w:r w:rsidRPr="0036050A">
        <w:rPr>
          <w:i/>
          <w:iCs/>
          <w:sz w:val="22"/>
          <w:szCs w:val="22"/>
        </w:rPr>
        <w:t xml:space="preserve">The Nicomachean Ethics, </w:t>
      </w:r>
      <w:r w:rsidRPr="0036050A">
        <w:rPr>
          <w:sz w:val="22"/>
          <w:szCs w:val="22"/>
        </w:rPr>
        <w:t>translated by J. Thomson, (London: Penguin Group, 2004)</w:t>
      </w:r>
    </w:p>
    <w:p w14:paraId="66373542" w14:textId="77777777" w:rsidR="00AD5356" w:rsidRPr="0036050A" w:rsidRDefault="00AD5356" w:rsidP="0036050A">
      <w:pPr>
        <w:pStyle w:val="ListParagraph"/>
        <w:numPr>
          <w:ilvl w:val="0"/>
          <w:numId w:val="3"/>
        </w:numPr>
        <w:rPr>
          <w:rFonts w:asciiTheme="minorHAnsi" w:hAnsiTheme="minorHAnsi"/>
          <w:sz w:val="22"/>
          <w:szCs w:val="22"/>
        </w:rPr>
      </w:pPr>
      <w:proofErr w:type="spellStart"/>
      <w:r w:rsidRPr="0036050A">
        <w:rPr>
          <w:rFonts w:asciiTheme="minorHAnsi" w:hAnsiTheme="minorHAnsi"/>
          <w:sz w:val="22"/>
          <w:szCs w:val="22"/>
        </w:rPr>
        <w:t>Hursthouse</w:t>
      </w:r>
      <w:proofErr w:type="spellEnd"/>
      <w:r w:rsidRPr="0036050A">
        <w:rPr>
          <w:rFonts w:asciiTheme="minorHAnsi" w:hAnsiTheme="minorHAnsi"/>
          <w:sz w:val="22"/>
          <w:szCs w:val="22"/>
        </w:rPr>
        <w:t>, R.</w:t>
      </w:r>
      <w:r w:rsidRPr="0036050A">
        <w:rPr>
          <w:rFonts w:asciiTheme="minorHAnsi" w:hAnsiTheme="minorHAnsi"/>
          <w:sz w:val="22"/>
          <w:szCs w:val="22"/>
        </w:rPr>
        <w:t xml:space="preserve"> </w:t>
      </w:r>
      <w:r w:rsidRPr="0036050A">
        <w:rPr>
          <w:rFonts w:asciiTheme="minorHAnsi" w:hAnsiTheme="minorHAnsi"/>
          <w:i/>
          <w:iCs/>
          <w:sz w:val="22"/>
          <w:szCs w:val="22"/>
        </w:rPr>
        <w:t xml:space="preserve">On Virtue Ethics, </w:t>
      </w:r>
      <w:r w:rsidRPr="0036050A">
        <w:rPr>
          <w:rFonts w:asciiTheme="minorHAnsi" w:hAnsiTheme="minorHAnsi"/>
          <w:sz w:val="22"/>
          <w:szCs w:val="22"/>
        </w:rPr>
        <w:t>(Oxford: Oxford University Press, 2001)</w:t>
      </w:r>
    </w:p>
    <w:p w14:paraId="6F03154B" w14:textId="77777777" w:rsidR="00AD5356" w:rsidRPr="0036050A" w:rsidRDefault="00AD5356" w:rsidP="0036050A">
      <w:pPr>
        <w:pStyle w:val="FootnoteText"/>
        <w:numPr>
          <w:ilvl w:val="0"/>
          <w:numId w:val="3"/>
        </w:numPr>
        <w:rPr>
          <w:sz w:val="22"/>
          <w:szCs w:val="22"/>
        </w:rPr>
      </w:pPr>
      <w:r w:rsidRPr="0036050A">
        <w:rPr>
          <w:sz w:val="22"/>
          <w:szCs w:val="22"/>
        </w:rPr>
        <w:t>Kaufmann</w:t>
      </w:r>
      <w:r w:rsidRPr="0036050A">
        <w:rPr>
          <w:sz w:val="22"/>
          <w:szCs w:val="22"/>
        </w:rPr>
        <w:t>, W.</w:t>
      </w:r>
      <w:r w:rsidRPr="0036050A">
        <w:rPr>
          <w:sz w:val="22"/>
          <w:szCs w:val="22"/>
        </w:rPr>
        <w:t xml:space="preserve"> </w:t>
      </w:r>
      <w:r w:rsidRPr="0036050A">
        <w:rPr>
          <w:i/>
          <w:iCs/>
          <w:sz w:val="22"/>
          <w:szCs w:val="22"/>
        </w:rPr>
        <w:t xml:space="preserve">The Faith of a Heretic, </w:t>
      </w:r>
      <w:r w:rsidRPr="0036050A">
        <w:rPr>
          <w:sz w:val="22"/>
          <w:szCs w:val="22"/>
        </w:rPr>
        <w:t xml:space="preserve">(New York: Doubleday &amp; Co, 1961) </w:t>
      </w:r>
    </w:p>
    <w:p w14:paraId="6454C2CC" w14:textId="77777777" w:rsidR="00AD5356" w:rsidRDefault="00AD5356" w:rsidP="0036050A">
      <w:pPr>
        <w:pStyle w:val="FootnoteText"/>
        <w:numPr>
          <w:ilvl w:val="0"/>
          <w:numId w:val="3"/>
        </w:numPr>
        <w:rPr>
          <w:sz w:val="22"/>
          <w:szCs w:val="22"/>
        </w:rPr>
      </w:pPr>
      <w:r w:rsidRPr="0036050A">
        <w:rPr>
          <w:sz w:val="22"/>
          <w:szCs w:val="22"/>
        </w:rPr>
        <w:t xml:space="preserve">Kraut, R. </w:t>
      </w:r>
      <w:r w:rsidRPr="0036050A">
        <w:rPr>
          <w:i/>
          <w:iCs/>
          <w:sz w:val="22"/>
          <w:szCs w:val="22"/>
        </w:rPr>
        <w:t xml:space="preserve">Aristotle’s Ethics, </w:t>
      </w:r>
      <w:r w:rsidRPr="0036050A">
        <w:rPr>
          <w:sz w:val="22"/>
          <w:szCs w:val="22"/>
        </w:rPr>
        <w:t xml:space="preserve">2018, </w:t>
      </w:r>
      <w:hyperlink r:id="rId8" w:anchor="StarPoinForPracReas" w:history="1">
        <w:r w:rsidRPr="0036050A">
          <w:rPr>
            <w:rStyle w:val="Hyperlink"/>
            <w:sz w:val="22"/>
            <w:szCs w:val="22"/>
          </w:rPr>
          <w:t>https://plato.stanford.edu/entries/aristotle-ethics/#StarPoinForPracReas</w:t>
        </w:r>
      </w:hyperlink>
      <w:r w:rsidRPr="0036050A">
        <w:rPr>
          <w:sz w:val="22"/>
          <w:szCs w:val="22"/>
        </w:rPr>
        <w:t xml:space="preserve"> [Accessed: 13</w:t>
      </w:r>
      <w:r w:rsidRPr="0036050A">
        <w:rPr>
          <w:sz w:val="22"/>
          <w:szCs w:val="22"/>
          <w:vertAlign w:val="superscript"/>
        </w:rPr>
        <w:t>th</w:t>
      </w:r>
      <w:r w:rsidRPr="0036050A">
        <w:rPr>
          <w:sz w:val="22"/>
          <w:szCs w:val="22"/>
        </w:rPr>
        <w:t xml:space="preserve"> December 2019]</w:t>
      </w:r>
    </w:p>
    <w:p w14:paraId="22C20353" w14:textId="77777777" w:rsidR="00AD5356" w:rsidRPr="00AD5356" w:rsidRDefault="00AD5356" w:rsidP="0036050A">
      <w:pPr>
        <w:pStyle w:val="FootnoteText"/>
        <w:numPr>
          <w:ilvl w:val="0"/>
          <w:numId w:val="3"/>
        </w:numPr>
        <w:rPr>
          <w:sz w:val="22"/>
          <w:szCs w:val="22"/>
        </w:rPr>
      </w:pPr>
      <w:r w:rsidRPr="00AD5356">
        <w:rPr>
          <w:sz w:val="22"/>
          <w:szCs w:val="22"/>
        </w:rPr>
        <w:t xml:space="preserve">Sachs, J, </w:t>
      </w:r>
      <w:r w:rsidRPr="00AD5356">
        <w:rPr>
          <w:i/>
          <w:iCs/>
          <w:sz w:val="22"/>
          <w:szCs w:val="22"/>
        </w:rPr>
        <w:t xml:space="preserve">Aristotle: Ethics, </w:t>
      </w:r>
      <w:hyperlink r:id="rId9" w:history="1">
        <w:r w:rsidRPr="00AD5356">
          <w:rPr>
            <w:rStyle w:val="Hyperlink"/>
            <w:sz w:val="22"/>
            <w:szCs w:val="22"/>
          </w:rPr>
          <w:t>https://www.iep.utm.edu/aris-eth/</w:t>
        </w:r>
      </w:hyperlink>
      <w:r w:rsidRPr="00AD5356">
        <w:rPr>
          <w:sz w:val="22"/>
          <w:szCs w:val="22"/>
        </w:rPr>
        <w:t xml:space="preserve"> [Accessed: 13</w:t>
      </w:r>
      <w:r w:rsidRPr="00AD5356">
        <w:rPr>
          <w:sz w:val="22"/>
          <w:szCs w:val="22"/>
          <w:vertAlign w:val="superscript"/>
        </w:rPr>
        <w:t>th</w:t>
      </w:r>
      <w:r w:rsidRPr="00AD5356">
        <w:rPr>
          <w:sz w:val="22"/>
          <w:szCs w:val="22"/>
        </w:rPr>
        <w:t xml:space="preserve"> December 2019]</w:t>
      </w:r>
    </w:p>
    <w:p w14:paraId="46652AB3" w14:textId="77777777" w:rsidR="0036050A" w:rsidRDefault="0036050A" w:rsidP="00AD5356">
      <w:pPr>
        <w:pStyle w:val="FootnoteText"/>
        <w:jc w:val="right"/>
      </w:pPr>
      <w:bookmarkStart w:id="0" w:name="_GoBack"/>
      <w:bookmarkEnd w:id="0"/>
    </w:p>
    <w:p w14:paraId="24E05602" w14:textId="77777777" w:rsidR="0036050A" w:rsidRDefault="0036050A" w:rsidP="0036050A"/>
    <w:sectPr w:rsidR="0036050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236E2E" w14:textId="77777777" w:rsidR="00082936" w:rsidRDefault="00082936" w:rsidP="006C4A99">
      <w:pPr>
        <w:spacing w:after="0" w:line="240" w:lineRule="auto"/>
      </w:pPr>
      <w:r>
        <w:separator/>
      </w:r>
    </w:p>
  </w:endnote>
  <w:endnote w:type="continuationSeparator" w:id="0">
    <w:p w14:paraId="64EF22F0" w14:textId="77777777" w:rsidR="00082936" w:rsidRDefault="00082936" w:rsidP="006C4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ED1D2" w14:textId="77777777" w:rsidR="00082936" w:rsidRDefault="00082936" w:rsidP="006C4A99">
      <w:pPr>
        <w:spacing w:after="0" w:line="240" w:lineRule="auto"/>
      </w:pPr>
      <w:r>
        <w:separator/>
      </w:r>
    </w:p>
  </w:footnote>
  <w:footnote w:type="continuationSeparator" w:id="0">
    <w:p w14:paraId="1FBF05F6" w14:textId="77777777" w:rsidR="00082936" w:rsidRDefault="00082936" w:rsidP="006C4A99">
      <w:pPr>
        <w:spacing w:after="0" w:line="240" w:lineRule="auto"/>
      </w:pPr>
      <w:r>
        <w:continuationSeparator/>
      </w:r>
    </w:p>
  </w:footnote>
  <w:footnote w:id="1">
    <w:p w14:paraId="512F3920" w14:textId="3C8316B6" w:rsidR="00592D4C" w:rsidRPr="006A47B5" w:rsidRDefault="00592D4C">
      <w:pPr>
        <w:pStyle w:val="FootnoteText"/>
      </w:pPr>
      <w:r>
        <w:rPr>
          <w:rStyle w:val="FootnoteReference"/>
        </w:rPr>
        <w:footnoteRef/>
      </w:r>
      <w:r>
        <w:t xml:space="preserve"> </w:t>
      </w:r>
      <w:r w:rsidR="006A47B5">
        <w:t xml:space="preserve">Aristotle, </w:t>
      </w:r>
      <w:r w:rsidR="006A47B5">
        <w:rPr>
          <w:i/>
          <w:iCs/>
        </w:rPr>
        <w:t xml:space="preserve">The Nicomachean Ethics, </w:t>
      </w:r>
      <w:r w:rsidR="006A47B5">
        <w:t>translated by J. Thomson, (London: Penguin Group, 2004) pp.1-</w:t>
      </w:r>
      <w:r w:rsidR="004D7B35">
        <w:t>49.</w:t>
      </w:r>
    </w:p>
  </w:footnote>
  <w:footnote w:id="2">
    <w:p w14:paraId="016B6F33" w14:textId="16C91DA6" w:rsidR="006C4A99" w:rsidRDefault="006C4A99">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w:t>
      </w:r>
      <w:r>
        <w:t>4</w:t>
      </w:r>
      <w:r w:rsidR="004D7B35">
        <w:t>.</w:t>
      </w:r>
      <w:r>
        <w:t xml:space="preserve"> </w:t>
      </w:r>
    </w:p>
  </w:footnote>
  <w:footnote w:id="3">
    <w:p w14:paraId="28BA89B3" w14:textId="2C5A144A" w:rsidR="006C4A99" w:rsidRDefault="006C4A99">
      <w:pPr>
        <w:pStyle w:val="FootnoteText"/>
      </w:pPr>
      <w:r>
        <w:rPr>
          <w:rStyle w:val="FootnoteReference"/>
        </w:rPr>
        <w:footnoteRef/>
      </w:r>
      <w:r>
        <w:t xml:space="preserve"> </w:t>
      </w:r>
      <w:r w:rsidR="004D7B35">
        <w:t xml:space="preserve">Aristotle, </w:t>
      </w:r>
      <w:r w:rsidR="004D7B35">
        <w:rPr>
          <w:i/>
          <w:iCs/>
        </w:rPr>
        <w:t>The Nicomachean Ethics</w:t>
      </w:r>
      <w:r w:rsidR="004D7B35">
        <w:t>, p</w:t>
      </w:r>
      <w:r>
        <w:t>. 10</w:t>
      </w:r>
      <w:r w:rsidR="004D7B35">
        <w:t>.</w:t>
      </w:r>
    </w:p>
  </w:footnote>
  <w:footnote w:id="4">
    <w:p w14:paraId="0F16F904" w14:textId="0CD6ED4B" w:rsidR="00576EEA" w:rsidRDefault="00576EEA">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 </w:t>
      </w:r>
      <w:r>
        <w:t>31</w:t>
      </w:r>
      <w:r w:rsidR="004D7B35">
        <w:t>.</w:t>
      </w:r>
    </w:p>
  </w:footnote>
  <w:footnote w:id="5">
    <w:p w14:paraId="551D017D" w14:textId="11372D70" w:rsidR="00576EEA" w:rsidRDefault="00576EEA">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w:t>
      </w:r>
      <w:r>
        <w:t xml:space="preserve"> 31-2</w:t>
      </w:r>
      <w:r w:rsidR="004D7B35">
        <w:t>.</w:t>
      </w:r>
    </w:p>
  </w:footnote>
  <w:footnote w:id="6">
    <w:p w14:paraId="6189CD4B" w14:textId="14E0DAD0" w:rsidR="005D7662" w:rsidRDefault="005D7662">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w:t>
      </w:r>
      <w:r>
        <w:t>. 35</w:t>
      </w:r>
      <w:r w:rsidR="004D7B35">
        <w:t>.</w:t>
      </w:r>
    </w:p>
  </w:footnote>
  <w:footnote w:id="7">
    <w:p w14:paraId="03B4CF05" w14:textId="658E05C8" w:rsidR="005D7662" w:rsidRDefault="005D7662">
      <w:pPr>
        <w:pStyle w:val="FootnoteText"/>
      </w:pPr>
      <w:r>
        <w:rPr>
          <w:rStyle w:val="FootnoteReference"/>
        </w:rPr>
        <w:footnoteRef/>
      </w:r>
      <w:r>
        <w:t xml:space="preserve"> </w:t>
      </w:r>
      <w:r w:rsidR="004D7B35">
        <w:t xml:space="preserve">Aristotle, </w:t>
      </w:r>
      <w:r w:rsidR="004D7B35">
        <w:rPr>
          <w:i/>
          <w:iCs/>
        </w:rPr>
        <w:t>The Nicomachean Ethics</w:t>
      </w:r>
      <w:r w:rsidR="004D7B35">
        <w:t>, p</w:t>
      </w:r>
      <w:r>
        <w:t>. 9</w:t>
      </w:r>
      <w:r w:rsidR="004D7B35">
        <w:t>.</w:t>
      </w:r>
    </w:p>
  </w:footnote>
  <w:footnote w:id="8">
    <w:p w14:paraId="00E3C29B" w14:textId="45E959A6" w:rsidR="005D7662" w:rsidRDefault="005D7662">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w:t>
      </w:r>
      <w:r>
        <w:t>. 14</w:t>
      </w:r>
      <w:r w:rsidR="004D7B35">
        <w:t>.</w:t>
      </w:r>
    </w:p>
  </w:footnote>
  <w:footnote w:id="9">
    <w:p w14:paraId="479E68B7" w14:textId="24210D59" w:rsidR="005D7662" w:rsidRDefault="005D7662">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w:t>
      </w:r>
      <w:r>
        <w:t>.</w:t>
      </w:r>
      <w:r w:rsidR="004D7B35">
        <w:t xml:space="preserve"> </w:t>
      </w:r>
      <w:r>
        <w:t>13</w:t>
      </w:r>
      <w:r w:rsidR="004D7B35">
        <w:t>.</w:t>
      </w:r>
    </w:p>
  </w:footnote>
  <w:footnote w:id="10">
    <w:p w14:paraId="355D11F9" w14:textId="2309D338" w:rsidR="005D7662" w:rsidRDefault="005D7662">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w:t>
      </w:r>
      <w:r>
        <w:t>. 21</w:t>
      </w:r>
      <w:r w:rsidR="004D7B35">
        <w:t>.</w:t>
      </w:r>
    </w:p>
  </w:footnote>
  <w:footnote w:id="11">
    <w:p w14:paraId="74033339" w14:textId="4AF8D48C" w:rsidR="005D7662" w:rsidRDefault="005D7662">
      <w:pPr>
        <w:pStyle w:val="FootnoteText"/>
      </w:pPr>
      <w:r>
        <w:rPr>
          <w:rStyle w:val="FootnoteReference"/>
        </w:rPr>
        <w:footnoteRef/>
      </w:r>
      <w:r>
        <w:t xml:space="preserve"> </w:t>
      </w:r>
      <w:r w:rsidR="004D7B35">
        <w:t xml:space="preserve">Aristotle, </w:t>
      </w:r>
      <w:r w:rsidR="004D7B35">
        <w:rPr>
          <w:i/>
          <w:iCs/>
        </w:rPr>
        <w:t>The Nicomachean Ethics,</w:t>
      </w:r>
      <w:r w:rsidR="004D7B35">
        <w:t xml:space="preserve"> p</w:t>
      </w:r>
      <w:r>
        <w:t>.22</w:t>
      </w:r>
      <w:r w:rsidR="004D7B35">
        <w:t>.</w:t>
      </w:r>
    </w:p>
  </w:footnote>
  <w:footnote w:id="12">
    <w:p w14:paraId="2F6349D0" w14:textId="46FEEA75" w:rsidR="003F5AC1" w:rsidRDefault="003F5AC1">
      <w:pPr>
        <w:pStyle w:val="FootnoteText"/>
      </w:pPr>
      <w:r>
        <w:rPr>
          <w:rStyle w:val="FootnoteReference"/>
        </w:rPr>
        <w:footnoteRef/>
      </w:r>
      <w:r>
        <w:t xml:space="preserve"> </w:t>
      </w:r>
      <w:r w:rsidR="00A67066">
        <w:t xml:space="preserve">W. </w:t>
      </w:r>
      <w:r>
        <w:t>Ka</w:t>
      </w:r>
      <w:r w:rsidR="00A67066">
        <w:t xml:space="preserve">ufmann, </w:t>
      </w:r>
      <w:r w:rsidR="00A67066">
        <w:rPr>
          <w:i/>
          <w:iCs/>
        </w:rPr>
        <w:t xml:space="preserve">The Faith of a Heretic, </w:t>
      </w:r>
      <w:r w:rsidR="00A67066">
        <w:t>(New York: Doubleday &amp; Co, 1961)</w:t>
      </w:r>
      <w:r>
        <w:t xml:space="preserve"> </w:t>
      </w:r>
      <w:r w:rsidR="00A67066">
        <w:t>pp. 317-338</w:t>
      </w:r>
      <w:r w:rsidR="004D7B35">
        <w:t>.</w:t>
      </w:r>
    </w:p>
  </w:footnote>
  <w:footnote w:id="13">
    <w:p w14:paraId="1769D72F" w14:textId="3C755E0D" w:rsidR="00E428D5" w:rsidRPr="00E428D5" w:rsidRDefault="00E428D5">
      <w:pPr>
        <w:pStyle w:val="FootnoteText"/>
      </w:pPr>
      <w:r>
        <w:rPr>
          <w:rStyle w:val="FootnoteReference"/>
        </w:rPr>
        <w:footnoteRef/>
      </w:r>
      <w:r>
        <w:t xml:space="preserve"> R. </w:t>
      </w:r>
      <w:proofErr w:type="spellStart"/>
      <w:r>
        <w:t>Hursthouse</w:t>
      </w:r>
      <w:proofErr w:type="spellEnd"/>
      <w:r>
        <w:t xml:space="preserve">, </w:t>
      </w:r>
      <w:r>
        <w:rPr>
          <w:i/>
          <w:iCs/>
        </w:rPr>
        <w:t xml:space="preserve">On Virtue Ethics, </w:t>
      </w:r>
      <w:r>
        <w:t>(Oxford: Oxford University Press, 2001) p.27</w:t>
      </w:r>
      <w:r w:rsidR="004D7B35">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4FF7F" w14:textId="6E7C9FFB" w:rsidR="006A47B5" w:rsidRDefault="006A47B5">
    <w:pPr>
      <w:pStyle w:val="Header"/>
    </w:pPr>
    <w:r>
      <w:t xml:space="preserve">Caitlin Watts </w:t>
    </w:r>
  </w:p>
  <w:p w14:paraId="3E126389" w14:textId="67814D84" w:rsidR="006A47B5" w:rsidRDefault="006A47B5">
    <w:pPr>
      <w:pStyle w:val="Header"/>
    </w:pPr>
    <w:r>
      <w:t>1901401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93939"/>
    <w:multiLevelType w:val="hybridMultilevel"/>
    <w:tmpl w:val="1262A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6F74DB"/>
    <w:multiLevelType w:val="hybridMultilevel"/>
    <w:tmpl w:val="6E74F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5D4DAF"/>
    <w:multiLevelType w:val="hybridMultilevel"/>
    <w:tmpl w:val="67849782"/>
    <w:lvl w:ilvl="0" w:tplc="EBCC891C">
      <w:start w:val="5"/>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A99"/>
    <w:rsid w:val="00082936"/>
    <w:rsid w:val="00126481"/>
    <w:rsid w:val="00136D7E"/>
    <w:rsid w:val="002B397B"/>
    <w:rsid w:val="0036050A"/>
    <w:rsid w:val="003F5AC1"/>
    <w:rsid w:val="00446C99"/>
    <w:rsid w:val="00470842"/>
    <w:rsid w:val="0047162F"/>
    <w:rsid w:val="004D7B35"/>
    <w:rsid w:val="004E4783"/>
    <w:rsid w:val="00524459"/>
    <w:rsid w:val="00576EEA"/>
    <w:rsid w:val="00592D4C"/>
    <w:rsid w:val="005D735B"/>
    <w:rsid w:val="005D7662"/>
    <w:rsid w:val="005F6CD1"/>
    <w:rsid w:val="0067751F"/>
    <w:rsid w:val="006A47B5"/>
    <w:rsid w:val="006C4A99"/>
    <w:rsid w:val="006C6802"/>
    <w:rsid w:val="006F2A21"/>
    <w:rsid w:val="009A13CA"/>
    <w:rsid w:val="00A05D7B"/>
    <w:rsid w:val="00A67066"/>
    <w:rsid w:val="00AD5356"/>
    <w:rsid w:val="00E42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C05E8B"/>
  <w15:chartTrackingRefBased/>
  <w15:docId w15:val="{6A5DC3B6-EFED-4614-8688-C572BBC0C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C4A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4A99"/>
    <w:rPr>
      <w:sz w:val="20"/>
      <w:szCs w:val="20"/>
    </w:rPr>
  </w:style>
  <w:style w:type="character" w:styleId="FootnoteReference">
    <w:name w:val="footnote reference"/>
    <w:basedOn w:val="DefaultParagraphFont"/>
    <w:uiPriority w:val="99"/>
    <w:semiHidden/>
    <w:unhideWhenUsed/>
    <w:rsid w:val="006C4A99"/>
    <w:rPr>
      <w:vertAlign w:val="superscript"/>
    </w:rPr>
  </w:style>
  <w:style w:type="character" w:styleId="Hyperlink">
    <w:name w:val="Hyperlink"/>
    <w:basedOn w:val="DefaultParagraphFont"/>
    <w:uiPriority w:val="99"/>
    <w:semiHidden/>
    <w:unhideWhenUsed/>
    <w:rsid w:val="003F5AC1"/>
    <w:rPr>
      <w:color w:val="0000FF"/>
      <w:u w:val="single"/>
    </w:rPr>
  </w:style>
  <w:style w:type="paragraph" w:styleId="Header">
    <w:name w:val="header"/>
    <w:basedOn w:val="Normal"/>
    <w:link w:val="HeaderChar"/>
    <w:uiPriority w:val="99"/>
    <w:unhideWhenUsed/>
    <w:rsid w:val="006A4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7B5"/>
  </w:style>
  <w:style w:type="paragraph" w:styleId="Footer">
    <w:name w:val="footer"/>
    <w:basedOn w:val="Normal"/>
    <w:link w:val="FooterChar"/>
    <w:uiPriority w:val="99"/>
    <w:unhideWhenUsed/>
    <w:rsid w:val="006A4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7B5"/>
  </w:style>
  <w:style w:type="paragraph" w:styleId="ListParagraph">
    <w:name w:val="List Paragraph"/>
    <w:basedOn w:val="Normal"/>
    <w:uiPriority w:val="34"/>
    <w:qFormat/>
    <w:rsid w:val="006A47B5"/>
    <w:pPr>
      <w:spacing w:after="0" w:line="240" w:lineRule="auto"/>
      <w:ind w:left="720"/>
      <w:contextualSpacing/>
    </w:pPr>
    <w:rPr>
      <w:rFonts w:ascii="Times New Roman" w:eastAsia="Times New Roman" w:hAnsi="Times New Roman" w:cs="Times New Roman"/>
      <w:sz w:val="20"/>
      <w:szCs w:val="20"/>
      <w:lang w:eastAsia="en-GB"/>
    </w:rPr>
  </w:style>
  <w:style w:type="paragraph" w:styleId="Title">
    <w:name w:val="Title"/>
    <w:basedOn w:val="Normal"/>
    <w:next w:val="Normal"/>
    <w:link w:val="TitleChar"/>
    <w:uiPriority w:val="10"/>
    <w:qFormat/>
    <w:rsid w:val="006A47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7B5"/>
    <w:rPr>
      <w:rFonts w:asciiTheme="majorHAnsi" w:eastAsiaTheme="majorEastAsia" w:hAnsiTheme="majorHAnsi" w:cstheme="majorBidi"/>
      <w:spacing w:val="-10"/>
      <w:kern w:val="28"/>
      <w:sz w:val="56"/>
      <w:szCs w:val="56"/>
    </w:rPr>
  </w:style>
  <w:style w:type="paragraph" w:styleId="NoSpacing">
    <w:name w:val="No Spacing"/>
    <w:uiPriority w:val="1"/>
    <w:qFormat/>
    <w:rsid w:val="0036050A"/>
    <w:pPr>
      <w:spacing w:after="0" w:line="240" w:lineRule="auto"/>
    </w:pPr>
  </w:style>
  <w:style w:type="paragraph" w:styleId="Subtitle">
    <w:name w:val="Subtitle"/>
    <w:basedOn w:val="Normal"/>
    <w:next w:val="Normal"/>
    <w:link w:val="SubtitleChar"/>
    <w:uiPriority w:val="11"/>
    <w:qFormat/>
    <w:rsid w:val="0036050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6050A"/>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699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aristotle-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ep.utm.edu/aris-e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file>

<file path=customXml/itemProps1.xml><?xml version="1.0" encoding="utf-8"?>
<ds:datastoreItem xmlns:ds="http://schemas.openxmlformats.org/officeDocument/2006/customXml" ds:itemID="{003CAE02-BB27-4619-80B3-AEBD6F0B8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4</Pages>
  <Words>1870</Words>
  <Characters>10660</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Watts</dc:creator>
  <cp:keywords/>
  <dc:description/>
  <cp:lastModifiedBy>Caitlin Watts</cp:lastModifiedBy>
  <cp:revision>4</cp:revision>
  <dcterms:created xsi:type="dcterms:W3CDTF">2019-12-17T13:56:00Z</dcterms:created>
  <dcterms:modified xsi:type="dcterms:W3CDTF">2019-12-19T09:46:00Z</dcterms:modified>
</cp:coreProperties>
</file>