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4180674" wp14:paraId="656C9CC4" wp14:textId="2556FB44">
      <w:pPr>
        <w:pStyle w:val="Heading3"/>
        <w:spacing w:before="246" w:beforeAutospacing="off" w:after="246" w:afterAutospacing="off" w:line="300" w:lineRule="auto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34180674" w:rsidR="605EC657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Summary Table: Current UK Health Issues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718"/>
        <w:gridCol w:w="3137"/>
        <w:gridCol w:w="4161"/>
      </w:tblGrid>
      <w:tr w:rsidR="34180674" w:rsidTr="34180674" w14:paraId="11EBD7AF">
        <w:trPr>
          <w:trHeight w:val="300"/>
        </w:trPr>
        <w:tc>
          <w:tcPr>
            <w:tcW w:w="171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727F3A66" w14:textId="4A06F2FF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Issue</w:t>
            </w:r>
          </w:p>
        </w:tc>
        <w:tc>
          <w:tcPr>
            <w:tcW w:w="3137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099F960F" w14:textId="4C5DA00E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Health Impact</w:t>
            </w:r>
          </w:p>
        </w:tc>
        <w:tc>
          <w:tcPr>
            <w:tcW w:w="41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5D04AF97" w14:textId="0FE4805D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Key Statistics</w:t>
            </w:r>
          </w:p>
        </w:tc>
      </w:tr>
      <w:tr w:rsidR="34180674" w:rsidTr="34180674" w14:paraId="232BE6A3">
        <w:trPr>
          <w:trHeight w:val="300"/>
        </w:trPr>
        <w:tc>
          <w:tcPr>
            <w:tcW w:w="171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25A3B18F" w14:textId="036B7F60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Cost of Living Crisis</w:t>
            </w:r>
          </w:p>
        </w:tc>
        <w:tc>
          <w:tcPr>
            <w:tcW w:w="3137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3B263805" w14:textId="48D0357A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Stress, anxiety, poor nutrition, respiratory illness</w:t>
            </w:r>
          </w:p>
        </w:tc>
        <w:tc>
          <w:tcPr>
            <w:tcW w:w="41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2A399264" w14:textId="7762C672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70% report weekly financial stress; cold homes linked to infections</w:t>
            </w:r>
          </w:p>
        </w:tc>
      </w:tr>
      <w:tr w:rsidR="34180674" w:rsidTr="34180674" w14:paraId="3F884A1B">
        <w:trPr>
          <w:trHeight w:val="300"/>
        </w:trPr>
        <w:tc>
          <w:tcPr>
            <w:tcW w:w="171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7EE915DC" w14:textId="05DFB987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Mental Health Crisis</w:t>
            </w:r>
          </w:p>
        </w:tc>
        <w:tc>
          <w:tcPr>
            <w:tcW w:w="3137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7AB1366C" w14:textId="230EC9D3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Depression, anxiety, suicide</w:t>
            </w:r>
          </w:p>
        </w:tc>
        <w:tc>
          <w:tcPr>
            <w:tcW w:w="41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2705B456" w14:textId="2177D27A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Suicide rate: 11.4 per 100,000 (highest since 1999)</w:t>
            </w:r>
          </w:p>
        </w:tc>
      </w:tr>
      <w:tr w:rsidR="34180674" w:rsidTr="34180674" w14:paraId="13960E1F">
        <w:trPr>
          <w:trHeight w:val="300"/>
        </w:trPr>
        <w:tc>
          <w:tcPr>
            <w:tcW w:w="171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5E8465B6" w14:textId="4FD186C7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Obesity &amp; Inactivity</w:t>
            </w:r>
          </w:p>
        </w:tc>
        <w:tc>
          <w:tcPr>
            <w:tcW w:w="3137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691182D0" w14:textId="7A6301B6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Diabetes, heart disease, cancer</w:t>
            </w:r>
          </w:p>
        </w:tc>
        <w:tc>
          <w:tcPr>
            <w:tcW w:w="41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668EB918" w14:textId="0909A57E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64% adults overweight/obese; inactivity costs £7.4bn/year</w:t>
            </w:r>
          </w:p>
        </w:tc>
      </w:tr>
      <w:tr w:rsidR="34180674" w:rsidTr="34180674" w14:paraId="6FEABE88">
        <w:trPr>
          <w:trHeight w:val="300"/>
        </w:trPr>
        <w:tc>
          <w:tcPr>
            <w:tcW w:w="171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39D73451" w14:textId="0D44A95D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Air Pollution</w:t>
            </w:r>
          </w:p>
        </w:tc>
        <w:tc>
          <w:tcPr>
            <w:tcW w:w="3137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365BA886" w14:textId="49BDB8F7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Heart disease, stroke, dementia, respiratory illness</w:t>
            </w:r>
          </w:p>
        </w:tc>
        <w:tc>
          <w:tcPr>
            <w:tcW w:w="41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0168BD8F" w14:textId="2DE63B03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~30,000 deaths annually; £27bn economic cost</w:t>
            </w:r>
          </w:p>
        </w:tc>
      </w:tr>
      <w:tr w:rsidR="34180674" w:rsidTr="34180674" w14:paraId="75AC1613">
        <w:trPr>
          <w:trHeight w:val="300"/>
        </w:trPr>
        <w:tc>
          <w:tcPr>
            <w:tcW w:w="171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347CA614" w14:textId="570FDA10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Housing Issues</w:t>
            </w:r>
          </w:p>
        </w:tc>
        <w:tc>
          <w:tcPr>
            <w:tcW w:w="3137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51EAD9BF" w14:textId="743D30F1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Respiratory illness, mental health problems</w:t>
            </w:r>
          </w:p>
        </w:tc>
        <w:tc>
          <w:tcPr>
            <w:tcW w:w="41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0F57EE54" w14:textId="3D2926C8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Poor housing costs NHS £1.4bn/year</w:t>
            </w:r>
          </w:p>
        </w:tc>
      </w:tr>
      <w:tr w:rsidR="34180674" w:rsidTr="34180674" w14:paraId="73C379D3">
        <w:trPr>
          <w:trHeight w:val="300"/>
        </w:trPr>
        <w:tc>
          <w:tcPr>
            <w:tcW w:w="171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721745F3" w14:textId="7902A4D5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Dental Health (Children)</w:t>
            </w:r>
          </w:p>
        </w:tc>
        <w:tc>
          <w:tcPr>
            <w:tcW w:w="3137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25C85BA9" w14:textId="442B9864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Pain, infections, hospital admissions</w:t>
            </w:r>
          </w:p>
        </w:tc>
        <w:tc>
          <w:tcPr>
            <w:tcW w:w="41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17CD7AEF" w14:textId="20B5E539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27% of 5-year-olds have tooth decay; 31,000 extractions/year</w:t>
            </w:r>
          </w:p>
        </w:tc>
      </w:tr>
      <w:tr w:rsidR="34180674" w:rsidTr="34180674" w14:paraId="785FFDFC">
        <w:trPr>
          <w:trHeight w:val="300"/>
        </w:trPr>
        <w:tc>
          <w:tcPr>
            <w:tcW w:w="171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087C8013" w14:textId="73E81887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Substance Misuse</w:t>
            </w:r>
          </w:p>
        </w:tc>
        <w:tc>
          <w:tcPr>
            <w:tcW w:w="3137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0E5EE5C8" w14:textId="41A12EF2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Addiction, overdose, mental health comorbidity</w:t>
            </w:r>
          </w:p>
        </w:tc>
        <w:tc>
          <w:tcPr>
            <w:tcW w:w="41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37A0048F" w14:textId="72D35F68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73% drug deaths involve opioids; 44% in treatment for opioids</w:t>
            </w:r>
          </w:p>
        </w:tc>
      </w:tr>
      <w:tr w:rsidR="34180674" w:rsidTr="34180674" w14:paraId="7B0CCCE1">
        <w:trPr>
          <w:trHeight w:val="300"/>
        </w:trPr>
        <w:tc>
          <w:tcPr>
            <w:tcW w:w="1718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shd w:val="clear" w:color="auto" w:fill="F5F5F5"/>
            <w:tcMar/>
            <w:vAlign w:val="center"/>
          </w:tcPr>
          <w:p w:rsidR="34180674" w:rsidP="34180674" w:rsidRDefault="34180674" w14:paraId="41D446C5" w14:textId="6CBFDCAC">
            <w:pPr>
              <w:spacing w:before="0" w:beforeAutospacing="off" w:after="0" w:afterAutospacing="off" w:line="30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b w:val="1"/>
                <w:bCs w:val="1"/>
                <w:color w:val="auto"/>
              </w:rPr>
              <w:t>Health Inequalities</w:t>
            </w:r>
          </w:p>
        </w:tc>
        <w:tc>
          <w:tcPr>
            <w:tcW w:w="3137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0F26B344" w14:textId="22B0B33D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Lower life expectancy, higher disease burden</w:t>
            </w:r>
          </w:p>
        </w:tc>
        <w:tc>
          <w:tcPr>
            <w:tcW w:w="4161" w:type="dxa"/>
            <w:tcBorders>
              <w:top w:val="single" w:color="E6E6E6" w:sz="6"/>
              <w:left w:val="single" w:color="E6E6E6" w:sz="6"/>
              <w:bottom w:val="single" w:color="E6E6E6" w:sz="6"/>
              <w:right w:val="single" w:color="E6E6E6" w:sz="6"/>
            </w:tcBorders>
            <w:tcMar/>
            <w:vAlign w:val="center"/>
          </w:tcPr>
          <w:p w:rsidR="34180674" w:rsidP="34180674" w:rsidRDefault="34180674" w14:paraId="3C246602" w14:textId="08DC5B05">
            <w:pPr>
              <w:spacing w:before="0" w:beforeAutospacing="off" w:after="0" w:afterAutospacing="off" w:line="300" w:lineRule="auto"/>
              <w:rPr>
                <w:rFonts w:ascii="Arial Nova" w:hAnsi="Arial Nova" w:eastAsia="Arial Nova" w:cs="Arial Nova"/>
                <w:color w:val="auto"/>
              </w:rPr>
            </w:pPr>
            <w:r w:rsidRPr="34180674" w:rsidR="34180674">
              <w:rPr>
                <w:rFonts w:ascii="Arial Nova" w:hAnsi="Arial Nova" w:eastAsia="Arial Nova" w:cs="Arial Nova"/>
                <w:color w:val="auto"/>
              </w:rPr>
              <w:t>Life expectancy gap: 10.7 years (men), 8.5 years (women)</w:t>
            </w:r>
          </w:p>
        </w:tc>
      </w:tr>
    </w:tbl>
    <w:p xmlns:wp14="http://schemas.microsoft.com/office/word/2010/wordml" wp14:paraId="5E5787A5" wp14:textId="3C16F39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68FCD5"/>
    <w:rsid w:val="34180674"/>
    <w:rsid w:val="605EC657"/>
    <w:rsid w:val="7668FC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68FCD5"/>
  <w15:chartTrackingRefBased/>
  <w15:docId w15:val="{94412856-206F-4BA7-88F8-1D4CC12987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3418067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</dc:creator>
  <keywords/>
  <dc:description/>
  <lastModifiedBy>Parese Ahmed</lastModifiedBy>
  <revision>2</revision>
  <dcterms:created xsi:type="dcterms:W3CDTF">2026-01-11T19:46:31.4623452Z</dcterms:created>
  <dcterms:modified xsi:type="dcterms:W3CDTF">2026-01-11T19:47:11.8224964Z</dcterms:modified>
</coreProperties>
</file>