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What, if anything, does Hume show us about the rationality of belief in miracles?</w:t>
      </w:r>
    </w:p>
    <w:p w:rsidR="00000000" w:rsidDel="00000000" w:rsidP="00000000" w:rsidRDefault="00000000" w:rsidRPr="00000000" w14:paraId="00000002">
      <w:pPr>
        <w:jc w:val="both"/>
        <w:rPr>
          <w:rFonts w:ascii="Times New Roman" w:cs="Times New Roman" w:eastAsia="Times New Roman" w:hAnsi="Times New Roman"/>
          <w:b w:val="1"/>
          <w:sz w:val="26"/>
          <w:szCs w:val="26"/>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definition of miracles is one that is predominantly associated with the works of David Hume, and is defined in Peter Clarke’s interpretation as such:  </w:t>
      </w:r>
    </w:p>
    <w:p w:rsidR="00000000" w:rsidDel="00000000" w:rsidP="00000000" w:rsidRDefault="00000000" w:rsidRPr="00000000" w14:paraId="0000000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Hume famously defines a miracle as "a violation of the laws of nature." He then rephrases the definition, in more explicit words, as "a transgression of a law of nature by a particular volition of the Deity or by the interposition of some invisible agent.</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tl w:val="0"/>
        </w:rPr>
      </w:r>
    </w:p>
    <w:p w:rsidR="00000000" w:rsidDel="00000000" w:rsidP="00000000" w:rsidRDefault="00000000" w:rsidRPr="00000000" w14:paraId="00000006">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key phrase to all of this when Hume writes is that a miracle is a ‘violation’ of nature. What is meant by ‘violation’ in this context is key to Hume’s argument and crucial to deciding on the definition of a miracle, because what Hume means is that a miracle would be violating what we as humanity understand of the world. For instance, it is generally understood that humans can not walk on water, yet if there was an instance of somebody walking on water (as the Bible would suggest that Jesus Christ did), that would violate what we know of the capabilities of people, and thus could be determined as a miracle if the evidence would support that it truly happened.</w:t>
      </w:r>
    </w:p>
    <w:p w:rsidR="00000000" w:rsidDel="00000000" w:rsidP="00000000" w:rsidRDefault="00000000" w:rsidRPr="00000000" w14:paraId="0000000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 similar vein to Hume, Richard Swinburne has a similar view on what could constitute a miracle when he states: “My definition of a miracle is thus approximately the same as Hume's: 'a transgression of a law of nature by a particular violation of the Deity or by the interposition of some invisible agent.'”</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The difference that Swinburne has with Hume’s definition of a miracle is put thusly: </w:t>
      </w:r>
    </w:p>
    <w:p w:rsidR="00000000" w:rsidDel="00000000" w:rsidP="00000000" w:rsidRDefault="00000000" w:rsidRPr="00000000" w14:paraId="0000000A">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if we have good reason to believe that they have occurred and good reason to believe that similar events would occur in similar circumstances, then we have good reason to believe that the formulae which we previously believed to be the laws of nature were not in fact such laws.</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tl w:val="0"/>
        </w:rPr>
      </w:r>
    </w:p>
    <w:p w:rsidR="00000000" w:rsidDel="00000000" w:rsidP="00000000" w:rsidRDefault="00000000" w:rsidRPr="00000000" w14:paraId="0000000C">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can be surmised simply as saying that Swinburne believes that Hume is correct in the definition of a miracle, but not in the practicality that Hume intends it to be, as Swinburne argues that if there is enough evidence for a miraculous event, one cannot deny that the event did not occur. Thus, the rationality of miracles according to Swinburne is dependent on the empirical evidence that such an event happened, whereas Hume focuses on the experience of the miracles that people will speak of. The evidence, or proof, outweighs the rationality, because it decides whether it happened or not.</w:t>
      </w:r>
    </w:p>
    <w:p w:rsidR="00000000" w:rsidDel="00000000" w:rsidP="00000000" w:rsidRDefault="00000000" w:rsidRPr="00000000" w14:paraId="0000000E">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factor that ties heavily into the rationality of miracles is the probability of something miraculous actually happening. With this, Philip Dawid and Donald Gillies looked into how Hume’s account of the rationality of miracles tied into the mathematical probability of such events happening using something known as ‘Bayesian Probability’. Such probability runs as follows:</w:t>
      </w:r>
    </w:p>
    <w:p w:rsidR="00000000" w:rsidDel="00000000" w:rsidP="00000000" w:rsidRDefault="00000000" w:rsidRPr="00000000" w14:paraId="00000010">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probability of Action A is a probability that we know of itself, such as the probability of it raining on a specific day. The probability of this event is fixed in the fact that it is the only factor we know of so far. If we were to say that we knew that it rained the day before, the probability will change. Knowing that it rained the day before is now Action B. Knowing this, the probability of Action A will change, because we now have prior knowledge about what may happen, as it is more likely to rain the day after it has already rained, so Action A’s chances of happening are changed by Action B.</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The probability [P] of A is affected by the knowledge of Action B, so P(A|B). As an equation, it looks like this:</w:t>
      </w:r>
    </w:p>
    <w:p w:rsidR="00000000" w:rsidDel="00000000" w:rsidP="00000000" w:rsidRDefault="00000000" w:rsidRPr="00000000" w14:paraId="00000012">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176588" cy="573551"/>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176588" cy="573551"/>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Dawid and Gillies themselves transcribe this equation to find the probability in winning the lottery. If one were to pick seven completely random numbers for the lottery, there is only an extremely small chance that they would win the jackpot. As a mild counterpoint to this, the numbers that the lottery do end up showing as the winners had just as unlikely of a chance as the ones that were generated randomly.</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Fonts w:ascii="Times New Roman" w:cs="Times New Roman" w:eastAsia="Times New Roman" w:hAnsi="Times New Roman"/>
          <w:sz w:val="24"/>
          <w:szCs w:val="24"/>
          <w:rtl w:val="0"/>
        </w:rPr>
        <w:t xml:space="preserve"> With this, the chances are cancelled out slightly as to whether or not one would win or not, but still extremely unlikely. In the sense of miracles, however, there is no other variable that can cancel out the miracle happening, so therefore it is even more unlikely that a miracle can happen, because there is no valid way in which one can input more data into Bayes Theorem.</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Fonts w:ascii="Times New Roman" w:cs="Times New Roman" w:eastAsia="Times New Roman" w:hAnsi="Times New Roman"/>
          <w:sz w:val="24"/>
          <w:szCs w:val="24"/>
          <w:rtl w:val="0"/>
        </w:rPr>
        <w:t xml:space="preserve"> Dawid and Gillies write:</w:t>
      </w:r>
    </w:p>
    <w:p w:rsidR="00000000" w:rsidDel="00000000" w:rsidP="00000000" w:rsidRDefault="00000000" w:rsidRPr="00000000" w14:paraId="00000016">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Even making the most favourable possible assumptions regarding the reliability of the testimony, the probability of the miracle given that testimony is still too low to make the miracle believable. It looks as if we must conclude that a Bayesian analysis shows Hume's argument concerning miracles to be correct.</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tl w:val="0"/>
        </w:rPr>
      </w:r>
    </w:p>
    <w:p w:rsidR="00000000" w:rsidDel="00000000" w:rsidP="00000000" w:rsidRDefault="00000000" w:rsidRPr="00000000" w14:paraId="0000001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Dawid and Gillie’s paper is saying essentially, is (and is what will be discussed later in the essay) that you are more likely to believe in testimony of miracles if you yourself believe in miracles. The probability of them happening are astronomically low, yet it boils down to belief systems as to whether or not they exist in the eyes of those who have claimed that they have happened.</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tl w:val="0"/>
        </w:rPr>
      </w:r>
    </w:p>
    <w:p w:rsidR="00000000" w:rsidDel="00000000" w:rsidP="00000000" w:rsidRDefault="00000000" w:rsidRPr="00000000" w14:paraId="0000001A">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Testimony is also key to Hume’s account of how miracles are in his view irrational, as he writes “[N]o testimony is sufficient to establish a miracle, unless the testimony be of such a kind, that its falsehood would be more miraculous, than the fact, which it endeavours to establish.”</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Fonts w:ascii="Times New Roman" w:cs="Times New Roman" w:eastAsia="Times New Roman" w:hAnsi="Times New Roman"/>
          <w:sz w:val="24"/>
          <w:szCs w:val="24"/>
          <w:rtl w:val="0"/>
        </w:rPr>
        <w:t xml:space="preserve"> What is established here is that the only evidence that is given to establish that some events are miraculous are the testimonies of those who have seen said event and have called it miraculous. Hume states that this is not enough with this quote. Testimonial evidence falls apart under scientific scrutiny, and thus we must find data that can hold up to emperical data. If it is explained in any other method, it is an explanation that tells us how the event happened, and it is therefore not a miracle, and at most new data for the laws of nature and how they work. John C. Polkinghorne states about the problem with empirical data and miracles as such:</w:t>
      </w:r>
    </w:p>
    <w:p w:rsidR="00000000" w:rsidDel="00000000" w:rsidP="00000000" w:rsidRDefault="00000000" w:rsidRPr="00000000" w14:paraId="0000001C">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essential problem is not scientific in character - for, strictly speaking, science is incapable of adjudicating claims for the occurrence of unique events (though, of course, the extent to which science discerns the existence of normal regularities will certainly encourage the most scrupulous care in assessing assertions that such unique exceptions have taken place). The real problem is theological.</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tl w:val="0"/>
        </w:rPr>
      </w:r>
    </w:p>
    <w:p w:rsidR="00000000" w:rsidDel="00000000" w:rsidP="00000000" w:rsidRDefault="00000000" w:rsidRPr="00000000" w14:paraId="0000001E">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Therefore, the rationality of miracles happening is dependent on the evidence that is provided by those who already believe in God’s existence and therefore God’s powers. The data is grounded in the fact that they believe in the fact a ‘miraculous’ event is as such because of faith, rather than a concrete conclusion created in verifiable scientific data. As discussed earlier, Swinburne also touched on the validity of not only testimony, but any data that would potentially support the existence of miracles by saying that the chances of such evidence proving that a miracle happened being found would be </w:t>
      </w:r>
      <w:r w:rsidDel="00000000" w:rsidR="00000000" w:rsidRPr="00000000">
        <w:rPr>
          <w:rFonts w:ascii="Times New Roman" w:cs="Times New Roman" w:eastAsia="Times New Roman" w:hAnsi="Times New Roman"/>
          <w:i w:val="1"/>
          <w:sz w:val="24"/>
          <w:szCs w:val="24"/>
          <w:rtl w:val="0"/>
        </w:rPr>
        <w:t xml:space="preserve">more </w:t>
      </w:r>
      <w:r w:rsidDel="00000000" w:rsidR="00000000" w:rsidRPr="00000000">
        <w:rPr>
          <w:rFonts w:ascii="Times New Roman" w:cs="Times New Roman" w:eastAsia="Times New Roman" w:hAnsi="Times New Roman"/>
          <w:sz w:val="24"/>
          <w:szCs w:val="24"/>
          <w:rtl w:val="0"/>
        </w:rPr>
        <w:t xml:space="preserve">of a miracle than the miracle itself. In Hume’s own words, it is put thus: </w:t>
      </w:r>
    </w:p>
    <w:p w:rsidR="00000000" w:rsidDel="00000000" w:rsidP="00000000" w:rsidRDefault="00000000" w:rsidRPr="00000000" w14:paraId="00000020">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case against is always of the strongest possible kind: completely consistent experience. So no matter how consistently reliable I have found, in general, the reports of witnesses of an event to be, the evidence on this side can never be stronger than the evidence on the other.</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tl w:val="0"/>
        </w:rPr>
      </w:r>
    </w:p>
    <w:p w:rsidR="00000000" w:rsidDel="00000000" w:rsidP="00000000" w:rsidRDefault="00000000" w:rsidRPr="00000000" w14:paraId="00000022">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can it not be considered that miracles need not be either rational or irrational in order to either exist or at the least, be believed in? R.F. Holland tells of an event that could be construed to be a miracle being perceived as this:</w:t>
      </w:r>
    </w:p>
    <w:p w:rsidR="00000000" w:rsidDel="00000000" w:rsidP="00000000" w:rsidRDefault="00000000" w:rsidRPr="00000000" w14:paraId="00000024">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child riding his toy motor-car strays on to an unguarded railway crossing near his house and a wheel of his car gets stuck down the side of one of the rails. An express train is due to pass with the signals in its favour and a curve in the track makes it impossible for the driver to stop his train in time to avoid any obstruction he might encounter on the crossing. [...] The brakes of the train are applied and it comes to rest a few feet from the child. [...] The driver had fainted, for a reason that had nothing to do with the presence of the child on the line, and the brakes were applied automatically as his hand ceased to exert pressure on the control lever.</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tl w:val="0"/>
        </w:rPr>
      </w:r>
    </w:p>
    <w:p w:rsidR="00000000" w:rsidDel="00000000" w:rsidP="00000000" w:rsidRDefault="00000000" w:rsidRPr="00000000" w14:paraId="00000026">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to whether this outcome (the child escaping unharmed) was the outcome of a miracle is dependent on your definition of a miracle. Holland is going against Hume’s definition of a miracle as being a violation of the laws of nature, stating that the events in his example are nothing more than a coincidence can be perceived to be a miracle if they end in the major benefit of the person on the receiving end. Michael Palmer puts in his book </w:t>
      </w:r>
      <w:r w:rsidDel="00000000" w:rsidR="00000000" w:rsidRPr="00000000">
        <w:rPr>
          <w:rFonts w:ascii="Times New Roman" w:cs="Times New Roman" w:eastAsia="Times New Roman" w:hAnsi="Times New Roman"/>
          <w:i w:val="1"/>
          <w:sz w:val="24"/>
          <w:szCs w:val="24"/>
          <w:rtl w:val="0"/>
        </w:rPr>
        <w:t xml:space="preserve">The Question of God </w:t>
      </w:r>
      <w:r w:rsidDel="00000000" w:rsidR="00000000" w:rsidRPr="00000000">
        <w:rPr>
          <w:rFonts w:ascii="Times New Roman" w:cs="Times New Roman" w:eastAsia="Times New Roman" w:hAnsi="Times New Roman"/>
          <w:sz w:val="24"/>
          <w:szCs w:val="24"/>
          <w:rtl w:val="0"/>
        </w:rPr>
        <w:t xml:space="preserve">that this agrees with Hume’s idea that miracles are not necessarily true in the eyes of people who provide belief in miracles. Palmer notes that the mother continued to praise God for the miracle even after the rational explanation of what had occurred.</w:t>
      </w:r>
      <w:r w:rsidDel="00000000" w:rsidR="00000000" w:rsidRPr="00000000">
        <w:rPr>
          <w:rFonts w:ascii="Times New Roman" w:cs="Times New Roman" w:eastAsia="Times New Roman" w:hAnsi="Times New Roman"/>
          <w:sz w:val="24"/>
          <w:szCs w:val="24"/>
          <w:vertAlign w:val="superscript"/>
        </w:rPr>
        <w:footnoteReference w:customMarkFollows="0" w:id="13"/>
      </w:r>
      <w:r w:rsidDel="00000000" w:rsidR="00000000" w:rsidRPr="00000000">
        <w:rPr>
          <w:rFonts w:ascii="Times New Roman" w:cs="Times New Roman" w:eastAsia="Times New Roman" w:hAnsi="Times New Roman"/>
          <w:sz w:val="24"/>
          <w:szCs w:val="24"/>
          <w:rtl w:val="0"/>
        </w:rPr>
        <w:t xml:space="preserve"> It is not an </w:t>
      </w:r>
      <w:r w:rsidDel="00000000" w:rsidR="00000000" w:rsidRPr="00000000">
        <w:rPr>
          <w:rFonts w:ascii="Times New Roman" w:cs="Times New Roman" w:eastAsia="Times New Roman" w:hAnsi="Times New Roman"/>
          <w:i w:val="1"/>
          <w:sz w:val="24"/>
          <w:szCs w:val="24"/>
          <w:rtl w:val="0"/>
        </w:rPr>
        <w:t xml:space="preserve">a priori </w:t>
      </w:r>
      <w:r w:rsidDel="00000000" w:rsidR="00000000" w:rsidRPr="00000000">
        <w:rPr>
          <w:rFonts w:ascii="Times New Roman" w:cs="Times New Roman" w:eastAsia="Times New Roman" w:hAnsi="Times New Roman"/>
          <w:sz w:val="24"/>
          <w:szCs w:val="24"/>
          <w:rtl w:val="0"/>
        </w:rPr>
        <w:t xml:space="preserve">argument that miracles are things that occur that cannot be explained truly, as Hume suggests, according to Palmer’s analysis of Holland.</w:t>
      </w:r>
      <w:r w:rsidDel="00000000" w:rsidR="00000000" w:rsidRPr="00000000">
        <w:rPr>
          <w:rFonts w:ascii="Times New Roman" w:cs="Times New Roman" w:eastAsia="Times New Roman" w:hAnsi="Times New Roman"/>
          <w:sz w:val="24"/>
          <w:szCs w:val="24"/>
          <w:vertAlign w:val="superscript"/>
        </w:rPr>
        <w:footnoteReference w:customMarkFollows="0" w:id="14"/>
      </w:r>
      <w:r w:rsidDel="00000000" w:rsidR="00000000" w:rsidRPr="00000000">
        <w:rPr>
          <w:rFonts w:ascii="Times New Roman" w:cs="Times New Roman" w:eastAsia="Times New Roman" w:hAnsi="Times New Roman"/>
          <w:sz w:val="24"/>
          <w:szCs w:val="24"/>
          <w:rtl w:val="0"/>
        </w:rPr>
        <w:t xml:space="preserve"> Therefore, Hume could potentially show us about the rationality of the belief in miracles in one sense, but Holland’s example provides a new definition that is different to Hume, which therefore may cast doubt on Hume’s credibility. Not necessarily in his conclusion, but rather the validity of his argument in which he got to that conclusion.</w:t>
      </w:r>
    </w:p>
    <w:p w:rsidR="00000000" w:rsidDel="00000000" w:rsidP="00000000" w:rsidRDefault="00000000" w:rsidRPr="00000000" w14:paraId="0000002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response to Hume is in Antony Flew, who developed John Wisdom’s concept of </w:t>
      </w:r>
      <w:r w:rsidDel="00000000" w:rsidR="00000000" w:rsidRPr="00000000">
        <w:rPr>
          <w:rFonts w:ascii="Times New Roman" w:cs="Times New Roman" w:eastAsia="Times New Roman" w:hAnsi="Times New Roman"/>
          <w:i w:val="1"/>
          <w:sz w:val="24"/>
          <w:szCs w:val="24"/>
          <w:rtl w:val="0"/>
        </w:rPr>
        <w:t xml:space="preserve">The Invisible Gardener. </w:t>
      </w:r>
      <w:r w:rsidDel="00000000" w:rsidR="00000000" w:rsidRPr="00000000">
        <w:rPr>
          <w:rFonts w:ascii="Times New Roman" w:cs="Times New Roman" w:eastAsia="Times New Roman" w:hAnsi="Times New Roman"/>
          <w:sz w:val="24"/>
          <w:szCs w:val="24"/>
          <w:rtl w:val="0"/>
        </w:rPr>
        <w:t xml:space="preserve">The premise is that people of a scientific and analytical mind could attempt to explain the workings as to how plants can survive and thrive on earth to a person of belief and a theological mind. The theological person would claim that it is not science that explains the existence of plants, it is instead God’s intervention, acting as an invisible gardener tending to the world in a consistent and loving manner. If the scientific person were to explain the process of the seasons to the believer, then the believer would again argue that is God that set the seasons into motion so that ‘God’s garden’ may be tended as such. If then, the scientific person were to therefore explain the process of how the process of the seasons is purely analytical and based in data, the believer would take a further step back and still claim that this, still, would be God working to tend to the garden.</w:t>
      </w:r>
      <w:r w:rsidDel="00000000" w:rsidR="00000000" w:rsidRPr="00000000">
        <w:rPr>
          <w:rFonts w:ascii="Times New Roman" w:cs="Times New Roman" w:eastAsia="Times New Roman" w:hAnsi="Times New Roman"/>
          <w:sz w:val="24"/>
          <w:szCs w:val="24"/>
          <w:vertAlign w:val="superscript"/>
        </w:rPr>
        <w:footnoteReference w:customMarkFollows="0" w:id="15"/>
      </w:r>
      <w:r w:rsidDel="00000000" w:rsidR="00000000" w:rsidRPr="00000000">
        <w:rPr>
          <w:rtl w:val="0"/>
        </w:rPr>
      </w:r>
    </w:p>
    <w:p w:rsidR="00000000" w:rsidDel="00000000" w:rsidP="00000000" w:rsidRDefault="00000000" w:rsidRPr="00000000" w14:paraId="0000002A">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constant moving back to explain things as being the works of God is known as the believers dying a ‘death by a thousand qualifications’, as they constantly use the rhetoric of any scientific data being found to be the works of a divine nature. This links to the concept of miracles because of Holland’s example. The mother in the tale had already had a rational explanation as to why her son was saved, but still continues to praise God as if it was God’s intervention that saved him, as opposed to the lucky coincidences that explain it easily. They qualify this reasoning as still being divine. </w:t>
      </w:r>
    </w:p>
    <w:p w:rsidR="00000000" w:rsidDel="00000000" w:rsidP="00000000" w:rsidRDefault="00000000" w:rsidRPr="00000000" w14:paraId="0000002C">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then leads to the main question that hinges upon Hume’s argument and whether it is valid or not. Do miracles have to be </w:t>
      </w:r>
      <w:r w:rsidDel="00000000" w:rsidR="00000000" w:rsidRPr="00000000">
        <w:rPr>
          <w:rFonts w:ascii="Times New Roman" w:cs="Times New Roman" w:eastAsia="Times New Roman" w:hAnsi="Times New Roman"/>
          <w:i w:val="1"/>
          <w:sz w:val="24"/>
          <w:szCs w:val="24"/>
          <w:rtl w:val="0"/>
        </w:rPr>
        <w:t xml:space="preserve">explained </w:t>
      </w:r>
      <w:r w:rsidDel="00000000" w:rsidR="00000000" w:rsidRPr="00000000">
        <w:rPr>
          <w:rFonts w:ascii="Times New Roman" w:cs="Times New Roman" w:eastAsia="Times New Roman" w:hAnsi="Times New Roman"/>
          <w:sz w:val="24"/>
          <w:szCs w:val="24"/>
          <w:rtl w:val="0"/>
        </w:rPr>
        <w:t xml:space="preserve">in order for people to believe in them in a valid manner? This is now a question not of whether miracles are rational, but whether faith supersedes rationality, even with concepts such as miracles. Testimonial evidence, previously critiqued by Swinburne and especially Hume, now could be seen as potentially a good way to define the existence of miracles. It is the person who believes in the miracle who defines what is a miracle. As Wittgenstein said about the concept of religion:</w:t>
      </w:r>
    </w:p>
    <w:p w:rsidR="00000000" w:rsidDel="00000000" w:rsidP="00000000" w:rsidRDefault="00000000" w:rsidRPr="00000000" w14:paraId="0000002E">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strikes me that a religious belief could only be something like a passionate commitment to a system of reference. Hence, although it’s belief, it’s really a way of living, or a way of assessing life. It’s passionately seizing hold of this interpretation. Instruction in a religious faith, therefore, would have to take the form of a portrayal, a description, of that system of reference, while at the same time being an appeal to conscience.</w:t>
      </w:r>
      <w:r w:rsidDel="00000000" w:rsidR="00000000" w:rsidRPr="00000000">
        <w:rPr>
          <w:rFonts w:ascii="Times New Roman" w:cs="Times New Roman" w:eastAsia="Times New Roman" w:hAnsi="Times New Roman"/>
          <w:sz w:val="24"/>
          <w:szCs w:val="24"/>
          <w:vertAlign w:val="superscript"/>
        </w:rPr>
        <w:footnoteReference w:customMarkFollows="0" w:id="16"/>
      </w:r>
      <w:r w:rsidDel="00000000" w:rsidR="00000000" w:rsidRPr="00000000">
        <w:rPr>
          <w:rtl w:val="0"/>
        </w:rPr>
      </w:r>
    </w:p>
    <w:p w:rsidR="00000000" w:rsidDel="00000000" w:rsidP="00000000" w:rsidRDefault="00000000" w:rsidRPr="00000000" w14:paraId="00000030">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Thus, attempting to qualify miracles and arguing the rationality, if one were to follow Wittgenstein’s approach that religion is more a concept on the way of life as opposed to a set regime, is futile, as one would have to accept that it is within the faith of the believer, and faith is often non-rational. </w:t>
      </w:r>
    </w:p>
    <w:p w:rsidR="00000000" w:rsidDel="00000000" w:rsidP="00000000" w:rsidRDefault="00000000" w:rsidRPr="00000000" w14:paraId="00000032">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ind w:left="0" w:firstLine="0"/>
        <w:jc w:val="both"/>
        <w:rPr/>
      </w:pPr>
      <w:r w:rsidDel="00000000" w:rsidR="00000000" w:rsidRPr="00000000">
        <w:rPr>
          <w:rFonts w:ascii="Times New Roman" w:cs="Times New Roman" w:eastAsia="Times New Roman" w:hAnsi="Times New Roman"/>
          <w:sz w:val="24"/>
          <w:szCs w:val="24"/>
          <w:rtl w:val="0"/>
        </w:rPr>
        <w:t xml:space="preserve">Also, it could potentially be argued that any belief that people may have in miracles in any sense presupposes the existence (or belief) of God in the first place. If this is the case, then miracles do not have the prevailing theory that they prove the existence of God, as Hume is trying to suggest. Suggesting something is a miracle is suggesting that it is already an intervention from a divine being helping those on earth in any such way. This does not </w:t>
      </w:r>
      <w:r w:rsidDel="00000000" w:rsidR="00000000" w:rsidRPr="00000000">
        <w:rPr>
          <w:rFonts w:ascii="Times New Roman" w:cs="Times New Roman" w:eastAsia="Times New Roman" w:hAnsi="Times New Roman"/>
          <w:i w:val="1"/>
          <w:sz w:val="24"/>
          <w:szCs w:val="24"/>
          <w:rtl w:val="0"/>
        </w:rPr>
        <w:t xml:space="preserve">prove </w:t>
      </w:r>
      <w:r w:rsidDel="00000000" w:rsidR="00000000" w:rsidRPr="00000000">
        <w:rPr>
          <w:rFonts w:ascii="Times New Roman" w:cs="Times New Roman" w:eastAsia="Times New Roman" w:hAnsi="Times New Roman"/>
          <w:sz w:val="24"/>
          <w:szCs w:val="24"/>
          <w:rtl w:val="0"/>
        </w:rPr>
        <w:t xml:space="preserve">God and instil belief, it rather </w:t>
      </w:r>
      <w:r w:rsidDel="00000000" w:rsidR="00000000" w:rsidRPr="00000000">
        <w:rPr>
          <w:rFonts w:ascii="Times New Roman" w:cs="Times New Roman" w:eastAsia="Times New Roman" w:hAnsi="Times New Roman"/>
          <w:i w:val="1"/>
          <w:sz w:val="24"/>
          <w:szCs w:val="24"/>
          <w:rtl w:val="0"/>
        </w:rPr>
        <w:t xml:space="preserve">reaffirms </w:t>
      </w:r>
      <w:r w:rsidDel="00000000" w:rsidR="00000000" w:rsidRPr="00000000">
        <w:rPr>
          <w:rFonts w:ascii="Times New Roman" w:cs="Times New Roman" w:eastAsia="Times New Roman" w:hAnsi="Times New Roman"/>
          <w:sz w:val="24"/>
          <w:szCs w:val="24"/>
          <w:rtl w:val="0"/>
        </w:rPr>
        <w:t xml:space="preserve">previous beliefs for those who had </w:t>
      </w:r>
      <w:r w:rsidDel="00000000" w:rsidR="00000000" w:rsidRPr="00000000">
        <w:rPr>
          <w:rFonts w:ascii="Times New Roman" w:cs="Times New Roman" w:eastAsia="Times New Roman" w:hAnsi="Times New Roman"/>
          <w:i w:val="1"/>
          <w:sz w:val="24"/>
          <w:szCs w:val="24"/>
          <w:rtl w:val="0"/>
        </w:rPr>
        <w:t xml:space="preserve">already </w:t>
      </w:r>
      <w:r w:rsidDel="00000000" w:rsidR="00000000" w:rsidRPr="00000000">
        <w:rPr>
          <w:rFonts w:ascii="Times New Roman" w:cs="Times New Roman" w:eastAsia="Times New Roman" w:hAnsi="Times New Roman"/>
          <w:sz w:val="24"/>
          <w:szCs w:val="24"/>
          <w:rtl w:val="0"/>
        </w:rPr>
        <w:t xml:space="preserve">had a belief in God or a divine being.</w:t>
      </w:r>
      <w:r w:rsidDel="00000000" w:rsidR="00000000" w:rsidRPr="00000000">
        <w:rPr>
          <w:rtl w:val="0"/>
        </w:rPr>
      </w:r>
    </w:p>
    <w:p w:rsidR="00000000" w:rsidDel="00000000" w:rsidP="00000000" w:rsidRDefault="00000000" w:rsidRPr="00000000" w14:paraId="00000034">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conclusion, Hume may be right in the way of how miracles are not rational, and others have mathematically proved that in a sense, but it is not the point of miracles. Hume has defined miracles in a valid method, but he has not completely disproved them due to their supposed irrationality, because it is down to faith as to whether they should be validated or not. Miracles presuppose the existence of a divine being, and therefore the rationality is not the factor that needs to be explored in terms of defining miracles. It is the faith behind it, and faith is non-rational most of the time, meaning that Hume shows us perfectly about the rationality of miracles and how they are scientifically, mathematically and analytically illogical. However, this is irrelevant. Miracles go through faith; faith is not rational, nor is it irrational. Faith is not underscored by reason.</w:t>
      </w:r>
      <w:r w:rsidDel="00000000" w:rsidR="00000000" w:rsidRPr="00000000">
        <w:br w:type="page"/>
      </w:r>
      <w:r w:rsidDel="00000000" w:rsidR="00000000" w:rsidRPr="00000000">
        <w:rPr>
          <w:rtl w:val="0"/>
        </w:rPr>
      </w:r>
    </w:p>
    <w:p w:rsidR="00000000" w:rsidDel="00000000" w:rsidP="00000000" w:rsidRDefault="00000000" w:rsidRPr="00000000" w14:paraId="00000036">
      <w:pPr>
        <w:keepNext w:val="0"/>
        <w:keepLines w:val="0"/>
        <w:spacing w:after="80" w:before="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References</w:t>
      </w:r>
    </w:p>
    <w:p w:rsidR="00000000" w:rsidDel="00000000" w:rsidP="00000000" w:rsidRDefault="00000000" w:rsidRPr="00000000" w14:paraId="00000037">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Clarke, Steve, "Hume's Definition Of Miracles Revised", </w:t>
      </w:r>
      <w:r w:rsidDel="00000000" w:rsidR="00000000" w:rsidRPr="00000000">
        <w:rPr>
          <w:rFonts w:ascii="Times New Roman" w:cs="Times New Roman" w:eastAsia="Times New Roman" w:hAnsi="Times New Roman"/>
          <w:i w:val="1"/>
          <w:sz w:val="24"/>
          <w:szCs w:val="24"/>
          <w:rtl w:val="0"/>
        </w:rPr>
        <w:t xml:space="preserve">American Philosophical Quarterly</w:t>
      </w:r>
      <w:r w:rsidDel="00000000" w:rsidR="00000000" w:rsidRPr="00000000">
        <w:rPr>
          <w:rFonts w:ascii="Times New Roman" w:cs="Times New Roman" w:eastAsia="Times New Roman" w:hAnsi="Times New Roman"/>
          <w:sz w:val="24"/>
          <w:szCs w:val="24"/>
          <w:rtl w:val="0"/>
        </w:rPr>
        <w:t xml:space="preserve">, 36 (1999), 49-57</w:t>
      </w:r>
    </w:p>
    <w:p w:rsidR="00000000" w:rsidDel="00000000" w:rsidP="00000000" w:rsidRDefault="00000000" w:rsidRPr="00000000" w14:paraId="00000038">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Dawid, Philip, and Donald Gillies, "A Bayesian Analysis Of Hume's Argument Concerning Miracles", </w:t>
      </w:r>
      <w:r w:rsidDel="00000000" w:rsidR="00000000" w:rsidRPr="00000000">
        <w:rPr>
          <w:rFonts w:ascii="Times New Roman" w:cs="Times New Roman" w:eastAsia="Times New Roman" w:hAnsi="Times New Roman"/>
          <w:i w:val="1"/>
          <w:sz w:val="24"/>
          <w:szCs w:val="24"/>
          <w:rtl w:val="0"/>
        </w:rPr>
        <w:t xml:space="preserve">The Philosophical Quarterly</w:t>
      </w:r>
      <w:r w:rsidDel="00000000" w:rsidR="00000000" w:rsidRPr="00000000">
        <w:rPr>
          <w:rFonts w:ascii="Times New Roman" w:cs="Times New Roman" w:eastAsia="Times New Roman" w:hAnsi="Times New Roman"/>
          <w:sz w:val="24"/>
          <w:szCs w:val="24"/>
          <w:rtl w:val="0"/>
        </w:rPr>
        <w:t xml:space="preserve">, 39 (1989), 57-65</w:t>
      </w:r>
    </w:p>
    <w:p w:rsidR="00000000" w:rsidDel="00000000" w:rsidP="00000000" w:rsidRDefault="00000000" w:rsidRPr="00000000" w14:paraId="00000039">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Holland, R. F., "The Miraculous", </w:t>
      </w:r>
      <w:r w:rsidDel="00000000" w:rsidR="00000000" w:rsidRPr="00000000">
        <w:rPr>
          <w:rFonts w:ascii="Times New Roman" w:cs="Times New Roman" w:eastAsia="Times New Roman" w:hAnsi="Times New Roman"/>
          <w:i w:val="1"/>
          <w:sz w:val="24"/>
          <w:szCs w:val="24"/>
          <w:rtl w:val="0"/>
        </w:rPr>
        <w:t xml:space="preserve">American Philosophical Quarterly</w:t>
      </w:r>
      <w:r w:rsidDel="00000000" w:rsidR="00000000" w:rsidRPr="00000000">
        <w:rPr>
          <w:rFonts w:ascii="Times New Roman" w:cs="Times New Roman" w:eastAsia="Times New Roman" w:hAnsi="Times New Roman"/>
          <w:sz w:val="24"/>
          <w:szCs w:val="24"/>
          <w:rtl w:val="0"/>
        </w:rPr>
        <w:t xml:space="preserve">, 2 (1965), 43-51</w:t>
      </w:r>
    </w:p>
    <w:p w:rsidR="00000000" w:rsidDel="00000000" w:rsidP="00000000" w:rsidRDefault="00000000" w:rsidRPr="00000000" w14:paraId="0000003A">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Hume, David, </w:t>
      </w:r>
      <w:r w:rsidDel="00000000" w:rsidR="00000000" w:rsidRPr="00000000">
        <w:rPr>
          <w:rFonts w:ascii="Times New Roman" w:cs="Times New Roman" w:eastAsia="Times New Roman" w:hAnsi="Times New Roman"/>
          <w:i w:val="1"/>
          <w:sz w:val="24"/>
          <w:szCs w:val="24"/>
          <w:rtl w:val="0"/>
        </w:rPr>
        <w:t xml:space="preserve">An Enquiry Concerning Human Understanding</w:t>
      </w:r>
      <w:r w:rsidDel="00000000" w:rsidR="00000000" w:rsidRPr="00000000">
        <w:rPr>
          <w:rFonts w:ascii="Times New Roman" w:cs="Times New Roman" w:eastAsia="Times New Roman" w:hAnsi="Times New Roman"/>
          <w:sz w:val="24"/>
          <w:szCs w:val="24"/>
          <w:rtl w:val="0"/>
        </w:rPr>
        <w:t xml:space="preserve"> (La Selle: Open Court, 1988), p. 147</w:t>
      </w:r>
    </w:p>
    <w:p w:rsidR="00000000" w:rsidDel="00000000" w:rsidP="00000000" w:rsidRDefault="00000000" w:rsidRPr="00000000" w14:paraId="0000003B">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Palmer, Michael, </w:t>
      </w:r>
      <w:r w:rsidDel="00000000" w:rsidR="00000000" w:rsidRPr="00000000">
        <w:rPr>
          <w:rFonts w:ascii="Times New Roman" w:cs="Times New Roman" w:eastAsia="Times New Roman" w:hAnsi="Times New Roman"/>
          <w:i w:val="1"/>
          <w:sz w:val="24"/>
          <w:szCs w:val="24"/>
          <w:rtl w:val="0"/>
        </w:rPr>
        <w:t xml:space="preserve">The Question Of God: An Introductory Commentary And Sourcebook</w:t>
      </w:r>
      <w:r w:rsidDel="00000000" w:rsidR="00000000" w:rsidRPr="00000000">
        <w:rPr>
          <w:rFonts w:ascii="Times New Roman" w:cs="Times New Roman" w:eastAsia="Times New Roman" w:hAnsi="Times New Roman"/>
          <w:sz w:val="24"/>
          <w:szCs w:val="24"/>
          <w:rtl w:val="0"/>
        </w:rPr>
        <w:t xml:space="preserve">(London: Routledge), p. 198</w:t>
      </w:r>
    </w:p>
    <w:p w:rsidR="00000000" w:rsidDel="00000000" w:rsidP="00000000" w:rsidRDefault="00000000" w:rsidRPr="00000000" w14:paraId="0000003C">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Polkinghorne, John C., "The Credibility Of The Miraculous", </w:t>
      </w:r>
      <w:r w:rsidDel="00000000" w:rsidR="00000000" w:rsidRPr="00000000">
        <w:rPr>
          <w:rFonts w:ascii="Times New Roman" w:cs="Times New Roman" w:eastAsia="Times New Roman" w:hAnsi="Times New Roman"/>
          <w:i w:val="1"/>
          <w:sz w:val="24"/>
          <w:szCs w:val="24"/>
          <w:rtl w:val="0"/>
        </w:rPr>
        <w:t xml:space="preserve">Zygon</w:t>
      </w:r>
      <w:r w:rsidDel="00000000" w:rsidR="00000000" w:rsidRPr="00000000">
        <w:rPr>
          <w:rFonts w:ascii="Times New Roman" w:cs="Times New Roman" w:eastAsia="Times New Roman" w:hAnsi="Times New Roman"/>
          <w:sz w:val="24"/>
          <w:szCs w:val="24"/>
          <w:rtl w:val="0"/>
        </w:rPr>
        <w:t xml:space="preserve">, 37 (2002), 751-757</w:t>
      </w:r>
    </w:p>
    <w:p w:rsidR="00000000" w:rsidDel="00000000" w:rsidP="00000000" w:rsidRDefault="00000000" w:rsidRPr="00000000" w14:paraId="0000003D">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Swinburne, Richard, "Miracles", </w:t>
      </w:r>
      <w:r w:rsidDel="00000000" w:rsidR="00000000" w:rsidRPr="00000000">
        <w:rPr>
          <w:rFonts w:ascii="Times New Roman" w:cs="Times New Roman" w:eastAsia="Times New Roman" w:hAnsi="Times New Roman"/>
          <w:i w:val="1"/>
          <w:sz w:val="24"/>
          <w:szCs w:val="24"/>
          <w:rtl w:val="0"/>
        </w:rPr>
        <w:t xml:space="preserve">The Philosophical Quarterly</w:t>
      </w:r>
      <w:r w:rsidDel="00000000" w:rsidR="00000000" w:rsidRPr="00000000">
        <w:rPr>
          <w:rFonts w:ascii="Times New Roman" w:cs="Times New Roman" w:eastAsia="Times New Roman" w:hAnsi="Times New Roman"/>
          <w:sz w:val="24"/>
          <w:szCs w:val="24"/>
          <w:rtl w:val="0"/>
        </w:rPr>
        <w:t xml:space="preserve">, 18 (1968), 320-328</w:t>
      </w:r>
    </w:p>
    <w:p w:rsidR="00000000" w:rsidDel="00000000" w:rsidP="00000000" w:rsidRDefault="00000000" w:rsidRPr="00000000" w14:paraId="0000003E">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Wittgenstein, Ludwig, and (Trans. Georg Henrik von Wright), </w:t>
      </w:r>
      <w:r w:rsidDel="00000000" w:rsidR="00000000" w:rsidRPr="00000000">
        <w:rPr>
          <w:rFonts w:ascii="Times New Roman" w:cs="Times New Roman" w:eastAsia="Times New Roman" w:hAnsi="Times New Roman"/>
          <w:i w:val="1"/>
          <w:sz w:val="24"/>
          <w:szCs w:val="24"/>
          <w:rtl w:val="0"/>
        </w:rPr>
        <w:t xml:space="preserve">Culture And Value</w:t>
      </w:r>
      <w:r w:rsidDel="00000000" w:rsidR="00000000" w:rsidRPr="00000000">
        <w:rPr>
          <w:rFonts w:ascii="Times New Roman" w:cs="Times New Roman" w:eastAsia="Times New Roman" w:hAnsi="Times New Roman"/>
          <w:sz w:val="24"/>
          <w:szCs w:val="24"/>
          <w:rtl w:val="0"/>
        </w:rPr>
        <w:t xml:space="preserve"> (Chicago: Chicago Univ. Press, 2006), p. 67</w:t>
      </w:r>
    </w:p>
    <w:p w:rsidR="00000000" w:rsidDel="00000000" w:rsidP="00000000" w:rsidRDefault="00000000" w:rsidRPr="00000000" w14:paraId="0000003F">
      <w:pPr>
        <w:jc w:val="both"/>
        <w:rPr>
          <w:rFonts w:ascii="Times New Roman" w:cs="Times New Roman" w:eastAsia="Times New Roman" w:hAnsi="Times New Roman"/>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Steve Clarke, "Hume's Definition Of Miracles Revised", </w:t>
      </w:r>
      <w:r w:rsidDel="00000000" w:rsidR="00000000" w:rsidRPr="00000000">
        <w:rPr>
          <w:i w:val="1"/>
          <w:sz w:val="20"/>
          <w:szCs w:val="20"/>
          <w:highlight w:val="white"/>
          <w:rtl w:val="0"/>
        </w:rPr>
        <w:t xml:space="preserve">American Philosophical Quarterly</w:t>
      </w:r>
      <w:r w:rsidDel="00000000" w:rsidR="00000000" w:rsidRPr="00000000">
        <w:rPr>
          <w:sz w:val="20"/>
          <w:szCs w:val="20"/>
          <w:highlight w:val="white"/>
          <w:rtl w:val="0"/>
        </w:rPr>
        <w:t xml:space="preserve">, 36.1 (1999), 49-57.</w:t>
      </w:r>
      <w:r w:rsidDel="00000000" w:rsidR="00000000" w:rsidRPr="00000000">
        <w:rPr>
          <w:rtl w:val="0"/>
        </w:rPr>
      </w:r>
    </w:p>
  </w:footnote>
  <w:footnote w:id="2">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Richard Swinburne, "Miracles", </w:t>
      </w:r>
      <w:r w:rsidDel="00000000" w:rsidR="00000000" w:rsidRPr="00000000">
        <w:rPr>
          <w:i w:val="1"/>
          <w:sz w:val="20"/>
          <w:szCs w:val="20"/>
          <w:highlight w:val="white"/>
          <w:rtl w:val="0"/>
        </w:rPr>
        <w:t xml:space="preserve">The Philosophical Quarterly</w:t>
      </w:r>
      <w:r w:rsidDel="00000000" w:rsidR="00000000" w:rsidRPr="00000000">
        <w:rPr>
          <w:sz w:val="20"/>
          <w:szCs w:val="20"/>
          <w:highlight w:val="white"/>
          <w:rtl w:val="0"/>
        </w:rPr>
        <w:t xml:space="preserve">, 18.73 (1968), 320-328.</w:t>
      </w:r>
      <w:r w:rsidDel="00000000" w:rsidR="00000000" w:rsidRPr="00000000">
        <w:rPr>
          <w:rtl w:val="0"/>
        </w:rPr>
      </w:r>
    </w:p>
  </w:footnote>
  <w:footnote w:id="3">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r w:rsidDel="00000000" w:rsidR="00000000" w:rsidRPr="00000000">
        <w:rPr>
          <w:sz w:val="20"/>
          <w:szCs w:val="20"/>
          <w:rtl w:val="0"/>
        </w:rPr>
        <w:t xml:space="preserve">.</w:t>
      </w:r>
    </w:p>
  </w:footnote>
  <w:footnote w:id="1">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David Hume, </w:t>
      </w:r>
      <w:r w:rsidDel="00000000" w:rsidR="00000000" w:rsidRPr="00000000">
        <w:rPr>
          <w:i w:val="1"/>
          <w:sz w:val="20"/>
          <w:szCs w:val="20"/>
          <w:highlight w:val="white"/>
          <w:rtl w:val="0"/>
        </w:rPr>
        <w:t xml:space="preserve">An Enquiry Concerning Human Understanding</w:t>
      </w:r>
      <w:r w:rsidDel="00000000" w:rsidR="00000000" w:rsidRPr="00000000">
        <w:rPr>
          <w:sz w:val="20"/>
          <w:szCs w:val="20"/>
          <w:highlight w:val="white"/>
          <w:rtl w:val="0"/>
        </w:rPr>
        <w:t xml:space="preserve"> (La Selle: Open Court, 1988), p. 147.</w:t>
      </w:r>
      <w:r w:rsidDel="00000000" w:rsidR="00000000" w:rsidRPr="00000000">
        <w:rPr>
          <w:rtl w:val="0"/>
        </w:rPr>
      </w:r>
    </w:p>
  </w:footnote>
  <w:footnote w:id="4">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Philip Dawid and Donald Gillies, "A Bayesian Analysis Of Hume's Argument Concerning Miracles", </w:t>
      </w:r>
      <w:r w:rsidDel="00000000" w:rsidR="00000000" w:rsidRPr="00000000">
        <w:rPr>
          <w:i w:val="1"/>
          <w:sz w:val="20"/>
          <w:szCs w:val="20"/>
          <w:highlight w:val="white"/>
          <w:rtl w:val="0"/>
        </w:rPr>
        <w:t xml:space="preserve">The Philosophical Quarterly</w:t>
      </w:r>
      <w:r w:rsidDel="00000000" w:rsidR="00000000" w:rsidRPr="00000000">
        <w:rPr>
          <w:sz w:val="20"/>
          <w:szCs w:val="20"/>
          <w:highlight w:val="white"/>
          <w:rtl w:val="0"/>
        </w:rPr>
        <w:t xml:space="preserve">, 39.154 (1989), 57-65.</w:t>
      </w:r>
      <w:r w:rsidDel="00000000" w:rsidR="00000000" w:rsidRPr="00000000">
        <w:rPr>
          <w:rtl w:val="0"/>
        </w:rPr>
      </w:r>
    </w:p>
  </w:footnote>
  <w:footnote w:id="6">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r w:rsidDel="00000000" w:rsidR="00000000" w:rsidRPr="00000000">
        <w:rPr>
          <w:sz w:val="20"/>
          <w:szCs w:val="20"/>
          <w:rtl w:val="0"/>
        </w:rPr>
        <w:t xml:space="preserve">.</w:t>
      </w:r>
    </w:p>
  </w:footnote>
  <w:footnote w:id="7">
    <w:p w:rsidR="00000000" w:rsidDel="00000000" w:rsidP="00000000" w:rsidRDefault="00000000" w:rsidRPr="00000000" w14:paraId="00000046">
      <w:pPr>
        <w:spacing w:line="240" w:lineRule="auto"/>
        <w:rPr>
          <w:i w:val="1"/>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ibid.</w:t>
      </w:r>
    </w:p>
  </w:footnote>
  <w:footnote w:id="9">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Hume; </w:t>
      </w:r>
      <w:r w:rsidDel="00000000" w:rsidR="00000000" w:rsidRPr="00000000">
        <w:rPr>
          <w:i w:val="1"/>
          <w:sz w:val="20"/>
          <w:szCs w:val="20"/>
          <w:rtl w:val="0"/>
        </w:rPr>
        <w:t xml:space="preserve">An Enquiry, </w:t>
      </w:r>
      <w:r w:rsidDel="00000000" w:rsidR="00000000" w:rsidRPr="00000000">
        <w:rPr>
          <w:sz w:val="20"/>
          <w:szCs w:val="20"/>
          <w:rtl w:val="0"/>
        </w:rPr>
        <w:t xml:space="preserve">(1988)</w:t>
      </w:r>
    </w:p>
  </w:footnote>
  <w:footnote w:id="10">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John C. Polkinghorne, "The Credibility Of The Miraculous", </w:t>
      </w:r>
      <w:r w:rsidDel="00000000" w:rsidR="00000000" w:rsidRPr="00000000">
        <w:rPr>
          <w:i w:val="1"/>
          <w:sz w:val="20"/>
          <w:szCs w:val="20"/>
          <w:highlight w:val="white"/>
          <w:rtl w:val="0"/>
        </w:rPr>
        <w:t xml:space="preserve">Zygon</w:t>
      </w:r>
      <w:r w:rsidDel="00000000" w:rsidR="00000000" w:rsidRPr="00000000">
        <w:rPr>
          <w:sz w:val="20"/>
          <w:szCs w:val="20"/>
          <w:highlight w:val="white"/>
          <w:rtl w:val="0"/>
        </w:rPr>
        <w:t xml:space="preserve">, 37.3 (2002), 751-757.</w:t>
      </w:r>
      <w:r w:rsidDel="00000000" w:rsidR="00000000" w:rsidRPr="00000000">
        <w:rPr>
          <w:rtl w:val="0"/>
        </w:rPr>
      </w:r>
    </w:p>
  </w:footnote>
  <w:footnote w:id="11">
    <w:p w:rsidR="00000000" w:rsidDel="00000000" w:rsidP="00000000" w:rsidRDefault="00000000" w:rsidRPr="00000000" w14:paraId="00000049">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Hume, </w:t>
      </w:r>
      <w:r w:rsidDel="00000000" w:rsidR="00000000" w:rsidRPr="00000000">
        <w:rPr>
          <w:i w:val="1"/>
          <w:sz w:val="20"/>
          <w:szCs w:val="20"/>
          <w:rtl w:val="0"/>
        </w:rPr>
        <w:t xml:space="preserve">Enquiry</w:t>
      </w:r>
    </w:p>
  </w:footnote>
  <w:footnote w:id="12">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R. F. Holland, "The Miraculous", </w:t>
      </w:r>
      <w:r w:rsidDel="00000000" w:rsidR="00000000" w:rsidRPr="00000000">
        <w:rPr>
          <w:i w:val="1"/>
          <w:sz w:val="20"/>
          <w:szCs w:val="20"/>
          <w:highlight w:val="white"/>
          <w:rtl w:val="0"/>
        </w:rPr>
        <w:t xml:space="preserve">American Philosophical Quarterly</w:t>
      </w:r>
      <w:r w:rsidDel="00000000" w:rsidR="00000000" w:rsidRPr="00000000">
        <w:rPr>
          <w:sz w:val="20"/>
          <w:szCs w:val="20"/>
          <w:highlight w:val="white"/>
          <w:rtl w:val="0"/>
        </w:rPr>
        <w:t xml:space="preserve">, 2.1 (1965), 43-51.</w:t>
      </w:r>
      <w:r w:rsidDel="00000000" w:rsidR="00000000" w:rsidRPr="00000000">
        <w:rPr>
          <w:rtl w:val="0"/>
        </w:rPr>
      </w:r>
    </w:p>
  </w:footnote>
  <w:footnote w:id="13">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Michael Palmer, </w:t>
      </w:r>
      <w:r w:rsidDel="00000000" w:rsidR="00000000" w:rsidRPr="00000000">
        <w:rPr>
          <w:i w:val="1"/>
          <w:sz w:val="20"/>
          <w:szCs w:val="20"/>
          <w:highlight w:val="white"/>
          <w:rtl w:val="0"/>
        </w:rPr>
        <w:t xml:space="preserve">The Question Of God: An Introductory Commentary And Sourcebook </w:t>
      </w:r>
      <w:r w:rsidDel="00000000" w:rsidR="00000000" w:rsidRPr="00000000">
        <w:rPr>
          <w:sz w:val="20"/>
          <w:szCs w:val="20"/>
          <w:highlight w:val="white"/>
          <w:rtl w:val="0"/>
        </w:rPr>
        <w:t xml:space="preserve">(London: Routledge), p. 198.</w:t>
      </w:r>
      <w:r w:rsidDel="00000000" w:rsidR="00000000" w:rsidRPr="00000000">
        <w:rPr>
          <w:rtl w:val="0"/>
        </w:rPr>
      </w:r>
    </w:p>
  </w:footnote>
  <w:footnote w:id="14">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15">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Antony Flew, "Theology and Falsification," University, 1950-51; from Joel Feinberg, ed., Reason and Responsibility: Readings in Some Basic Problems of Philosophy, Belmont, CA: Dickenson Publishing Company, Inc., 1968, pp. 48-49.</w:t>
      </w:r>
    </w:p>
  </w:footnote>
  <w:footnote w:id="16">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Ludwig Wittgenstein (Trans. Georg Henrik von Wright), </w:t>
      </w:r>
      <w:r w:rsidDel="00000000" w:rsidR="00000000" w:rsidRPr="00000000">
        <w:rPr>
          <w:i w:val="1"/>
          <w:sz w:val="20"/>
          <w:szCs w:val="20"/>
          <w:rtl w:val="0"/>
        </w:rPr>
        <w:t xml:space="preserve">Culture And Value </w:t>
      </w:r>
      <w:r w:rsidDel="00000000" w:rsidR="00000000" w:rsidRPr="00000000">
        <w:rPr>
          <w:sz w:val="20"/>
          <w:szCs w:val="20"/>
          <w:rtl w:val="0"/>
        </w:rPr>
        <w:t xml:space="preserve">(Chicago: Chicago Univ. Press, 2006), p. 67.</w:t>
      </w:r>
    </w:p>
  </w:footnote>
  <w:footnote w:id="8">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r w:rsidDel="00000000" w:rsidR="00000000" w:rsidRPr="00000000">
        <w:rPr>
          <w:sz w:val="20"/>
          <w:szCs w:val="20"/>
          <w:rtl w:val="0"/>
        </w:rPr>
        <w:t xml:space="preserve">.</w:t>
      </w:r>
    </w:p>
  </w:footnote>
  <w:footnote w:id="5">
    <w:p w:rsidR="00000000" w:rsidDel="00000000" w:rsidP="00000000" w:rsidRDefault="00000000" w:rsidRPr="00000000" w14:paraId="00000050">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