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9FD7F" w14:textId="5FAEF5DC" w:rsidR="000A74B1" w:rsidRDefault="000A74B1" w:rsidP="004B2807">
      <w:r>
        <w:t>Ashley Mc Fee</w:t>
      </w:r>
    </w:p>
    <w:p w14:paraId="5D95DA33" w14:textId="177E5D78" w:rsidR="000A74B1" w:rsidRDefault="000A74B1" w:rsidP="004B2807">
      <w:r>
        <w:t>Cold War; Hot Wars</w:t>
      </w:r>
    </w:p>
    <w:p w14:paraId="221DA714" w14:textId="2259CA29" w:rsidR="000A74B1" w:rsidRDefault="000A74B1" w:rsidP="004B2807">
      <w:r>
        <w:t>Due Date: 19 November 2023</w:t>
      </w:r>
    </w:p>
    <w:p w14:paraId="35B93F47" w14:textId="289ADC04" w:rsidR="000A74B1" w:rsidRPr="000A74B1" w:rsidRDefault="000A74B1" w:rsidP="004B2807">
      <w:r>
        <w:t>Dr Lester Mason</w:t>
      </w:r>
    </w:p>
    <w:p w14:paraId="4FC646C1" w14:textId="78EDBC9E" w:rsidR="00D2302C" w:rsidRPr="004B2807" w:rsidRDefault="004B2807" w:rsidP="004B2807">
      <w:pPr>
        <w:rPr>
          <w:b/>
          <w:bCs/>
        </w:rPr>
      </w:pPr>
      <w:r w:rsidRPr="004B2807">
        <w:rPr>
          <w:b/>
          <w:bCs/>
        </w:rPr>
        <w:t>Successive American administrations have viewed Latin America as a full part of the Western bloc; how has this influenced US policy in the region?</w:t>
      </w:r>
    </w:p>
    <w:p w14:paraId="4CDB20F8" w14:textId="2350046B" w:rsidR="008D7DA3" w:rsidRDefault="00944DAD" w:rsidP="00944DAD">
      <w:pPr>
        <w:ind w:firstLine="720"/>
      </w:pPr>
      <w:r w:rsidRPr="006E7A68">
        <w:t>Historically, the Latin American region has been viewed as a valuable resource to the U.S and its economic and political aspirations</w:t>
      </w:r>
      <w:r w:rsidR="000D229F">
        <w:t xml:space="preserve"> and was often referred to as the U.S.’s “private backyard</w:t>
      </w:r>
      <w:r w:rsidRPr="006E7A68">
        <w:t>.</w:t>
      </w:r>
      <w:r w:rsidR="000D229F">
        <w:t>”</w:t>
      </w:r>
      <w:r w:rsidR="000D229F">
        <w:rPr>
          <w:rStyle w:val="FootnoteReference"/>
        </w:rPr>
        <w:footnoteReference w:id="1"/>
      </w:r>
      <w:r w:rsidRPr="006E7A68">
        <w:t xml:space="preserve"> This </w:t>
      </w:r>
      <w:r w:rsidR="000D229F">
        <w:t>was</w:t>
      </w:r>
      <w:r w:rsidRPr="006E7A68">
        <w:t xml:space="preserve"> based on the geographical location of the region, as well as its economic output. Therefore, it was no surprise the during the Cold War, the U.S presidential administration declared Latin America as part of the Western bloc. This entitlement stemmed mainly from the implementation of the Monroe Doctrine in 1823. This Doctrine allowed the U.S to monopolise the </w:t>
      </w:r>
      <w:r w:rsidR="006E7A68" w:rsidRPr="006E7A68">
        <w:t>region; capitali</w:t>
      </w:r>
      <w:r w:rsidR="006E7A68">
        <w:t xml:space="preserve">sing on its resources. It was seen as a deterrent for European countries; making the U.S. a sole beneficiary of the assets the region had to offer. </w:t>
      </w:r>
      <w:proofErr w:type="gramStart"/>
      <w:r w:rsidR="006E7A68">
        <w:t>As a member of the Western bloc, capitalism</w:t>
      </w:r>
      <w:proofErr w:type="gramEnd"/>
      <w:r w:rsidR="006E7A68">
        <w:t xml:space="preserve"> was the fundamental system by which a country would operate. It was also defined by the ability to safeguard U.S economic and political interests; deviating from that meant any nation would been seen as a threat to American </w:t>
      </w:r>
      <w:r w:rsidR="00F8401D">
        <w:t>interests</w:t>
      </w:r>
      <w:r w:rsidR="006E7A68">
        <w:t xml:space="preserve">. </w:t>
      </w:r>
      <w:r w:rsidR="00FE3D42">
        <w:t xml:space="preserve">The relationship between the U.S and the Latin American region was presented as a mutually beneficial one, however, historians would argue that it was heavily dependent on what the </w:t>
      </w:r>
      <w:r w:rsidR="006E5DFB">
        <w:t>latter</w:t>
      </w:r>
      <w:r w:rsidR="00FE3D42">
        <w:t xml:space="preserve"> could offer to the </w:t>
      </w:r>
      <w:r w:rsidR="006E5DFB">
        <w:t>former</w:t>
      </w:r>
      <w:r w:rsidR="00FE3D42">
        <w:t xml:space="preserve">. </w:t>
      </w:r>
      <w:r w:rsidR="003213AA">
        <w:t xml:space="preserve">Although the U.S considered Latin America a part of the Western bloc; the U.S. policy and actions in the region </w:t>
      </w:r>
      <w:r w:rsidR="006E5DFB">
        <w:t xml:space="preserve">or lack of policy </w:t>
      </w:r>
      <w:r w:rsidR="003213AA">
        <w:t>did not often reflect collaboration between the two parties. Instead, U.S. policy in the region, although presented as a multilateral agreement, were often unilateral</w:t>
      </w:r>
      <w:r w:rsidR="002C101A">
        <w:t xml:space="preserve"> and often continued to the trend of imperialism by the U.S and </w:t>
      </w:r>
      <w:r w:rsidR="00703612">
        <w:t>can be seen in the U.S. impl</w:t>
      </w:r>
      <w:r w:rsidR="002C101A">
        <w:t>ementatio</w:t>
      </w:r>
      <w:r w:rsidR="00703612">
        <w:t>n of t</w:t>
      </w:r>
      <w:r w:rsidR="003213AA">
        <w:t>he Inter-American Treaty of Reciprocal Assistance</w:t>
      </w:r>
      <w:r w:rsidR="003242E0">
        <w:t xml:space="preserve"> during the Truman administration</w:t>
      </w:r>
      <w:r w:rsidR="003213AA">
        <w:t xml:space="preserve">, </w:t>
      </w:r>
      <w:r w:rsidR="00703612">
        <w:t>its response to the Cuban Revolution under the Eisenhower and Kennedy administration</w:t>
      </w:r>
      <w:r w:rsidR="0018019B">
        <w:t xml:space="preserve"> and the intervention in Guatemala in 1954</w:t>
      </w:r>
      <w:r w:rsidR="002C101A">
        <w:t>.</w:t>
      </w:r>
      <w:r w:rsidR="00703612">
        <w:t xml:space="preserve"> </w:t>
      </w:r>
    </w:p>
    <w:p w14:paraId="5CFFCCF2" w14:textId="0F9EF63D" w:rsidR="009D5E61" w:rsidRDefault="009D5E61" w:rsidP="00944DAD">
      <w:pPr>
        <w:ind w:firstLine="720"/>
      </w:pPr>
      <w:r>
        <w:t>Like NATO, the Inter-American Treaty of Reciprocal Assistance, or the Rio Treaty, was a policy signed and implemented by the U.S. and its allies during the Cold War as means of protection from outside entities. The Rio treated was adapted by the Latin American and the U.S. in 1947, and, in theory, the members would provide intervention against adversaries of any nature who rove to cause a problem for any state represented. Fenwick states:</w:t>
      </w:r>
    </w:p>
    <w:p w14:paraId="5D0076A1" w14:textId="48DA3154" w:rsidR="009D5E61" w:rsidRDefault="009D5E61" w:rsidP="009D5E61">
      <w:pPr>
        <w:ind w:left="720"/>
      </w:pPr>
      <w:r>
        <w:t>Article 3 is simple and direct in its terms: an armed attack against an American state shall be considered as an attack against all, and it creates an obligation upon each of them individually to meet the attack until such time as the Organ of Consultation shall meet and decide upon collective action.</w:t>
      </w:r>
      <w:r>
        <w:rPr>
          <w:rStyle w:val="FootnoteReference"/>
        </w:rPr>
        <w:footnoteReference w:id="2"/>
      </w:r>
    </w:p>
    <w:p w14:paraId="7F95AFCD" w14:textId="4DDEAF7C" w:rsidR="008E743E" w:rsidRDefault="009D5E61" w:rsidP="003242E0">
      <w:r>
        <w:lastRenderedPageBreak/>
        <w:t xml:space="preserve">This treaty came after the exclusion </w:t>
      </w:r>
      <w:r w:rsidR="002772D8">
        <w:t>of Latin</w:t>
      </w:r>
      <w:r>
        <w:t xml:space="preserve"> American countries from conversations pertaining to security after the war against Nazi-Germany and </w:t>
      </w:r>
      <w:r w:rsidR="002772D8">
        <w:t>Japan and</w:t>
      </w:r>
      <w:r>
        <w:t xml:space="preserve"> seemed to be </w:t>
      </w:r>
      <w:r w:rsidR="002772D8">
        <w:t>an</w:t>
      </w:r>
      <w:r>
        <w:t xml:space="preserve"> act of appeasing the region</w:t>
      </w:r>
      <w:r w:rsidR="002772D8">
        <w:t xml:space="preserve">, for the sake of protecting the U.S.’s interests. It took the threat of sovietisation to accelerate the process of coming to an agreement between both parties. With the Soviet Union and communism looming, the U.S. needed the anti-communist Latin countries to </w:t>
      </w:r>
      <w:r w:rsidR="003242E0">
        <w:t>join the war against an imminent threat.</w:t>
      </w:r>
      <w:r w:rsidR="003D4919" w:rsidRPr="003D4919">
        <w:t xml:space="preserve"> </w:t>
      </w:r>
      <w:r w:rsidR="009B232D">
        <w:t xml:space="preserve">Martha </w:t>
      </w:r>
      <w:r w:rsidR="003D4919">
        <w:t>Cottam’s perspective is rationalised, as it claims that the U.S policy makers ignored Latin America “unless there was a crisis or civil war brewing.”</w:t>
      </w:r>
      <w:r w:rsidR="003D4919">
        <w:rPr>
          <w:rStyle w:val="FootnoteReference"/>
        </w:rPr>
        <w:footnoteReference w:id="3"/>
      </w:r>
      <w:r w:rsidR="003D4919">
        <w:t xml:space="preserve"> It is solidified later in the Cuban Revolution and the Guatemalan Coup d’état. </w:t>
      </w:r>
      <w:r w:rsidR="007A67F5">
        <w:t>There was an expectation from Latin America that the treaty would be beneficial to them as well, however the U.S through the years would be the one that benefitted from its existence; making unilateral decisions on behalf of itself and its American allies. This went against the purpose of the treaty and had on several occasions cause upset among its allies.</w:t>
      </w:r>
      <w:r w:rsidR="009B232D">
        <w:t xml:space="preserve"> </w:t>
      </w:r>
      <w:r w:rsidR="007A67F5">
        <w:t>Cottam describes it as:</w:t>
      </w:r>
    </w:p>
    <w:p w14:paraId="028C85F1" w14:textId="69A69163" w:rsidR="007A67F5" w:rsidRDefault="007A67F5" w:rsidP="007A67F5">
      <w:pPr>
        <w:ind w:left="720"/>
      </w:pPr>
      <w:r>
        <w:t xml:space="preserve">…perceptions dominated by a sense that the United States is a superior country with superior people and that Latin America should do as </w:t>
      </w:r>
      <w:proofErr w:type="gramStart"/>
      <w:r>
        <w:t>its</w:t>
      </w:r>
      <w:proofErr w:type="gramEnd"/>
      <w:r>
        <w:t xml:space="preserve"> told since, by virtue of U.S. superiority, U.S. decisions are correct and fair.</w:t>
      </w:r>
      <w:r>
        <w:rPr>
          <w:rStyle w:val="FootnoteReference"/>
        </w:rPr>
        <w:footnoteReference w:id="4"/>
      </w:r>
    </w:p>
    <w:p w14:paraId="55826BDF" w14:textId="118DD070" w:rsidR="006E5DFB" w:rsidRDefault="006E5DFB" w:rsidP="006E5DFB">
      <w:r>
        <w:t>This was reflected in the U.S.’s response to the Falkland War in 1982 between the United Kingdom and Argentina. Even with the Rio Treaty in place, the U.S. came to a unilateral decision to support the United Kingdom, presenting a challenge for the Latin American country. It solidified the claim that the U.S. believed that it was superior by its decision to represent its own interest. Simultaneously, it was as if the Rio Treaty had little value, which in turn meant that Latin America was of little significance compared to the North Atlantic Treaty Organisation of which both the U.S. and the United Kingdom are members.</w:t>
      </w:r>
      <w:r w:rsidR="003D4919">
        <w:t xml:space="preserve"> </w:t>
      </w:r>
      <w:r w:rsidR="00217044">
        <w:t>The position taken in the Falkland War seemed to be more beneficial for the U.S. and its long-term foreign relations with the United Kingdom, than its relationship with Latin America.</w:t>
      </w:r>
      <w:r w:rsidR="003D4919">
        <w:t xml:space="preserve"> </w:t>
      </w:r>
      <w:r w:rsidR="00217044">
        <w:t xml:space="preserve">Speaking from the perspective of a Latin American, </w:t>
      </w:r>
      <w:r w:rsidR="009B232D">
        <w:t xml:space="preserve">Ariel </w:t>
      </w:r>
      <w:r w:rsidR="00217044">
        <w:t>Rosas theorise</w:t>
      </w:r>
      <w:r w:rsidR="00853DD5">
        <w:t>d in</w:t>
      </w:r>
      <w:r w:rsidR="00217044">
        <w:t xml:space="preserve"> that</w:t>
      </w:r>
      <w:r w:rsidR="00853DD5">
        <w:t xml:space="preserve"> moment</w:t>
      </w:r>
      <w:r w:rsidR="00217044">
        <w:t>:</w:t>
      </w:r>
    </w:p>
    <w:p w14:paraId="7D9A5D65" w14:textId="5DF98D55" w:rsidR="00217044" w:rsidRDefault="00217044" w:rsidP="00853DD5">
      <w:pPr>
        <w:ind w:left="720"/>
      </w:pPr>
      <w:r>
        <w:t>The Falkland/Malvinas war was not alien to the Argentinian dream of hegemony in the area, and the British victory has by no means solved the problem. This war has some very important hemispheric implications; because of the marginal and indirect involvement of the United States in it, the Inter-American Military System was badly</w:t>
      </w:r>
      <w:r w:rsidR="00853DD5">
        <w:t xml:space="preserve"> </w:t>
      </w:r>
      <w:r>
        <w:t>damaged. This has seriously affected the whole spectrum of relations between</w:t>
      </w:r>
      <w:r w:rsidR="00853DD5">
        <w:t xml:space="preserve"> </w:t>
      </w:r>
      <w:r>
        <w:t>the United States and Latin America.</w:t>
      </w:r>
      <w:r w:rsidR="00853DD5">
        <w:rPr>
          <w:rStyle w:val="FootnoteReference"/>
        </w:rPr>
        <w:footnoteReference w:id="5"/>
      </w:r>
    </w:p>
    <w:p w14:paraId="670C551C" w14:textId="1B5A283A" w:rsidR="002C101A" w:rsidRDefault="00853DD5" w:rsidP="00853DD5">
      <w:r>
        <w:t xml:space="preserve">The response by the U.S in the Falkland War, was </w:t>
      </w:r>
      <w:proofErr w:type="gramStart"/>
      <w:r>
        <w:t>polar opposite</w:t>
      </w:r>
      <w:proofErr w:type="gramEnd"/>
      <w:r>
        <w:t xml:space="preserve"> to Latin America’s response during the Cuba Missile Crisis. The U.S had gained unanimous support from the</w:t>
      </w:r>
      <w:r w:rsidR="00EB4DA6">
        <w:t xml:space="preserve"> Latin American Community in the context of the treaty.</w:t>
      </w:r>
      <w:r w:rsidR="002C101A">
        <w:t xml:space="preserve"> </w:t>
      </w:r>
    </w:p>
    <w:p w14:paraId="04B0D341" w14:textId="509744C7" w:rsidR="002C101A" w:rsidRDefault="002C101A" w:rsidP="00853DD5">
      <w:r>
        <w:tab/>
        <w:t>The Cuban revolution led by Fidel Castro, posed a threat to U.S economical and political pursuits in Latin America. The revolution was a significant period in Cuban society, as it determined the trajectory of Cuban living, and the diplomatic relations between the</w:t>
      </w:r>
      <w:r w:rsidR="00D916D3">
        <w:t>m, the</w:t>
      </w:r>
      <w:r>
        <w:t xml:space="preserve"> U.S, </w:t>
      </w:r>
      <w:r w:rsidR="00D916D3">
        <w:lastRenderedPageBreak/>
        <w:t>and the Soviet Union. Castro’s motivation for the revolution was the desire for the Americanisation of the Cuban economy to be relinquished and the country be liberated from the tyrannical rulership of Fulgencio Baptista, who had the full support of the U.S based on the priority to remain involved in Cuba’s affairs. Baptista was responsible for the continued</w:t>
      </w:r>
      <w:r w:rsidR="007B6520">
        <w:t xml:space="preserve"> U.S.</w:t>
      </w:r>
      <w:r w:rsidR="00D916D3">
        <w:t xml:space="preserve"> presence in the country as the American businesses dominated the Cuban economy</w:t>
      </w:r>
      <w:r w:rsidR="007B6520">
        <w:t xml:space="preserve">, causing problems for the citizens of the Latin nation. Nevertheless, Castro believed in the removal of the U.S and its capitalist principles from Cuba and its political and economic affairs. Lara, </w:t>
      </w:r>
      <w:proofErr w:type="gramStart"/>
      <w:r w:rsidR="007B6520">
        <w:t>Leon</w:t>
      </w:r>
      <w:proofErr w:type="gramEnd"/>
      <w:r w:rsidR="007B6520">
        <w:t xml:space="preserve"> and Garcia define the aims of Castro and the revolution by stating:</w:t>
      </w:r>
    </w:p>
    <w:p w14:paraId="42A34EAD" w14:textId="0F342B42" w:rsidR="007B6520" w:rsidRDefault="007B6520" w:rsidP="007B6520">
      <w:pPr>
        <w:ind w:left="720"/>
      </w:pPr>
      <w:r>
        <w:t>Between 1959 and 1961, in a process without precedent, the Cuban Revolution fulfilled its duty of anti-capitalist social change and national liberation. It ceaselessly undertook profound anti-capitalist transformations, becoming the first socialist revolution of national liberation in the West.</w:t>
      </w:r>
      <w:r>
        <w:rPr>
          <w:rStyle w:val="FootnoteReference"/>
        </w:rPr>
        <w:footnoteReference w:id="6"/>
      </w:r>
    </w:p>
    <w:p w14:paraId="3CE34E76" w14:textId="79E0651D" w:rsidR="00853DD5" w:rsidRDefault="007B6520" w:rsidP="00853DD5">
      <w:r>
        <w:t>With Castro successfully reclaiming Cuba from Baptista, he worked to free his country from the implications of U.S foreign policy, by nationalising the American businesses and other assets in the country, simultaneously repairing the damage inflicted on its economy.</w:t>
      </w:r>
      <w:r w:rsidR="004D61D7">
        <w:t xml:space="preserve"> He wanted to permanently rid its economy of American dependence. It was a matter of correcting historical errors through rehabilitation. The need for economic independence is highlighted by Raul Rodrigues:</w:t>
      </w:r>
    </w:p>
    <w:p w14:paraId="770838BE" w14:textId="733BE07B" w:rsidR="009B232D" w:rsidRDefault="004D61D7" w:rsidP="004D61D7">
      <w:pPr>
        <w:ind w:left="720"/>
      </w:pPr>
      <w:r>
        <w:t>… US economic interests in Cuban mining and sugar sectors gained prominence impacting dramatically on Cuban society and culture. Paradoxically, despite Spanish political and military domination, the Cuban economy began to be organised increasingly around the commercial relations with the US. Depending increasingly on US markets for imports and exports, economic connections shaped Cuba’s production strategies, local consumption, migration patterns and political discourse.</w:t>
      </w:r>
      <w:r>
        <w:rPr>
          <w:rStyle w:val="FootnoteReference"/>
        </w:rPr>
        <w:footnoteReference w:id="7"/>
      </w:r>
    </w:p>
    <w:p w14:paraId="0B90EDE2" w14:textId="44BDAA91" w:rsidR="006945DC" w:rsidRDefault="006945DC" w:rsidP="006945DC">
      <w:r>
        <w:t>While Castro’s intentions for the country were clear; economic independence from the U.S, it created tension between his administration and the Eisenhower administration and U.S-Cuba diplomatic relations. President Eisenhower was unsatisfied with the direction in which Castro would be leading the Cuban society as it no longer served and protected the interest of his country</w:t>
      </w:r>
      <w:r w:rsidR="00056E4F">
        <w:t xml:space="preserve"> and feared that othe</w:t>
      </w:r>
      <w:r w:rsidR="00882CCC">
        <w:t>r nationalist in Latin America would see Castro’s regime as the blueprint for moving away from capitalism through U.S relations and ultimately threaten the interests of his country</w:t>
      </w:r>
      <w:r>
        <w:t>.</w:t>
      </w:r>
      <w:r w:rsidR="00882CCC">
        <w:rPr>
          <w:rStyle w:val="FootnoteReference"/>
        </w:rPr>
        <w:footnoteReference w:id="8"/>
      </w:r>
      <w:r>
        <w:t xml:space="preserve"> In response to </w:t>
      </w:r>
      <w:r w:rsidR="006D74C1">
        <w:t>Castro’s decision to nationalise the U.S businesses, Eisenhower placed an economic embargo on Cuba as a means of applying economic pressure.</w:t>
      </w:r>
      <w:r w:rsidR="006D74C1">
        <w:rPr>
          <w:rStyle w:val="FootnoteReference"/>
        </w:rPr>
        <w:footnoteReference w:id="9"/>
      </w:r>
      <w:r w:rsidR="004A530C">
        <w:t xml:space="preserve"> This, along with the budding relation between Cuba and the Soviet Union formed more tension between the U.S. and Cuba, which led to Eisenhower’s plans to remove Castro from power, </w:t>
      </w:r>
      <w:r w:rsidR="000103BB">
        <w:t xml:space="preserve">instate a government willing to back and protect his interest, while taking into consideration U.S </w:t>
      </w:r>
      <w:r w:rsidR="000103BB">
        <w:lastRenderedPageBreak/>
        <w:t>policy. Eisenhower’s attitude was a demonstration of the belief that if it did not align with American values, then it was a breech of U.S policy. According to Rodriguez:</w:t>
      </w:r>
    </w:p>
    <w:p w14:paraId="5612046E" w14:textId="580457CA" w:rsidR="000103BB" w:rsidRDefault="000103BB" w:rsidP="000103BB">
      <w:pPr>
        <w:ind w:left="720"/>
      </w:pPr>
      <w:r>
        <w:t>… US foreign policymakers framed explanations of policy in terms of a dichotomy of Pro-American versus Anti-American positions that made little sense from a Latin American perspective… The US defined all challenges to its control of the region as anti-American, and thus constituting a national security threat.</w:t>
      </w:r>
      <w:r>
        <w:rPr>
          <w:rStyle w:val="FootnoteReference"/>
        </w:rPr>
        <w:footnoteReference w:id="10"/>
      </w:r>
    </w:p>
    <w:p w14:paraId="680D527D" w14:textId="05A0A835" w:rsidR="000103BB" w:rsidRDefault="000103BB" w:rsidP="000103BB">
      <w:r>
        <w:t>Therefore, Eisenhower’s r</w:t>
      </w:r>
      <w:r w:rsidR="00D76067">
        <w:t>esponse to the threat of Soviet influence in Latin America, was to remove the problem by force. Before departing the presidential office, Eisenhower secured a plan, The Bay of Pigs Invasion</w:t>
      </w:r>
      <w:r w:rsidR="00E50794">
        <w:t xml:space="preserve"> in 1961</w:t>
      </w:r>
      <w:r w:rsidR="00D76067">
        <w:t>, to end Castro’s time in power.</w:t>
      </w:r>
      <w:r w:rsidR="00CD6099">
        <w:t xml:space="preserve"> Eisenhower’s plan was to be “a covert action rested in the concept of plausible deniability.”</w:t>
      </w:r>
      <w:r w:rsidR="00CD6099">
        <w:rPr>
          <w:rStyle w:val="FootnoteReference"/>
        </w:rPr>
        <w:footnoteReference w:id="11"/>
      </w:r>
      <w:r w:rsidR="00D76067">
        <w:t xml:space="preserve"> However, the plan carried out under the Kennedy administration failed the task</w:t>
      </w:r>
      <w:r w:rsidR="00882CCC">
        <w:t xml:space="preserve"> and placed the spotlight on U.S and the manners in which they have carried out missions that would seemingly benefit it.</w:t>
      </w:r>
    </w:p>
    <w:p w14:paraId="61C1CCE1" w14:textId="4979371D" w:rsidR="00E50794" w:rsidRDefault="00E50794" w:rsidP="000103BB">
      <w:r>
        <w:tab/>
        <w:t xml:space="preserve">Just seven years earlier, the U.S. and President Eisenhower carried out a successful coup d’état against the Guatemalan president Jacobo Arbenz. The Eisenhower administration saw </w:t>
      </w:r>
      <w:r w:rsidR="00ED5082">
        <w:t>Arbenz as a threat to its Guatemalan interests because of his personal relationships with communist members of the Guatemalan Party of Labour. According to Cottam:</w:t>
      </w:r>
    </w:p>
    <w:p w14:paraId="345CAFBF" w14:textId="3C7E91D3" w:rsidR="00ED5082" w:rsidRDefault="00ED5082" w:rsidP="00ED5082">
      <w:pPr>
        <w:ind w:left="720"/>
      </w:pPr>
      <w:r>
        <w:t>Traditionally, the U.S government and U.S businesses had a great deal of influence in Guatemala. The United States was the major market for Guatemalan products. In many ways Guatemala was the stereotypical banana republic; its economy was dependent upon agriculture, its polity had been ruled by various military dictators, and its distribution of income was exceptionally unequal.</w:t>
      </w:r>
      <w:r w:rsidR="00060DE8">
        <w:t xml:space="preserve"> Further, U.S. ambassadors held tremendous power in Guatemala, and U.S. leverage in Guatemala was extraordinary.</w:t>
      </w:r>
      <w:r>
        <w:rPr>
          <w:rStyle w:val="FootnoteReference"/>
        </w:rPr>
        <w:footnoteReference w:id="12"/>
      </w:r>
    </w:p>
    <w:p w14:paraId="6AC99678" w14:textId="6A8377CD" w:rsidR="00ED5082" w:rsidRDefault="00ED5082" w:rsidP="00ED5082">
      <w:r>
        <w:t xml:space="preserve">Essentially, Guatemala was being stripped of its </w:t>
      </w:r>
      <w:r w:rsidR="00060DE8">
        <w:t xml:space="preserve">resources from people within the country as well as the United States government. However, Arbenz’s administration would look to eradicate the scavenging of Guatemalan land and resources by outside entities, providing citizens with a sense of security. His agrarian reform bill, Decree 900, would give lands owned by larger </w:t>
      </w:r>
      <w:r w:rsidR="0018019B">
        <w:t>landowners</w:t>
      </w:r>
      <w:r w:rsidR="00060DE8">
        <w:t xml:space="preserve"> to farmers without land</w:t>
      </w:r>
      <w:r w:rsidR="0018019B">
        <w:t>s to cultivate farms for themselves. This would give farmers and Guatemalan citizens a better income which would create a sustainable livelihood. Unfortunately, this was not accepted by the U.S and U.S businesses in Guatemala as they saw profits decreasing and new landowners thriving.</w:t>
      </w:r>
      <w:r w:rsidR="00FA3252">
        <w:t xml:space="preserve"> Largely negatively impacted by Arbenz’s policy was the United Fruit Company, a U.S business which thrived off the resources Guatemala had to offer.</w:t>
      </w:r>
      <w:r w:rsidR="0018019B">
        <w:t xml:space="preserve"> Eisenhower viewed this as a direct threat to his administration, along with Arbenz’s affiliation with Soviet ties, even though he did not consider his administration influenced by communism. Eisenhower, however, was on the impression that Arbenz was in fact a “communist puppet”</w:t>
      </w:r>
      <w:r w:rsidR="0018019B">
        <w:rPr>
          <w:rStyle w:val="FootnoteReference"/>
        </w:rPr>
        <w:footnoteReference w:id="13"/>
      </w:r>
      <w:r w:rsidR="0018019B">
        <w:t xml:space="preserve"> and utilised the CIA as weapon to launch a covert attack on Arbenz’s administration </w:t>
      </w:r>
      <w:r w:rsidR="00FA3252">
        <w:t xml:space="preserve">based solely </w:t>
      </w:r>
      <w:r w:rsidR="00FA3252">
        <w:lastRenderedPageBreak/>
        <w:t>on his opinion that he was violating U.S policy in Guatemala. Unfortunately, Arbenz’s administration seemed to be doomed for destruction even before it began as seen by Cottam:</w:t>
      </w:r>
    </w:p>
    <w:p w14:paraId="0AF426DA" w14:textId="14CDB763" w:rsidR="00FA3252" w:rsidRDefault="00FA3252" w:rsidP="00FA3252">
      <w:pPr>
        <w:ind w:left="720"/>
      </w:pPr>
      <w:r>
        <w:t>Once, Arbenz became president of Guatemala, U.S based companies, particularly United Fruit, launched a very tough and effective propaganda campaign against him designed to influence official and public opinion in the United States. Thus, there was no significant disagreement in the U.S. political arena on the nature of the Arbenz government.</w:t>
      </w:r>
      <w:r>
        <w:rPr>
          <w:rStyle w:val="FootnoteReference"/>
        </w:rPr>
        <w:footnoteReference w:id="14"/>
      </w:r>
    </w:p>
    <w:p w14:paraId="51AED06D" w14:textId="4D5B9485" w:rsidR="007F4F53" w:rsidRDefault="007F4F53" w:rsidP="007F4F53">
      <w:r>
        <w:t xml:space="preserve">The treatment of Guatemala by the U.S was questioned by Latin American countries since many did not deem the treatment as a fair and justified one. It called into question the U.S and Latin America relation and </w:t>
      </w:r>
      <w:proofErr w:type="gramStart"/>
      <w:r>
        <w:t>whether or not</w:t>
      </w:r>
      <w:proofErr w:type="gramEnd"/>
      <w:r>
        <w:t xml:space="preserve"> it was a mutually beneficial one. According to Mark Hove:</w:t>
      </w:r>
    </w:p>
    <w:p w14:paraId="1B12B278" w14:textId="206B16B9" w:rsidR="007F4F53" w:rsidRDefault="007F4F53" w:rsidP="007F4F53">
      <w:pPr>
        <w:ind w:left="720"/>
      </w:pPr>
      <w:r>
        <w:t>Scholars generally agree that the overthrow of the democratically elected Arbenz stunned and angered Latin Americans, and haunted U.S relations with the region, as well as with the developing world, long after Arbenz resigned and fled the Guatemalan capital.</w:t>
      </w:r>
      <w:r>
        <w:rPr>
          <w:rStyle w:val="FootnoteReference"/>
        </w:rPr>
        <w:footnoteReference w:id="15"/>
      </w:r>
    </w:p>
    <w:p w14:paraId="1BB88476" w14:textId="4E183306" w:rsidR="00E45887" w:rsidRDefault="007F4F53" w:rsidP="007F4F53">
      <w:pPr>
        <w:ind w:firstLine="720"/>
      </w:pPr>
      <w:r>
        <w:t>In summary, many U.S. administrations have considered Latin America a full part of the Western bloc and have utilised their foreign policy as a means of undermining the independent nature of these Latin countries. The policies were in place to protect the interest of the U.S and presenting involvement in the region’s affairs by pres</w:t>
      </w:r>
      <w:r w:rsidR="00D2302C">
        <w:t xml:space="preserve">enting it as a mutually beneficial agreement promoting multilateral cooperation. Unfortunately, there have been instances that displace the U.S claims and have had harsh impacts on the Latin American region. In the case of the Inter-American Treaty of Reciprocal Assistance, proved to only be a means of safeguarding a defense for the U.S in the case that they would be threatened by forces that did not align with their interest. However, the treaty was presented as a multilateral agreement. Along with this, the U.S protected its interests under the guise that any Anti-American interest or intention was an act on its policy. This was present in the U.S.’s attempted invasion of Cuba and its response to the Cuban revolution led by Fidel Castro. Castro’s alignment with communist ideologies prompted the U.S to sanction the country, placing an economic embargo on the nation and organising an invasion into the country as a means of ending Castro’s administration. The U.S also was involved in Guatemala during the Arbenz administration and were threatened by his new initiatives to create security for the Guatemalan people. </w:t>
      </w:r>
      <w:proofErr w:type="gramStart"/>
      <w:r w:rsidR="00D2302C">
        <w:t>All of</w:t>
      </w:r>
      <w:proofErr w:type="gramEnd"/>
      <w:r w:rsidR="00D2302C">
        <w:t xml:space="preserve"> these instances have had an impact on the Latin American and region and the U.S based on its position to protect its interest in the region. </w:t>
      </w:r>
    </w:p>
    <w:p w14:paraId="116A5DBA" w14:textId="77777777" w:rsidR="00E45887" w:rsidRDefault="00E45887">
      <w:r>
        <w:br w:type="page"/>
      </w:r>
    </w:p>
    <w:p w14:paraId="5CA8AD96" w14:textId="1F512E89" w:rsidR="007F4F53" w:rsidRDefault="00E45887" w:rsidP="00E45887">
      <w:r>
        <w:lastRenderedPageBreak/>
        <w:t>Bibliography</w:t>
      </w:r>
    </w:p>
    <w:p w14:paraId="0A224602" w14:textId="77777777" w:rsidR="00E45887" w:rsidRDefault="00E45887" w:rsidP="00E45887">
      <w:pPr>
        <w:pStyle w:val="NormalWeb"/>
        <w:spacing w:before="0" w:beforeAutospacing="0" w:after="240" w:afterAutospacing="0" w:line="360" w:lineRule="auto"/>
        <w:ind w:left="720" w:hanging="720"/>
      </w:pPr>
      <w:r>
        <w:t xml:space="preserve">Cottam, Martha L, </w:t>
      </w:r>
      <w:proofErr w:type="gramStart"/>
      <w:r>
        <w:rPr>
          <w:i/>
          <w:iCs/>
        </w:rPr>
        <w:t>Images</w:t>
      </w:r>
      <w:proofErr w:type="gramEnd"/>
      <w:r>
        <w:rPr>
          <w:i/>
          <w:iCs/>
        </w:rPr>
        <w:t xml:space="preserve"> and Intervention</w:t>
      </w:r>
      <w:r>
        <w:t xml:space="preserve"> (University of Pittsburgh Press, 1994)</w:t>
      </w:r>
    </w:p>
    <w:p w14:paraId="5FE46236" w14:textId="77777777" w:rsidR="00E45887" w:rsidRDefault="00E45887" w:rsidP="00E45887">
      <w:pPr>
        <w:pStyle w:val="NormalWeb"/>
        <w:spacing w:before="0" w:beforeAutospacing="0" w:after="240" w:afterAutospacing="0" w:line="360" w:lineRule="auto"/>
        <w:ind w:left="720" w:hanging="720"/>
      </w:pPr>
      <w:r>
        <w:t xml:space="preserve">Fenwick, C. G., ‘Procedure under the Rio Treaty of Reciprocal Assistance’, </w:t>
      </w:r>
      <w:r>
        <w:rPr>
          <w:i/>
          <w:iCs/>
        </w:rPr>
        <w:t>American Journal of International Law</w:t>
      </w:r>
      <w:r>
        <w:t>, 63.4 (1969), 769–70 &lt;https://doi.org/10.2307/2199484&gt;</w:t>
      </w:r>
    </w:p>
    <w:p w14:paraId="5798A741" w14:textId="77777777" w:rsidR="00E45887" w:rsidRDefault="00E45887" w:rsidP="00E45887">
      <w:pPr>
        <w:pStyle w:val="NormalWeb"/>
        <w:spacing w:before="0" w:beforeAutospacing="0" w:after="240" w:afterAutospacing="0" w:line="360" w:lineRule="auto"/>
        <w:ind w:left="720" w:hanging="720"/>
      </w:pPr>
      <w:r>
        <w:t xml:space="preserve">Hove, Mark T., ‘The Arbenz Factor: Salvador Allende, U.S.-Chilean Relations, and the 1954 U.S. Intervention in Guatemala’, </w:t>
      </w:r>
      <w:r>
        <w:rPr>
          <w:i/>
          <w:iCs/>
        </w:rPr>
        <w:t>Diplomatic History</w:t>
      </w:r>
      <w:r>
        <w:t>, 31.4 (2007), 623–63 &lt;https://doi.org/10.1111/j.1467-7709.2007.00656.x&gt;</w:t>
      </w:r>
    </w:p>
    <w:p w14:paraId="16554933" w14:textId="77777777" w:rsidR="00E45887" w:rsidRDefault="00E45887" w:rsidP="00E45887">
      <w:pPr>
        <w:pStyle w:val="NormalWeb"/>
        <w:spacing w:before="0" w:beforeAutospacing="0" w:after="240" w:afterAutospacing="0" w:line="360" w:lineRule="auto"/>
        <w:ind w:left="720" w:hanging="720"/>
      </w:pPr>
      <w:r>
        <w:t xml:space="preserve">José Bell Lara, Tania Caram, Delia Luisa López, and Charles Mckelvey, </w:t>
      </w:r>
      <w:r>
        <w:rPr>
          <w:i/>
          <w:iCs/>
        </w:rPr>
        <w:t xml:space="preserve">Fidel in the Cuban Socialist </w:t>
      </w:r>
      <w:proofErr w:type="gramStart"/>
      <w:r>
        <w:rPr>
          <w:i/>
          <w:iCs/>
        </w:rPr>
        <w:t>Revolution :</w:t>
      </w:r>
      <w:proofErr w:type="gramEnd"/>
      <w:r>
        <w:rPr>
          <w:i/>
          <w:iCs/>
        </w:rPr>
        <w:t xml:space="preserve"> Understanding the Cuban Revolution (1959-1961)</w:t>
      </w:r>
      <w:r>
        <w:t xml:space="preserve"> (Chicago, Il: Haymarket Books, 2020)</w:t>
      </w:r>
    </w:p>
    <w:p w14:paraId="60E5E22C" w14:textId="77777777" w:rsidR="00E45887" w:rsidRDefault="00E45887" w:rsidP="00E45887">
      <w:pPr>
        <w:pStyle w:val="NormalWeb"/>
        <w:spacing w:before="0" w:beforeAutospacing="0" w:after="240" w:afterAutospacing="0" w:line="360" w:lineRule="auto"/>
        <w:ind w:left="720" w:hanging="720"/>
      </w:pPr>
      <w:r>
        <w:t xml:space="preserve">Maddock, Shane J., ‘Review: Kennedy, Castro, and Capos’, </w:t>
      </w:r>
      <w:r>
        <w:rPr>
          <w:i/>
          <w:iCs/>
        </w:rPr>
        <w:t>Reviews in American History</w:t>
      </w:r>
      <w:r>
        <w:t>, 37.2 (2009), 279–84</w:t>
      </w:r>
    </w:p>
    <w:p w14:paraId="6E22981C" w14:textId="77777777" w:rsidR="00E45887" w:rsidRDefault="00E45887" w:rsidP="00E45887">
      <w:pPr>
        <w:pStyle w:val="NormalWeb"/>
        <w:spacing w:before="0" w:beforeAutospacing="0" w:after="240" w:afterAutospacing="0" w:line="360" w:lineRule="auto"/>
        <w:ind w:left="720" w:hanging="720"/>
      </w:pPr>
      <w:r>
        <w:t xml:space="preserve">Medland, William J., ‘The Cuban Missile Crisis: Evolving Historical Perspectives’, </w:t>
      </w:r>
      <w:r>
        <w:rPr>
          <w:i/>
          <w:iCs/>
        </w:rPr>
        <w:t>The History Teacher</w:t>
      </w:r>
      <w:r>
        <w:t>, 23.4 (1990), 435 &lt;https://doi.org/10.2307/494397&gt;</w:t>
      </w:r>
    </w:p>
    <w:p w14:paraId="40325A1D" w14:textId="77777777" w:rsidR="00E45887" w:rsidRDefault="00E45887" w:rsidP="00E45887">
      <w:pPr>
        <w:pStyle w:val="NormalWeb"/>
        <w:spacing w:before="0" w:beforeAutospacing="0" w:after="240" w:afterAutospacing="0" w:line="360" w:lineRule="auto"/>
        <w:ind w:left="720" w:hanging="720"/>
      </w:pPr>
      <w:r>
        <w:t xml:space="preserve">Rodriguez, </w:t>
      </w:r>
      <w:proofErr w:type="gramStart"/>
      <w:r>
        <w:t>Raul ,</w:t>
      </w:r>
      <w:proofErr w:type="gramEnd"/>
      <w:r>
        <w:t xml:space="preserve"> and Harry Targ, ‘US Foreign Policy towards Cuba: Historical Roots, Traditional Explanations and Alternative Perspectives’, </w:t>
      </w:r>
      <w:r>
        <w:rPr>
          <w:i/>
          <w:iCs/>
        </w:rPr>
        <w:t>International Journal of Cuban Studies</w:t>
      </w:r>
      <w:r>
        <w:t>, 7.1 (2015), 16–37</w:t>
      </w:r>
    </w:p>
    <w:p w14:paraId="66B7F2C2" w14:textId="77777777" w:rsidR="00E45887" w:rsidRDefault="00E45887" w:rsidP="00E45887">
      <w:pPr>
        <w:pStyle w:val="NormalWeb"/>
        <w:spacing w:before="0" w:beforeAutospacing="0" w:after="240" w:afterAutospacing="0" w:line="360" w:lineRule="auto"/>
        <w:ind w:left="720" w:hanging="720"/>
      </w:pPr>
      <w:r>
        <w:t xml:space="preserve">Rosas, Ariel M., ‘Latin America-U.S. Relations: A Latin-American Perspective’, </w:t>
      </w:r>
      <w:r>
        <w:rPr>
          <w:i/>
          <w:iCs/>
        </w:rPr>
        <w:t>Naval War College Review</w:t>
      </w:r>
      <w:r>
        <w:t>, 39.4 (1986), 51–59</w:t>
      </w:r>
    </w:p>
    <w:p w14:paraId="3C199582" w14:textId="77777777" w:rsidR="00E45887" w:rsidRPr="006E7A68" w:rsidRDefault="00E45887" w:rsidP="00E45887"/>
    <w:sectPr w:rsidR="00E45887" w:rsidRPr="006E7A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7A79F" w14:textId="77777777" w:rsidR="00407B6D" w:rsidRDefault="00407B6D" w:rsidP="009D5E61">
      <w:pPr>
        <w:spacing w:after="0" w:line="240" w:lineRule="auto"/>
      </w:pPr>
      <w:r>
        <w:separator/>
      </w:r>
    </w:p>
  </w:endnote>
  <w:endnote w:type="continuationSeparator" w:id="0">
    <w:p w14:paraId="7D20F569" w14:textId="77777777" w:rsidR="00407B6D" w:rsidRDefault="00407B6D" w:rsidP="009D5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B32D4" w14:textId="77777777" w:rsidR="00407B6D" w:rsidRDefault="00407B6D" w:rsidP="009D5E61">
      <w:pPr>
        <w:spacing w:after="0" w:line="240" w:lineRule="auto"/>
      </w:pPr>
      <w:r>
        <w:separator/>
      </w:r>
    </w:p>
  </w:footnote>
  <w:footnote w:type="continuationSeparator" w:id="0">
    <w:p w14:paraId="30AEB1E2" w14:textId="77777777" w:rsidR="00407B6D" w:rsidRDefault="00407B6D" w:rsidP="009D5E61">
      <w:pPr>
        <w:spacing w:after="0" w:line="240" w:lineRule="auto"/>
      </w:pPr>
      <w:r>
        <w:continuationSeparator/>
      </w:r>
    </w:p>
  </w:footnote>
  <w:footnote w:id="1">
    <w:p w14:paraId="2DEB9E85" w14:textId="60A730EE" w:rsidR="000D229F" w:rsidRPr="000D229F" w:rsidRDefault="000D229F">
      <w:pPr>
        <w:pStyle w:val="FootnoteText"/>
        <w:rPr>
          <w:lang w:val="en-US"/>
        </w:rPr>
      </w:pPr>
      <w:r>
        <w:rPr>
          <w:rStyle w:val="FootnoteReference"/>
        </w:rPr>
        <w:footnoteRef/>
      </w:r>
      <w:r>
        <w:t xml:space="preserve"> Ariel M. Rosas, ‘Latin America-U.S. Relations: A Latin-American Perspective’, </w:t>
      </w:r>
      <w:r>
        <w:rPr>
          <w:i/>
          <w:iCs/>
        </w:rPr>
        <w:t>Naval War College Review</w:t>
      </w:r>
      <w:r>
        <w:t>, 39.4 (1986), 51–59.</w:t>
      </w:r>
    </w:p>
  </w:footnote>
  <w:footnote w:id="2">
    <w:p w14:paraId="75A34E23" w14:textId="6BE25630" w:rsidR="009D5E61" w:rsidRPr="009D5E61" w:rsidRDefault="009D5E61">
      <w:pPr>
        <w:pStyle w:val="FootnoteText"/>
        <w:rPr>
          <w:lang w:val="en-US"/>
        </w:rPr>
      </w:pPr>
      <w:r>
        <w:rPr>
          <w:rStyle w:val="FootnoteReference"/>
        </w:rPr>
        <w:footnoteRef/>
      </w:r>
      <w:r>
        <w:t xml:space="preserve"> C. G. Fenwick, ‘Procedure under the Rio Treaty of Reciprocal Assistance’, </w:t>
      </w:r>
      <w:r>
        <w:rPr>
          <w:i/>
          <w:iCs/>
        </w:rPr>
        <w:t>American Journal of International Law</w:t>
      </w:r>
      <w:r>
        <w:t>, 63.4 (1969), 769–70 &lt;</w:t>
      </w:r>
      <w:hyperlink r:id="rId1" w:history="1">
        <w:r>
          <w:rPr>
            <w:rStyle w:val="Hyperlink"/>
          </w:rPr>
          <w:t>https://doi.org/10.2307/2199484</w:t>
        </w:r>
      </w:hyperlink>
      <w:r>
        <w:t>&gt;.</w:t>
      </w:r>
    </w:p>
  </w:footnote>
  <w:footnote w:id="3">
    <w:p w14:paraId="31591995" w14:textId="4E3CE960" w:rsidR="003D4919" w:rsidRPr="003D4919" w:rsidRDefault="003D4919">
      <w:pPr>
        <w:pStyle w:val="FootnoteText"/>
        <w:rPr>
          <w:lang w:val="en-US"/>
        </w:rPr>
      </w:pPr>
      <w:r>
        <w:rPr>
          <w:rStyle w:val="FootnoteReference"/>
        </w:rPr>
        <w:footnoteRef/>
      </w:r>
      <w:r>
        <w:t xml:space="preserve"> Martha L Cottam, </w:t>
      </w:r>
      <w:proofErr w:type="gramStart"/>
      <w:r>
        <w:rPr>
          <w:i/>
          <w:iCs/>
        </w:rPr>
        <w:t>Images</w:t>
      </w:r>
      <w:proofErr w:type="gramEnd"/>
      <w:r>
        <w:rPr>
          <w:i/>
          <w:iCs/>
        </w:rPr>
        <w:t xml:space="preserve"> and Intervention</w:t>
      </w:r>
      <w:r>
        <w:t xml:space="preserve"> (University of Pittsburgh Press, 1994).</w:t>
      </w:r>
    </w:p>
  </w:footnote>
  <w:footnote w:id="4">
    <w:p w14:paraId="026D94B0" w14:textId="42936BC5" w:rsidR="007A67F5" w:rsidRPr="007A67F5" w:rsidRDefault="007A67F5">
      <w:pPr>
        <w:pStyle w:val="FootnoteText"/>
        <w:rPr>
          <w:lang w:val="en-US"/>
        </w:rPr>
      </w:pPr>
      <w:r>
        <w:rPr>
          <w:rStyle w:val="FootnoteReference"/>
        </w:rPr>
        <w:footnoteRef/>
      </w:r>
      <w:r>
        <w:t xml:space="preserve"> </w:t>
      </w:r>
      <w:r w:rsidR="003D4919">
        <w:t>Martha L. Cottam (1994)</w:t>
      </w:r>
    </w:p>
  </w:footnote>
  <w:footnote w:id="5">
    <w:p w14:paraId="49AFECB7" w14:textId="32E0B161" w:rsidR="00853DD5" w:rsidRPr="00853DD5" w:rsidRDefault="00853DD5">
      <w:pPr>
        <w:pStyle w:val="FootnoteText"/>
        <w:rPr>
          <w:lang w:val="en-US"/>
        </w:rPr>
      </w:pPr>
      <w:r>
        <w:rPr>
          <w:rStyle w:val="FootnoteReference"/>
        </w:rPr>
        <w:footnoteRef/>
      </w:r>
      <w:r>
        <w:t xml:space="preserve"> Ariel M. Rosas </w:t>
      </w:r>
      <w:r w:rsidR="002C101A">
        <w:t>(1986</w:t>
      </w:r>
      <w:r>
        <w:t>, p.55)</w:t>
      </w:r>
    </w:p>
  </w:footnote>
  <w:footnote w:id="6">
    <w:p w14:paraId="5F6C44C3" w14:textId="1548769B" w:rsidR="007B6520" w:rsidRPr="007B6520" w:rsidRDefault="007B6520">
      <w:pPr>
        <w:pStyle w:val="FootnoteText"/>
        <w:rPr>
          <w:lang w:val="en-US"/>
        </w:rPr>
      </w:pPr>
      <w:r>
        <w:rPr>
          <w:rStyle w:val="FootnoteReference"/>
        </w:rPr>
        <w:footnoteRef/>
      </w:r>
      <w:r>
        <w:t xml:space="preserve"> José Bell Lara and others, </w:t>
      </w:r>
      <w:r>
        <w:rPr>
          <w:i/>
          <w:iCs/>
        </w:rPr>
        <w:t xml:space="preserve">Fidel in the Cuban Socialist </w:t>
      </w:r>
      <w:r w:rsidR="006945DC">
        <w:rPr>
          <w:i/>
          <w:iCs/>
        </w:rPr>
        <w:t>Revolution:</w:t>
      </w:r>
      <w:r>
        <w:rPr>
          <w:i/>
          <w:iCs/>
        </w:rPr>
        <w:t xml:space="preserve"> Understanding the Cuban Revolution (1959-1961)</w:t>
      </w:r>
      <w:r>
        <w:t xml:space="preserve"> (Chicago, Il: Haymarket Books, 2020).</w:t>
      </w:r>
    </w:p>
  </w:footnote>
  <w:footnote w:id="7">
    <w:p w14:paraId="5B1FD301" w14:textId="039A5B92" w:rsidR="004D61D7" w:rsidRPr="004D61D7" w:rsidRDefault="004D61D7">
      <w:pPr>
        <w:pStyle w:val="FootnoteText"/>
        <w:rPr>
          <w:lang w:val="en-US"/>
        </w:rPr>
      </w:pPr>
      <w:r>
        <w:rPr>
          <w:rStyle w:val="FootnoteReference"/>
        </w:rPr>
        <w:footnoteRef/>
      </w:r>
      <w:r>
        <w:t xml:space="preserve"> Raul Rodriguez and Harry Targ, ‘US Foreign Policy towards Cuba: Historical Roots, Traditional Explanations and Alternative Perspectives’, </w:t>
      </w:r>
      <w:r>
        <w:rPr>
          <w:i/>
          <w:iCs/>
        </w:rPr>
        <w:t>International Journal of Cuban Studies</w:t>
      </w:r>
      <w:r>
        <w:t>, 7.1 (2015), 16–37.</w:t>
      </w:r>
    </w:p>
  </w:footnote>
  <w:footnote w:id="8">
    <w:p w14:paraId="3B45485B" w14:textId="530A4D7A" w:rsidR="00882CCC" w:rsidRPr="00882CCC" w:rsidRDefault="00882CCC">
      <w:pPr>
        <w:pStyle w:val="FootnoteText"/>
        <w:rPr>
          <w:lang w:val="en-US"/>
        </w:rPr>
      </w:pPr>
      <w:r>
        <w:rPr>
          <w:rStyle w:val="FootnoteReference"/>
        </w:rPr>
        <w:footnoteRef/>
      </w:r>
      <w:r>
        <w:t xml:space="preserve"> Shane J. Maddock, ‘Review: Kennedy, Castro, and Capos’, </w:t>
      </w:r>
      <w:r>
        <w:rPr>
          <w:i/>
          <w:iCs/>
        </w:rPr>
        <w:t>Reviews in American History</w:t>
      </w:r>
      <w:r>
        <w:t>, 37.2 (2009), 279–84.</w:t>
      </w:r>
    </w:p>
  </w:footnote>
  <w:footnote w:id="9">
    <w:p w14:paraId="7562B9D7" w14:textId="183E4953" w:rsidR="006D74C1" w:rsidRPr="006D74C1" w:rsidRDefault="006D74C1">
      <w:pPr>
        <w:pStyle w:val="FootnoteText"/>
        <w:rPr>
          <w:lang w:val="en-US"/>
        </w:rPr>
      </w:pPr>
      <w:r>
        <w:rPr>
          <w:rStyle w:val="FootnoteReference"/>
        </w:rPr>
        <w:footnoteRef/>
      </w:r>
      <w:r>
        <w:t xml:space="preserve"> Raul Rodriguez and Harry Targ, (2015, p.20.</w:t>
      </w:r>
      <w:r w:rsidR="000103BB">
        <w:t>)</w:t>
      </w:r>
    </w:p>
  </w:footnote>
  <w:footnote w:id="10">
    <w:p w14:paraId="39A8C4F0" w14:textId="5180A316" w:rsidR="000103BB" w:rsidRPr="000103BB" w:rsidRDefault="000103BB">
      <w:pPr>
        <w:pStyle w:val="FootnoteText"/>
        <w:rPr>
          <w:lang w:val="en-US"/>
        </w:rPr>
      </w:pPr>
      <w:r>
        <w:rPr>
          <w:rStyle w:val="FootnoteReference"/>
        </w:rPr>
        <w:footnoteRef/>
      </w:r>
      <w:r>
        <w:t xml:space="preserve"> Raul Rodriguez and Harry Targ, (2015, p.25.)</w:t>
      </w:r>
    </w:p>
  </w:footnote>
  <w:footnote w:id="11">
    <w:p w14:paraId="12411DC8" w14:textId="61FCF57B" w:rsidR="00CD6099" w:rsidRPr="00CD6099" w:rsidRDefault="00CD6099">
      <w:pPr>
        <w:pStyle w:val="FootnoteText"/>
        <w:rPr>
          <w:lang w:val="en-US"/>
        </w:rPr>
      </w:pPr>
      <w:r>
        <w:rPr>
          <w:rStyle w:val="FootnoteReference"/>
        </w:rPr>
        <w:footnoteRef/>
      </w:r>
      <w:r>
        <w:t xml:space="preserve"> Shane J. Maddock (2009, p.279)</w:t>
      </w:r>
    </w:p>
  </w:footnote>
  <w:footnote w:id="12">
    <w:p w14:paraId="24FAFCBB" w14:textId="65B8E44C" w:rsidR="00ED5082" w:rsidRPr="00ED5082" w:rsidRDefault="00ED5082">
      <w:pPr>
        <w:pStyle w:val="FootnoteText"/>
        <w:rPr>
          <w:lang w:val="en-US"/>
        </w:rPr>
      </w:pPr>
      <w:r>
        <w:rPr>
          <w:rStyle w:val="FootnoteReference"/>
        </w:rPr>
        <w:footnoteRef/>
      </w:r>
      <w:r>
        <w:t xml:space="preserve"> Martha L. Cottam (1994</w:t>
      </w:r>
      <w:r w:rsidR="00FA3252">
        <w:t>, p.37</w:t>
      </w:r>
      <w:r>
        <w:t>)</w:t>
      </w:r>
    </w:p>
  </w:footnote>
  <w:footnote w:id="13">
    <w:p w14:paraId="3AA41793" w14:textId="2D88FFC3" w:rsidR="0018019B" w:rsidRPr="0018019B" w:rsidRDefault="0018019B">
      <w:pPr>
        <w:pStyle w:val="FootnoteText"/>
        <w:rPr>
          <w:lang w:val="en-US"/>
        </w:rPr>
      </w:pPr>
      <w:r>
        <w:rPr>
          <w:rStyle w:val="FootnoteReference"/>
        </w:rPr>
        <w:footnoteRef/>
      </w:r>
      <w:r>
        <w:t xml:space="preserve"> </w:t>
      </w:r>
      <w:r w:rsidR="00FA3252">
        <w:t>Martha L. Cottam (1994</w:t>
      </w:r>
      <w:r w:rsidR="007F4F53">
        <w:t>, p.39</w:t>
      </w:r>
      <w:r w:rsidR="00FA3252">
        <w:t>)</w:t>
      </w:r>
    </w:p>
  </w:footnote>
  <w:footnote w:id="14">
    <w:p w14:paraId="53D1F998" w14:textId="78CFD9BD" w:rsidR="00FA3252" w:rsidRPr="00FA3252" w:rsidRDefault="00FA3252">
      <w:pPr>
        <w:pStyle w:val="FootnoteText"/>
        <w:rPr>
          <w:lang w:val="en-US"/>
        </w:rPr>
      </w:pPr>
      <w:r>
        <w:rPr>
          <w:rStyle w:val="FootnoteReference"/>
        </w:rPr>
        <w:footnoteRef/>
      </w:r>
      <w:r w:rsidR="007F4F53">
        <w:t>Martha L. Cottam (1994, p.39)</w:t>
      </w:r>
      <w:r>
        <w:t xml:space="preserve"> </w:t>
      </w:r>
    </w:p>
  </w:footnote>
  <w:footnote w:id="15">
    <w:p w14:paraId="7B61BE13" w14:textId="66081E61" w:rsidR="007F4F53" w:rsidRPr="007F4F53" w:rsidRDefault="007F4F53">
      <w:pPr>
        <w:pStyle w:val="FootnoteText"/>
        <w:rPr>
          <w:b/>
          <w:bCs/>
          <w:lang w:val="en-US"/>
        </w:rPr>
      </w:pPr>
      <w:r>
        <w:rPr>
          <w:rStyle w:val="FootnoteReference"/>
        </w:rPr>
        <w:footnoteRef/>
      </w:r>
      <w:r>
        <w:t xml:space="preserve"> Mark T. Hove, ‘The Arbenz Factor: Salvador Allende, U.S.-Chilean Relations, and the 1954 U.S. Intervention in Guatemala’, </w:t>
      </w:r>
      <w:r>
        <w:rPr>
          <w:i/>
          <w:iCs/>
        </w:rPr>
        <w:t>Diplomatic History</w:t>
      </w:r>
      <w:r>
        <w:t>, 31.4 (2007), 623–63 &lt;</w:t>
      </w:r>
      <w:hyperlink r:id="rId2" w:history="1">
        <w:r>
          <w:rPr>
            <w:rStyle w:val="Hyperlink"/>
          </w:rPr>
          <w:t>https://doi.org/10.1111/j.1467-7709.2007.00656.x</w:t>
        </w:r>
      </w:hyperlink>
      <w:r>
        <w:t>&gt;.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AD"/>
    <w:rsid w:val="000103BB"/>
    <w:rsid w:val="00056E4F"/>
    <w:rsid w:val="00060DE8"/>
    <w:rsid w:val="00073F46"/>
    <w:rsid w:val="000A5452"/>
    <w:rsid w:val="000A74B1"/>
    <w:rsid w:val="000D229F"/>
    <w:rsid w:val="0018019B"/>
    <w:rsid w:val="00217044"/>
    <w:rsid w:val="002772D8"/>
    <w:rsid w:val="002C101A"/>
    <w:rsid w:val="003213AA"/>
    <w:rsid w:val="003242E0"/>
    <w:rsid w:val="003D4919"/>
    <w:rsid w:val="00407B6D"/>
    <w:rsid w:val="004A530C"/>
    <w:rsid w:val="004B2807"/>
    <w:rsid w:val="004D61D7"/>
    <w:rsid w:val="00502A05"/>
    <w:rsid w:val="006945DC"/>
    <w:rsid w:val="006D74C1"/>
    <w:rsid w:val="006E5DFB"/>
    <w:rsid w:val="006E7A68"/>
    <w:rsid w:val="00703612"/>
    <w:rsid w:val="007A67F5"/>
    <w:rsid w:val="007B6520"/>
    <w:rsid w:val="007F4F53"/>
    <w:rsid w:val="00853DD5"/>
    <w:rsid w:val="00882CCC"/>
    <w:rsid w:val="008D7DA3"/>
    <w:rsid w:val="008E743E"/>
    <w:rsid w:val="00944DAD"/>
    <w:rsid w:val="009B232D"/>
    <w:rsid w:val="009D5E61"/>
    <w:rsid w:val="00AE1FFA"/>
    <w:rsid w:val="00CD6099"/>
    <w:rsid w:val="00D2302C"/>
    <w:rsid w:val="00D76067"/>
    <w:rsid w:val="00D916D3"/>
    <w:rsid w:val="00E45887"/>
    <w:rsid w:val="00E50794"/>
    <w:rsid w:val="00EB4DA6"/>
    <w:rsid w:val="00ED5082"/>
    <w:rsid w:val="00F16EE8"/>
    <w:rsid w:val="00F8401D"/>
    <w:rsid w:val="00FA3252"/>
    <w:rsid w:val="00FE3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4C486"/>
  <w15:chartTrackingRefBased/>
  <w15:docId w15:val="{B5D18835-7F44-45CC-A519-6382E015F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F4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D5E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5E61"/>
    <w:rPr>
      <w:sz w:val="20"/>
      <w:szCs w:val="20"/>
      <w:lang w:val="en-GB"/>
    </w:rPr>
  </w:style>
  <w:style w:type="character" w:styleId="FootnoteReference">
    <w:name w:val="footnote reference"/>
    <w:basedOn w:val="DefaultParagraphFont"/>
    <w:uiPriority w:val="99"/>
    <w:semiHidden/>
    <w:unhideWhenUsed/>
    <w:rsid w:val="009D5E61"/>
    <w:rPr>
      <w:vertAlign w:val="superscript"/>
    </w:rPr>
  </w:style>
  <w:style w:type="character" w:styleId="Hyperlink">
    <w:name w:val="Hyperlink"/>
    <w:basedOn w:val="DefaultParagraphFont"/>
    <w:uiPriority w:val="99"/>
    <w:semiHidden/>
    <w:unhideWhenUsed/>
    <w:rsid w:val="009D5E61"/>
    <w:rPr>
      <w:color w:val="0000FF"/>
      <w:u w:val="single"/>
    </w:rPr>
  </w:style>
  <w:style w:type="paragraph" w:styleId="NormalWeb">
    <w:name w:val="Normal (Web)"/>
    <w:basedOn w:val="Normal"/>
    <w:uiPriority w:val="99"/>
    <w:semiHidden/>
    <w:unhideWhenUsed/>
    <w:rsid w:val="00E45887"/>
    <w:pPr>
      <w:spacing w:before="100" w:beforeAutospacing="1" w:after="100" w:afterAutospacing="1" w:line="240" w:lineRule="auto"/>
    </w:pPr>
    <w:rPr>
      <w:rFonts w:eastAsia="Times New Roman" w:cs="Times New Roman"/>
      <w:kern w:val="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204014">
      <w:bodyDiv w:val="1"/>
      <w:marLeft w:val="0"/>
      <w:marRight w:val="0"/>
      <w:marTop w:val="0"/>
      <w:marBottom w:val="0"/>
      <w:divBdr>
        <w:top w:val="none" w:sz="0" w:space="0" w:color="auto"/>
        <w:left w:val="none" w:sz="0" w:space="0" w:color="auto"/>
        <w:bottom w:val="none" w:sz="0" w:space="0" w:color="auto"/>
        <w:right w:val="none" w:sz="0" w:space="0" w:color="auto"/>
      </w:divBdr>
      <w:divsChild>
        <w:div w:id="132639939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doi.org/10.1111/j.1467-7709.2007.00656.x" TargetMode="External"/><Relationship Id="rId1" Type="http://schemas.openxmlformats.org/officeDocument/2006/relationships/hyperlink" Target="https://doi.org/10.2307/21994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2388</Words>
  <Characters>13617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Mc Fee</dc:creator>
  <cp:keywords/>
  <dc:description/>
  <cp:lastModifiedBy>Ashley Mc Fee</cp:lastModifiedBy>
  <cp:revision>6</cp:revision>
  <dcterms:created xsi:type="dcterms:W3CDTF">2023-11-19T23:46:00Z</dcterms:created>
  <dcterms:modified xsi:type="dcterms:W3CDTF">2023-11-19T23:53:00Z</dcterms:modified>
</cp:coreProperties>
</file>