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6F3FD8" w14:textId="7151DAAE" w:rsidR="00F70E27" w:rsidRDefault="00EA7B14" w:rsidP="002A7BD6">
      <w:pPr>
        <w:rPr>
          <w:b/>
          <w:bCs/>
          <w:sz w:val="32"/>
          <w:szCs w:val="32"/>
        </w:rPr>
      </w:pPr>
      <w:r>
        <w:rPr>
          <w:noProof/>
        </w:rPr>
        <w:drawing>
          <wp:inline distT="0" distB="0" distL="0" distR="0" wp14:anchorId="11988E15" wp14:editId="25B6CFE2">
            <wp:extent cx="2861945" cy="1591310"/>
            <wp:effectExtent l="0" t="0" r="0" b="8890"/>
            <wp:docPr id="1015710243" name="Picture 1" descr="University of Wales Trinity Saint David | World-Class Education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orld-Class Education in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1945" cy="1591310"/>
                    </a:xfrm>
                    <a:prstGeom prst="rect">
                      <a:avLst/>
                    </a:prstGeom>
                    <a:noFill/>
                    <a:ln>
                      <a:noFill/>
                    </a:ln>
                  </pic:spPr>
                </pic:pic>
              </a:graphicData>
            </a:graphic>
          </wp:inline>
        </w:drawing>
      </w:r>
    </w:p>
    <w:p w14:paraId="2E91CF19" w14:textId="77777777" w:rsidR="00A86455" w:rsidRDefault="00A86455">
      <w:pPr>
        <w:rPr>
          <w:b/>
          <w:bCs/>
          <w:sz w:val="32"/>
          <w:szCs w:val="32"/>
        </w:rPr>
      </w:pPr>
    </w:p>
    <w:p w14:paraId="47ACC672" w14:textId="2AC2C9D3" w:rsidR="0013535F" w:rsidRPr="00422444" w:rsidRDefault="00A86455" w:rsidP="00656C83">
      <w:pPr>
        <w:spacing w:line="360" w:lineRule="auto"/>
        <w:jc w:val="both"/>
        <w:rPr>
          <w:rFonts w:ascii="Arial" w:hAnsi="Arial" w:cs="Arial"/>
          <w:b/>
          <w:bCs/>
          <w:sz w:val="28"/>
        </w:rPr>
      </w:pPr>
      <w:r w:rsidRPr="00422444">
        <w:rPr>
          <w:rFonts w:ascii="Arial" w:hAnsi="Arial" w:cs="Arial"/>
          <w:b/>
          <w:bCs/>
          <w:sz w:val="28"/>
        </w:rPr>
        <w:t>Module Code:</w:t>
      </w:r>
      <w:r w:rsidRPr="00422444">
        <w:rPr>
          <w:rFonts w:ascii="Arial" w:hAnsi="Arial" w:cs="Arial"/>
          <w:sz w:val="28"/>
        </w:rPr>
        <w:t xml:space="preserve"> LCHS4003</w:t>
      </w:r>
    </w:p>
    <w:p w14:paraId="23A5BA72" w14:textId="208794B6" w:rsidR="00A86455" w:rsidRPr="00422444" w:rsidRDefault="00A86455" w:rsidP="00656C83">
      <w:pPr>
        <w:spacing w:line="360" w:lineRule="auto"/>
        <w:jc w:val="both"/>
        <w:rPr>
          <w:rFonts w:ascii="Arial" w:hAnsi="Arial" w:cs="Arial"/>
          <w:b/>
          <w:bCs/>
          <w:sz w:val="28"/>
        </w:rPr>
      </w:pPr>
      <w:r w:rsidRPr="00422444">
        <w:rPr>
          <w:rFonts w:ascii="Arial" w:hAnsi="Arial" w:cs="Arial"/>
          <w:b/>
          <w:bCs/>
          <w:sz w:val="28"/>
        </w:rPr>
        <w:t xml:space="preserve">Module Title: </w:t>
      </w:r>
      <w:r w:rsidRPr="00422444">
        <w:rPr>
          <w:rFonts w:ascii="Arial" w:hAnsi="Arial" w:cs="Arial"/>
          <w:sz w:val="28"/>
        </w:rPr>
        <w:t>Introduction to Health and Social Care</w:t>
      </w:r>
    </w:p>
    <w:p w14:paraId="1498CCF2" w14:textId="0740E7A2" w:rsidR="00A86455" w:rsidRPr="00422444" w:rsidRDefault="00A86455" w:rsidP="00656C83">
      <w:pPr>
        <w:spacing w:line="360" w:lineRule="auto"/>
        <w:jc w:val="both"/>
        <w:rPr>
          <w:rFonts w:ascii="Arial" w:hAnsi="Arial" w:cs="Arial"/>
          <w:b/>
          <w:bCs/>
          <w:sz w:val="28"/>
        </w:rPr>
      </w:pPr>
      <w:r w:rsidRPr="00422444">
        <w:rPr>
          <w:rFonts w:ascii="Arial" w:hAnsi="Arial" w:cs="Arial"/>
          <w:b/>
          <w:bCs/>
          <w:sz w:val="28"/>
        </w:rPr>
        <w:t>Assignment Title:</w:t>
      </w:r>
      <w:r w:rsidR="00422444" w:rsidRPr="00422444">
        <w:rPr>
          <w:rFonts w:ascii="Arial" w:hAnsi="Arial" w:cs="Arial"/>
          <w:b/>
          <w:bCs/>
          <w:sz w:val="28"/>
        </w:rPr>
        <w:t xml:space="preserve"> </w:t>
      </w:r>
      <w:r w:rsidR="006A5129" w:rsidRPr="006A5129">
        <w:rPr>
          <w:rFonts w:ascii="Arial" w:hAnsi="Arial" w:cs="Arial"/>
          <w:sz w:val="28"/>
        </w:rPr>
        <w:t>Person-Centred Communication, Record Management and Multi-Professional Working in Mrs Thompson’s Care</w:t>
      </w:r>
    </w:p>
    <w:p w14:paraId="59F0185C" w14:textId="51853FAF" w:rsidR="00A86455" w:rsidRPr="00422444" w:rsidRDefault="00A86455" w:rsidP="00656C83">
      <w:pPr>
        <w:spacing w:line="360" w:lineRule="auto"/>
        <w:jc w:val="both"/>
        <w:rPr>
          <w:rFonts w:ascii="Arial" w:hAnsi="Arial" w:cs="Arial"/>
          <w:b/>
          <w:bCs/>
          <w:sz w:val="28"/>
        </w:rPr>
      </w:pPr>
      <w:r w:rsidRPr="00422444">
        <w:rPr>
          <w:rFonts w:ascii="Arial" w:hAnsi="Arial" w:cs="Arial"/>
          <w:b/>
          <w:bCs/>
          <w:sz w:val="28"/>
        </w:rPr>
        <w:t xml:space="preserve">Module Leader: </w:t>
      </w:r>
      <w:r w:rsidRPr="00422444">
        <w:rPr>
          <w:rFonts w:ascii="Arial" w:hAnsi="Arial" w:cs="Arial"/>
          <w:sz w:val="28"/>
        </w:rPr>
        <w:t>Muhammad Aliyu</w:t>
      </w:r>
    </w:p>
    <w:p w14:paraId="78D0C1C4" w14:textId="77777777" w:rsidR="00A86455" w:rsidRPr="00422444" w:rsidRDefault="00A86455" w:rsidP="00656C83">
      <w:pPr>
        <w:spacing w:line="360" w:lineRule="auto"/>
        <w:jc w:val="both"/>
        <w:rPr>
          <w:rFonts w:ascii="Arial" w:hAnsi="Arial" w:cs="Arial"/>
          <w:b/>
          <w:bCs/>
          <w:sz w:val="28"/>
        </w:rPr>
      </w:pPr>
    </w:p>
    <w:p w14:paraId="39959AD8" w14:textId="77777777" w:rsidR="00A86455" w:rsidRPr="00422444" w:rsidRDefault="00A86455" w:rsidP="00656C83">
      <w:pPr>
        <w:spacing w:line="360" w:lineRule="auto"/>
        <w:jc w:val="both"/>
        <w:rPr>
          <w:rFonts w:ascii="Arial" w:hAnsi="Arial" w:cs="Arial"/>
          <w:b/>
          <w:bCs/>
          <w:sz w:val="28"/>
        </w:rPr>
      </w:pPr>
    </w:p>
    <w:p w14:paraId="0CAE069A" w14:textId="746C7A1A" w:rsidR="00A86455" w:rsidRDefault="00A86455" w:rsidP="00656C83">
      <w:pPr>
        <w:spacing w:line="360" w:lineRule="auto"/>
        <w:jc w:val="both"/>
        <w:rPr>
          <w:rFonts w:ascii="Arial" w:hAnsi="Arial" w:cs="Arial"/>
          <w:b/>
          <w:bCs/>
          <w:sz w:val="28"/>
        </w:rPr>
      </w:pPr>
    </w:p>
    <w:p w14:paraId="4C315D87" w14:textId="77777777" w:rsidR="000117D8" w:rsidRPr="00422444" w:rsidRDefault="000117D8" w:rsidP="00656C83">
      <w:pPr>
        <w:spacing w:line="360" w:lineRule="auto"/>
        <w:jc w:val="both"/>
        <w:rPr>
          <w:rFonts w:ascii="Arial" w:hAnsi="Arial" w:cs="Arial"/>
          <w:b/>
          <w:bCs/>
          <w:sz w:val="28"/>
        </w:rPr>
      </w:pPr>
    </w:p>
    <w:p w14:paraId="77B58AC6" w14:textId="77777777" w:rsidR="00A86455" w:rsidRPr="00422444" w:rsidRDefault="00A86455" w:rsidP="00656C83">
      <w:pPr>
        <w:spacing w:line="360" w:lineRule="auto"/>
        <w:jc w:val="both"/>
        <w:rPr>
          <w:rFonts w:ascii="Arial" w:hAnsi="Arial" w:cs="Arial"/>
          <w:b/>
          <w:bCs/>
          <w:sz w:val="28"/>
        </w:rPr>
      </w:pPr>
    </w:p>
    <w:p w14:paraId="4DEC1B81" w14:textId="2C2BD699" w:rsidR="009A018F" w:rsidRPr="009A018F" w:rsidRDefault="00A86455" w:rsidP="009A018F">
      <w:pPr>
        <w:rPr>
          <w:rFonts w:cs="Arial"/>
          <w:b/>
          <w:bCs/>
          <w:sz w:val="28"/>
        </w:rPr>
      </w:pPr>
      <w:r w:rsidRPr="00422444">
        <w:rPr>
          <w:rFonts w:ascii="Arial" w:hAnsi="Arial" w:cs="Arial"/>
          <w:b/>
          <w:bCs/>
          <w:sz w:val="28"/>
        </w:rPr>
        <w:t>Student Name:</w:t>
      </w:r>
      <w:r w:rsidR="009A018F" w:rsidRPr="009A018F">
        <w:rPr>
          <w:rFonts w:cs="Arial"/>
          <w:b/>
          <w:bCs/>
          <w:sz w:val="28"/>
        </w:rPr>
        <w:t xml:space="preserve"> </w:t>
      </w:r>
      <w:r w:rsidR="009A018F" w:rsidRPr="009A018F">
        <w:rPr>
          <w:rFonts w:cs="Arial"/>
          <w:b/>
          <w:bCs/>
          <w:sz w:val="28"/>
        </w:rPr>
        <w:t>Bruno da Cruz Pereira</w:t>
      </w:r>
    </w:p>
    <w:p w14:paraId="50FA2798" w14:textId="3966E9F1" w:rsidR="00A86455" w:rsidRPr="009A018F" w:rsidRDefault="009A018F" w:rsidP="009A018F">
      <w:pPr>
        <w:rPr>
          <w:rFonts w:cs="Arial"/>
          <w:b/>
          <w:bCs/>
          <w:sz w:val="28"/>
        </w:rPr>
      </w:pPr>
      <w:r>
        <w:rPr>
          <w:rFonts w:cs="Arial"/>
          <w:b/>
          <w:bCs/>
          <w:sz w:val="28"/>
        </w:rPr>
        <w:t>Student ID: 2210506</w:t>
      </w:r>
    </w:p>
    <w:p w14:paraId="4ABF1CD3" w14:textId="77E34A6D" w:rsidR="00A86455" w:rsidRPr="00BF2A54" w:rsidRDefault="00A86455" w:rsidP="00656C83">
      <w:pPr>
        <w:spacing w:line="360" w:lineRule="auto"/>
        <w:jc w:val="both"/>
        <w:rPr>
          <w:rFonts w:ascii="Arial" w:hAnsi="Arial" w:cs="Arial"/>
          <w:sz w:val="28"/>
        </w:rPr>
      </w:pPr>
      <w:r w:rsidRPr="00422444">
        <w:rPr>
          <w:rFonts w:ascii="Arial" w:hAnsi="Arial" w:cs="Arial"/>
          <w:b/>
          <w:bCs/>
          <w:sz w:val="28"/>
        </w:rPr>
        <w:t>Word Count</w:t>
      </w:r>
      <w:r w:rsidR="005D1009">
        <w:rPr>
          <w:rFonts w:ascii="Arial" w:hAnsi="Arial" w:cs="Arial"/>
          <w:b/>
          <w:bCs/>
          <w:sz w:val="28"/>
        </w:rPr>
        <w:t xml:space="preserve">: </w:t>
      </w:r>
      <w:r w:rsidR="008168A0">
        <w:rPr>
          <w:rFonts w:ascii="Arial" w:hAnsi="Arial" w:cs="Arial"/>
          <w:sz w:val="28"/>
        </w:rPr>
        <w:t>1</w:t>
      </w:r>
      <w:r w:rsidR="009A018F">
        <w:rPr>
          <w:rFonts w:ascii="Arial" w:hAnsi="Arial" w:cs="Arial"/>
          <w:sz w:val="28"/>
        </w:rPr>
        <w:t>872</w:t>
      </w:r>
    </w:p>
    <w:p w14:paraId="77B2BC59" w14:textId="77777777" w:rsidR="0013535F" w:rsidRPr="00BF2A54" w:rsidRDefault="0013535F">
      <w:pPr>
        <w:rPr>
          <w:sz w:val="32"/>
          <w:szCs w:val="32"/>
        </w:rPr>
      </w:pPr>
    </w:p>
    <w:p w14:paraId="23693BA8" w14:textId="4A45ED70" w:rsidR="00F70E27" w:rsidRPr="00BF2A54" w:rsidRDefault="00F70E27">
      <w:pPr>
        <w:rPr>
          <w:sz w:val="32"/>
          <w:szCs w:val="32"/>
        </w:rPr>
      </w:pPr>
      <w:r w:rsidRPr="00BF2A54">
        <w:rPr>
          <w:sz w:val="32"/>
          <w:szCs w:val="32"/>
        </w:rPr>
        <w:br w:type="page"/>
      </w:r>
    </w:p>
    <w:sdt>
      <w:sdtPr>
        <w:rPr>
          <w:rFonts w:asciiTheme="minorHAnsi" w:eastAsiaTheme="minorHAnsi" w:hAnsiTheme="minorHAnsi" w:cs="Vrinda"/>
          <w:color w:val="auto"/>
          <w:sz w:val="22"/>
          <w:szCs w:val="28"/>
          <w:lang w:val="en-GB" w:bidi="bn-BD"/>
          <w14:ligatures w14:val="standardContextual"/>
        </w:rPr>
        <w:id w:val="-10065676"/>
        <w:docPartObj>
          <w:docPartGallery w:val="Table of Contents"/>
          <w:docPartUnique/>
        </w:docPartObj>
      </w:sdtPr>
      <w:sdtEndPr>
        <w:rPr>
          <w:b/>
          <w:bCs/>
          <w:noProof/>
        </w:rPr>
      </w:sdtEndPr>
      <w:sdtContent>
        <w:p w14:paraId="7FCC91BE" w14:textId="1B86ED5D" w:rsidR="00F70E27" w:rsidRDefault="00F70E27" w:rsidP="00F70E27">
          <w:pPr>
            <w:pStyle w:val="TOCHeading"/>
            <w:spacing w:line="360" w:lineRule="auto"/>
            <w:jc w:val="center"/>
            <w:rPr>
              <w:rFonts w:ascii="Arial" w:hAnsi="Arial" w:cs="Arial"/>
              <w:b/>
              <w:bCs/>
              <w:color w:val="002060"/>
            </w:rPr>
          </w:pPr>
          <w:r w:rsidRPr="001060D0">
            <w:rPr>
              <w:rFonts w:ascii="Arial" w:hAnsi="Arial" w:cs="Arial"/>
              <w:b/>
              <w:bCs/>
              <w:color w:val="002060"/>
            </w:rPr>
            <w:t>Table of Contents</w:t>
          </w:r>
        </w:p>
        <w:p w14:paraId="472F16BE" w14:textId="77777777" w:rsidR="009A018F" w:rsidRDefault="009A018F" w:rsidP="009A018F">
          <w:pPr>
            <w:rPr>
              <w:lang w:val="en-US" w:bidi="ar-SA"/>
            </w:rPr>
          </w:pPr>
        </w:p>
        <w:p w14:paraId="2EC6669C" w14:textId="77777777" w:rsidR="009A018F" w:rsidRPr="009A018F" w:rsidRDefault="009A018F" w:rsidP="009A018F">
          <w:pPr>
            <w:rPr>
              <w:lang w:val="en-US" w:bidi="ar-SA"/>
            </w:rPr>
          </w:pPr>
        </w:p>
        <w:p w14:paraId="5C80D45F" w14:textId="3C7B4256" w:rsidR="00DA6B70" w:rsidRDefault="00F70E27">
          <w:pPr>
            <w:pStyle w:val="TOC1"/>
            <w:tabs>
              <w:tab w:val="right" w:leader="dot" w:pos="9016"/>
            </w:tabs>
            <w:rPr>
              <w:rFonts w:eastAsiaTheme="minorEastAsia" w:cstheme="minorBidi"/>
              <w:noProof/>
              <w:kern w:val="2"/>
              <w:sz w:val="24"/>
              <w:szCs w:val="30"/>
              <w:lang w:eastAsia="en-GB"/>
            </w:rPr>
          </w:pPr>
          <w:r w:rsidRPr="00F70E27">
            <w:rPr>
              <w:rFonts w:ascii="Arial" w:hAnsi="Arial" w:cs="Arial"/>
            </w:rPr>
            <w:fldChar w:fldCharType="begin"/>
          </w:r>
          <w:r w:rsidRPr="00F70E27">
            <w:rPr>
              <w:rFonts w:ascii="Arial" w:hAnsi="Arial" w:cs="Arial"/>
            </w:rPr>
            <w:instrText xml:space="preserve"> TOC \o "1-3" \h \z \u </w:instrText>
          </w:r>
          <w:r w:rsidRPr="00F70E27">
            <w:rPr>
              <w:rFonts w:ascii="Arial" w:hAnsi="Arial" w:cs="Arial"/>
            </w:rPr>
            <w:fldChar w:fldCharType="separate"/>
          </w:r>
          <w:hyperlink w:anchor="_Toc237168895" w:history="1">
            <w:r w:rsidR="00DA6B70" w:rsidRPr="007704BD">
              <w:rPr>
                <w:rStyle w:val="Hyperlink"/>
                <w:noProof/>
              </w:rPr>
              <w:t>Introduction</w:t>
            </w:r>
            <w:r w:rsidR="00DA6B70">
              <w:rPr>
                <w:noProof/>
                <w:webHidden/>
              </w:rPr>
              <w:tab/>
            </w:r>
            <w:r w:rsidR="00DA6B70">
              <w:rPr>
                <w:noProof/>
                <w:webHidden/>
              </w:rPr>
              <w:fldChar w:fldCharType="begin"/>
            </w:r>
            <w:r w:rsidR="00DA6B70">
              <w:rPr>
                <w:noProof/>
                <w:webHidden/>
              </w:rPr>
              <w:instrText xml:space="preserve"> PAGEREF _Toc237168895 \h </w:instrText>
            </w:r>
            <w:r w:rsidR="00DA6B70">
              <w:rPr>
                <w:noProof/>
                <w:webHidden/>
              </w:rPr>
            </w:r>
            <w:r w:rsidR="00DA6B70">
              <w:rPr>
                <w:noProof/>
                <w:webHidden/>
              </w:rPr>
              <w:fldChar w:fldCharType="separate"/>
            </w:r>
            <w:r w:rsidR="00DA6B70">
              <w:rPr>
                <w:noProof/>
                <w:webHidden/>
              </w:rPr>
              <w:t>1</w:t>
            </w:r>
            <w:r w:rsidR="00DA6B70">
              <w:rPr>
                <w:noProof/>
                <w:webHidden/>
              </w:rPr>
              <w:fldChar w:fldCharType="end"/>
            </w:r>
          </w:hyperlink>
        </w:p>
        <w:p w14:paraId="556021C5" w14:textId="002C2FFA" w:rsidR="00DA6B70" w:rsidRPr="003C0A96" w:rsidRDefault="00DA6B70" w:rsidP="003C0A96">
          <w:pPr>
            <w:pStyle w:val="TOC1"/>
            <w:tabs>
              <w:tab w:val="left" w:pos="480"/>
              <w:tab w:val="right" w:leader="dot" w:pos="9016"/>
            </w:tabs>
            <w:spacing w:line="360" w:lineRule="auto"/>
            <w:rPr>
              <w:rFonts w:ascii="Arial" w:eastAsiaTheme="minorEastAsia" w:hAnsi="Arial" w:cs="Arial"/>
              <w:noProof/>
              <w:kern w:val="2"/>
              <w:sz w:val="24"/>
              <w:szCs w:val="30"/>
              <w:lang w:eastAsia="en-GB"/>
            </w:rPr>
          </w:pPr>
          <w:hyperlink w:anchor="_Toc237168896" w:history="1">
            <w:r w:rsidRPr="003C0A96">
              <w:rPr>
                <w:rStyle w:val="Hyperlink"/>
                <w:rFonts w:ascii="Arial" w:hAnsi="Arial" w:cs="Arial"/>
                <w:noProof/>
              </w:rPr>
              <w:t>1.</w:t>
            </w:r>
            <w:r w:rsidRPr="003C0A96">
              <w:rPr>
                <w:rFonts w:ascii="Arial" w:eastAsiaTheme="minorEastAsia" w:hAnsi="Arial" w:cs="Arial"/>
                <w:noProof/>
                <w:kern w:val="2"/>
                <w:sz w:val="24"/>
                <w:szCs w:val="30"/>
                <w:lang w:eastAsia="en-GB"/>
              </w:rPr>
              <w:tab/>
            </w:r>
            <w:r w:rsidRPr="003C0A96">
              <w:rPr>
                <w:rStyle w:val="Hyperlink"/>
                <w:rFonts w:ascii="Arial" w:hAnsi="Arial" w:cs="Arial"/>
                <w:noProof/>
              </w:rPr>
              <w:t>Effective Communication</w:t>
            </w:r>
            <w:r w:rsidRPr="003C0A96">
              <w:rPr>
                <w:rFonts w:ascii="Arial" w:hAnsi="Arial" w:cs="Arial"/>
                <w:noProof/>
                <w:webHidden/>
              </w:rPr>
              <w:tab/>
            </w:r>
            <w:r w:rsidRPr="003C0A96">
              <w:rPr>
                <w:rFonts w:ascii="Arial" w:hAnsi="Arial" w:cs="Arial"/>
                <w:noProof/>
                <w:webHidden/>
              </w:rPr>
              <w:fldChar w:fldCharType="begin"/>
            </w:r>
            <w:r w:rsidRPr="003C0A96">
              <w:rPr>
                <w:rFonts w:ascii="Arial" w:hAnsi="Arial" w:cs="Arial"/>
                <w:noProof/>
                <w:webHidden/>
              </w:rPr>
              <w:instrText xml:space="preserve"> PAGEREF _Toc237168896 \h </w:instrText>
            </w:r>
            <w:r w:rsidRPr="003C0A96">
              <w:rPr>
                <w:rFonts w:ascii="Arial" w:hAnsi="Arial" w:cs="Arial"/>
                <w:noProof/>
                <w:webHidden/>
              </w:rPr>
            </w:r>
            <w:r w:rsidRPr="003C0A96">
              <w:rPr>
                <w:rFonts w:ascii="Arial" w:hAnsi="Arial" w:cs="Arial"/>
                <w:noProof/>
                <w:webHidden/>
              </w:rPr>
              <w:fldChar w:fldCharType="separate"/>
            </w:r>
            <w:r w:rsidRPr="003C0A96">
              <w:rPr>
                <w:rFonts w:ascii="Arial" w:hAnsi="Arial" w:cs="Arial"/>
                <w:noProof/>
                <w:webHidden/>
              </w:rPr>
              <w:t>1</w:t>
            </w:r>
            <w:r w:rsidRPr="003C0A96">
              <w:rPr>
                <w:rFonts w:ascii="Arial" w:hAnsi="Arial" w:cs="Arial"/>
                <w:noProof/>
                <w:webHidden/>
              </w:rPr>
              <w:fldChar w:fldCharType="end"/>
            </w:r>
          </w:hyperlink>
        </w:p>
        <w:p w14:paraId="63FC5390" w14:textId="4141DAA9" w:rsidR="00DA6B70" w:rsidRPr="003C0A96" w:rsidRDefault="00DA6B70" w:rsidP="003C0A96">
          <w:pPr>
            <w:pStyle w:val="TOC1"/>
            <w:tabs>
              <w:tab w:val="left" w:pos="480"/>
              <w:tab w:val="right" w:leader="dot" w:pos="9016"/>
            </w:tabs>
            <w:spacing w:line="360" w:lineRule="auto"/>
            <w:rPr>
              <w:rFonts w:ascii="Arial" w:eastAsiaTheme="minorEastAsia" w:hAnsi="Arial" w:cs="Arial"/>
              <w:noProof/>
              <w:kern w:val="2"/>
              <w:sz w:val="24"/>
              <w:szCs w:val="30"/>
              <w:lang w:eastAsia="en-GB"/>
            </w:rPr>
          </w:pPr>
          <w:hyperlink w:anchor="_Toc237168897" w:history="1">
            <w:r w:rsidRPr="003C0A96">
              <w:rPr>
                <w:rStyle w:val="Hyperlink"/>
                <w:rFonts w:ascii="Arial" w:hAnsi="Arial" w:cs="Arial"/>
                <w:noProof/>
              </w:rPr>
              <w:t>2.</w:t>
            </w:r>
            <w:r w:rsidRPr="003C0A96">
              <w:rPr>
                <w:rFonts w:ascii="Arial" w:eastAsiaTheme="minorEastAsia" w:hAnsi="Arial" w:cs="Arial"/>
                <w:noProof/>
                <w:kern w:val="2"/>
                <w:sz w:val="24"/>
                <w:szCs w:val="30"/>
                <w:lang w:eastAsia="en-GB"/>
              </w:rPr>
              <w:tab/>
            </w:r>
            <w:r w:rsidRPr="003C0A96">
              <w:rPr>
                <w:rStyle w:val="Hyperlink"/>
                <w:rFonts w:ascii="Arial" w:hAnsi="Arial" w:cs="Arial"/>
                <w:noProof/>
              </w:rPr>
              <w:t>Administrative Skills, Record Keeping and Data Protection</w:t>
            </w:r>
            <w:r w:rsidRPr="003C0A96">
              <w:rPr>
                <w:rFonts w:ascii="Arial" w:hAnsi="Arial" w:cs="Arial"/>
                <w:noProof/>
                <w:webHidden/>
              </w:rPr>
              <w:tab/>
            </w:r>
            <w:r w:rsidRPr="003C0A96">
              <w:rPr>
                <w:rFonts w:ascii="Arial" w:hAnsi="Arial" w:cs="Arial"/>
                <w:noProof/>
                <w:webHidden/>
              </w:rPr>
              <w:fldChar w:fldCharType="begin"/>
            </w:r>
            <w:r w:rsidRPr="003C0A96">
              <w:rPr>
                <w:rFonts w:ascii="Arial" w:hAnsi="Arial" w:cs="Arial"/>
                <w:noProof/>
                <w:webHidden/>
              </w:rPr>
              <w:instrText xml:space="preserve"> PAGEREF _Toc237168897 \h </w:instrText>
            </w:r>
            <w:r w:rsidRPr="003C0A96">
              <w:rPr>
                <w:rFonts w:ascii="Arial" w:hAnsi="Arial" w:cs="Arial"/>
                <w:noProof/>
                <w:webHidden/>
              </w:rPr>
            </w:r>
            <w:r w:rsidRPr="003C0A96">
              <w:rPr>
                <w:rFonts w:ascii="Arial" w:hAnsi="Arial" w:cs="Arial"/>
                <w:noProof/>
                <w:webHidden/>
              </w:rPr>
              <w:fldChar w:fldCharType="separate"/>
            </w:r>
            <w:r w:rsidRPr="003C0A96">
              <w:rPr>
                <w:rFonts w:ascii="Arial" w:hAnsi="Arial" w:cs="Arial"/>
                <w:noProof/>
                <w:webHidden/>
              </w:rPr>
              <w:t>2</w:t>
            </w:r>
            <w:r w:rsidRPr="003C0A96">
              <w:rPr>
                <w:rFonts w:ascii="Arial" w:hAnsi="Arial" w:cs="Arial"/>
                <w:noProof/>
                <w:webHidden/>
              </w:rPr>
              <w:fldChar w:fldCharType="end"/>
            </w:r>
          </w:hyperlink>
        </w:p>
        <w:p w14:paraId="621EA2B6" w14:textId="25537AEF" w:rsidR="00DA6B70" w:rsidRPr="003C0A96" w:rsidRDefault="00DA6B70" w:rsidP="003C0A96">
          <w:pPr>
            <w:pStyle w:val="TOC1"/>
            <w:tabs>
              <w:tab w:val="left" w:pos="480"/>
              <w:tab w:val="right" w:leader="dot" w:pos="9016"/>
            </w:tabs>
            <w:spacing w:line="360" w:lineRule="auto"/>
            <w:rPr>
              <w:rFonts w:ascii="Arial" w:eastAsiaTheme="minorEastAsia" w:hAnsi="Arial" w:cs="Arial"/>
              <w:noProof/>
              <w:kern w:val="2"/>
              <w:sz w:val="24"/>
              <w:szCs w:val="30"/>
              <w:lang w:eastAsia="en-GB"/>
            </w:rPr>
          </w:pPr>
          <w:hyperlink w:anchor="_Toc237168898" w:history="1">
            <w:r w:rsidRPr="003C0A96">
              <w:rPr>
                <w:rStyle w:val="Hyperlink"/>
                <w:rFonts w:ascii="Arial" w:hAnsi="Arial" w:cs="Arial"/>
                <w:noProof/>
              </w:rPr>
              <w:t>3.</w:t>
            </w:r>
            <w:r w:rsidRPr="003C0A96">
              <w:rPr>
                <w:rFonts w:ascii="Arial" w:eastAsiaTheme="minorEastAsia" w:hAnsi="Arial" w:cs="Arial"/>
                <w:noProof/>
                <w:kern w:val="2"/>
                <w:sz w:val="24"/>
                <w:szCs w:val="30"/>
                <w:lang w:eastAsia="en-GB"/>
              </w:rPr>
              <w:tab/>
            </w:r>
            <w:r w:rsidRPr="003C0A96">
              <w:rPr>
                <w:rStyle w:val="Hyperlink"/>
                <w:rFonts w:ascii="Arial" w:hAnsi="Arial" w:cs="Arial"/>
                <w:noProof/>
              </w:rPr>
              <w:t>Collaborative Working</w:t>
            </w:r>
            <w:r w:rsidRPr="003C0A96">
              <w:rPr>
                <w:rFonts w:ascii="Arial" w:hAnsi="Arial" w:cs="Arial"/>
                <w:noProof/>
                <w:webHidden/>
              </w:rPr>
              <w:tab/>
            </w:r>
            <w:r w:rsidRPr="003C0A96">
              <w:rPr>
                <w:rFonts w:ascii="Arial" w:hAnsi="Arial" w:cs="Arial"/>
                <w:noProof/>
                <w:webHidden/>
              </w:rPr>
              <w:fldChar w:fldCharType="begin"/>
            </w:r>
            <w:r w:rsidRPr="003C0A96">
              <w:rPr>
                <w:rFonts w:ascii="Arial" w:hAnsi="Arial" w:cs="Arial"/>
                <w:noProof/>
                <w:webHidden/>
              </w:rPr>
              <w:instrText xml:space="preserve"> PAGEREF _Toc237168898 \h </w:instrText>
            </w:r>
            <w:r w:rsidRPr="003C0A96">
              <w:rPr>
                <w:rFonts w:ascii="Arial" w:hAnsi="Arial" w:cs="Arial"/>
                <w:noProof/>
                <w:webHidden/>
              </w:rPr>
            </w:r>
            <w:r w:rsidRPr="003C0A96">
              <w:rPr>
                <w:rFonts w:ascii="Arial" w:hAnsi="Arial" w:cs="Arial"/>
                <w:noProof/>
                <w:webHidden/>
              </w:rPr>
              <w:fldChar w:fldCharType="separate"/>
            </w:r>
            <w:r w:rsidRPr="003C0A96">
              <w:rPr>
                <w:rFonts w:ascii="Arial" w:hAnsi="Arial" w:cs="Arial"/>
                <w:noProof/>
                <w:webHidden/>
              </w:rPr>
              <w:t>3</w:t>
            </w:r>
            <w:r w:rsidRPr="003C0A96">
              <w:rPr>
                <w:rFonts w:ascii="Arial" w:hAnsi="Arial" w:cs="Arial"/>
                <w:noProof/>
                <w:webHidden/>
              </w:rPr>
              <w:fldChar w:fldCharType="end"/>
            </w:r>
          </w:hyperlink>
        </w:p>
        <w:p w14:paraId="4C55136E" w14:textId="2770FCAD" w:rsidR="00DA6B70" w:rsidRPr="003C0A96" w:rsidRDefault="00DA6B70" w:rsidP="003C0A96">
          <w:pPr>
            <w:pStyle w:val="TOC1"/>
            <w:tabs>
              <w:tab w:val="right" w:leader="dot" w:pos="9016"/>
            </w:tabs>
            <w:spacing w:line="360" w:lineRule="auto"/>
            <w:rPr>
              <w:rFonts w:ascii="Arial" w:eastAsiaTheme="minorEastAsia" w:hAnsi="Arial" w:cs="Arial"/>
              <w:noProof/>
              <w:kern w:val="2"/>
              <w:sz w:val="24"/>
              <w:szCs w:val="30"/>
              <w:lang w:eastAsia="en-GB"/>
            </w:rPr>
          </w:pPr>
          <w:hyperlink w:anchor="_Toc237168899" w:history="1">
            <w:r w:rsidRPr="003C0A96">
              <w:rPr>
                <w:rStyle w:val="Hyperlink"/>
                <w:rFonts w:ascii="Arial" w:hAnsi="Arial" w:cs="Arial"/>
                <w:noProof/>
              </w:rPr>
              <w:t>Conclusion</w:t>
            </w:r>
            <w:r w:rsidRPr="003C0A96">
              <w:rPr>
                <w:rFonts w:ascii="Arial" w:hAnsi="Arial" w:cs="Arial"/>
                <w:noProof/>
                <w:webHidden/>
              </w:rPr>
              <w:tab/>
            </w:r>
            <w:r w:rsidRPr="003C0A96">
              <w:rPr>
                <w:rFonts w:ascii="Arial" w:hAnsi="Arial" w:cs="Arial"/>
                <w:noProof/>
                <w:webHidden/>
              </w:rPr>
              <w:fldChar w:fldCharType="begin"/>
            </w:r>
            <w:r w:rsidRPr="003C0A96">
              <w:rPr>
                <w:rFonts w:ascii="Arial" w:hAnsi="Arial" w:cs="Arial"/>
                <w:noProof/>
                <w:webHidden/>
              </w:rPr>
              <w:instrText xml:space="preserve"> PAGEREF _Toc237168899 \h </w:instrText>
            </w:r>
            <w:r w:rsidRPr="003C0A96">
              <w:rPr>
                <w:rFonts w:ascii="Arial" w:hAnsi="Arial" w:cs="Arial"/>
                <w:noProof/>
                <w:webHidden/>
              </w:rPr>
            </w:r>
            <w:r w:rsidRPr="003C0A96">
              <w:rPr>
                <w:rFonts w:ascii="Arial" w:hAnsi="Arial" w:cs="Arial"/>
                <w:noProof/>
                <w:webHidden/>
              </w:rPr>
              <w:fldChar w:fldCharType="separate"/>
            </w:r>
            <w:r w:rsidRPr="003C0A96">
              <w:rPr>
                <w:rFonts w:ascii="Arial" w:hAnsi="Arial" w:cs="Arial"/>
                <w:noProof/>
                <w:webHidden/>
              </w:rPr>
              <w:t>4</w:t>
            </w:r>
            <w:r w:rsidRPr="003C0A96">
              <w:rPr>
                <w:rFonts w:ascii="Arial" w:hAnsi="Arial" w:cs="Arial"/>
                <w:noProof/>
                <w:webHidden/>
              </w:rPr>
              <w:fldChar w:fldCharType="end"/>
            </w:r>
          </w:hyperlink>
        </w:p>
        <w:p w14:paraId="76D751B4" w14:textId="1EF5C087" w:rsidR="00DA6B70" w:rsidRPr="003C0A96" w:rsidRDefault="00DA6B70" w:rsidP="003C0A96">
          <w:pPr>
            <w:pStyle w:val="TOC1"/>
            <w:tabs>
              <w:tab w:val="right" w:leader="dot" w:pos="9016"/>
            </w:tabs>
            <w:spacing w:line="360" w:lineRule="auto"/>
            <w:rPr>
              <w:rFonts w:ascii="Arial" w:eastAsiaTheme="minorEastAsia" w:hAnsi="Arial" w:cs="Arial"/>
              <w:noProof/>
              <w:kern w:val="2"/>
              <w:sz w:val="24"/>
              <w:szCs w:val="30"/>
              <w:lang w:eastAsia="en-GB"/>
            </w:rPr>
          </w:pPr>
          <w:hyperlink w:anchor="_Toc237168900" w:history="1">
            <w:r w:rsidRPr="003C0A96">
              <w:rPr>
                <w:rStyle w:val="Hyperlink"/>
                <w:rFonts w:ascii="Arial" w:hAnsi="Arial" w:cs="Arial"/>
                <w:noProof/>
              </w:rPr>
              <w:t>References</w:t>
            </w:r>
            <w:r w:rsidRPr="003C0A96">
              <w:rPr>
                <w:rFonts w:ascii="Arial" w:hAnsi="Arial" w:cs="Arial"/>
                <w:noProof/>
                <w:webHidden/>
              </w:rPr>
              <w:tab/>
            </w:r>
            <w:r w:rsidRPr="003C0A96">
              <w:rPr>
                <w:rFonts w:ascii="Arial" w:hAnsi="Arial" w:cs="Arial"/>
                <w:noProof/>
                <w:webHidden/>
              </w:rPr>
              <w:fldChar w:fldCharType="begin"/>
            </w:r>
            <w:r w:rsidRPr="003C0A96">
              <w:rPr>
                <w:rFonts w:ascii="Arial" w:hAnsi="Arial" w:cs="Arial"/>
                <w:noProof/>
                <w:webHidden/>
              </w:rPr>
              <w:instrText xml:space="preserve"> PAGEREF _Toc237168900 \h </w:instrText>
            </w:r>
            <w:r w:rsidRPr="003C0A96">
              <w:rPr>
                <w:rFonts w:ascii="Arial" w:hAnsi="Arial" w:cs="Arial"/>
                <w:noProof/>
                <w:webHidden/>
              </w:rPr>
            </w:r>
            <w:r w:rsidRPr="003C0A96">
              <w:rPr>
                <w:rFonts w:ascii="Arial" w:hAnsi="Arial" w:cs="Arial"/>
                <w:noProof/>
                <w:webHidden/>
              </w:rPr>
              <w:fldChar w:fldCharType="separate"/>
            </w:r>
            <w:r w:rsidRPr="003C0A96">
              <w:rPr>
                <w:rFonts w:ascii="Arial" w:hAnsi="Arial" w:cs="Arial"/>
                <w:noProof/>
                <w:webHidden/>
              </w:rPr>
              <w:t>4</w:t>
            </w:r>
            <w:r w:rsidRPr="003C0A96">
              <w:rPr>
                <w:rFonts w:ascii="Arial" w:hAnsi="Arial" w:cs="Arial"/>
                <w:noProof/>
                <w:webHidden/>
              </w:rPr>
              <w:fldChar w:fldCharType="end"/>
            </w:r>
          </w:hyperlink>
        </w:p>
        <w:p w14:paraId="660017D6" w14:textId="3D665210" w:rsidR="00F70E27" w:rsidRDefault="00F70E27" w:rsidP="00F70E27">
          <w:pPr>
            <w:spacing w:line="360" w:lineRule="auto"/>
          </w:pPr>
          <w:r w:rsidRPr="00F70E27">
            <w:rPr>
              <w:rFonts w:ascii="Arial" w:hAnsi="Arial" w:cs="Arial"/>
              <w:b/>
              <w:bCs/>
              <w:noProof/>
            </w:rPr>
            <w:fldChar w:fldCharType="end"/>
          </w:r>
        </w:p>
      </w:sdtContent>
    </w:sdt>
    <w:p w14:paraId="634D32ED" w14:textId="77777777" w:rsidR="00D374FB" w:rsidRDefault="00D374FB" w:rsidP="002A7BD6">
      <w:pPr>
        <w:rPr>
          <w:b/>
          <w:bCs/>
          <w:sz w:val="32"/>
          <w:szCs w:val="32"/>
        </w:rPr>
      </w:pPr>
    </w:p>
    <w:p w14:paraId="6FABF61D" w14:textId="77777777" w:rsidR="00D83D23" w:rsidRPr="00D83D23" w:rsidRDefault="00D83D23" w:rsidP="00D83D23">
      <w:pPr>
        <w:rPr>
          <w:sz w:val="32"/>
          <w:szCs w:val="32"/>
        </w:rPr>
      </w:pPr>
    </w:p>
    <w:p w14:paraId="2C067200" w14:textId="77777777" w:rsidR="00D83D23" w:rsidRPr="00D83D23" w:rsidRDefault="00D83D23" w:rsidP="00D83D23">
      <w:pPr>
        <w:rPr>
          <w:sz w:val="32"/>
          <w:szCs w:val="32"/>
        </w:rPr>
      </w:pPr>
    </w:p>
    <w:p w14:paraId="368F9491" w14:textId="77777777" w:rsidR="00D83D23" w:rsidRPr="00D83D23" w:rsidRDefault="00D83D23" w:rsidP="00D83D23">
      <w:pPr>
        <w:rPr>
          <w:sz w:val="32"/>
          <w:szCs w:val="32"/>
        </w:rPr>
      </w:pPr>
    </w:p>
    <w:p w14:paraId="585797C6" w14:textId="77777777" w:rsidR="00D83D23" w:rsidRPr="00D83D23" w:rsidRDefault="00D83D23" w:rsidP="00D83D23">
      <w:pPr>
        <w:rPr>
          <w:sz w:val="32"/>
          <w:szCs w:val="32"/>
        </w:rPr>
      </w:pPr>
    </w:p>
    <w:p w14:paraId="7D80AA5C" w14:textId="77777777" w:rsidR="00D83D23" w:rsidRPr="00D83D23" w:rsidRDefault="00D83D23" w:rsidP="00D83D23">
      <w:pPr>
        <w:rPr>
          <w:sz w:val="32"/>
          <w:szCs w:val="32"/>
        </w:rPr>
      </w:pPr>
    </w:p>
    <w:p w14:paraId="4996BDCF" w14:textId="77777777" w:rsidR="00D83D23" w:rsidRPr="00D83D23" w:rsidRDefault="00D83D23" w:rsidP="00D83D23">
      <w:pPr>
        <w:rPr>
          <w:sz w:val="32"/>
          <w:szCs w:val="32"/>
        </w:rPr>
      </w:pPr>
    </w:p>
    <w:p w14:paraId="0FB6E7EC" w14:textId="77777777" w:rsidR="00D83D23" w:rsidRPr="00D83D23" w:rsidRDefault="00D83D23" w:rsidP="00D83D23">
      <w:pPr>
        <w:rPr>
          <w:sz w:val="32"/>
          <w:szCs w:val="32"/>
        </w:rPr>
      </w:pPr>
    </w:p>
    <w:p w14:paraId="56F24CE2" w14:textId="77777777" w:rsidR="00D83D23" w:rsidRPr="00D83D23" w:rsidRDefault="00D83D23" w:rsidP="00D83D23">
      <w:pPr>
        <w:rPr>
          <w:sz w:val="32"/>
          <w:szCs w:val="32"/>
        </w:rPr>
      </w:pPr>
    </w:p>
    <w:p w14:paraId="44B895B5" w14:textId="77777777" w:rsidR="00D83D23" w:rsidRPr="00D83D23" w:rsidRDefault="00D83D23" w:rsidP="00D83D23">
      <w:pPr>
        <w:rPr>
          <w:sz w:val="32"/>
          <w:szCs w:val="32"/>
        </w:rPr>
      </w:pPr>
    </w:p>
    <w:p w14:paraId="4B03681E" w14:textId="77777777" w:rsidR="00D83D23" w:rsidRPr="00D83D23" w:rsidRDefault="00D83D23" w:rsidP="00D83D23">
      <w:pPr>
        <w:rPr>
          <w:sz w:val="32"/>
          <w:szCs w:val="32"/>
        </w:rPr>
      </w:pPr>
    </w:p>
    <w:p w14:paraId="0681B2BF" w14:textId="77777777" w:rsidR="00D83D23" w:rsidRPr="00D83D23" w:rsidRDefault="00D83D23" w:rsidP="00D83D23">
      <w:pPr>
        <w:rPr>
          <w:sz w:val="32"/>
          <w:szCs w:val="32"/>
        </w:rPr>
      </w:pPr>
    </w:p>
    <w:p w14:paraId="47C922DE" w14:textId="0D349B42" w:rsidR="00D83D23" w:rsidRPr="00D83D23" w:rsidRDefault="00D83D23" w:rsidP="00D83D23">
      <w:pPr>
        <w:tabs>
          <w:tab w:val="left" w:pos="3396"/>
        </w:tabs>
        <w:rPr>
          <w:sz w:val="32"/>
          <w:szCs w:val="32"/>
        </w:rPr>
      </w:pPr>
      <w:r>
        <w:rPr>
          <w:sz w:val="32"/>
          <w:szCs w:val="32"/>
        </w:rPr>
        <w:tab/>
      </w:r>
    </w:p>
    <w:p w14:paraId="18D5FDAD" w14:textId="0A4B7E30" w:rsidR="00D83D23" w:rsidRPr="00D83D23" w:rsidRDefault="00D83D23" w:rsidP="00D83D23">
      <w:pPr>
        <w:tabs>
          <w:tab w:val="left" w:pos="3396"/>
        </w:tabs>
        <w:rPr>
          <w:sz w:val="32"/>
          <w:szCs w:val="32"/>
        </w:rPr>
        <w:sectPr w:rsidR="00D83D23" w:rsidRPr="00D83D23" w:rsidSect="00605A91">
          <w:pgSz w:w="11906" w:h="16838"/>
          <w:pgMar w:top="1440" w:right="1440" w:bottom="1440" w:left="1440" w:header="708" w:footer="708" w:gutter="0"/>
          <w:cols w:space="708"/>
          <w:docGrid w:linePitch="360"/>
        </w:sectPr>
      </w:pPr>
      <w:r>
        <w:rPr>
          <w:sz w:val="32"/>
          <w:szCs w:val="32"/>
        </w:rPr>
        <w:tab/>
      </w:r>
    </w:p>
    <w:p w14:paraId="3E285F4C" w14:textId="62F11071" w:rsidR="00751331" w:rsidRPr="002A7BD6" w:rsidRDefault="00751331" w:rsidP="002A7BD6">
      <w:pPr>
        <w:rPr>
          <w:b/>
          <w:bCs/>
          <w:sz w:val="32"/>
          <w:szCs w:val="32"/>
        </w:rPr>
      </w:pPr>
      <w:r w:rsidRPr="002A7BD6">
        <w:rPr>
          <w:b/>
          <w:bCs/>
          <w:sz w:val="32"/>
          <w:szCs w:val="32"/>
        </w:rPr>
        <w:lastRenderedPageBreak/>
        <w:t>Case Study Report: Mrs Thompson</w:t>
      </w:r>
    </w:p>
    <w:p w14:paraId="2DDCAEB1" w14:textId="77777777" w:rsidR="00751331" w:rsidRPr="002A7BD6" w:rsidRDefault="00751331" w:rsidP="002A7BD6">
      <w:pPr>
        <w:pStyle w:val="Heading1"/>
      </w:pPr>
      <w:bookmarkStart w:id="0" w:name="_Toc237168895"/>
      <w:r w:rsidRPr="002A7BD6">
        <w:t>Introduction</w:t>
      </w:r>
      <w:bookmarkEnd w:id="0"/>
    </w:p>
    <w:p w14:paraId="022BBE35" w14:textId="7C385F35" w:rsidR="00307E18" w:rsidRPr="00307E18" w:rsidRDefault="00307E18" w:rsidP="00307E18">
      <w:pPr>
        <w:spacing w:line="360" w:lineRule="auto"/>
        <w:jc w:val="both"/>
        <w:rPr>
          <w:rFonts w:ascii="Arial" w:hAnsi="Arial" w:cs="Arial"/>
        </w:rPr>
      </w:pPr>
      <w:r w:rsidRPr="00307E18">
        <w:rPr>
          <w:rFonts w:ascii="Arial" w:hAnsi="Arial" w:cs="Arial"/>
        </w:rPr>
        <w:t>Mrs Thompson is an 84-year-old woman who has been discharged from hospital after being treated for pneumonia and now lives in sheltered accommodation. She is living alone, has two daily domiciliary care visits and has mild dementia. She has recently missed her medication for two days, which has led to her becoming more confused, and it is questionable whether her current support is adequate. A separate incident where she was seen outside during the cold weather wearing insufficient clothing has also resulted in safeguarding concerns and a review by the local authority. These events suggest that her needs need to be revisited and not treated as one-off issues. This report will look at how communication, administrative practice and multi-professional working are important in supporting Mrs Thompson. Specific focus is on ensuring she is involved in decisions, information management and that her care plan is reviewed in light of changes in risk.</w:t>
      </w:r>
    </w:p>
    <w:p w14:paraId="1191524C" w14:textId="72866328" w:rsidR="00751331" w:rsidRPr="002A7BD6" w:rsidRDefault="00751331" w:rsidP="002A7BD6">
      <w:pPr>
        <w:pStyle w:val="Heading1"/>
        <w:numPr>
          <w:ilvl w:val="0"/>
          <w:numId w:val="2"/>
        </w:numPr>
      </w:pPr>
      <w:bookmarkStart w:id="1" w:name="_Toc237168896"/>
      <w:r w:rsidRPr="002A7BD6">
        <w:t>Effective Communication</w:t>
      </w:r>
      <w:bookmarkEnd w:id="1"/>
    </w:p>
    <w:p w14:paraId="1A811502" w14:textId="77777777" w:rsidR="009F0B4F" w:rsidRPr="00B23FBA" w:rsidRDefault="009F0B4F" w:rsidP="009F0B4F">
      <w:pPr>
        <w:spacing w:line="360" w:lineRule="auto"/>
        <w:jc w:val="both"/>
        <w:rPr>
          <w:rFonts w:ascii="Arial" w:hAnsi="Arial" w:cs="Arial"/>
        </w:rPr>
      </w:pPr>
      <w:r w:rsidRPr="00B23FBA">
        <w:rPr>
          <w:rFonts w:ascii="Arial" w:hAnsi="Arial" w:cs="Arial"/>
        </w:rPr>
        <w:t>Any communication with Mrs Thompson should be according to her own strengths, not assumptions based on her dementia. She may have difficulty remembering instructions or keeping up with long conversations, but with mild dementia she may be able to make choices and understand decisions if information is given in a suitable way. Fazio et al. (2018) highlight that person-centred dementia care should be based on the individual's preferences, abilities and personal experiences, and Molony et al. (2018) state that assessment and care planning should also involve the person with dementia.</w:t>
      </w:r>
    </w:p>
    <w:p w14:paraId="650FA0C0" w14:textId="77777777" w:rsidR="009F0B4F" w:rsidRPr="00B23FBA" w:rsidRDefault="009F0B4F" w:rsidP="009F0B4F">
      <w:pPr>
        <w:spacing w:line="360" w:lineRule="auto"/>
        <w:jc w:val="both"/>
        <w:rPr>
          <w:rFonts w:ascii="Arial" w:hAnsi="Arial" w:cs="Arial"/>
        </w:rPr>
      </w:pPr>
      <w:r w:rsidRPr="00B23FBA">
        <w:rPr>
          <w:rFonts w:ascii="Arial" w:hAnsi="Arial" w:cs="Arial"/>
        </w:rPr>
        <w:t>The Transactional Communication Model is helpful because it views communication as an interaction in which both parties are sending and receiving messages (</w:t>
      </w:r>
      <w:proofErr w:type="spellStart"/>
      <w:r w:rsidRPr="00B23FBA">
        <w:rPr>
          <w:rFonts w:ascii="Arial" w:hAnsi="Arial" w:cs="Arial"/>
        </w:rPr>
        <w:t>Barnlund</w:t>
      </w:r>
      <w:proofErr w:type="spellEnd"/>
      <w:r w:rsidRPr="00B23FBA">
        <w:rPr>
          <w:rFonts w:ascii="Arial" w:hAnsi="Arial" w:cs="Arial"/>
        </w:rPr>
        <w:t>, 1970). Hence, feedback, context and non-verbal behaviour have an impact on communication. A care worker should be able to tell if Mrs Thompson appears unsure, distracted or provides answers that are not relevant to the conversation. For instance, she might say she knows when to take her medication and then act like she is not certain.</w:t>
      </w:r>
    </w:p>
    <w:p w14:paraId="2396DA57" w14:textId="77777777" w:rsidR="009F0B4F" w:rsidRPr="00B23FBA" w:rsidRDefault="009F0B4F" w:rsidP="009F0B4F">
      <w:pPr>
        <w:spacing w:line="360" w:lineRule="auto"/>
        <w:jc w:val="both"/>
        <w:rPr>
          <w:rFonts w:ascii="Arial" w:hAnsi="Arial" w:cs="Arial"/>
        </w:rPr>
      </w:pPr>
      <w:r w:rsidRPr="00B23FBA">
        <w:rPr>
          <w:rFonts w:ascii="Arial" w:hAnsi="Arial" w:cs="Arial"/>
        </w:rPr>
        <w:t xml:space="preserve">Familiar language and an appropriate pace are important, and only one item of information should be given at a time. It is important that Mrs Thompson be given sufficient time to reply without the pressure to hurry. If they suit her preferences, the use of visual prompts, a written schedule of medication or other reminders may be helpful. O'Rourke et al. (2020) emphasise </w:t>
      </w:r>
      <w:r w:rsidRPr="00B23FBA">
        <w:rPr>
          <w:rFonts w:ascii="Arial" w:hAnsi="Arial" w:cs="Arial"/>
        </w:rPr>
        <w:lastRenderedPageBreak/>
        <w:t>the importance of person-centred approaches to communication in dementia care, and NICE (2018) suggests that communication can be adapted to the person's needs.</w:t>
      </w:r>
    </w:p>
    <w:p w14:paraId="6D43075B" w14:textId="77777777" w:rsidR="009F0B4F" w:rsidRPr="00B23FBA" w:rsidRDefault="009F0B4F" w:rsidP="009F0B4F">
      <w:pPr>
        <w:spacing w:line="360" w:lineRule="auto"/>
        <w:jc w:val="both"/>
        <w:rPr>
          <w:rFonts w:ascii="Arial" w:hAnsi="Arial" w:cs="Arial"/>
        </w:rPr>
      </w:pPr>
      <w:r w:rsidRPr="00B23FBA">
        <w:rPr>
          <w:rFonts w:ascii="Arial" w:hAnsi="Arial" w:cs="Arial"/>
        </w:rPr>
        <w:t>The Equality Act 2010 is relevant as age and disability are protected characteristics. Mrs Thompson may therefore require reasonable adjustments to be put in place so that she is not disadvantaged in receiving care. This might involve longer conversations, having information that she can read easily, fewer distractions and more consistent workers around her. Such adjustments are undertaken to enable the equal participation of service users and not merely to treat everyone in exactly the same way.</w:t>
      </w:r>
    </w:p>
    <w:p w14:paraId="71EFE069" w14:textId="2844202A" w:rsidR="009F0B4F" w:rsidRPr="009F0B4F" w:rsidRDefault="009F0B4F" w:rsidP="00634E7F">
      <w:pPr>
        <w:spacing w:line="360" w:lineRule="auto"/>
        <w:jc w:val="both"/>
        <w:rPr>
          <w:rFonts w:ascii="Arial" w:hAnsi="Arial" w:cs="Arial"/>
        </w:rPr>
      </w:pPr>
      <w:r w:rsidRPr="00B23FBA">
        <w:rPr>
          <w:rFonts w:ascii="Arial" w:hAnsi="Arial" w:cs="Arial"/>
        </w:rPr>
        <w:t>Family members can give helpful background information on Mrs Thompson's routines and what she has been doing recently, but their input should not replace her own involvement. Under the Mental Capacity Act 2005, capacity is presumed unless it is established otherwise, and decisions about capacity must be made in the context of the specific decision to be made. It is therefore appropriate to ask Mrs Thompson about her preference for relatives to be involved and what information she would like to have shared. The review of her care plan should be directly related to communication that has identified what she understands, accepts and prefers, especially in terms of medicines and personal safety. This also helps to maintain trust, dignity and control over everyday life.</w:t>
      </w:r>
    </w:p>
    <w:p w14:paraId="38669F4D" w14:textId="28B1FA66" w:rsidR="00751331" w:rsidRPr="002A7BD6" w:rsidRDefault="00751331" w:rsidP="002A7BD6">
      <w:pPr>
        <w:pStyle w:val="Heading1"/>
        <w:numPr>
          <w:ilvl w:val="0"/>
          <w:numId w:val="2"/>
        </w:numPr>
      </w:pPr>
      <w:bookmarkStart w:id="2" w:name="_Toc237168897"/>
      <w:r w:rsidRPr="002A7BD6">
        <w:t>Administrative Skills, Record Keeping and Data Protection</w:t>
      </w:r>
      <w:bookmarkEnd w:id="2"/>
    </w:p>
    <w:p w14:paraId="4C48C489" w14:textId="77777777" w:rsidR="009F0B4F" w:rsidRPr="00B23FBA" w:rsidRDefault="009F0B4F" w:rsidP="009F0B4F">
      <w:pPr>
        <w:spacing w:line="360" w:lineRule="auto"/>
        <w:jc w:val="both"/>
        <w:rPr>
          <w:rFonts w:ascii="Arial" w:hAnsi="Arial" w:cs="Arial"/>
        </w:rPr>
      </w:pPr>
      <w:r w:rsidRPr="00B23FBA">
        <w:rPr>
          <w:rFonts w:ascii="Arial" w:hAnsi="Arial" w:cs="Arial"/>
        </w:rPr>
        <w:t>The importance of administrative practice is that there are various people and services supporting Mrs Thompson, and the recorded information may be used by them when making decisions. Her records should include a clear explanation of the two days of missed medication, the increased confusion, the actions taken, the professionals contacted and the medication review requested. The incident in cold weather should also note where she was discovered, what her condition was, any initial assistance that was given and any information provided to the local authority.</w:t>
      </w:r>
    </w:p>
    <w:p w14:paraId="1EA895D6" w14:textId="77777777" w:rsidR="009F0B4F" w:rsidRPr="00B23FBA" w:rsidRDefault="009F0B4F" w:rsidP="009F0B4F">
      <w:pPr>
        <w:spacing w:line="360" w:lineRule="auto"/>
        <w:jc w:val="both"/>
        <w:rPr>
          <w:rFonts w:ascii="Arial" w:hAnsi="Arial" w:cs="Arial"/>
        </w:rPr>
      </w:pPr>
      <w:r w:rsidRPr="00B23FBA">
        <w:rPr>
          <w:rFonts w:ascii="Arial" w:hAnsi="Arial" w:cs="Arial"/>
        </w:rPr>
        <w:t xml:space="preserve">Care with medication is a special concern since cognitive difficulties can affect the ability to manage medication. Smith et al. (2017) reported cognitive problems as barriers to medication adherence, such as memory and executive function. Medicines management is also an important area of support for people living with dementia, as identified by McGrattan et al. (2017). NICE (2017) guidance recommends that medicines support is identified in the care plan and recorded whenever it is provided by social care workers. Therefore, Mrs Thompson's medicine administration record should show clearly if medicine was taken, refused or missed. </w:t>
      </w:r>
      <w:r w:rsidRPr="00B23FBA">
        <w:rPr>
          <w:rFonts w:ascii="Arial" w:hAnsi="Arial" w:cs="Arial"/>
        </w:rPr>
        <w:lastRenderedPageBreak/>
        <w:t>If there are repeated missed doses, this could be a reason for review or escalation and should not simply become a routine entry.</w:t>
      </w:r>
    </w:p>
    <w:p w14:paraId="4488F2F5" w14:textId="77777777" w:rsidR="009F0B4F" w:rsidRPr="00B23FBA" w:rsidRDefault="009F0B4F" w:rsidP="009F0B4F">
      <w:pPr>
        <w:spacing w:line="360" w:lineRule="auto"/>
        <w:jc w:val="both"/>
        <w:rPr>
          <w:rFonts w:ascii="Arial" w:hAnsi="Arial" w:cs="Arial"/>
        </w:rPr>
      </w:pPr>
      <w:r w:rsidRPr="00B23FBA">
        <w:rPr>
          <w:rFonts w:ascii="Arial" w:hAnsi="Arial" w:cs="Arial"/>
        </w:rPr>
        <w:t>Records should be factual, timely and based on observation. To say that Mrs Thompson was “careless” would be wrong since it adds opinion rather than relevant information. Documenting that she was observed outside in cold temperatures wearing inappropriate clothing provides more information for other professionals to determine risk. Clough et al. (2024) emphasise the need for information about medication management that is understandable and relevant to individuals with dementia and their supporters.</w:t>
      </w:r>
    </w:p>
    <w:p w14:paraId="54DD6E07" w14:textId="77777777" w:rsidR="009F0B4F" w:rsidRPr="00B23FBA" w:rsidRDefault="009F0B4F" w:rsidP="009F0B4F">
      <w:pPr>
        <w:spacing w:line="360" w:lineRule="auto"/>
        <w:jc w:val="both"/>
        <w:rPr>
          <w:rFonts w:ascii="Arial" w:hAnsi="Arial" w:cs="Arial"/>
        </w:rPr>
      </w:pPr>
      <w:r w:rsidRPr="00B23FBA">
        <w:rPr>
          <w:rFonts w:ascii="Arial" w:hAnsi="Arial" w:cs="Arial"/>
        </w:rPr>
        <w:t>Mrs Thompson's personal data is to be treated lawfully and fairly in accordance with the Data Protection Act 2018 and the UK GDPR principles and is to be kept securely. Staff should record only information required in relation to proper care, ensure it is accurate, restrict access to authorised individuals and employ secure organisational systems. Confidentiality is not a barrier to necessary information sharing. Relevant medication information may need to be shared with the GP, and safeguarding information may be shared with the local authority under Care Act 2014 responsibilities.</w:t>
      </w:r>
    </w:p>
    <w:p w14:paraId="01ED02FC" w14:textId="1BC37938" w:rsidR="009F0B4F" w:rsidRPr="00C40121" w:rsidRDefault="009F0B4F" w:rsidP="002A7BD6">
      <w:pPr>
        <w:spacing w:line="360" w:lineRule="auto"/>
        <w:jc w:val="both"/>
        <w:rPr>
          <w:rFonts w:ascii="Arial" w:hAnsi="Arial" w:cs="Arial"/>
        </w:rPr>
      </w:pPr>
      <w:r w:rsidRPr="00B23FBA">
        <w:rPr>
          <w:rFonts w:ascii="Arial" w:hAnsi="Arial" w:cs="Arial"/>
        </w:rPr>
        <w:t>Appropriate records must also be kept in accordance with the Health and Social Care Act 2008 (Regulated Activities) Regulations 2014, specifically Regulation 17. Administrative information should then be utilised to enhance care. For Mrs Thompson, the combination of medication and safety concerns provides a reason to review the current plan and consider potential changes, including increased medication support, additional visits, environmental safety measures and contingency plans.</w:t>
      </w:r>
    </w:p>
    <w:p w14:paraId="04B62FAF" w14:textId="2A2539CE" w:rsidR="00751331" w:rsidRPr="002A7BD6" w:rsidRDefault="00751331" w:rsidP="002A7BD6">
      <w:pPr>
        <w:pStyle w:val="Heading1"/>
        <w:numPr>
          <w:ilvl w:val="0"/>
          <w:numId w:val="2"/>
        </w:numPr>
      </w:pPr>
      <w:bookmarkStart w:id="3" w:name="_Toc237168898"/>
      <w:r w:rsidRPr="002A7BD6">
        <w:t>Collaborative Working</w:t>
      </w:r>
      <w:bookmarkEnd w:id="3"/>
    </w:p>
    <w:p w14:paraId="34BA4199" w14:textId="77777777" w:rsidR="009F0B4F" w:rsidRPr="009F0B4F" w:rsidRDefault="009F0B4F" w:rsidP="009F0B4F">
      <w:pPr>
        <w:spacing w:line="360" w:lineRule="auto"/>
        <w:jc w:val="both"/>
        <w:rPr>
          <w:rFonts w:ascii="Arial" w:hAnsi="Arial" w:cs="Arial"/>
        </w:rPr>
      </w:pPr>
      <w:r w:rsidRPr="009F0B4F">
        <w:rPr>
          <w:rFonts w:ascii="Arial" w:hAnsi="Arial" w:cs="Arial"/>
        </w:rPr>
        <w:t>Mrs Thompson's case has medical, social care and safeguarding issues, so coordinated input from a number of professionals is required. The GP can review her medications and evaluate other possible causes of increased confusion. The community nurse may make observations about her recovery from pneumonia and changes in health, and domiciliary workers may make observations through their visits. The pharmacist can be involved in identifying how medicines can be simplified, and the local authority may consider safeguarding risks and whether the current care package is appropriate.</w:t>
      </w:r>
    </w:p>
    <w:p w14:paraId="687353C9" w14:textId="77777777" w:rsidR="009F0B4F" w:rsidRPr="009F0B4F" w:rsidRDefault="009F0B4F" w:rsidP="009F0B4F">
      <w:pPr>
        <w:spacing w:line="360" w:lineRule="auto"/>
        <w:jc w:val="both"/>
        <w:rPr>
          <w:rFonts w:ascii="Arial" w:hAnsi="Arial" w:cs="Arial"/>
        </w:rPr>
      </w:pPr>
      <w:r w:rsidRPr="009F0B4F">
        <w:rPr>
          <w:rFonts w:ascii="Arial" w:hAnsi="Arial" w:cs="Arial"/>
        </w:rPr>
        <w:t xml:space="preserve">The best collaboration is achieved when professionals are aware of each other's roles and have a shared purpose. Nancarrow et al. (2013) cite aspects of communication, team composition, leadership and role clarity as key for good interdisciplinary team working. Communication, organisational arrangements and understanding of professional </w:t>
      </w:r>
      <w:r w:rsidRPr="009F0B4F">
        <w:rPr>
          <w:rFonts w:ascii="Arial" w:hAnsi="Arial" w:cs="Arial"/>
        </w:rPr>
        <w:lastRenderedPageBreak/>
        <w:t xml:space="preserve">responsibilities are also shown to impact teamworking in primary and community care by </w:t>
      </w:r>
      <w:proofErr w:type="spellStart"/>
      <w:r w:rsidRPr="009F0B4F">
        <w:rPr>
          <w:rFonts w:ascii="Arial" w:hAnsi="Arial" w:cs="Arial"/>
        </w:rPr>
        <w:t>Xyrichis</w:t>
      </w:r>
      <w:proofErr w:type="spellEnd"/>
      <w:r w:rsidRPr="009F0B4F">
        <w:rPr>
          <w:rFonts w:ascii="Arial" w:hAnsi="Arial" w:cs="Arial"/>
        </w:rPr>
        <w:t xml:space="preserve"> and Lowton (2008). Regular case reviews and having a named coordinator may then support the linkage of information across services.</w:t>
      </w:r>
    </w:p>
    <w:p w14:paraId="2B62319E" w14:textId="77777777" w:rsidR="009F0B4F" w:rsidRPr="009F0B4F" w:rsidRDefault="009F0B4F" w:rsidP="009F0B4F">
      <w:pPr>
        <w:spacing w:line="360" w:lineRule="auto"/>
        <w:jc w:val="both"/>
        <w:rPr>
          <w:rFonts w:ascii="Arial" w:hAnsi="Arial" w:cs="Arial"/>
        </w:rPr>
      </w:pPr>
      <w:r w:rsidRPr="009F0B4F">
        <w:rPr>
          <w:rFonts w:ascii="Arial" w:hAnsi="Arial" w:cs="Arial"/>
        </w:rPr>
        <w:t xml:space="preserve">This can be complicated by delays in updates, different recording systems, time pressure, lack of clarity on who is responsible and varying perceptions of acceptable risk. Clear escalation pathways agreed arrangements for sharing relevant information and structured handovers can help to minimise these problems. Common objectives and inter-professional relationships are also important, as put forward by </w:t>
      </w:r>
      <w:proofErr w:type="spellStart"/>
      <w:r w:rsidRPr="009F0B4F">
        <w:rPr>
          <w:rFonts w:ascii="Arial" w:hAnsi="Arial" w:cs="Arial"/>
        </w:rPr>
        <w:t>D'Amour</w:t>
      </w:r>
      <w:proofErr w:type="spellEnd"/>
      <w:r w:rsidRPr="009F0B4F">
        <w:rPr>
          <w:rFonts w:ascii="Arial" w:hAnsi="Arial" w:cs="Arial"/>
        </w:rPr>
        <w:t xml:space="preserve"> et al. (2005).</w:t>
      </w:r>
    </w:p>
    <w:p w14:paraId="71164DF1" w14:textId="77777777" w:rsidR="009F0B4F" w:rsidRPr="009F0B4F" w:rsidRDefault="009F0B4F" w:rsidP="009F0B4F">
      <w:pPr>
        <w:spacing w:line="360" w:lineRule="auto"/>
        <w:jc w:val="both"/>
        <w:rPr>
          <w:rFonts w:ascii="Arial" w:hAnsi="Arial" w:cs="Arial"/>
        </w:rPr>
      </w:pPr>
      <w:r w:rsidRPr="009F0B4F">
        <w:rPr>
          <w:rFonts w:ascii="Arial" w:hAnsi="Arial" w:cs="Arial"/>
        </w:rPr>
        <w:t>Mrs Thompson should be included in all of these discussions as far as possible. The final care plan should clearly outline responsibilities, be based on her wishes, and aim to balance safety with independence, dignity and quality of life. If she agrees, family members can make observations about routines and recent changes in behaviour.</w:t>
      </w:r>
    </w:p>
    <w:p w14:paraId="7F182E6E" w14:textId="77777777" w:rsidR="00751331" w:rsidRPr="002A7BD6" w:rsidRDefault="00751331" w:rsidP="002A7BD6">
      <w:pPr>
        <w:pStyle w:val="Heading1"/>
      </w:pPr>
      <w:bookmarkStart w:id="4" w:name="_Toc237168899"/>
      <w:r w:rsidRPr="002A7BD6">
        <w:t>Conclusion</w:t>
      </w:r>
      <w:bookmarkEnd w:id="4"/>
    </w:p>
    <w:p w14:paraId="3767FDE7" w14:textId="3CF15ADC" w:rsidR="008B6497" w:rsidRPr="00961774" w:rsidRDefault="008B6497" w:rsidP="00C40121">
      <w:pPr>
        <w:spacing w:line="360" w:lineRule="auto"/>
        <w:jc w:val="both"/>
        <w:rPr>
          <w:rFonts w:ascii="Arial" w:hAnsi="Arial" w:cs="Arial"/>
        </w:rPr>
      </w:pPr>
      <w:r w:rsidRPr="00B23FBA">
        <w:rPr>
          <w:rFonts w:ascii="Arial" w:hAnsi="Arial" w:cs="Arial"/>
        </w:rPr>
        <w:t>As an older person's needs start to change, communication, administration and collaborative practice need to work together, as illustrated in Mrs Thompson's case. Communication needs to be tailored to her abilities and should enable her to participate rather than depriving her of her voice because of dementia. Good records are essential to recognise trends, support safe medication management, and provide evidence for safeguarding and care-plan reviews. Equally, there is a need for the protection of personal information and sharing only for a legitimate care or safeguarding purpose. Good coordination between health professionals, domiciliary staff, the pharmacist and the local authority can prevent concerns being dealt with separately. A reviewed care plan should therefore address risks and maximise Mrs Thompson's independence, dignity, preferences and control over her life wherever possible.</w:t>
      </w:r>
    </w:p>
    <w:p w14:paraId="4D2E6F77" w14:textId="77777777" w:rsidR="00751331" w:rsidRPr="002A7BD6" w:rsidRDefault="00751331" w:rsidP="002A7BD6">
      <w:pPr>
        <w:pStyle w:val="Heading1"/>
      </w:pPr>
      <w:bookmarkStart w:id="5" w:name="_Toc237168900"/>
      <w:r w:rsidRPr="002A7BD6">
        <w:t>References</w:t>
      </w:r>
      <w:bookmarkEnd w:id="5"/>
    </w:p>
    <w:p w14:paraId="0A09E8A3" w14:textId="77777777" w:rsidR="00885A23" w:rsidRPr="00B23FBA" w:rsidRDefault="00885A23" w:rsidP="00885A23">
      <w:pPr>
        <w:spacing w:line="360" w:lineRule="auto"/>
        <w:jc w:val="both"/>
        <w:rPr>
          <w:rFonts w:ascii="Arial" w:hAnsi="Arial" w:cs="Arial"/>
        </w:rPr>
      </w:pPr>
      <w:proofErr w:type="spellStart"/>
      <w:r w:rsidRPr="00B23FBA">
        <w:rPr>
          <w:rFonts w:ascii="Arial" w:hAnsi="Arial" w:cs="Arial"/>
        </w:rPr>
        <w:t>Barnlund</w:t>
      </w:r>
      <w:proofErr w:type="spellEnd"/>
      <w:r w:rsidRPr="00B23FBA">
        <w:rPr>
          <w:rFonts w:ascii="Arial" w:hAnsi="Arial" w:cs="Arial"/>
        </w:rPr>
        <w:t>, D.C. (1970) “A TRANSACTIONAL MODEL OF COMMUNICATION,” in </w:t>
      </w:r>
      <w:r w:rsidRPr="00B23FBA">
        <w:rPr>
          <w:rFonts w:ascii="Arial" w:hAnsi="Arial" w:cs="Arial"/>
          <w:i/>
          <w:iCs/>
        </w:rPr>
        <w:t xml:space="preserve">Language </w:t>
      </w:r>
      <w:proofErr w:type="spellStart"/>
      <w:r w:rsidRPr="00B23FBA">
        <w:rPr>
          <w:rFonts w:ascii="Arial" w:hAnsi="Arial" w:cs="Arial"/>
          <w:i/>
          <w:iCs/>
        </w:rPr>
        <w:t>Behavior</w:t>
      </w:r>
      <w:proofErr w:type="spellEnd"/>
      <w:r w:rsidRPr="00B23FBA">
        <w:rPr>
          <w:rFonts w:ascii="Arial" w:hAnsi="Arial" w:cs="Arial"/>
        </w:rPr>
        <w:t>. Berlin, Boston: DE GRUYTER, pp. 43–61.</w:t>
      </w:r>
    </w:p>
    <w:p w14:paraId="392E7594" w14:textId="77777777" w:rsidR="00885A23" w:rsidRPr="00B23FBA" w:rsidRDefault="00885A23" w:rsidP="00885A23">
      <w:pPr>
        <w:spacing w:line="360" w:lineRule="auto"/>
        <w:jc w:val="both"/>
        <w:rPr>
          <w:rFonts w:ascii="Arial" w:hAnsi="Arial" w:cs="Arial"/>
        </w:rPr>
      </w:pPr>
      <w:r w:rsidRPr="00B23FBA">
        <w:rPr>
          <w:rFonts w:ascii="Arial" w:hAnsi="Arial" w:cs="Arial"/>
        </w:rPr>
        <w:t>Care Act 2014, c.23. London: The Stationery Office.</w:t>
      </w:r>
    </w:p>
    <w:p w14:paraId="466189BA" w14:textId="77777777" w:rsidR="00885A23" w:rsidRPr="00B23FBA" w:rsidRDefault="00885A23" w:rsidP="00885A23">
      <w:pPr>
        <w:spacing w:line="360" w:lineRule="auto"/>
        <w:jc w:val="both"/>
        <w:rPr>
          <w:rFonts w:ascii="Arial" w:hAnsi="Arial" w:cs="Arial"/>
        </w:rPr>
      </w:pPr>
      <w:r w:rsidRPr="00B23FBA">
        <w:rPr>
          <w:rFonts w:ascii="Arial" w:hAnsi="Arial" w:cs="Arial"/>
        </w:rPr>
        <w:t>Clough, A.J. </w:t>
      </w:r>
      <w:r w:rsidRPr="00B23FBA">
        <w:rPr>
          <w:rFonts w:ascii="Arial" w:hAnsi="Arial" w:cs="Arial"/>
          <w:i/>
          <w:iCs/>
        </w:rPr>
        <w:t>et al.</w:t>
      </w:r>
      <w:r w:rsidRPr="00B23FBA">
        <w:rPr>
          <w:rFonts w:ascii="Arial" w:hAnsi="Arial" w:cs="Arial"/>
        </w:rPr>
        <w:t> (2024) “Medication management information priorities of people living with dementia and their carers: a scoping review,” </w:t>
      </w:r>
      <w:r w:rsidRPr="00B23FBA">
        <w:rPr>
          <w:rFonts w:ascii="Arial" w:hAnsi="Arial" w:cs="Arial"/>
          <w:i/>
          <w:iCs/>
        </w:rPr>
        <w:t>Age and Ageing</w:t>
      </w:r>
      <w:r w:rsidRPr="00B23FBA">
        <w:rPr>
          <w:rFonts w:ascii="Arial" w:hAnsi="Arial" w:cs="Arial"/>
        </w:rPr>
        <w:t>, 53(9).</w:t>
      </w:r>
    </w:p>
    <w:p w14:paraId="26ED920B" w14:textId="77777777" w:rsidR="00885A23" w:rsidRPr="00B23FBA" w:rsidRDefault="00885A23" w:rsidP="00885A23">
      <w:pPr>
        <w:spacing w:line="360" w:lineRule="auto"/>
        <w:jc w:val="both"/>
        <w:rPr>
          <w:rFonts w:ascii="Arial" w:hAnsi="Arial" w:cs="Arial"/>
        </w:rPr>
      </w:pPr>
      <w:proofErr w:type="spellStart"/>
      <w:r w:rsidRPr="00B23FBA">
        <w:rPr>
          <w:rFonts w:ascii="Arial" w:hAnsi="Arial" w:cs="Arial"/>
        </w:rPr>
        <w:lastRenderedPageBreak/>
        <w:t>D’Amour</w:t>
      </w:r>
      <w:proofErr w:type="spellEnd"/>
      <w:r w:rsidRPr="00B23FBA">
        <w:rPr>
          <w:rFonts w:ascii="Arial" w:hAnsi="Arial" w:cs="Arial"/>
        </w:rPr>
        <w:t>, D. </w:t>
      </w:r>
      <w:r w:rsidRPr="00B23FBA">
        <w:rPr>
          <w:rFonts w:ascii="Arial" w:hAnsi="Arial" w:cs="Arial"/>
          <w:i/>
          <w:iCs/>
        </w:rPr>
        <w:t>et al.</w:t>
      </w:r>
      <w:r w:rsidRPr="00B23FBA">
        <w:rPr>
          <w:rFonts w:ascii="Arial" w:hAnsi="Arial" w:cs="Arial"/>
        </w:rPr>
        <w:t> (2005) “The conceptual basis for interprofessional collaboration: core concepts and theoretical frameworks,” </w:t>
      </w:r>
      <w:r w:rsidRPr="00B23FBA">
        <w:rPr>
          <w:rFonts w:ascii="Arial" w:hAnsi="Arial" w:cs="Arial"/>
          <w:i/>
          <w:iCs/>
        </w:rPr>
        <w:t>Journal of Interprofessional Care</w:t>
      </w:r>
      <w:r w:rsidRPr="00B23FBA">
        <w:rPr>
          <w:rFonts w:ascii="Arial" w:hAnsi="Arial" w:cs="Arial"/>
        </w:rPr>
        <w:t>, 19 Suppl 1(sup1), pp. 116–131. Available at: https://doi.org/10.1080/13561820500082529.</w:t>
      </w:r>
    </w:p>
    <w:p w14:paraId="030871F0" w14:textId="77777777" w:rsidR="00885A23" w:rsidRPr="00B23FBA" w:rsidRDefault="00885A23" w:rsidP="00885A23">
      <w:pPr>
        <w:spacing w:line="360" w:lineRule="auto"/>
        <w:jc w:val="both"/>
        <w:rPr>
          <w:rFonts w:ascii="Arial" w:hAnsi="Arial" w:cs="Arial"/>
        </w:rPr>
      </w:pPr>
      <w:r w:rsidRPr="00B23FBA">
        <w:rPr>
          <w:rFonts w:ascii="Arial" w:hAnsi="Arial" w:cs="Arial"/>
        </w:rPr>
        <w:t>Data Protection Act 2018, c.12. London: The Stationery Office.</w:t>
      </w:r>
    </w:p>
    <w:p w14:paraId="7607B1AA" w14:textId="77777777" w:rsidR="00885A23" w:rsidRPr="00B23FBA" w:rsidRDefault="00885A23" w:rsidP="00885A23">
      <w:pPr>
        <w:spacing w:line="360" w:lineRule="auto"/>
        <w:jc w:val="both"/>
        <w:rPr>
          <w:rFonts w:ascii="Arial" w:hAnsi="Arial" w:cs="Arial"/>
        </w:rPr>
      </w:pPr>
      <w:r w:rsidRPr="00B23FBA">
        <w:rPr>
          <w:rFonts w:ascii="Arial" w:hAnsi="Arial" w:cs="Arial"/>
        </w:rPr>
        <w:t>Equality Act 2010, c.15. London: The Stationery Office.</w:t>
      </w:r>
    </w:p>
    <w:p w14:paraId="2037D0C8" w14:textId="77777777" w:rsidR="00885A23" w:rsidRPr="00B23FBA" w:rsidRDefault="00885A23" w:rsidP="00885A23">
      <w:pPr>
        <w:spacing w:line="360" w:lineRule="auto"/>
        <w:jc w:val="both"/>
        <w:rPr>
          <w:rFonts w:ascii="Arial" w:hAnsi="Arial" w:cs="Arial"/>
        </w:rPr>
      </w:pPr>
      <w:r w:rsidRPr="00B23FBA">
        <w:rPr>
          <w:rFonts w:ascii="Arial" w:hAnsi="Arial" w:cs="Arial"/>
        </w:rPr>
        <w:t>Fazio, S. </w:t>
      </w:r>
      <w:r w:rsidRPr="00B23FBA">
        <w:rPr>
          <w:rFonts w:ascii="Arial" w:hAnsi="Arial" w:cs="Arial"/>
          <w:i/>
          <w:iCs/>
        </w:rPr>
        <w:t>et al.</w:t>
      </w:r>
      <w:r w:rsidRPr="00B23FBA">
        <w:rPr>
          <w:rFonts w:ascii="Arial" w:hAnsi="Arial" w:cs="Arial"/>
        </w:rPr>
        <w:t> (2018) “Alzheimer’s association dementia care practice recommendations,” </w:t>
      </w:r>
      <w:r w:rsidRPr="00B23FBA">
        <w:rPr>
          <w:rFonts w:ascii="Arial" w:hAnsi="Arial" w:cs="Arial"/>
          <w:i/>
          <w:iCs/>
        </w:rPr>
        <w:t>The Gerontologist</w:t>
      </w:r>
      <w:r w:rsidRPr="00B23FBA">
        <w:rPr>
          <w:rFonts w:ascii="Arial" w:hAnsi="Arial" w:cs="Arial"/>
        </w:rPr>
        <w:t>, 58(suppl_1), pp. S1–S9. Available at: https://doi.org/10.1093/geront/gnx182.</w:t>
      </w:r>
    </w:p>
    <w:p w14:paraId="1851432E" w14:textId="77777777" w:rsidR="00885A23" w:rsidRPr="00B23FBA" w:rsidRDefault="00885A23" w:rsidP="00885A23">
      <w:pPr>
        <w:spacing w:line="360" w:lineRule="auto"/>
        <w:jc w:val="both"/>
        <w:rPr>
          <w:rFonts w:ascii="Arial" w:hAnsi="Arial" w:cs="Arial"/>
        </w:rPr>
      </w:pPr>
      <w:r w:rsidRPr="00B23FBA">
        <w:rPr>
          <w:rFonts w:ascii="Arial" w:hAnsi="Arial" w:cs="Arial"/>
        </w:rPr>
        <w:t>Health and Social Care Act 2008 (Regulated Activities) Regulations 2014, SI 2014/2936. London: The Stationery Office.</w:t>
      </w:r>
    </w:p>
    <w:p w14:paraId="008AE9DF" w14:textId="77777777" w:rsidR="00885A23" w:rsidRPr="00B23FBA" w:rsidRDefault="00885A23" w:rsidP="00885A23">
      <w:pPr>
        <w:spacing w:line="360" w:lineRule="auto"/>
        <w:jc w:val="both"/>
        <w:rPr>
          <w:rFonts w:ascii="Arial" w:hAnsi="Arial" w:cs="Arial"/>
        </w:rPr>
      </w:pPr>
      <w:r w:rsidRPr="00B23FBA">
        <w:rPr>
          <w:rFonts w:ascii="Arial" w:hAnsi="Arial" w:cs="Arial"/>
        </w:rPr>
        <w:t>McGrattan, M. </w:t>
      </w:r>
      <w:r w:rsidRPr="00B23FBA">
        <w:rPr>
          <w:rFonts w:ascii="Arial" w:hAnsi="Arial" w:cs="Arial"/>
          <w:i/>
          <w:iCs/>
        </w:rPr>
        <w:t>et al.</w:t>
      </w:r>
      <w:r w:rsidRPr="00B23FBA">
        <w:rPr>
          <w:rFonts w:ascii="Arial" w:hAnsi="Arial" w:cs="Arial"/>
        </w:rPr>
        <w:t> (2017) “Interventions to improve medicines management for people with dementia: A systematic review,” </w:t>
      </w:r>
      <w:r w:rsidRPr="00B23FBA">
        <w:rPr>
          <w:rFonts w:ascii="Arial" w:hAnsi="Arial" w:cs="Arial"/>
          <w:i/>
          <w:iCs/>
        </w:rPr>
        <w:t>Drugs &amp; Aging</w:t>
      </w:r>
      <w:r w:rsidRPr="00B23FBA">
        <w:rPr>
          <w:rFonts w:ascii="Arial" w:hAnsi="Arial" w:cs="Arial"/>
        </w:rPr>
        <w:t>, 34(12), pp. 907–916. Available at: https://doi.org/10.1007/s40266-017-0505-3.</w:t>
      </w:r>
    </w:p>
    <w:p w14:paraId="6C3ABF4A" w14:textId="77777777" w:rsidR="00885A23" w:rsidRDefault="00885A23" w:rsidP="00885A23">
      <w:pPr>
        <w:spacing w:line="360" w:lineRule="auto"/>
        <w:jc w:val="both"/>
        <w:rPr>
          <w:rFonts w:ascii="Arial" w:hAnsi="Arial" w:cs="Arial"/>
        </w:rPr>
      </w:pPr>
      <w:r w:rsidRPr="00B23FBA">
        <w:rPr>
          <w:rFonts w:ascii="Arial" w:hAnsi="Arial" w:cs="Arial"/>
        </w:rPr>
        <w:t>Mental Capacity Act 2005, c.9. London: The Stationery Office.</w:t>
      </w:r>
    </w:p>
    <w:p w14:paraId="24C96B54" w14:textId="77777777" w:rsidR="00885A23" w:rsidRPr="00B23FBA" w:rsidRDefault="00885A23" w:rsidP="00885A23">
      <w:pPr>
        <w:spacing w:line="360" w:lineRule="auto"/>
        <w:jc w:val="both"/>
        <w:rPr>
          <w:rFonts w:ascii="Arial" w:hAnsi="Arial" w:cs="Arial"/>
        </w:rPr>
      </w:pPr>
      <w:r w:rsidRPr="00B23FBA">
        <w:rPr>
          <w:rFonts w:ascii="Arial" w:hAnsi="Arial" w:cs="Arial"/>
        </w:rPr>
        <w:t>Molony, S.L. </w:t>
      </w:r>
      <w:r w:rsidRPr="00B23FBA">
        <w:rPr>
          <w:rFonts w:ascii="Arial" w:hAnsi="Arial" w:cs="Arial"/>
          <w:i/>
          <w:iCs/>
        </w:rPr>
        <w:t>et al.</w:t>
      </w:r>
      <w:r w:rsidRPr="00B23FBA">
        <w:rPr>
          <w:rFonts w:ascii="Arial" w:hAnsi="Arial" w:cs="Arial"/>
        </w:rPr>
        <w:t> (2018) “Person-</w:t>
      </w:r>
      <w:proofErr w:type="spellStart"/>
      <w:r w:rsidRPr="00B23FBA">
        <w:rPr>
          <w:rFonts w:ascii="Arial" w:hAnsi="Arial" w:cs="Arial"/>
        </w:rPr>
        <w:t>centered</w:t>
      </w:r>
      <w:proofErr w:type="spellEnd"/>
      <w:r w:rsidRPr="00B23FBA">
        <w:rPr>
          <w:rFonts w:ascii="Arial" w:hAnsi="Arial" w:cs="Arial"/>
        </w:rPr>
        <w:t xml:space="preserve"> assessment and care planning,” </w:t>
      </w:r>
      <w:r w:rsidRPr="00B23FBA">
        <w:rPr>
          <w:rFonts w:ascii="Arial" w:hAnsi="Arial" w:cs="Arial"/>
          <w:i/>
          <w:iCs/>
        </w:rPr>
        <w:t>The Gerontologist</w:t>
      </w:r>
      <w:r w:rsidRPr="00B23FBA">
        <w:rPr>
          <w:rFonts w:ascii="Arial" w:hAnsi="Arial" w:cs="Arial"/>
        </w:rPr>
        <w:t>, 58(suppl_1), pp. S32–S47. Available at: https://doi.org/10.1093/geront/gnx173.</w:t>
      </w:r>
    </w:p>
    <w:p w14:paraId="5E2734AE" w14:textId="77777777" w:rsidR="00885A23" w:rsidRPr="00B23FBA" w:rsidRDefault="00885A23" w:rsidP="00885A23">
      <w:pPr>
        <w:spacing w:line="360" w:lineRule="auto"/>
        <w:jc w:val="both"/>
        <w:rPr>
          <w:rFonts w:ascii="Arial" w:hAnsi="Arial" w:cs="Arial"/>
        </w:rPr>
      </w:pPr>
      <w:r w:rsidRPr="00B23FBA">
        <w:rPr>
          <w:rFonts w:ascii="Arial" w:hAnsi="Arial" w:cs="Arial"/>
        </w:rPr>
        <w:t>Nancarrow, S.A. </w:t>
      </w:r>
      <w:r w:rsidRPr="00B23FBA">
        <w:rPr>
          <w:rFonts w:ascii="Arial" w:hAnsi="Arial" w:cs="Arial"/>
          <w:i/>
          <w:iCs/>
        </w:rPr>
        <w:t>et al.</w:t>
      </w:r>
      <w:r w:rsidRPr="00B23FBA">
        <w:rPr>
          <w:rFonts w:ascii="Arial" w:hAnsi="Arial" w:cs="Arial"/>
        </w:rPr>
        <w:t> (2013) “Ten principles of good interdisciplinary team work,” </w:t>
      </w:r>
      <w:r w:rsidRPr="00B23FBA">
        <w:rPr>
          <w:rFonts w:ascii="Arial" w:hAnsi="Arial" w:cs="Arial"/>
          <w:i/>
          <w:iCs/>
        </w:rPr>
        <w:t>Human Resources for Health</w:t>
      </w:r>
      <w:r w:rsidRPr="00B23FBA">
        <w:rPr>
          <w:rFonts w:ascii="Arial" w:hAnsi="Arial" w:cs="Arial"/>
        </w:rPr>
        <w:t>, 11(1), p. 19. Available at: https://doi.org/10.1186/1478-4491-11-19.</w:t>
      </w:r>
    </w:p>
    <w:p w14:paraId="211CD5C6" w14:textId="77777777" w:rsidR="00885A23" w:rsidRPr="00B23FBA" w:rsidRDefault="00885A23" w:rsidP="00885A23">
      <w:pPr>
        <w:spacing w:line="360" w:lineRule="auto"/>
        <w:jc w:val="both"/>
        <w:rPr>
          <w:rFonts w:ascii="Arial" w:hAnsi="Arial" w:cs="Arial"/>
        </w:rPr>
      </w:pPr>
      <w:r w:rsidRPr="00B23FBA">
        <w:rPr>
          <w:rFonts w:ascii="Arial" w:hAnsi="Arial" w:cs="Arial"/>
        </w:rPr>
        <w:t>NICE (2017) </w:t>
      </w:r>
      <w:r w:rsidRPr="00B23FBA">
        <w:rPr>
          <w:rFonts w:ascii="Arial" w:hAnsi="Arial" w:cs="Arial"/>
          <w:i/>
          <w:iCs/>
        </w:rPr>
        <w:t>Managing medicines for adults receiving social care in the community</w:t>
      </w:r>
      <w:r w:rsidRPr="00B23FBA">
        <w:rPr>
          <w:rFonts w:ascii="Arial" w:hAnsi="Arial" w:cs="Arial"/>
        </w:rPr>
        <w:t>, </w:t>
      </w:r>
      <w:r w:rsidRPr="00B23FBA">
        <w:rPr>
          <w:rFonts w:ascii="Arial" w:hAnsi="Arial" w:cs="Arial"/>
          <w:i/>
          <w:iCs/>
        </w:rPr>
        <w:t>NICE</w:t>
      </w:r>
      <w:r w:rsidRPr="00B23FBA">
        <w:rPr>
          <w:rFonts w:ascii="Arial" w:hAnsi="Arial" w:cs="Arial"/>
        </w:rPr>
        <w:t>. Available at: https://www.nice.org.uk/guidance/ng67 (Accessed: August 9, 2026).</w:t>
      </w:r>
    </w:p>
    <w:p w14:paraId="6A41C93F" w14:textId="77777777" w:rsidR="00885A23" w:rsidRPr="00B23FBA" w:rsidRDefault="00885A23" w:rsidP="00885A23">
      <w:pPr>
        <w:spacing w:line="360" w:lineRule="auto"/>
        <w:jc w:val="both"/>
        <w:rPr>
          <w:rFonts w:ascii="Arial" w:hAnsi="Arial" w:cs="Arial"/>
        </w:rPr>
      </w:pPr>
      <w:r w:rsidRPr="00B23FBA">
        <w:rPr>
          <w:rFonts w:ascii="Arial" w:hAnsi="Arial" w:cs="Arial"/>
        </w:rPr>
        <w:t>NICE (2018) </w:t>
      </w:r>
      <w:r w:rsidRPr="00B23FBA">
        <w:rPr>
          <w:rFonts w:ascii="Arial" w:hAnsi="Arial" w:cs="Arial"/>
          <w:i/>
          <w:iCs/>
        </w:rPr>
        <w:t xml:space="preserve">Dementia: assessment, management and support for people living with dementia and their </w:t>
      </w:r>
      <w:proofErr w:type="spellStart"/>
      <w:r w:rsidRPr="00B23FBA">
        <w:rPr>
          <w:rFonts w:ascii="Arial" w:hAnsi="Arial" w:cs="Arial"/>
          <w:i/>
          <w:iCs/>
        </w:rPr>
        <w:t>carers</w:t>
      </w:r>
      <w:proofErr w:type="spellEnd"/>
      <w:r w:rsidRPr="00B23FBA">
        <w:rPr>
          <w:rFonts w:ascii="Arial" w:hAnsi="Arial" w:cs="Arial"/>
        </w:rPr>
        <w:t>, </w:t>
      </w:r>
      <w:r w:rsidRPr="00B23FBA">
        <w:rPr>
          <w:rFonts w:ascii="Arial" w:hAnsi="Arial" w:cs="Arial"/>
          <w:i/>
          <w:iCs/>
        </w:rPr>
        <w:t>NICE</w:t>
      </w:r>
      <w:r w:rsidRPr="00B23FBA">
        <w:rPr>
          <w:rFonts w:ascii="Arial" w:hAnsi="Arial" w:cs="Arial"/>
        </w:rPr>
        <w:t>. Available at: https://www.nice.org.uk/guidance/ng97 (Accessed: August 9, 2026).</w:t>
      </w:r>
    </w:p>
    <w:p w14:paraId="78D25831" w14:textId="758B3994" w:rsidR="00885A23" w:rsidRPr="009A018F" w:rsidRDefault="00885A23" w:rsidP="00885A23">
      <w:pPr>
        <w:spacing w:line="360" w:lineRule="auto"/>
        <w:jc w:val="both"/>
        <w:rPr>
          <w:rFonts w:ascii="Arial" w:hAnsi="Arial" w:cs="Arial"/>
          <w:lang w:val="fr-FR"/>
        </w:rPr>
      </w:pPr>
      <w:proofErr w:type="spellStart"/>
      <w:r w:rsidRPr="009A018F">
        <w:rPr>
          <w:rFonts w:ascii="Arial" w:hAnsi="Arial" w:cs="Arial"/>
          <w:lang w:val="nl-NL"/>
        </w:rPr>
        <w:t>O’Rourke</w:t>
      </w:r>
      <w:proofErr w:type="spellEnd"/>
      <w:r w:rsidRPr="009A018F">
        <w:rPr>
          <w:rFonts w:ascii="Arial" w:hAnsi="Arial" w:cs="Arial"/>
          <w:lang w:val="nl-NL"/>
        </w:rPr>
        <w:t>, D.J. </w:t>
      </w:r>
      <w:r w:rsidRPr="009A018F">
        <w:rPr>
          <w:rFonts w:ascii="Arial" w:hAnsi="Arial" w:cs="Arial"/>
          <w:i/>
          <w:iCs/>
          <w:lang w:val="nl-NL"/>
        </w:rPr>
        <w:t>et al.</w:t>
      </w:r>
      <w:r w:rsidRPr="009A018F">
        <w:rPr>
          <w:rFonts w:ascii="Arial" w:hAnsi="Arial" w:cs="Arial"/>
          <w:lang w:val="nl-NL"/>
        </w:rPr>
        <w:t> </w:t>
      </w:r>
      <w:r w:rsidRPr="00B23FBA">
        <w:rPr>
          <w:rFonts w:ascii="Arial" w:hAnsi="Arial" w:cs="Arial"/>
        </w:rPr>
        <w:t>(2020) “Video feedback: A novel application to enhance person-centred dementia communication,” </w:t>
      </w:r>
      <w:r w:rsidRPr="00B23FBA">
        <w:rPr>
          <w:rFonts w:ascii="Arial" w:hAnsi="Arial" w:cs="Arial"/>
          <w:i/>
          <w:iCs/>
        </w:rPr>
        <w:t>International Journal of Nursing Practice</w:t>
      </w:r>
      <w:r w:rsidRPr="00B23FBA">
        <w:rPr>
          <w:rFonts w:ascii="Arial" w:hAnsi="Arial" w:cs="Arial"/>
        </w:rPr>
        <w:t xml:space="preserve">, 26(4), p. e12820. </w:t>
      </w:r>
      <w:r w:rsidR="009A018F" w:rsidRPr="009A018F">
        <w:rPr>
          <w:rFonts w:ascii="Arial" w:hAnsi="Arial" w:cs="Arial"/>
          <w:lang w:val="fr-FR"/>
        </w:rPr>
        <w:t>Avalable</w:t>
      </w:r>
      <w:r w:rsidRPr="009A018F">
        <w:rPr>
          <w:rFonts w:ascii="Arial" w:hAnsi="Arial" w:cs="Arial"/>
          <w:lang w:val="fr-FR"/>
        </w:rPr>
        <w:t xml:space="preserve"> at: https://doi.org/10.1111/ijn.12820.</w:t>
      </w:r>
    </w:p>
    <w:p w14:paraId="388E35A1" w14:textId="77777777" w:rsidR="00885A23" w:rsidRPr="00B23FBA" w:rsidRDefault="00885A23" w:rsidP="00885A23">
      <w:pPr>
        <w:spacing w:line="360" w:lineRule="auto"/>
        <w:jc w:val="both"/>
        <w:rPr>
          <w:rFonts w:ascii="Arial" w:hAnsi="Arial" w:cs="Arial"/>
        </w:rPr>
      </w:pPr>
      <w:r w:rsidRPr="009A018F">
        <w:rPr>
          <w:rFonts w:ascii="Arial" w:hAnsi="Arial" w:cs="Arial"/>
          <w:lang w:val="fr-FR"/>
        </w:rPr>
        <w:t>Smith, D. </w:t>
      </w:r>
      <w:r w:rsidRPr="009A018F">
        <w:rPr>
          <w:rFonts w:ascii="Arial" w:hAnsi="Arial" w:cs="Arial"/>
          <w:i/>
          <w:iCs/>
          <w:lang w:val="fr-FR"/>
        </w:rPr>
        <w:t>et al.</w:t>
      </w:r>
      <w:r w:rsidRPr="009A018F">
        <w:rPr>
          <w:rFonts w:ascii="Arial" w:hAnsi="Arial" w:cs="Arial"/>
          <w:lang w:val="fr-FR"/>
        </w:rPr>
        <w:t> </w:t>
      </w:r>
      <w:r w:rsidRPr="00B23FBA">
        <w:rPr>
          <w:rFonts w:ascii="Arial" w:hAnsi="Arial" w:cs="Arial"/>
        </w:rPr>
        <w:t>(2017) “A systematic review of medication non-adherence in persons with dementia or cognitive impairment,” </w:t>
      </w:r>
      <w:proofErr w:type="spellStart"/>
      <w:r w:rsidRPr="00B23FBA">
        <w:rPr>
          <w:rFonts w:ascii="Arial" w:hAnsi="Arial" w:cs="Arial"/>
          <w:i/>
          <w:iCs/>
        </w:rPr>
        <w:t>PloS</w:t>
      </w:r>
      <w:proofErr w:type="spellEnd"/>
      <w:r w:rsidRPr="00B23FBA">
        <w:rPr>
          <w:rFonts w:ascii="Arial" w:hAnsi="Arial" w:cs="Arial"/>
          <w:i/>
          <w:iCs/>
        </w:rPr>
        <w:t xml:space="preserve"> One</w:t>
      </w:r>
      <w:r w:rsidRPr="00B23FBA">
        <w:rPr>
          <w:rFonts w:ascii="Arial" w:hAnsi="Arial" w:cs="Arial"/>
        </w:rPr>
        <w:t>, 12(2), p. e0170651. Available at: https://doi.org/10.1371/journal.pone.0170651.</w:t>
      </w:r>
    </w:p>
    <w:p w14:paraId="42AC35A2" w14:textId="77777777" w:rsidR="00885A23" w:rsidRPr="00B23FBA" w:rsidRDefault="00885A23" w:rsidP="00885A23">
      <w:pPr>
        <w:spacing w:line="360" w:lineRule="auto"/>
        <w:jc w:val="both"/>
        <w:rPr>
          <w:rFonts w:ascii="Arial" w:hAnsi="Arial" w:cs="Arial"/>
        </w:rPr>
      </w:pPr>
      <w:proofErr w:type="spellStart"/>
      <w:r w:rsidRPr="00B23FBA">
        <w:rPr>
          <w:rFonts w:ascii="Arial" w:hAnsi="Arial" w:cs="Arial"/>
        </w:rPr>
        <w:lastRenderedPageBreak/>
        <w:t>Xyrichis</w:t>
      </w:r>
      <w:proofErr w:type="spellEnd"/>
      <w:r w:rsidRPr="00B23FBA">
        <w:rPr>
          <w:rFonts w:ascii="Arial" w:hAnsi="Arial" w:cs="Arial"/>
        </w:rPr>
        <w:t>, A. and Lowton, K. (2008) “What fosters or prevents interprofessional teamworking in primary and community care? A literature review,” </w:t>
      </w:r>
      <w:r w:rsidRPr="00B23FBA">
        <w:rPr>
          <w:rFonts w:ascii="Arial" w:hAnsi="Arial" w:cs="Arial"/>
          <w:i/>
          <w:iCs/>
        </w:rPr>
        <w:t>International Journal of Nursing Studies</w:t>
      </w:r>
      <w:r w:rsidRPr="00B23FBA">
        <w:rPr>
          <w:rFonts w:ascii="Arial" w:hAnsi="Arial" w:cs="Arial"/>
        </w:rPr>
        <w:t>, 45(1), pp. 140–153. Available at: https://doi.org/10.1016/j.ijnurstu.2007.01.015.</w:t>
      </w:r>
    </w:p>
    <w:p w14:paraId="05831D19" w14:textId="77777777" w:rsidR="009D5B24" w:rsidRPr="002A7BD6" w:rsidRDefault="009D5B24" w:rsidP="002A7BD6">
      <w:pPr>
        <w:spacing w:line="360" w:lineRule="auto"/>
        <w:jc w:val="both"/>
        <w:rPr>
          <w:rFonts w:ascii="Arial" w:hAnsi="Arial" w:cs="Arial"/>
          <w:szCs w:val="22"/>
        </w:rPr>
      </w:pPr>
    </w:p>
    <w:p w14:paraId="11D7DFAA" w14:textId="5CC83741" w:rsidR="002A7BD6" w:rsidRPr="002A7BD6" w:rsidRDefault="002A7BD6" w:rsidP="002A7BD6">
      <w:pPr>
        <w:spacing w:line="360" w:lineRule="auto"/>
        <w:jc w:val="both"/>
        <w:rPr>
          <w:rFonts w:ascii="Arial" w:hAnsi="Arial" w:cs="Arial"/>
          <w:szCs w:val="22"/>
        </w:rPr>
      </w:pPr>
    </w:p>
    <w:sectPr w:rsidR="002A7BD6" w:rsidRPr="002A7BD6" w:rsidSect="00575F2D">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D30C29" w14:textId="77777777" w:rsidR="004B1362" w:rsidRDefault="004B1362" w:rsidP="00575F2D">
      <w:pPr>
        <w:spacing w:after="0" w:line="240" w:lineRule="auto"/>
      </w:pPr>
      <w:r>
        <w:separator/>
      </w:r>
    </w:p>
  </w:endnote>
  <w:endnote w:type="continuationSeparator" w:id="0">
    <w:p w14:paraId="7A19B02C" w14:textId="77777777" w:rsidR="004B1362" w:rsidRDefault="004B1362" w:rsidP="00575F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1977049"/>
      <w:docPartObj>
        <w:docPartGallery w:val="Page Numbers (Bottom of Page)"/>
        <w:docPartUnique/>
      </w:docPartObj>
    </w:sdtPr>
    <w:sdtEndPr>
      <w:rPr>
        <w:color w:val="7F7F7F" w:themeColor="background1" w:themeShade="7F"/>
        <w:spacing w:val="60"/>
      </w:rPr>
    </w:sdtEndPr>
    <w:sdtContent>
      <w:p w14:paraId="20152AD7" w14:textId="77777777" w:rsidR="00575F2D" w:rsidRDefault="00575F2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7194F86" w14:textId="77777777" w:rsidR="00575F2D" w:rsidRDefault="00575F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716617" w14:textId="77777777" w:rsidR="004B1362" w:rsidRDefault="004B1362" w:rsidP="00575F2D">
      <w:pPr>
        <w:spacing w:after="0" w:line="240" w:lineRule="auto"/>
      </w:pPr>
      <w:r>
        <w:separator/>
      </w:r>
    </w:p>
  </w:footnote>
  <w:footnote w:type="continuationSeparator" w:id="0">
    <w:p w14:paraId="435F992C" w14:textId="77777777" w:rsidR="004B1362" w:rsidRDefault="004B1362" w:rsidP="00575F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7702E9"/>
    <w:multiLevelType w:val="hybridMultilevel"/>
    <w:tmpl w:val="6D90BB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AD14480"/>
    <w:multiLevelType w:val="hybridMultilevel"/>
    <w:tmpl w:val="1292C39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62354E50"/>
    <w:multiLevelType w:val="hybridMultilevel"/>
    <w:tmpl w:val="2746F40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45022502">
    <w:abstractNumId w:val="2"/>
  </w:num>
  <w:num w:numId="2" w16cid:durableId="1999113477">
    <w:abstractNumId w:val="0"/>
  </w:num>
  <w:num w:numId="3" w16cid:durableId="14938330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955"/>
    <w:rsid w:val="000117D8"/>
    <w:rsid w:val="0005188B"/>
    <w:rsid w:val="00103D21"/>
    <w:rsid w:val="001060D0"/>
    <w:rsid w:val="00130FC4"/>
    <w:rsid w:val="0013535F"/>
    <w:rsid w:val="0015407D"/>
    <w:rsid w:val="001E7153"/>
    <w:rsid w:val="001F11EF"/>
    <w:rsid w:val="00226B76"/>
    <w:rsid w:val="002A7BD6"/>
    <w:rsid w:val="00307E18"/>
    <w:rsid w:val="003C0A96"/>
    <w:rsid w:val="00422444"/>
    <w:rsid w:val="004B1362"/>
    <w:rsid w:val="004C4CF0"/>
    <w:rsid w:val="0052293F"/>
    <w:rsid w:val="00554ED8"/>
    <w:rsid w:val="00575F2D"/>
    <w:rsid w:val="00586000"/>
    <w:rsid w:val="005B2033"/>
    <w:rsid w:val="005D1009"/>
    <w:rsid w:val="005E604E"/>
    <w:rsid w:val="005E7955"/>
    <w:rsid w:val="00605A91"/>
    <w:rsid w:val="00605D4E"/>
    <w:rsid w:val="00634297"/>
    <w:rsid w:val="00634E7F"/>
    <w:rsid w:val="00641A4B"/>
    <w:rsid w:val="00656C83"/>
    <w:rsid w:val="006A5129"/>
    <w:rsid w:val="00742227"/>
    <w:rsid w:val="00751331"/>
    <w:rsid w:val="008168A0"/>
    <w:rsid w:val="00885A23"/>
    <w:rsid w:val="008B0BEC"/>
    <w:rsid w:val="008B6497"/>
    <w:rsid w:val="0097007C"/>
    <w:rsid w:val="009A018F"/>
    <w:rsid w:val="009D5B24"/>
    <w:rsid w:val="009F0B4F"/>
    <w:rsid w:val="00A031FA"/>
    <w:rsid w:val="00A265A8"/>
    <w:rsid w:val="00A86455"/>
    <w:rsid w:val="00AE2E22"/>
    <w:rsid w:val="00B21BB6"/>
    <w:rsid w:val="00B50087"/>
    <w:rsid w:val="00BF2A54"/>
    <w:rsid w:val="00C07B03"/>
    <w:rsid w:val="00C12197"/>
    <w:rsid w:val="00C40121"/>
    <w:rsid w:val="00CC0114"/>
    <w:rsid w:val="00D374FB"/>
    <w:rsid w:val="00D74AE8"/>
    <w:rsid w:val="00D83D23"/>
    <w:rsid w:val="00DA6B70"/>
    <w:rsid w:val="00DB5857"/>
    <w:rsid w:val="00DD2564"/>
    <w:rsid w:val="00DE7174"/>
    <w:rsid w:val="00E363A3"/>
    <w:rsid w:val="00E55530"/>
    <w:rsid w:val="00E55A71"/>
    <w:rsid w:val="00EA7B14"/>
    <w:rsid w:val="00F118D6"/>
    <w:rsid w:val="00F12DAE"/>
    <w:rsid w:val="00F70E27"/>
    <w:rsid w:val="00FB5B3C"/>
    <w:rsid w:val="00FD5230"/>
  </w:rsids>
  <m:mathPr>
    <m:mathFont m:val="Cambria Math"/>
    <m:brkBin m:val="before"/>
    <m:brkBinSub m:val="--"/>
    <m:smallFrac m:val="0"/>
    <m:dispDef/>
    <m:lMargin m:val="0"/>
    <m:rMargin m:val="0"/>
    <m:defJc m:val="centerGroup"/>
    <m:wrapIndent m:val="1440"/>
    <m:intLim m:val="subSup"/>
    <m:naryLim m:val="undOvr"/>
  </m:mathPr>
  <w:themeFontLang w:val="en-AE"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DAD45"/>
  <w15:chartTrackingRefBased/>
  <w15:docId w15:val="{DD1D2368-2842-4B2F-8F5C-EFAC75F86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Vrinda"/>
        <w:sz w:val="22"/>
        <w:szCs w:val="28"/>
        <w:lang w:val="en-GB"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604E"/>
  </w:style>
  <w:style w:type="paragraph" w:styleId="Heading1">
    <w:name w:val="heading 1"/>
    <w:basedOn w:val="Normal"/>
    <w:next w:val="Normal"/>
    <w:link w:val="Heading1Char"/>
    <w:uiPriority w:val="9"/>
    <w:qFormat/>
    <w:rsid w:val="002A7BD6"/>
    <w:pPr>
      <w:keepNext/>
      <w:keepLines/>
      <w:spacing w:before="360" w:after="80" w:line="360" w:lineRule="auto"/>
      <w:jc w:val="both"/>
      <w:outlineLvl w:val="0"/>
    </w:pPr>
    <w:rPr>
      <w:rFonts w:ascii="Arial" w:eastAsiaTheme="majorEastAsia" w:hAnsi="Arial" w:cstheme="majorBidi"/>
      <w:b/>
      <w:color w:val="000000" w:themeColor="text1"/>
      <w:sz w:val="32"/>
      <w:szCs w:val="50"/>
    </w:rPr>
  </w:style>
  <w:style w:type="paragraph" w:styleId="Heading2">
    <w:name w:val="heading 2"/>
    <w:basedOn w:val="Normal"/>
    <w:next w:val="Normal"/>
    <w:link w:val="Heading2Char"/>
    <w:uiPriority w:val="9"/>
    <w:semiHidden/>
    <w:unhideWhenUsed/>
    <w:qFormat/>
    <w:rsid w:val="002A7BD6"/>
    <w:pPr>
      <w:keepNext/>
      <w:keepLines/>
      <w:spacing w:before="160" w:after="80" w:line="360" w:lineRule="auto"/>
      <w:jc w:val="both"/>
      <w:outlineLvl w:val="1"/>
    </w:pPr>
    <w:rPr>
      <w:rFonts w:ascii="Arial" w:eastAsiaTheme="majorEastAsia" w:hAnsi="Arial" w:cstheme="majorBidi"/>
      <w:b/>
      <w:color w:val="000000" w:themeColor="text1"/>
      <w:sz w:val="28"/>
      <w:szCs w:val="40"/>
    </w:rPr>
  </w:style>
  <w:style w:type="paragraph" w:styleId="Heading3">
    <w:name w:val="heading 3"/>
    <w:basedOn w:val="Normal"/>
    <w:next w:val="Normal"/>
    <w:link w:val="Heading3Char"/>
    <w:uiPriority w:val="9"/>
    <w:semiHidden/>
    <w:unhideWhenUsed/>
    <w:qFormat/>
    <w:rsid w:val="005E7955"/>
    <w:pPr>
      <w:keepNext/>
      <w:keepLines/>
      <w:spacing w:before="160" w:after="80"/>
      <w:outlineLvl w:val="2"/>
    </w:pPr>
    <w:rPr>
      <w:rFonts w:eastAsiaTheme="majorEastAsia" w:cstheme="majorBidi"/>
      <w:color w:val="B76E0B" w:themeColor="accent1" w:themeShade="BF"/>
      <w:sz w:val="28"/>
      <w:szCs w:val="35"/>
    </w:rPr>
  </w:style>
  <w:style w:type="paragraph" w:styleId="Heading4">
    <w:name w:val="heading 4"/>
    <w:basedOn w:val="Normal"/>
    <w:next w:val="Normal"/>
    <w:link w:val="Heading4Char"/>
    <w:uiPriority w:val="9"/>
    <w:semiHidden/>
    <w:unhideWhenUsed/>
    <w:qFormat/>
    <w:rsid w:val="005E7955"/>
    <w:pPr>
      <w:keepNext/>
      <w:keepLines/>
      <w:spacing w:before="80" w:after="40"/>
      <w:outlineLvl w:val="3"/>
    </w:pPr>
    <w:rPr>
      <w:rFonts w:eastAsiaTheme="majorEastAsia" w:cstheme="majorBidi"/>
      <w:i/>
      <w:iCs/>
      <w:color w:val="B76E0B" w:themeColor="accent1" w:themeShade="BF"/>
    </w:rPr>
  </w:style>
  <w:style w:type="paragraph" w:styleId="Heading5">
    <w:name w:val="heading 5"/>
    <w:basedOn w:val="Normal"/>
    <w:next w:val="Normal"/>
    <w:link w:val="Heading5Char"/>
    <w:uiPriority w:val="9"/>
    <w:semiHidden/>
    <w:unhideWhenUsed/>
    <w:qFormat/>
    <w:rsid w:val="005E7955"/>
    <w:pPr>
      <w:keepNext/>
      <w:keepLines/>
      <w:spacing w:before="80" w:after="40"/>
      <w:outlineLvl w:val="4"/>
    </w:pPr>
    <w:rPr>
      <w:rFonts w:eastAsiaTheme="majorEastAsia" w:cstheme="majorBidi"/>
      <w:color w:val="B76E0B" w:themeColor="accent1" w:themeShade="BF"/>
    </w:rPr>
  </w:style>
  <w:style w:type="paragraph" w:styleId="Heading6">
    <w:name w:val="heading 6"/>
    <w:basedOn w:val="Normal"/>
    <w:next w:val="Normal"/>
    <w:link w:val="Heading6Char"/>
    <w:uiPriority w:val="9"/>
    <w:semiHidden/>
    <w:unhideWhenUsed/>
    <w:qFormat/>
    <w:rsid w:val="005E79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79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79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79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7BD6"/>
    <w:rPr>
      <w:rFonts w:ascii="Arial" w:eastAsiaTheme="majorEastAsia" w:hAnsi="Arial" w:cstheme="majorBidi"/>
      <w:b/>
      <w:color w:val="000000" w:themeColor="text1"/>
      <w:sz w:val="32"/>
      <w:szCs w:val="50"/>
    </w:rPr>
  </w:style>
  <w:style w:type="character" w:customStyle="1" w:styleId="Heading2Char">
    <w:name w:val="Heading 2 Char"/>
    <w:basedOn w:val="DefaultParagraphFont"/>
    <w:link w:val="Heading2"/>
    <w:uiPriority w:val="9"/>
    <w:semiHidden/>
    <w:rsid w:val="002A7BD6"/>
    <w:rPr>
      <w:rFonts w:ascii="Arial" w:eastAsiaTheme="majorEastAsia" w:hAnsi="Arial" w:cstheme="majorBidi"/>
      <w:b/>
      <w:color w:val="000000" w:themeColor="text1"/>
      <w:sz w:val="28"/>
      <w:szCs w:val="40"/>
    </w:rPr>
  </w:style>
  <w:style w:type="character" w:customStyle="1" w:styleId="Heading3Char">
    <w:name w:val="Heading 3 Char"/>
    <w:basedOn w:val="DefaultParagraphFont"/>
    <w:link w:val="Heading3"/>
    <w:uiPriority w:val="9"/>
    <w:semiHidden/>
    <w:rsid w:val="005E7955"/>
    <w:rPr>
      <w:rFonts w:eastAsiaTheme="majorEastAsia" w:cstheme="majorBidi"/>
      <w:color w:val="B76E0B" w:themeColor="accent1" w:themeShade="BF"/>
      <w:sz w:val="28"/>
      <w:szCs w:val="35"/>
    </w:rPr>
  </w:style>
  <w:style w:type="character" w:customStyle="1" w:styleId="Heading4Char">
    <w:name w:val="Heading 4 Char"/>
    <w:basedOn w:val="DefaultParagraphFont"/>
    <w:link w:val="Heading4"/>
    <w:uiPriority w:val="9"/>
    <w:semiHidden/>
    <w:rsid w:val="005E7955"/>
    <w:rPr>
      <w:rFonts w:eastAsiaTheme="majorEastAsia" w:cstheme="majorBidi"/>
      <w:i/>
      <w:iCs/>
      <w:color w:val="B76E0B" w:themeColor="accent1" w:themeShade="BF"/>
    </w:rPr>
  </w:style>
  <w:style w:type="character" w:customStyle="1" w:styleId="Heading5Char">
    <w:name w:val="Heading 5 Char"/>
    <w:basedOn w:val="DefaultParagraphFont"/>
    <w:link w:val="Heading5"/>
    <w:uiPriority w:val="9"/>
    <w:semiHidden/>
    <w:rsid w:val="005E7955"/>
    <w:rPr>
      <w:rFonts w:eastAsiaTheme="majorEastAsia" w:cstheme="majorBidi"/>
      <w:color w:val="B76E0B" w:themeColor="accent1" w:themeShade="BF"/>
    </w:rPr>
  </w:style>
  <w:style w:type="character" w:customStyle="1" w:styleId="Heading6Char">
    <w:name w:val="Heading 6 Char"/>
    <w:basedOn w:val="DefaultParagraphFont"/>
    <w:link w:val="Heading6"/>
    <w:uiPriority w:val="9"/>
    <w:semiHidden/>
    <w:rsid w:val="005E79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79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79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7955"/>
    <w:rPr>
      <w:rFonts w:eastAsiaTheme="majorEastAsia" w:cstheme="majorBidi"/>
      <w:color w:val="272727" w:themeColor="text1" w:themeTint="D8"/>
    </w:rPr>
  </w:style>
  <w:style w:type="paragraph" w:styleId="Title">
    <w:name w:val="Title"/>
    <w:basedOn w:val="Normal"/>
    <w:next w:val="Normal"/>
    <w:link w:val="TitleChar"/>
    <w:uiPriority w:val="10"/>
    <w:qFormat/>
    <w:rsid w:val="005E7955"/>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5E7955"/>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5E7955"/>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5E7955"/>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5E7955"/>
    <w:pPr>
      <w:spacing w:before="160"/>
      <w:jc w:val="center"/>
    </w:pPr>
    <w:rPr>
      <w:i/>
      <w:iCs/>
      <w:color w:val="404040" w:themeColor="text1" w:themeTint="BF"/>
    </w:rPr>
  </w:style>
  <w:style w:type="character" w:customStyle="1" w:styleId="QuoteChar">
    <w:name w:val="Quote Char"/>
    <w:basedOn w:val="DefaultParagraphFont"/>
    <w:link w:val="Quote"/>
    <w:uiPriority w:val="29"/>
    <w:rsid w:val="005E7955"/>
    <w:rPr>
      <w:i/>
      <w:iCs/>
      <w:color w:val="404040" w:themeColor="text1" w:themeTint="BF"/>
    </w:rPr>
  </w:style>
  <w:style w:type="paragraph" w:styleId="ListParagraph">
    <w:name w:val="List Paragraph"/>
    <w:basedOn w:val="Normal"/>
    <w:uiPriority w:val="34"/>
    <w:qFormat/>
    <w:rsid w:val="005E7955"/>
    <w:pPr>
      <w:ind w:left="720"/>
      <w:contextualSpacing/>
    </w:pPr>
  </w:style>
  <w:style w:type="character" w:styleId="IntenseEmphasis">
    <w:name w:val="Intense Emphasis"/>
    <w:basedOn w:val="DefaultParagraphFont"/>
    <w:uiPriority w:val="21"/>
    <w:qFormat/>
    <w:rsid w:val="005E7955"/>
    <w:rPr>
      <w:i/>
      <w:iCs/>
      <w:color w:val="B76E0B" w:themeColor="accent1" w:themeShade="BF"/>
    </w:rPr>
  </w:style>
  <w:style w:type="paragraph" w:styleId="IntenseQuote">
    <w:name w:val="Intense Quote"/>
    <w:basedOn w:val="Normal"/>
    <w:next w:val="Normal"/>
    <w:link w:val="IntenseQuoteChar"/>
    <w:uiPriority w:val="30"/>
    <w:qFormat/>
    <w:rsid w:val="005E7955"/>
    <w:pPr>
      <w:pBdr>
        <w:top w:val="single" w:sz="4" w:space="10" w:color="B76E0B" w:themeColor="accent1" w:themeShade="BF"/>
        <w:bottom w:val="single" w:sz="4" w:space="10" w:color="B76E0B" w:themeColor="accent1" w:themeShade="BF"/>
      </w:pBdr>
      <w:spacing w:before="360" w:after="360"/>
      <w:ind w:left="864" w:right="864"/>
      <w:jc w:val="center"/>
    </w:pPr>
    <w:rPr>
      <w:i/>
      <w:iCs/>
      <w:color w:val="B76E0B" w:themeColor="accent1" w:themeShade="BF"/>
    </w:rPr>
  </w:style>
  <w:style w:type="character" w:customStyle="1" w:styleId="IntenseQuoteChar">
    <w:name w:val="Intense Quote Char"/>
    <w:basedOn w:val="DefaultParagraphFont"/>
    <w:link w:val="IntenseQuote"/>
    <w:uiPriority w:val="30"/>
    <w:rsid w:val="005E7955"/>
    <w:rPr>
      <w:i/>
      <w:iCs/>
      <w:color w:val="B76E0B" w:themeColor="accent1" w:themeShade="BF"/>
    </w:rPr>
  </w:style>
  <w:style w:type="character" w:styleId="IntenseReference">
    <w:name w:val="Intense Reference"/>
    <w:basedOn w:val="DefaultParagraphFont"/>
    <w:uiPriority w:val="32"/>
    <w:qFormat/>
    <w:rsid w:val="005E7955"/>
    <w:rPr>
      <w:b/>
      <w:bCs/>
      <w:smallCaps/>
      <w:color w:val="B76E0B" w:themeColor="accent1" w:themeShade="BF"/>
      <w:spacing w:val="5"/>
    </w:rPr>
  </w:style>
  <w:style w:type="character" w:styleId="Hyperlink">
    <w:name w:val="Hyperlink"/>
    <w:basedOn w:val="DefaultParagraphFont"/>
    <w:uiPriority w:val="99"/>
    <w:unhideWhenUsed/>
    <w:rsid w:val="005E7955"/>
    <w:rPr>
      <w:color w:val="FFAE3E" w:themeColor="hyperlink"/>
      <w:u w:val="single"/>
    </w:rPr>
  </w:style>
  <w:style w:type="character" w:styleId="UnresolvedMention">
    <w:name w:val="Unresolved Mention"/>
    <w:basedOn w:val="DefaultParagraphFont"/>
    <w:uiPriority w:val="99"/>
    <w:semiHidden/>
    <w:unhideWhenUsed/>
    <w:rsid w:val="005E7955"/>
    <w:rPr>
      <w:color w:val="605E5C"/>
      <w:shd w:val="clear" w:color="auto" w:fill="E1DFDD"/>
    </w:rPr>
  </w:style>
  <w:style w:type="paragraph" w:styleId="NormalWeb">
    <w:name w:val="Normal (Web)"/>
    <w:basedOn w:val="Normal"/>
    <w:uiPriority w:val="99"/>
    <w:semiHidden/>
    <w:unhideWhenUsed/>
    <w:rsid w:val="00586000"/>
    <w:rPr>
      <w:rFonts w:ascii="Times New Roman" w:hAnsi="Times New Roman" w:cs="Times New Roman"/>
      <w:sz w:val="24"/>
      <w:szCs w:val="30"/>
    </w:rPr>
  </w:style>
  <w:style w:type="paragraph" w:styleId="TOCHeading">
    <w:name w:val="TOC Heading"/>
    <w:basedOn w:val="Heading1"/>
    <w:next w:val="Normal"/>
    <w:uiPriority w:val="39"/>
    <w:unhideWhenUsed/>
    <w:qFormat/>
    <w:rsid w:val="00F70E27"/>
    <w:pPr>
      <w:spacing w:before="240" w:after="0" w:line="259" w:lineRule="auto"/>
      <w:jc w:val="left"/>
      <w:outlineLvl w:val="9"/>
    </w:pPr>
    <w:rPr>
      <w:rFonts w:asciiTheme="majorHAnsi" w:hAnsiTheme="majorHAnsi"/>
      <w:b w:val="0"/>
      <w:color w:val="B76E0B" w:themeColor="accent1" w:themeShade="BF"/>
      <w:szCs w:val="32"/>
      <w:lang w:val="en-US" w:bidi="ar-SA"/>
      <w14:ligatures w14:val="none"/>
    </w:rPr>
  </w:style>
  <w:style w:type="paragraph" w:styleId="TOC1">
    <w:name w:val="toc 1"/>
    <w:basedOn w:val="Normal"/>
    <w:next w:val="Normal"/>
    <w:autoRedefine/>
    <w:uiPriority w:val="39"/>
    <w:unhideWhenUsed/>
    <w:rsid w:val="00F70E27"/>
    <w:pPr>
      <w:spacing w:after="100"/>
    </w:pPr>
  </w:style>
  <w:style w:type="paragraph" w:styleId="Header">
    <w:name w:val="header"/>
    <w:basedOn w:val="Normal"/>
    <w:link w:val="HeaderChar"/>
    <w:uiPriority w:val="99"/>
    <w:unhideWhenUsed/>
    <w:rsid w:val="00575F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5F2D"/>
  </w:style>
  <w:style w:type="paragraph" w:styleId="Footer">
    <w:name w:val="footer"/>
    <w:basedOn w:val="Normal"/>
    <w:link w:val="FooterChar"/>
    <w:uiPriority w:val="99"/>
    <w:unhideWhenUsed/>
    <w:rsid w:val="00575F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5F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1BD3EF-C129-46EB-AE02-3091A3A54C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1999</Words>
  <Characters>11397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Bruno Da Cruz Pereira (2210506)</cp:lastModifiedBy>
  <cp:revision>2</cp:revision>
  <dcterms:created xsi:type="dcterms:W3CDTF">2026-08-18T01:02:00Z</dcterms:created>
  <dcterms:modified xsi:type="dcterms:W3CDTF">2026-08-18T01:02:00Z</dcterms:modified>
</cp:coreProperties>
</file>