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 xml:space="preserve">Linnea Strileckis </w:t>
      </w:r>
    </w:p>
    <w:p>
      <w:pPr>
        <w:pStyle w:val="Body"/>
        <w:bidi w:val="0"/>
      </w:pPr>
      <w:r>
        <w:rPr>
          <w:rtl w:val="0"/>
        </w:rPr>
        <w:t>Visual Analysis</w:t>
      </w:r>
    </w:p>
    <w:p>
      <w:pPr>
        <w:pStyle w:val="Body"/>
        <w:bidi w:val="0"/>
      </w:pPr>
    </w:p>
    <w:p>
      <w:pPr>
        <w:pStyle w:val="Body"/>
        <w:bidi w:val="0"/>
      </w:pPr>
    </w:p>
    <w:p>
      <w:pPr>
        <w:pStyle w:val="Body"/>
        <w:jc w:val="center"/>
      </w:pPr>
      <w:r>
        <w:rPr>
          <w:rtl w:val="0"/>
          <w:lang w:val="en-US"/>
        </w:rPr>
        <w:t xml:space="preserve">Reading </w:t>
      </w:r>
      <w:r>
        <w:rPr>
          <w:rtl w:val="0"/>
          <w:lang w:val="en-US"/>
        </w:rPr>
        <w:t>“</w:t>
      </w:r>
      <w:r>
        <w:rPr>
          <w:rtl w:val="0"/>
          <w:lang w:val="en-US"/>
        </w:rPr>
        <w:t>The Creation of the World</w:t>
      </w:r>
      <w:r>
        <w:rPr>
          <w:rtl w:val="0"/>
          <w:lang w:val="en-US"/>
        </w:rPr>
        <w:t xml:space="preserve">” </w:t>
      </w:r>
      <w:r>
        <w:rPr>
          <w:rtl w:val="0"/>
          <w:lang w:val="en-US"/>
        </w:rPr>
        <w:t>from the Stammheim Missal</w:t>
      </w:r>
    </w:p>
    <w:p>
      <w:pPr>
        <w:pStyle w:val="Body"/>
        <w:jc w:val="center"/>
      </w:pPr>
    </w:p>
    <w:p>
      <w:pPr>
        <w:pStyle w:val="Body"/>
        <w:jc w:val="both"/>
      </w:pPr>
      <w:r>
        <w:rPr>
          <w:rtl w:val="0"/>
          <w:lang w:val="en-US"/>
        </w:rPr>
        <w:t>“</w:t>
      </w:r>
      <w:r>
        <w:rPr>
          <w:rtl w:val="0"/>
          <w:lang w:val="en-US"/>
        </w:rPr>
        <w:t>One of the main purposes of art historical knowledge is to organize a picture of the world through its cultural and artistic practices.</w:t>
      </w:r>
      <w:r>
        <w:rPr>
          <w:rtl w:val="0"/>
          <w:lang w:val="en-US"/>
        </w:rPr>
        <w:t>”</w:t>
      </w:r>
      <w:r>
        <w:rPr>
          <w:vertAlign w:val="superscript"/>
        </w:rPr>
        <w:footnoteReference w:id="1"/>
      </w:r>
    </w:p>
    <w:p>
      <w:pPr>
        <w:pStyle w:val="Body"/>
        <w:jc w:val="both"/>
      </w:pPr>
    </w:p>
    <w:p>
      <w:pPr>
        <w:pStyle w:val="Body"/>
        <w:jc w:val="both"/>
      </w:pPr>
      <w:r>
        <w:rPr>
          <w:rtl w:val="0"/>
        </w:rPr>
        <w:tab/>
        <w:t xml:space="preserve">The education of the populace during the Medieval Era was mainly performed through interpretation of the visual.  With a high percentage of the pollution being illiterate, learning would have focused primarily on what was seen, the visual culture of a people.  Culture would therefore have an underlying and unknowingly agreed upon code of visual imagery that would have been interpreted with ease by the viewer.  George Ferguson in his book </w:t>
      </w:r>
      <w:r>
        <w:rPr>
          <w:i w:val="1"/>
          <w:iCs w:val="1"/>
          <w:rtl w:val="0"/>
          <w:lang w:val="en-US"/>
        </w:rPr>
        <w:t xml:space="preserve">Signs &amp; Symbols in Christian Art </w:t>
      </w:r>
      <w:r>
        <w:rPr>
          <w:rtl w:val="0"/>
          <w:lang w:val="en-US"/>
        </w:rPr>
        <w:t xml:space="preserve">states </w:t>
      </w:r>
      <w:r>
        <w:rPr>
          <w:rtl w:val="0"/>
          <w:lang w:val="en-US"/>
        </w:rPr>
        <w:t>“</w:t>
      </w:r>
      <w:r>
        <w:rPr>
          <w:rtl w:val="0"/>
          <w:lang w:val="en-US"/>
        </w:rPr>
        <w:t>[T]he language [is] of the sign and the symbol, the outward and visible form through which is revealed the inward and invisible reality that moves and directs the soul of man.</w:t>
      </w:r>
      <w:r>
        <w:rPr>
          <w:rtl w:val="0"/>
          <w:lang w:val="en-US"/>
        </w:rPr>
        <w:t>”</w:t>
      </w:r>
      <w:r>
        <w:rPr>
          <w:vertAlign w:val="superscript"/>
        </w:rPr>
        <w:footnoteReference w:id="2"/>
      </w:r>
      <w:r>
        <w:rPr>
          <w:rtl w:val="0"/>
          <w:lang w:val="en-US"/>
        </w:rPr>
        <w:t xml:space="preserve">  Religious imagery acts in this way.  The images show the story, thus telling the viewer through its symbols that which the artist wishes to portray.  Illuminations of religious texts of the Medieval Era impart christian stories that would be readily interpreted by the population, either lay or monastic.  </w:t>
      </w:r>
    </w:p>
    <w:p>
      <w:pPr>
        <w:pStyle w:val="Body"/>
        <w:jc w:val="both"/>
      </w:pPr>
      <w:r>
        <w:rPr>
          <w:rtl w:val="0"/>
        </w:rPr>
        <w:tab/>
        <w:t xml:space="preserve">The Stammheim Missal was created during the </w:t>
      </w:r>
      <w:r>
        <w:rPr>
          <w:rtl w:val="0"/>
          <w:lang w:val="en-US"/>
        </w:rPr>
        <w:t>1170s</w:t>
      </w:r>
      <w:r>
        <w:rPr>
          <w:rtl w:val="0"/>
          <w:lang w:val="en-US"/>
        </w:rPr>
        <w:t xml:space="preserve"> in Saint Michael</w:t>
      </w:r>
      <w:r>
        <w:rPr>
          <w:rtl w:val="0"/>
          <w:lang w:val="en-US"/>
        </w:rPr>
        <w:t>’</w:t>
      </w:r>
      <w:r>
        <w:rPr>
          <w:rtl w:val="0"/>
          <w:lang w:val="en-US"/>
        </w:rPr>
        <w:t xml:space="preserve">s Abbey in Hildesheim, Germany.  Missals, which are still in use today in the Catholic Church, are liturgical books or books containing readings meant to be relayed to parishioners on a given holy day in addition to any instructions for celebrations related to that day.  The Stammheim Missal contains, in addition to these readings, dates of catholic holy days.  During the medieval time, a missal would have been written by hand and illuminated by monks of the abbey in which the missal was produced and used.  The Stammheim Missal was elaborately adorned with illuminations composed of gold and silver leaf, tempera colors, and ink on parchment.  </w:t>
      </w:r>
      <w:r>
        <w:rPr>
          <w:rtl w:val="0"/>
          <w:lang w:val="en-US"/>
        </w:rPr>
        <w:t xml:space="preserve">The use of fine metals in The Stammheim Missal alludes to the wealth of the monastery as monasteries held the majority of the wealth during the twelfth century, required donations from its members, rich or poor.  </w:t>
      </w:r>
      <w:r>
        <w:rPr>
          <w:rtl w:val="1"/>
          <w:lang w:val="ar-SA" w:bidi="ar-SA"/>
        </w:rPr>
        <w:t>“</w:t>
      </w:r>
      <w:r>
        <w:rPr>
          <w:rtl w:val="0"/>
          <w:lang w:val="en-US"/>
        </w:rPr>
        <w:t>Appearance was expected to represent the status of the patron,</w:t>
      </w:r>
      <w:r>
        <w:rPr>
          <w:rtl w:val="0"/>
          <w:lang w:val="en-US"/>
        </w:rPr>
        <w:t xml:space="preserve">” </w:t>
      </w:r>
      <w:r>
        <w:rPr>
          <w:rtl w:val="0"/>
          <w:lang w:val="en-US"/>
        </w:rPr>
        <w:t xml:space="preserve">in this case the </w:t>
      </w:r>
      <w:r>
        <w:rPr>
          <w:rtl w:val="0"/>
        </w:rPr>
        <w:t>monastery</w:t>
      </w:r>
      <w:r>
        <w:rPr>
          <w:rtl w:val="0"/>
          <w:lang w:val="en-US"/>
        </w:rPr>
        <w:t>,</w:t>
      </w:r>
      <w:r>
        <w:rPr>
          <w:rtl w:val="0"/>
        </w:rPr>
        <w:t xml:space="preserve"> </w:t>
      </w:r>
      <w:r>
        <w:rPr>
          <w:rtl w:val="0"/>
          <w:lang w:val="en-US"/>
        </w:rPr>
        <w:t>“</w:t>
      </w:r>
      <w:r>
        <w:rPr>
          <w:rtl w:val="0"/>
          <w:lang w:val="en-US"/>
        </w:rPr>
        <w:t xml:space="preserve">and objects were praised for their craftsmanship or value. </w:t>
      </w:r>
      <w:r>
        <w:rPr>
          <w:rtl w:val="0"/>
        </w:rPr>
        <w:t xml:space="preserve">… </w:t>
      </w:r>
      <w:r>
        <w:rPr>
          <w:rtl w:val="0"/>
          <w:lang w:val="en-US"/>
        </w:rPr>
        <w:t>the bright gleam of gold and jewels led the viewer into God</w:t>
      </w:r>
      <w:r>
        <w:rPr>
          <w:rtl w:val="1"/>
        </w:rPr>
        <w:t>’</w:t>
      </w:r>
      <w:r>
        <w:rPr>
          <w:rtl w:val="0"/>
          <w:lang w:val="en-US"/>
        </w:rPr>
        <w:t>s presence, the radiance reflecting the light of truth.</w:t>
      </w:r>
      <w:r>
        <w:rPr>
          <w:rtl w:val="0"/>
        </w:rPr>
        <w:t>”</w:t>
      </w:r>
      <w:r>
        <w:rPr>
          <w:vertAlign w:val="superscript"/>
        </w:rPr>
        <w:footnoteReference w:id="3"/>
      </w:r>
      <w:r>
        <w:rPr>
          <w:rtl w:val="0"/>
          <w:lang w:val="en-US"/>
        </w:rPr>
        <w:t xml:space="preserve">  Its original, but unfortunately lost, ivory binding held alum awed pigskin stretched over wood boards, binding the missal.  Today, a missal is less decorative, usually paperback bound covering mass-produced printed pages of the readings pertinent to the mass of a given day and relevant practices associated with the day with simple black outlined images.  </w:t>
      </w:r>
    </w:p>
    <w:p>
      <w:pPr>
        <w:pStyle w:val="Body"/>
        <w:jc w:val="both"/>
      </w:pPr>
      <w:r>
        <w:rPr>
          <w:rtl w:val="0"/>
        </w:rPr>
        <w:tab/>
        <w:t xml:space="preserve">The Stammheim Missal contains images representing the Romanesque style including architectural elements, symmetrical compositions, and complimentary color schemes.  The illumination known as </w:t>
      </w:r>
      <w:r>
        <w:rPr>
          <w:rtl w:val="0"/>
          <w:lang w:val="en-US"/>
        </w:rPr>
        <w:t>“</w:t>
      </w:r>
      <w:r>
        <w:rPr>
          <w:rtl w:val="0"/>
          <w:lang w:val="en-US"/>
        </w:rPr>
        <w:t>The Creation of the World</w:t>
      </w:r>
      <w:r>
        <w:rPr>
          <w:rtl w:val="0"/>
          <w:lang w:val="en-US"/>
        </w:rPr>
        <w:t xml:space="preserve">” </w:t>
      </w:r>
      <w:r>
        <w:rPr>
          <w:rtl w:val="0"/>
          <w:lang w:val="en-US"/>
        </w:rPr>
        <w:t xml:space="preserve">is one such exemplar.  An exploration of these elements will be discussed in addition to deciphering the meaning of the image.  </w:t>
      </w:r>
      <w:r>
        <w:rPr>
          <w:rtl w:val="0"/>
          <w:lang w:val="en-US"/>
        </w:rPr>
        <w:t>“</w:t>
      </w:r>
      <w:r>
        <w:rPr>
          <w:rtl w:val="0"/>
          <w:lang w:val="en-US"/>
        </w:rPr>
        <w:t>The Creation of the World</w:t>
      </w:r>
      <w:r>
        <w:rPr>
          <w:rtl w:val="0"/>
          <w:lang w:val="en-US"/>
        </w:rPr>
        <w:t xml:space="preserve">” </w:t>
      </w:r>
      <w:r>
        <w:rPr>
          <w:rtl w:val="0"/>
          <w:lang w:val="en-US"/>
        </w:rPr>
        <w:t>measures 11.125</w:t>
      </w:r>
      <w:r>
        <w:rPr>
          <w:rtl w:val="0"/>
          <w:lang w:val="en-US"/>
        </w:rPr>
        <w:t xml:space="preserve">” </w:t>
      </w:r>
      <w:r>
        <w:rPr>
          <w:rtl w:val="0"/>
          <w:lang w:val="en-US"/>
        </w:rPr>
        <w:t>in height and 7.4375</w:t>
      </w:r>
      <w:r>
        <w:rPr>
          <w:rtl w:val="0"/>
          <w:lang w:val="en-US"/>
        </w:rPr>
        <w:t xml:space="preserve">” </w:t>
      </w:r>
      <w:r>
        <w:rPr>
          <w:rtl w:val="0"/>
          <w:lang w:val="en-US"/>
        </w:rPr>
        <w:t xml:space="preserve">in width.  This illumination acts as a page marker, differentiating the first half of the Stammheim Missal, which contains the calendar of catholic holy days, and the second half of the Missal where the readings are recorded.  </w:t>
      </w:r>
      <w:r>
        <w:rPr>
          <w:rtl w:val="0"/>
          <w:lang w:val="en-US"/>
        </w:rPr>
        <w:t>“</w:t>
      </w:r>
      <w:r>
        <w:rPr>
          <w:rtl w:val="0"/>
          <w:lang w:val="en-US"/>
        </w:rPr>
        <w:t>The Creation of the World</w:t>
      </w:r>
      <w:r>
        <w:rPr>
          <w:rtl w:val="0"/>
          <w:lang w:val="en-US"/>
        </w:rPr>
        <w:t xml:space="preserve">” </w:t>
      </w:r>
      <w:r>
        <w:rPr>
          <w:rtl w:val="0"/>
          <w:lang w:val="en-US"/>
        </w:rPr>
        <w:t xml:space="preserve">illustrates images as described in the Book of Genesis from the Old Testament of The Bible.  The image is enclosed by a stylized frame, architectural in nature as it appears three dimensional with a wood-like texture given to the tempura.  An ochre colored shadow appears to be depicted around the frame adding to the illusion of three dimensionality.  A complimentary color scheme, characteristic of the Romanesque style, can be seen painting the frame beginning with green atop the piece, progressing to blue on either side, then to orange, and back to green before the frame is interrupted by an interior red frame from a circular image.  The color scheme then continues in a mirrored pattern below the red circle framing the bottom of the image.  </w:t>
      </w:r>
    </w:p>
    <w:p>
      <w:pPr>
        <w:pStyle w:val="Body"/>
        <w:jc w:val="both"/>
      </w:pPr>
      <w:r>
        <w:rPr>
          <w:rtl w:val="0"/>
        </w:rPr>
        <w:tab/>
        <w:t>“</w:t>
      </w:r>
      <w:r>
        <w:rPr>
          <w:rtl w:val="0"/>
          <w:lang w:val="en-US"/>
        </w:rPr>
        <w:t>The Creation of the World</w:t>
      </w:r>
      <w:r>
        <w:rPr>
          <w:rtl w:val="0"/>
          <w:lang w:val="en-US"/>
        </w:rPr>
        <w:t xml:space="preserve">” </w:t>
      </w:r>
      <w:r>
        <w:rPr>
          <w:rtl w:val="0"/>
          <w:lang w:val="en-US"/>
        </w:rPr>
        <w:t>can be viewed as one image sectioned into thirds.  The top third illustrates God in the center robed in complimentary colors of red and green, painted in the wet drapery style of the Romanesque period which is seen additionally on the other figures of the image, and crowned in a circular halo of silver leaf.  He is accompanied by an angel on either side of him, again with halos of silver leaf and wings of red and green.  The angels are barefoot, signifying they are standing within holy ground, heaven as it has been portrayed with gold leaf.  The angels look towards God who in turn looks towards the viewer while holding a red framed image of His creation, the universe.  The Middle Ages saw the population view the universe in the Ptolemaic sense, with the Earth or man at its center and all else that was created; animals, water, and the universe; circulating around it.  God is therefor holding a circular representation of the universe which is broken into six small circles revolving around a central circle portraying God</w:t>
      </w:r>
      <w:r>
        <w:rPr>
          <w:rtl w:val="0"/>
          <w:lang w:val="en-US"/>
        </w:rPr>
        <w:t>’</w:t>
      </w:r>
      <w:r>
        <w:rPr>
          <w:rtl w:val="0"/>
          <w:lang w:val="en-US"/>
        </w:rPr>
        <w:t xml:space="preserve">s greatest creation, man.  These lesser circles also represent the six days of creation, the six days of the week that God worked to create the universe before resting on the seventh day.  Each gold leaf frame is inscribed in Latin with a brief description from the Bible of what happened on that day of creation.   </w:t>
      </w:r>
    </w:p>
    <w:p>
      <w:pPr>
        <w:pStyle w:val="Body"/>
        <w:jc w:val="both"/>
      </w:pPr>
      <w:r>
        <w:rPr>
          <w:rtl w:val="0"/>
        </w:rPr>
        <w:tab/>
        <w:t xml:space="preserve">The large central circle can also be viewed as a wheel with spokes of silver leaf jutting out from a gold leaf central circle, separating the smaller roundels of the days of creation.  The wheel as an image utilized in Romanesque Art is confirmed by Ben Yun in his article </w:t>
      </w:r>
      <w:r>
        <w:rPr>
          <w:rtl w:val="0"/>
          <w:lang w:val="en-US"/>
        </w:rPr>
        <w:t>“</w:t>
      </w:r>
      <w:r>
        <w:rPr>
          <w:rtl w:val="0"/>
          <w:lang w:val="en-US"/>
        </w:rPr>
        <w:t>A Visual Mirror of Princes: The Wheel on the Mural of Longthorpe Tower.</w:t>
      </w:r>
      <w:r>
        <w:rPr>
          <w:rtl w:val="0"/>
          <w:lang w:val="en-US"/>
        </w:rPr>
        <w:t xml:space="preserve">”  </w:t>
      </w:r>
      <w:r>
        <w:rPr>
          <w:rtl w:val="0"/>
          <w:lang w:val="en-US"/>
        </w:rPr>
        <w:t>Yun takes the idea of the wheel further as labeling the wheel as the Wheel of fortune.</w:t>
      </w:r>
      <w:r>
        <w:rPr>
          <w:vertAlign w:val="superscript"/>
        </w:rPr>
        <w:footnoteReference w:id="4"/>
      </w:r>
      <w:r>
        <w:rPr>
          <w:rtl w:val="0"/>
          <w:lang w:val="en-US"/>
        </w:rPr>
        <w:t xml:space="preserve">  Thus God holds the wheel as the creator and ruler of all things; and </w:t>
      </w:r>
      <w:r>
        <w:rPr>
          <w:rtl w:val="0"/>
          <w:lang w:val="en-US"/>
        </w:rPr>
        <w:t>“</w:t>
      </w:r>
      <w:r>
        <w:rPr>
          <w:rtl w:val="0"/>
          <w:lang w:val="en-US"/>
        </w:rPr>
        <w:t>[t]he inclusion of a figure holding the rim of a wheel or circle was a common feature in representations of the Creation.</w:t>
      </w:r>
      <w:r>
        <w:rPr>
          <w:rtl w:val="0"/>
          <w:lang w:val="en-US"/>
        </w:rPr>
        <w:t>”</w:t>
      </w:r>
      <w:r>
        <w:rPr>
          <w:vertAlign w:val="superscript"/>
        </w:rPr>
        <w:footnoteReference w:id="5"/>
      </w:r>
      <w:r>
        <w:rPr>
          <w:rtl w:val="0"/>
          <w:lang w:val="en-US"/>
        </w:rPr>
        <w:t xml:space="preserve">  George Ferguson supports Yin</w:t>
      </w:r>
      <w:r>
        <w:rPr>
          <w:rtl w:val="0"/>
          <w:lang w:val="en-US"/>
        </w:rPr>
        <w:t>’</w:t>
      </w:r>
      <w:r>
        <w:rPr>
          <w:rtl w:val="0"/>
          <w:lang w:val="en-US"/>
        </w:rPr>
        <w:t xml:space="preserve">s idea in the book </w:t>
      </w:r>
      <w:r>
        <w:rPr>
          <w:i w:val="1"/>
          <w:iCs w:val="1"/>
          <w:rtl w:val="0"/>
          <w:lang w:val="en-US"/>
        </w:rPr>
        <w:t xml:space="preserve">Signs &amp; Symbols in Christian Art </w:t>
      </w:r>
      <w:r>
        <w:rPr>
          <w:rtl w:val="0"/>
          <w:lang w:val="en-US"/>
        </w:rPr>
        <w:t xml:space="preserve">by noting that the wheel represents the </w:t>
      </w:r>
      <w:r>
        <w:rPr>
          <w:rtl w:val="0"/>
          <w:lang w:val="en-US"/>
        </w:rPr>
        <w:t>“</w:t>
      </w:r>
      <w:r>
        <w:rPr>
          <w:rtl w:val="0"/>
          <w:lang w:val="en-US"/>
        </w:rPr>
        <w:t>[r]otating force [as] the symbol of divine power.</w:t>
      </w:r>
      <w:r>
        <w:rPr>
          <w:rtl w:val="0"/>
          <w:lang w:val="en-US"/>
        </w:rPr>
        <w:t>”</w:t>
      </w:r>
      <w:r>
        <w:rPr>
          <w:vertAlign w:val="superscript"/>
        </w:rPr>
        <w:footnoteReference w:id="6"/>
      </w:r>
      <w:r>
        <w:rPr>
          <w:rtl w:val="0"/>
          <w:lang w:val="en-US"/>
        </w:rPr>
        <w:t xml:space="preserve">  Therefor below God circle all he has created, and he holds the wheel exercising his dominion and taking ownership over it.  </w:t>
      </w:r>
    </w:p>
    <w:p>
      <w:pPr>
        <w:pStyle w:val="Body"/>
        <w:jc w:val="both"/>
      </w:pPr>
      <w:r>
        <w:rPr>
          <w:rtl w:val="0"/>
        </w:rPr>
        <w:tab/>
        <w:t>Starting below God</w:t>
      </w:r>
      <w:r>
        <w:rPr>
          <w:rtl w:val="0"/>
          <w:lang w:val="en-US"/>
        </w:rPr>
        <w:t>’</w:t>
      </w:r>
      <w:r>
        <w:rPr>
          <w:rtl w:val="0"/>
          <w:lang w:val="en-US"/>
        </w:rPr>
        <w:t>s right hand is depicted the first day of the creation.  The image is a circle, dissected in half.  The half on the right is painted white with blue rays, while the half on the left is painted brown with blue rays.  Thus depicting God</w:t>
      </w:r>
      <w:r>
        <w:rPr>
          <w:rtl w:val="0"/>
          <w:lang w:val="en-US"/>
        </w:rPr>
        <w:t>’</w:t>
      </w:r>
      <w:r>
        <w:rPr>
          <w:rtl w:val="0"/>
          <w:lang w:val="en-US"/>
        </w:rPr>
        <w:t xml:space="preserve">s separation of light and dark.  Inscribed on the gold leaf of the circular frame around the first day is </w:t>
      </w:r>
      <w:r>
        <w:rPr>
          <w:rtl w:val="0"/>
          <w:lang w:val="en-US"/>
        </w:rPr>
        <w:t>“</w:t>
      </w:r>
      <w:r>
        <w:rPr>
          <w:rtl w:val="0"/>
          <w:lang w:val="en-US"/>
        </w:rPr>
        <w:t>Fiat lux et facta est lux</w:t>
      </w:r>
      <w:r>
        <w:rPr>
          <w:rtl w:val="0"/>
          <w:lang w:val="en-US"/>
        </w:rPr>
        <w:t xml:space="preserve">” </w:t>
      </w:r>
      <w:r>
        <w:rPr>
          <w:rtl w:val="0"/>
          <w:lang w:val="en-US"/>
        </w:rPr>
        <w:t>(Let there be light and light was made) from the Book of Genesis in the Bible.</w:t>
      </w:r>
      <w:r>
        <w:rPr>
          <w:vertAlign w:val="superscript"/>
        </w:rPr>
        <w:footnoteReference w:id="7"/>
      </w:r>
      <w:r>
        <w:rPr>
          <w:rtl w:val="0"/>
          <w:lang w:val="en-US"/>
        </w:rPr>
        <w:t xml:space="preserve">  Continuing clockwise to the image in the roundel just below God, is day two of The Creation depicting the separation of the waters.  </w:t>
      </w:r>
      <w:r>
        <w:rPr>
          <w:rtl w:val="0"/>
          <w:lang w:val="en-US"/>
        </w:rPr>
        <w:t>“</w:t>
      </w:r>
      <w:r>
        <w:rPr>
          <w:rtl w:val="0"/>
          <w:lang w:val="en-US"/>
        </w:rPr>
        <w:t>Fiat firmament[ue] in media aquarium</w:t>
      </w:r>
      <w:r>
        <w:rPr>
          <w:rtl w:val="0"/>
          <w:lang w:val="en-US"/>
        </w:rPr>
        <w:t xml:space="preserve">” </w:t>
      </w:r>
      <w:r>
        <w:rPr>
          <w:rtl w:val="0"/>
          <w:lang w:val="en-US"/>
        </w:rPr>
        <w:t>(Let there be firmament between the waters) reads the caption from the frame of the circle.</w:t>
      </w:r>
      <w:r>
        <w:rPr>
          <w:vertAlign w:val="superscript"/>
        </w:rPr>
        <w:footnoteReference w:id="8"/>
      </w:r>
      <w:r>
        <w:rPr>
          <w:rtl w:val="0"/>
          <w:lang w:val="en-US"/>
        </w:rPr>
        <w:t xml:space="preserve">  A blue river is seen parting areas of green land.  The next roundel to the right depicts the land as it had been separated from the waters and has started to grow vegetation.  Trees and sprouts of grains are growing in the landscape as is described in the caption </w:t>
      </w:r>
      <w:r>
        <w:rPr>
          <w:rtl w:val="0"/>
          <w:lang w:val="en-US"/>
        </w:rPr>
        <w:t>“</w:t>
      </w:r>
      <w:r>
        <w:rPr>
          <w:rtl w:val="0"/>
          <w:lang w:val="en-US"/>
        </w:rPr>
        <w:t>Germinet terra herbam vitentem facientes</w:t>
      </w:r>
      <w:r>
        <w:rPr>
          <w:rtl w:val="0"/>
          <w:lang w:val="en-US"/>
        </w:rPr>
        <w:t xml:space="preserve">” </w:t>
      </w:r>
      <w:r>
        <w:rPr>
          <w:rtl w:val="0"/>
          <w:lang w:val="en-US"/>
        </w:rPr>
        <w:t>(Grass and vines were made to sprout forth from the land.)</w:t>
      </w:r>
      <w:r>
        <w:rPr>
          <w:vertAlign w:val="superscript"/>
        </w:rPr>
        <w:footnoteReference w:id="9"/>
      </w:r>
      <w:r>
        <w:rPr>
          <w:rtl w:val="0"/>
          <w:lang w:val="en-US"/>
        </w:rPr>
        <w:t xml:space="preserve">  The image contained in the circle of day four depicts two large orbs, one gold leaf and one silver leaf, and five smaller orbs that appear to be shining.  The larger gold orb depicts the sun and the silver orb is meant to be the moon.  The smaller circles represent the stars as on day four, </w:t>
      </w:r>
      <w:r>
        <w:rPr>
          <w:rtl w:val="0"/>
          <w:lang w:val="en-US"/>
        </w:rPr>
        <w:t>“</w:t>
      </w:r>
      <w:r>
        <w:rPr>
          <w:rtl w:val="0"/>
          <w:lang w:val="en-US"/>
        </w:rPr>
        <w:t>God made the two great lights, the greater light to rule the day, and the lesser light to rule the night; he made the stars also.</w:t>
      </w:r>
      <w:r>
        <w:rPr>
          <w:rtl w:val="0"/>
          <w:lang w:val="en-US"/>
        </w:rPr>
        <w:t>”</w:t>
      </w:r>
      <w:r>
        <w:rPr>
          <w:vertAlign w:val="superscript"/>
        </w:rPr>
        <w:footnoteReference w:id="10"/>
      </w:r>
      <w:r>
        <w:rPr>
          <w:rtl w:val="0"/>
          <w:lang w:val="en-US"/>
        </w:rPr>
        <w:t xml:space="preserve">  As the latin inscription paraphrases </w:t>
      </w:r>
      <w:r>
        <w:rPr>
          <w:rtl w:val="0"/>
          <w:lang w:val="en-US"/>
        </w:rPr>
        <w:t>“</w:t>
      </w:r>
      <w:r>
        <w:rPr>
          <w:rtl w:val="0"/>
          <w:lang w:val="en-US"/>
        </w:rPr>
        <w:t>Fiant luminaria infermamento c[ae]li</w:t>
      </w:r>
      <w:r>
        <w:rPr>
          <w:rtl w:val="0"/>
          <w:lang w:val="en-US"/>
        </w:rPr>
        <w:t xml:space="preserve">” </w:t>
      </w:r>
      <w:r>
        <w:rPr>
          <w:rtl w:val="0"/>
          <w:lang w:val="en-US"/>
        </w:rPr>
        <w:t xml:space="preserve">(Let there be lights in the firmaments of the sky.)  On the fifth day, </w:t>
      </w:r>
      <w:r>
        <w:rPr>
          <w:rtl w:val="0"/>
          <w:lang w:val="en-US"/>
        </w:rPr>
        <w:t>“</w:t>
      </w:r>
      <w:r>
        <w:rPr>
          <w:rtl w:val="0"/>
          <w:lang w:val="en-US"/>
        </w:rPr>
        <w:t>God created the great sea monsters and every living creature that moves, with which the waters swarm, according to their kinds, and every winged bird according to its kind,</w:t>
      </w:r>
      <w:r>
        <w:rPr>
          <w:rtl w:val="0"/>
          <w:lang w:val="en-US"/>
        </w:rPr>
        <w:t>”</w:t>
      </w:r>
      <w:r>
        <w:rPr>
          <w:vertAlign w:val="superscript"/>
        </w:rPr>
        <w:footnoteReference w:id="11"/>
      </w:r>
      <w:r>
        <w:rPr>
          <w:rtl w:val="0"/>
          <w:lang w:val="en-US"/>
        </w:rPr>
        <w:t xml:space="preserve"> yet the circle only holds images of birds.  The latin description speaks of both birds and creatures of the water.  </w:t>
      </w:r>
      <w:r>
        <w:rPr>
          <w:rtl w:val="0"/>
          <w:lang w:val="en-US"/>
        </w:rPr>
        <w:t>“</w:t>
      </w:r>
      <w:r>
        <w:rPr>
          <w:rtl w:val="0"/>
          <w:lang w:val="en-US"/>
        </w:rPr>
        <w:t>[Per] decant aqu[ae] reptiliea [et] volatile su[per] terram</w:t>
      </w:r>
      <w:r>
        <w:rPr>
          <w:rtl w:val="0"/>
          <w:lang w:val="en-US"/>
        </w:rPr>
        <w:t xml:space="preserve">” </w:t>
      </w:r>
      <w:r>
        <w:rPr>
          <w:rtl w:val="0"/>
          <w:lang w:val="en-US"/>
        </w:rPr>
        <w:t xml:space="preserve">(He led all things creeping from the water and fowl over the land.)  </w:t>
      </w:r>
    </w:p>
    <w:p>
      <w:pPr>
        <w:pStyle w:val="Body"/>
        <w:jc w:val="both"/>
      </w:pPr>
      <w:r>
        <w:rPr>
          <w:rtl w:val="0"/>
        </w:rPr>
        <w:tab/>
        <w:t>The final circle is connected to the inner, largest roundel of God</w:t>
      </w:r>
      <w:r>
        <w:rPr>
          <w:rtl w:val="0"/>
          <w:lang w:val="en-US"/>
        </w:rPr>
        <w:t>’</w:t>
      </w:r>
      <w:r>
        <w:rPr>
          <w:rtl w:val="0"/>
          <w:lang w:val="en-US"/>
        </w:rPr>
        <w:t xml:space="preserve">s great wheel.  This depicts the final day of creation.  In the lesser circle are depicted beasts including a deer, horse, and lion.  On this day </w:t>
      </w:r>
      <w:r>
        <w:rPr>
          <w:rtl w:val="0"/>
          <w:lang w:val="en-US"/>
        </w:rPr>
        <w:t>“</w:t>
      </w:r>
      <w:r>
        <w:rPr>
          <w:rtl w:val="0"/>
          <w:lang w:val="en-US"/>
        </w:rPr>
        <w:t>[per] ducat terra ium[en]ta et bestias.  [Glorius] [Sedes]</w:t>
      </w:r>
      <w:r>
        <w:rPr>
          <w:rtl w:val="0"/>
          <w:lang w:val="en-US"/>
        </w:rPr>
        <w:t xml:space="preserve">” </w:t>
      </w:r>
      <w:r>
        <w:rPr>
          <w:rtl w:val="0"/>
          <w:lang w:val="en-US"/>
        </w:rPr>
        <w:t>(He led from the land livestock and beasts.  And it was good.)</w:t>
      </w:r>
      <w:r>
        <w:rPr>
          <w:vertAlign w:val="superscript"/>
        </w:rPr>
        <w:footnoteReference w:id="12"/>
      </w:r>
      <w:r>
        <w:rPr>
          <w:rtl w:val="0"/>
          <w:lang w:val="en-US"/>
        </w:rPr>
        <w:t xml:space="preserve">  This sixth circle is connected to the inner, central circular area of the creation as on the same day the animals of the land were created, so was man.  God</w:t>
      </w:r>
      <w:r>
        <w:rPr>
          <w:rtl w:val="0"/>
          <w:lang w:val="en-US"/>
        </w:rPr>
        <w:t>’</w:t>
      </w:r>
      <w:r>
        <w:rPr>
          <w:rtl w:val="0"/>
          <w:lang w:val="en-US"/>
        </w:rPr>
        <w:t xml:space="preserve">s hand appears with his first two fingers extended from his right hand giving the blessing but also delivering the spark of life to his greatest creation, man, made in his image.  </w:t>
      </w:r>
      <w:r>
        <w:rPr>
          <w:rtl w:val="0"/>
          <w:lang w:val="en-US"/>
        </w:rPr>
        <w:t>“</w:t>
      </w:r>
      <w:r>
        <w:rPr>
          <w:rtl w:val="0"/>
          <w:lang w:val="en-US"/>
        </w:rPr>
        <w:t xml:space="preserve">Then God said, </w:t>
      </w:r>
      <w:r>
        <w:rPr>
          <w:rtl w:val="0"/>
          <w:lang w:val="en-US"/>
        </w:rPr>
        <w:t>‘</w:t>
      </w:r>
      <w:r>
        <w:rPr>
          <w:rtl w:val="0"/>
          <w:lang w:val="en-US"/>
        </w:rPr>
        <w:t>Let us make man in our image, after our likeness; and let them have dominion over the fish of the sea, over the birds of the air, and over the cattle, and over all the earth, and over every creeping thing that creeps upon the earth.</w:t>
      </w:r>
      <w:r>
        <w:rPr>
          <w:rtl w:val="0"/>
          <w:lang w:val="en-US"/>
        </w:rPr>
        <w:t>”</w:t>
      </w:r>
      <w:r>
        <w:rPr>
          <w:vertAlign w:val="superscript"/>
        </w:rPr>
        <w:footnoteReference w:id="13"/>
      </w:r>
      <w:r>
        <w:rPr>
          <w:rtl w:val="0"/>
          <w:lang w:val="en-US"/>
        </w:rPr>
        <w:t xml:space="preserve">  Adam and Eve are larger than the other events, signifying their importance and dominance over that which God had created.  Laying in repose is Adam as the artist has labeled and springing from Adam</w:t>
      </w:r>
      <w:r>
        <w:rPr>
          <w:rtl w:val="0"/>
          <w:lang w:val="en-US"/>
        </w:rPr>
        <w:t>’</w:t>
      </w:r>
      <w:r>
        <w:rPr>
          <w:rtl w:val="0"/>
          <w:lang w:val="en-US"/>
        </w:rPr>
        <w:t>s right side is Eve, also labeled.  Eve is shown connected to Adam</w:t>
      </w:r>
      <w:r>
        <w:rPr>
          <w:rtl w:val="0"/>
          <w:lang w:val="en-US"/>
        </w:rPr>
        <w:t>’</w:t>
      </w:r>
      <w:r>
        <w:rPr>
          <w:rtl w:val="0"/>
          <w:lang w:val="en-US"/>
        </w:rPr>
        <w:t>s right side as Christianity taught that woman was created by using a rib from Adam as she was to be a companion to Adam.</w:t>
      </w:r>
      <w:r>
        <w:rPr>
          <w:vertAlign w:val="superscript"/>
        </w:rPr>
        <w:footnoteReference w:id="14"/>
      </w:r>
      <w:r>
        <w:rPr>
          <w:rtl w:val="0"/>
          <w:lang w:val="en-US"/>
        </w:rPr>
        <w:t xml:space="preserve"> </w:t>
      </w:r>
    </w:p>
    <w:p>
      <w:pPr>
        <w:pStyle w:val="Body"/>
        <w:jc w:val="both"/>
      </w:pPr>
      <w:r>
        <w:rPr>
          <w:rtl w:val="0"/>
        </w:rPr>
        <w:tab/>
        <w:t>Moving to the lower third of the image, there are three panels.  The outer two panels depict turning events from the book of Genesis in the Bible.  The image on the left depicts Adam and Even covering themselves with vegetation walking away from an angel whose hand is upon Adam</w:t>
      </w:r>
      <w:r>
        <w:rPr>
          <w:rtl w:val="0"/>
          <w:lang w:val="en-US"/>
        </w:rPr>
        <w:t>’</w:t>
      </w:r>
      <w:r>
        <w:rPr>
          <w:rtl w:val="0"/>
          <w:lang w:val="en-US"/>
        </w:rPr>
        <w:t xml:space="preserve">s shoulder.  The angel is painted in red from its skin and robe to its sword and is adorned by a halo of silver leaf.  This angel is Uriel, the archangel of wisdom.  Uriel is notably depicted as red in art throughout history.  This image is of </w:t>
      </w:r>
      <w:r>
        <w:rPr>
          <w:rtl w:val="0"/>
          <w:lang w:val="en-US"/>
        </w:rPr>
        <w:t>“</w:t>
      </w:r>
      <w:r>
        <w:rPr>
          <w:rtl w:val="0"/>
          <w:lang w:val="en-US"/>
        </w:rPr>
        <w:t>The Fall</w:t>
      </w:r>
      <w:r>
        <w:rPr>
          <w:rtl w:val="0"/>
          <w:lang w:val="en-US"/>
        </w:rPr>
        <w:t xml:space="preserve">” </w:t>
      </w:r>
      <w:r>
        <w:rPr>
          <w:rtl w:val="0"/>
          <w:lang w:val="en-US"/>
        </w:rPr>
        <w:t>and is depicted below the creation of Eden as man has fallen out of the garden.  Adam and Eve are covering their  newly discovered nakedness after eating from the tree of knowledge and are now being cast from Eden.</w:t>
      </w:r>
      <w:r>
        <w:rPr>
          <w:vertAlign w:val="superscript"/>
        </w:rPr>
        <w:footnoteReference w:id="15"/>
      </w:r>
      <w:r>
        <w:rPr>
          <w:rtl w:val="0"/>
          <w:lang w:val="en-US"/>
        </w:rPr>
        <w:t xml:space="preserve">  Depicted on the right side of the lower portion is man</w:t>
      </w:r>
      <w:r>
        <w:rPr>
          <w:rtl w:val="0"/>
          <w:lang w:val="en-US"/>
        </w:rPr>
        <w:t>’</w:t>
      </w:r>
      <w:r>
        <w:rPr>
          <w:rtl w:val="0"/>
          <w:lang w:val="en-US"/>
        </w:rPr>
        <w:t>s further fall from grace with the death of Abel at his brother</w:t>
      </w:r>
      <w:r>
        <w:rPr>
          <w:rtl w:val="0"/>
          <w:lang w:val="en-US"/>
        </w:rPr>
        <w:t>’</w:t>
      </w:r>
      <w:r>
        <w:rPr>
          <w:rtl w:val="0"/>
          <w:lang w:val="en-US"/>
        </w:rPr>
        <w:t>s hand.  Cain and Abel were the sons of Adam and Eve.  Cain</w:t>
      </w:r>
      <w:r>
        <w:rPr>
          <w:rtl w:val="0"/>
          <w:lang w:val="en-US"/>
        </w:rPr>
        <w:t>’</w:t>
      </w:r>
      <w:r>
        <w:rPr>
          <w:rtl w:val="0"/>
          <w:lang w:val="en-US"/>
        </w:rPr>
        <w:t>s jealousy of God</w:t>
      </w:r>
      <w:r>
        <w:rPr>
          <w:rtl w:val="0"/>
          <w:lang w:val="en-US"/>
        </w:rPr>
        <w:t>’</w:t>
      </w:r>
      <w:r>
        <w:rPr>
          <w:rtl w:val="0"/>
          <w:lang w:val="en-US"/>
        </w:rPr>
        <w:t>s regard of Abel</w:t>
      </w:r>
      <w:r>
        <w:rPr>
          <w:rtl w:val="0"/>
          <w:lang w:val="en-US"/>
        </w:rPr>
        <w:t>’</w:t>
      </w:r>
      <w:r>
        <w:rPr>
          <w:rtl w:val="0"/>
          <w:lang w:val="en-US"/>
        </w:rPr>
        <w:t>s offering of produce lead him to murder Abel in the field then deny knowing the whereabouts of Abel when questioned by the Lord.</w:t>
      </w:r>
      <w:r>
        <w:rPr>
          <w:vertAlign w:val="superscript"/>
        </w:rPr>
        <w:footnoteReference w:id="16"/>
      </w:r>
      <w:r>
        <w:rPr>
          <w:rtl w:val="0"/>
          <w:lang w:val="en-US"/>
        </w:rPr>
        <w:t xml:space="preserve">  Cain is shown dressed in green, color of envy, and the complimentary color opposite of the red of Uriel in the opposing panel.  Abel is robed in white, depicting his innocence.  Cain raises a rock in the air ready to deliver the blow to Abel who is on his knees and clutched by the hair by Cain.  These images would have reiterated humankind</w:t>
      </w:r>
      <w:r>
        <w:rPr>
          <w:rtl w:val="0"/>
          <w:lang w:val="en-US"/>
        </w:rPr>
        <w:t>’</w:t>
      </w:r>
      <w:r>
        <w:rPr>
          <w:rtl w:val="0"/>
          <w:lang w:val="en-US"/>
        </w:rPr>
        <w:t>s suffering and led the viewer to contemplate their own sin and God</w:t>
      </w:r>
      <w:r>
        <w:rPr>
          <w:rtl w:val="0"/>
          <w:lang w:val="en-US"/>
        </w:rPr>
        <w:t>’</w:t>
      </w:r>
      <w:r>
        <w:rPr>
          <w:rtl w:val="0"/>
          <w:lang w:val="en-US"/>
        </w:rPr>
        <w:t xml:space="preserve">s power to exert his wrath.  </w:t>
      </w:r>
    </w:p>
    <w:p>
      <w:pPr>
        <w:pStyle w:val="Body"/>
        <w:jc w:val="both"/>
      </w:pPr>
      <w:r>
        <w:rPr>
          <w:rtl w:val="0"/>
        </w:rPr>
        <w:tab/>
        <w:t xml:space="preserve">The central image of the bottom portion of the illumination is a circular indent into the area and is labeled  as </w:t>
      </w:r>
      <w:r>
        <w:rPr>
          <w:rtl w:val="0"/>
          <w:lang w:val="en-US"/>
        </w:rPr>
        <w:t>“</w:t>
      </w:r>
      <w:r>
        <w:rPr>
          <w:rtl w:val="0"/>
          <w:lang w:val="en-US"/>
        </w:rPr>
        <w:t>David Rex</w:t>
      </w:r>
      <w:r>
        <w:rPr>
          <w:rtl w:val="0"/>
          <w:lang w:val="en-US"/>
        </w:rPr>
        <w:t xml:space="preserve">” </w:t>
      </w:r>
      <w:r>
        <w:rPr>
          <w:rtl w:val="0"/>
          <w:lang w:val="en-US"/>
        </w:rPr>
        <w:t xml:space="preserve">(King David.)  King David of Israel is traditionally believed to be the author of the Psalms, a book of the Old Testament of the Bible.  The Psalms were and are continued to be read on holy days and during religious ceremonies or performed in hymns.  The </w:t>
      </w:r>
      <w:r>
        <w:rPr>
          <w:rtl w:val="0"/>
          <w:lang w:val="de-DE"/>
        </w:rPr>
        <w:t>Stammheim</w:t>
      </w:r>
      <w:r>
        <w:rPr>
          <w:rtl w:val="0"/>
          <w:lang w:val="en-US"/>
        </w:rPr>
        <w:t xml:space="preserve"> Missal would therefore have contained Psalms written into its pages to be read on days of religious importance.  King David is crowned in gold leaf and is depicted against a gold leaf background.  He has his right hand up in sign of blessing and is gazing towards the images above while holding a white banner.  The banner reads </w:t>
      </w:r>
      <w:r>
        <w:rPr>
          <w:rtl w:val="0"/>
          <w:lang w:val="en-US"/>
        </w:rPr>
        <w:t>“</w:t>
      </w:r>
      <w:r>
        <w:rPr>
          <w:rtl w:val="0"/>
          <w:lang w:val="en-US"/>
        </w:rPr>
        <w:t>Om[n]ia q[ue]cu[m]q[ue] voluit d[omi]n[u]s fec[it]</w:t>
      </w:r>
      <w:r>
        <w:rPr>
          <w:rtl w:val="0"/>
          <w:lang w:val="en-US"/>
        </w:rPr>
        <w:t xml:space="preserve">” </w:t>
      </w:r>
      <w:r>
        <w:rPr>
          <w:rtl w:val="0"/>
          <w:lang w:val="en-US"/>
        </w:rPr>
        <w:t xml:space="preserve">(The Lord did that which pleases him), reflecting on the teachings that God created all as he wished it to be.  </w:t>
      </w:r>
    </w:p>
    <w:p>
      <w:pPr>
        <w:pStyle w:val="Body"/>
        <w:jc w:val="both"/>
      </w:pPr>
      <w:r>
        <w:rPr>
          <w:rtl w:val="0"/>
        </w:rPr>
        <w:tab/>
        <w:t xml:space="preserve">Visual Culture would have been important during the Middle Ages as much of the population was unable to read.  Reading would have been limited to those of higher learning, higher status, to which reading was important, or that had leisure time to pursue the act of reading.  Thus depicting images would have been important to educate or entertain an individual.  </w:t>
      </w:r>
      <w:r>
        <w:rPr>
          <w:rtl w:val="0"/>
          <w:lang w:val="en-US"/>
        </w:rPr>
        <w:t xml:space="preserve">The missal was produced in a monastery by a religious order; the act of its production would have been a form of worship in and of itself by the monk or monks who produced it.  </w:t>
      </w:r>
      <w:r>
        <w:rPr>
          <w:rtl w:val="0"/>
          <w:lang w:val="en-US"/>
        </w:rPr>
        <w:t xml:space="preserve">Being that </w:t>
      </w:r>
      <w:r>
        <w:rPr>
          <w:rtl w:val="0"/>
          <w:lang w:val="en-US"/>
        </w:rPr>
        <w:t>“</w:t>
      </w:r>
      <w:r>
        <w:rPr>
          <w:rtl w:val="0"/>
          <w:lang w:val="en-US"/>
        </w:rPr>
        <w:t>The Creation of the World</w:t>
      </w:r>
      <w:r>
        <w:rPr>
          <w:rtl w:val="0"/>
          <w:lang w:val="en-US"/>
        </w:rPr>
        <w:t xml:space="preserve">” </w:t>
      </w:r>
      <w:r>
        <w:rPr>
          <w:rtl w:val="0"/>
          <w:lang w:val="en-US"/>
        </w:rPr>
        <w:t xml:space="preserve">was an illumination contained in the Stammheim Missal, a large liturgical book that would have been read by a priest to either the lay masses or other monastic members of the abbey, the image would have supplemented the text and served to educate visually.  The piece then would have been used for religious meditation or adoration by the priests who would have used the text or by the laypeople close enough to the text to enjoy it.  </w:t>
      </w:r>
      <w:r>
        <w:rPr>
          <w:rtl w:val="0"/>
          <w:lang w:val="en-US"/>
        </w:rPr>
        <w:t>“</w:t>
      </w:r>
      <w:r>
        <w:rPr>
          <w:rtl w:val="0"/>
          <w:lang w:val="en-US"/>
        </w:rPr>
        <w:t>[V]isual identity constructs, visualization techniques etc. associated with the very many social expressions of visual artifacts, which are themselves coextensive within the whole range of human activities,</w:t>
      </w:r>
      <w:r>
        <w:rPr>
          <w:rtl w:val="0"/>
          <w:lang w:val="en-US"/>
        </w:rPr>
        <w:t>”</w:t>
      </w:r>
      <w:r>
        <w:rPr>
          <w:vertAlign w:val="superscript"/>
        </w:rPr>
        <w:footnoteReference w:id="17"/>
      </w:r>
      <w:r>
        <w:rPr>
          <w:rtl w:val="0"/>
          <w:lang w:val="en-US"/>
        </w:rPr>
        <w:t xml:space="preserve"> and thus visual education would have been and continues to be an important human activity.    </w:t>
      </w:r>
    </w:p>
    <w:p>
      <w:pPr>
        <w:pStyle w:val="Body"/>
        <w:jc w:val="both"/>
      </w:pPr>
    </w:p>
    <w:p>
      <w:pPr>
        <w:pStyle w:val="Body"/>
        <w:jc w:val="both"/>
      </w:pPr>
    </w:p>
    <w:p>
      <w:pPr>
        <w:pStyle w:val="Body"/>
        <w:jc w:val="both"/>
      </w:pPr>
    </w:p>
    <w:p>
      <w:pPr>
        <w:pStyle w:val="Body"/>
        <w:jc w:val="both"/>
      </w:pPr>
    </w:p>
    <w:p>
      <w:pPr>
        <w:pStyle w:val="Body"/>
        <w:jc w:val="both"/>
      </w:pPr>
      <w:r>
        <w:drawing xmlns:a="http://schemas.openxmlformats.org/drawingml/2006/main">
          <wp:anchor distT="152400" distB="152400" distL="152400" distR="152400" simplePos="0" relativeHeight="251659264" behindDoc="0" locked="0" layoutInCell="1" allowOverlap="1">
            <wp:simplePos x="0" y="0"/>
            <wp:positionH relativeFrom="margin">
              <wp:posOffset>1042520</wp:posOffset>
            </wp:positionH>
            <wp:positionV relativeFrom="line">
              <wp:posOffset>152400</wp:posOffset>
            </wp:positionV>
            <wp:extent cx="3845859" cy="5943600"/>
            <wp:effectExtent l="0" t="0" r="0" b="0"/>
            <wp:wrapThrough wrapText="bothSides" distL="152400" distR="152400">
              <wp:wrapPolygon edited="1">
                <wp:start x="0" y="0"/>
                <wp:lineTo x="21613" y="0"/>
                <wp:lineTo x="21613" y="21621"/>
                <wp:lineTo x="0" y="21621"/>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3845859" cy="5943600"/>
                    </a:xfrm>
                    <a:prstGeom prst="rect">
                      <a:avLst/>
                    </a:prstGeom>
                    <a:ln w="12700" cap="flat">
                      <a:noFill/>
                      <a:miter lim="400000"/>
                    </a:ln>
                    <a:effectLst/>
                  </pic:spPr>
                </pic:pic>
              </a:graphicData>
            </a:graphic>
          </wp:anchor>
        </w:drawing>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center"/>
      </w:pPr>
      <w:r>
        <w:rPr>
          <w:rtl w:val="0"/>
          <w:lang w:val="en-US"/>
        </w:rPr>
        <w:t>“</w:t>
      </w:r>
      <w:r>
        <w:rPr>
          <w:rtl w:val="0"/>
          <w:lang w:val="en-US"/>
        </w:rPr>
        <w:t>The Creation of the World</w:t>
      </w:r>
      <w:r>
        <w:rPr>
          <w:rtl w:val="0"/>
          <w:lang w:val="en-US"/>
        </w:rPr>
        <w:t xml:space="preserve">” </w:t>
      </w:r>
      <w:r>
        <w:rPr>
          <w:rtl w:val="0"/>
          <w:lang w:val="en-US"/>
        </w:rPr>
        <w:t>from the Stammheim Missal.  Los Angeles, CA.  The J. Paul Getty Museum, Ms. 64 (97.MG.21), fol. 10v.</w:t>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r>
        <w:rPr>
          <w:rtl w:val="0"/>
          <w:lang w:val="en-US"/>
        </w:rPr>
        <w:t>References:</w:t>
      </w:r>
    </w:p>
    <w:p>
      <w:pPr>
        <w:pStyle w:val="Body"/>
        <w:jc w:val="both"/>
      </w:pPr>
    </w:p>
    <w:p>
      <w:pPr>
        <w:pStyle w:val="Body"/>
        <w:jc w:val="both"/>
        <w:rPr>
          <w:i w:val="0"/>
          <w:iCs w:val="0"/>
        </w:rPr>
      </w:pPr>
      <w:r>
        <w:rPr>
          <w:i w:val="1"/>
          <w:iCs w:val="1"/>
          <w:rtl w:val="0"/>
          <w:lang w:val="en-US"/>
        </w:rPr>
        <w:t xml:space="preserve">The Holy Bible Containing The Old And New Testament, </w:t>
      </w:r>
      <w:r>
        <w:rPr>
          <w:i w:val="0"/>
          <w:iCs w:val="0"/>
          <w:rtl w:val="0"/>
          <w:lang w:val="de-DE"/>
        </w:rPr>
        <w:t>Revised Standard Version</w:t>
      </w:r>
      <w:r>
        <w:rPr>
          <w:i w:val="0"/>
          <w:iCs w:val="0"/>
          <w:rtl w:val="0"/>
          <w:lang w:val="en-US"/>
        </w:rPr>
        <w:t>,</w:t>
      </w:r>
      <w:r>
        <w:rPr>
          <w:i w:val="0"/>
          <w:iCs w:val="0"/>
          <w:rtl w:val="0"/>
          <w:lang w:val="nl-NL"/>
        </w:rPr>
        <w:t xml:space="preserve"> (Camden, </w:t>
      </w:r>
      <w:r>
        <w:rPr>
          <w:i w:val="0"/>
          <w:iCs w:val="0"/>
        </w:rPr>
        <w:tab/>
        <w:tab/>
        <w:tab/>
      </w:r>
      <w:r>
        <w:rPr>
          <w:i w:val="0"/>
          <w:iCs w:val="0"/>
          <w:rtl w:val="0"/>
          <w:lang w:val="en-US"/>
        </w:rPr>
        <w:t>NJ: Thomas Nelson &amp; Sons, 1952)</w:t>
      </w:r>
      <w:r>
        <w:rPr>
          <w:i w:val="0"/>
          <w:iCs w:val="0"/>
          <w:rtl w:val="0"/>
          <w:lang w:val="en-US"/>
        </w:rPr>
        <w:t>.</w:t>
      </w:r>
    </w:p>
    <w:p>
      <w:pPr>
        <w:pStyle w:val="Body"/>
        <w:jc w:val="both"/>
        <w:rPr>
          <w:i w:val="0"/>
          <w:iCs w:val="0"/>
        </w:rPr>
      </w:pPr>
      <w:r>
        <w:rPr>
          <w:i w:val="0"/>
          <w:iCs w:val="0"/>
          <w:rtl w:val="0"/>
          <w:lang w:val="en-US"/>
        </w:rPr>
        <w:t xml:space="preserve">Dubuisson, Daniel. </w:t>
      </w:r>
      <w:r>
        <w:rPr>
          <w:i w:val="0"/>
          <w:iCs w:val="0"/>
          <w:rtl w:val="0"/>
          <w:lang w:val="en-US"/>
        </w:rPr>
        <w:t>‘</w:t>
      </w:r>
      <w:r>
        <w:rPr>
          <w:i w:val="0"/>
          <w:iCs w:val="0"/>
          <w:rtl w:val="0"/>
          <w:lang w:val="en-US"/>
        </w:rPr>
        <w:t>Visual Culture And Religious Studies: A New Paradigm,</w:t>
      </w:r>
      <w:r>
        <w:rPr>
          <w:i w:val="0"/>
          <w:iCs w:val="0"/>
          <w:rtl w:val="0"/>
          <w:lang w:val="en-US"/>
        </w:rPr>
        <w:t xml:space="preserve">’ </w:t>
      </w:r>
      <w:r>
        <w:rPr>
          <w:i w:val="1"/>
          <w:iCs w:val="1"/>
          <w:rtl w:val="0"/>
          <w:lang w:val="en-US"/>
        </w:rPr>
        <w:t xml:space="preserve">Method &amp; Theory </w:t>
        <w:tab/>
        <w:tab/>
        <w:tab/>
        <w:t xml:space="preserve">In The Study of Religion, </w:t>
      </w:r>
      <w:r>
        <w:rPr>
          <w:i w:val="0"/>
          <w:iCs w:val="0"/>
          <w:rtl w:val="0"/>
          <w:lang w:val="en-US"/>
        </w:rPr>
        <w:t>27 (4/5), (2015), pp. 299-311.</w:t>
      </w:r>
    </w:p>
    <w:p>
      <w:pPr>
        <w:pStyle w:val="Body"/>
        <w:jc w:val="both"/>
        <w:rPr>
          <w:i w:val="0"/>
          <w:iCs w:val="0"/>
        </w:rPr>
      </w:pPr>
      <w:r>
        <w:rPr>
          <w:i w:val="0"/>
          <w:iCs w:val="0"/>
          <w:rtl w:val="0"/>
        </w:rPr>
        <w:tab/>
        <w:t xml:space="preserve">&lt;URL: </w:t>
      </w:r>
      <w:r>
        <w:rPr>
          <w:rStyle w:val="Hyperlink.0"/>
          <w:i w:val="1"/>
          <w:iCs w:val="1"/>
        </w:rPr>
        <w:fldChar w:fldCharType="begin" w:fldLock="0"/>
      </w:r>
      <w:r>
        <w:rPr>
          <w:rStyle w:val="Hyperlink.0"/>
          <w:i w:val="1"/>
          <w:iCs w:val="1"/>
        </w:rPr>
        <w:instrText xml:space="preserve"> HYPERLINK "https://www.jstor.org/stable/43907204"</w:instrText>
      </w:r>
      <w:r>
        <w:rPr>
          <w:rStyle w:val="Hyperlink.0"/>
          <w:i w:val="1"/>
          <w:iCs w:val="1"/>
        </w:rPr>
        <w:fldChar w:fldCharType="separate" w:fldLock="0"/>
      </w:r>
      <w:r>
        <w:rPr>
          <w:rStyle w:val="Hyperlink.0"/>
          <w:i w:val="1"/>
          <w:iCs w:val="1"/>
          <w:rtl w:val="0"/>
          <w:lang w:val="en-US"/>
        </w:rPr>
        <w:t>https://www.jstor.org/stable/43907204</w:t>
      </w:r>
      <w:r>
        <w:rPr>
          <w:i w:val="1"/>
          <w:iCs w:val="1"/>
        </w:rPr>
        <w:fldChar w:fldCharType="end" w:fldLock="0"/>
      </w:r>
      <w:r>
        <w:rPr>
          <w:i w:val="0"/>
          <w:iCs w:val="0"/>
          <w:rtl w:val="0"/>
          <w:lang w:val="en-US"/>
        </w:rPr>
        <w:t>&gt;, [Accessed 12 December 2020]</w:t>
      </w:r>
    </w:p>
    <w:p>
      <w:pPr>
        <w:pStyle w:val="Body"/>
        <w:jc w:val="both"/>
        <w:rPr>
          <w:i w:val="0"/>
          <w:iCs w:val="0"/>
        </w:rPr>
      </w:pPr>
      <w:r>
        <w:rPr>
          <w:i w:val="0"/>
          <w:iCs w:val="0"/>
          <w:rtl w:val="0"/>
          <w:lang w:val="en-US"/>
        </w:rPr>
        <w:t xml:space="preserve">Ferguson, George.  </w:t>
      </w:r>
      <w:r>
        <w:rPr>
          <w:i w:val="1"/>
          <w:iCs w:val="1"/>
          <w:rtl w:val="0"/>
          <w:lang w:val="en-US"/>
        </w:rPr>
        <w:t>Signs &amp; Symbols In Christian Art, (</w:t>
      </w:r>
      <w:r>
        <w:rPr>
          <w:i w:val="0"/>
          <w:iCs w:val="0"/>
          <w:rtl w:val="0"/>
          <w:lang w:val="en-US"/>
        </w:rPr>
        <w:t>Oxford: Oxford University Press, 1954).</w:t>
      </w:r>
    </w:p>
    <w:p>
      <w:pPr>
        <w:pStyle w:val="Body"/>
        <w:jc w:val="both"/>
        <w:rPr>
          <w:i w:val="0"/>
          <w:iCs w:val="0"/>
        </w:rPr>
      </w:pPr>
      <w:r>
        <w:rPr>
          <w:i w:val="0"/>
          <w:iCs w:val="0"/>
          <w:rtl w:val="0"/>
          <w:lang w:val="en-US"/>
        </w:rPr>
        <w:t>Traf</w:t>
      </w:r>
      <w:r>
        <w:rPr>
          <w:i w:val="0"/>
          <w:iCs w:val="0"/>
          <w:rtl w:val="0"/>
          <w:lang w:val="en-US"/>
        </w:rPr>
        <w:t>í</w:t>
      </w:r>
      <w:r>
        <w:rPr>
          <w:i w:val="0"/>
          <w:iCs w:val="0"/>
          <w:rtl w:val="0"/>
          <w:lang w:val="en-US"/>
        </w:rPr>
        <w:t xml:space="preserve">-Prats.  </w:t>
      </w:r>
      <w:r>
        <w:rPr>
          <w:i w:val="0"/>
          <w:iCs w:val="0"/>
          <w:rtl w:val="0"/>
          <w:lang w:val="en-US"/>
        </w:rPr>
        <w:t>‘</w:t>
      </w:r>
      <w:r>
        <w:rPr>
          <w:i w:val="0"/>
          <w:iCs w:val="0"/>
          <w:rtl w:val="0"/>
          <w:lang w:val="en-US"/>
        </w:rPr>
        <w:t>Art Historical Appropriation In A Visual Culture-Based Art Education,</w:t>
      </w:r>
      <w:r>
        <w:rPr>
          <w:i w:val="0"/>
          <w:iCs w:val="0"/>
          <w:rtl w:val="0"/>
          <w:lang w:val="en-US"/>
        </w:rPr>
        <w:t xml:space="preserve">’ </w:t>
      </w:r>
      <w:r>
        <w:rPr>
          <w:i w:val="1"/>
          <w:iCs w:val="1"/>
          <w:rtl w:val="0"/>
          <w:lang w:val="en-US"/>
        </w:rPr>
        <w:t xml:space="preserve">Studies In A </w:t>
        <w:tab/>
        <w:tab/>
        <w:tab/>
        <w:t xml:space="preserve">Visual Culture-Based Art Education, </w:t>
      </w:r>
      <w:r>
        <w:rPr>
          <w:i w:val="0"/>
          <w:iCs w:val="0"/>
          <w:rtl w:val="0"/>
          <w:lang w:val="en-US"/>
        </w:rPr>
        <w:t>50 (2), (2009), pp. 152-166.</w:t>
      </w:r>
    </w:p>
    <w:p>
      <w:pPr>
        <w:pStyle w:val="Body"/>
        <w:jc w:val="both"/>
        <w:rPr>
          <w:i w:val="0"/>
          <w:iCs w:val="0"/>
        </w:rPr>
      </w:pPr>
      <w:r>
        <w:rPr>
          <w:i w:val="0"/>
          <w:iCs w:val="0"/>
          <w:rtl w:val="0"/>
        </w:rPr>
        <w:tab/>
        <w:t xml:space="preserve">&lt;URL: </w:t>
      </w:r>
      <w:r>
        <w:rPr>
          <w:rStyle w:val="Hyperlink.0"/>
          <w:i w:val="1"/>
          <w:iCs w:val="1"/>
        </w:rPr>
        <w:fldChar w:fldCharType="begin" w:fldLock="0"/>
      </w:r>
      <w:r>
        <w:rPr>
          <w:rStyle w:val="Hyperlink.0"/>
          <w:i w:val="1"/>
          <w:iCs w:val="1"/>
        </w:rPr>
        <w:instrText xml:space="preserve"> HYPERLINK "https://www.jstor.org/stable/25475897"</w:instrText>
      </w:r>
      <w:r>
        <w:rPr>
          <w:rStyle w:val="Hyperlink.0"/>
          <w:i w:val="1"/>
          <w:iCs w:val="1"/>
        </w:rPr>
        <w:fldChar w:fldCharType="separate" w:fldLock="0"/>
      </w:r>
      <w:r>
        <w:rPr>
          <w:rStyle w:val="Hyperlink.0"/>
          <w:i w:val="1"/>
          <w:iCs w:val="1"/>
          <w:rtl w:val="0"/>
          <w:lang w:val="en-US"/>
        </w:rPr>
        <w:t>https://www.jstor.org/stable/25475897</w:t>
      </w:r>
      <w:r>
        <w:rPr>
          <w:i w:val="1"/>
          <w:iCs w:val="1"/>
        </w:rPr>
        <w:fldChar w:fldCharType="end" w:fldLock="0"/>
      </w:r>
      <w:r>
        <w:rPr>
          <w:i w:val="0"/>
          <w:iCs w:val="0"/>
          <w:rtl w:val="0"/>
          <w:lang w:val="en-US"/>
        </w:rPr>
        <w:t>&gt;, [Accessed 12 December 2020]</w:t>
      </w:r>
    </w:p>
    <w:p>
      <w:pPr>
        <w:pStyle w:val="Body"/>
        <w:jc w:val="both"/>
        <w:rPr>
          <w:i w:val="0"/>
          <w:iCs w:val="0"/>
        </w:rPr>
      </w:pPr>
      <w:r>
        <w:rPr>
          <w:i w:val="0"/>
          <w:iCs w:val="0"/>
          <w:rtl w:val="0"/>
          <w:lang w:val="en-US"/>
        </w:rPr>
        <w:t xml:space="preserve">Yun, Bee.  </w:t>
      </w:r>
      <w:r>
        <w:rPr>
          <w:i w:val="0"/>
          <w:iCs w:val="0"/>
          <w:rtl w:val="0"/>
          <w:lang w:val="en-US"/>
        </w:rPr>
        <w:t>‘</w:t>
      </w:r>
      <w:r>
        <w:rPr>
          <w:i w:val="0"/>
          <w:iCs w:val="0"/>
          <w:rtl w:val="0"/>
          <w:lang w:val="en-US"/>
        </w:rPr>
        <w:t>A Visual Mirror Of Princes: The Wheel On The Mural Of Longthorpe Tower,</w:t>
      </w:r>
      <w:r>
        <w:rPr>
          <w:i w:val="0"/>
          <w:iCs w:val="0"/>
          <w:rtl w:val="0"/>
          <w:lang w:val="en-US"/>
        </w:rPr>
        <w:t xml:space="preserve">’ </w:t>
      </w:r>
      <w:r>
        <w:rPr>
          <w:i w:val="1"/>
          <w:iCs w:val="1"/>
          <w:rtl w:val="0"/>
          <w:lang w:val="en-US"/>
        </w:rPr>
        <w:t xml:space="preserve">Journal </w:t>
        <w:tab/>
        <w:tab/>
        <w:tab/>
        <w:t xml:space="preserve">of the Warburg And Courtauld Institutes, </w:t>
      </w:r>
      <w:r>
        <w:rPr>
          <w:i w:val="0"/>
          <w:iCs w:val="0"/>
          <w:rtl w:val="0"/>
          <w:lang w:val="en-US"/>
        </w:rPr>
        <w:t>70, (2007), pp. 1-32.</w:t>
      </w:r>
    </w:p>
    <w:p>
      <w:pPr>
        <w:pStyle w:val="Body"/>
        <w:jc w:val="both"/>
      </w:pPr>
      <w:r>
        <w:rPr>
          <w:i w:val="0"/>
          <w:iCs w:val="0"/>
          <w:rtl w:val="0"/>
        </w:rPr>
        <w:tab/>
        <w:t xml:space="preserve">&lt;URL: </w:t>
      </w:r>
      <w:r>
        <w:rPr>
          <w:rStyle w:val="Hyperlink.0"/>
          <w:i w:val="1"/>
          <w:iCs w:val="1"/>
        </w:rPr>
        <w:fldChar w:fldCharType="begin" w:fldLock="0"/>
      </w:r>
      <w:r>
        <w:rPr>
          <w:rStyle w:val="Hyperlink.0"/>
          <w:i w:val="1"/>
          <w:iCs w:val="1"/>
        </w:rPr>
        <w:instrText xml:space="preserve"> HYPERLINK "https://www.jstor.org/stable/20462757"</w:instrText>
      </w:r>
      <w:r>
        <w:rPr>
          <w:rStyle w:val="Hyperlink.0"/>
          <w:i w:val="1"/>
          <w:iCs w:val="1"/>
        </w:rPr>
        <w:fldChar w:fldCharType="separate" w:fldLock="0"/>
      </w:r>
      <w:r>
        <w:rPr>
          <w:rStyle w:val="Hyperlink.0"/>
          <w:i w:val="1"/>
          <w:iCs w:val="1"/>
          <w:rtl w:val="0"/>
          <w:lang w:val="en-US"/>
        </w:rPr>
        <w:t>https://www.jstor.org/stable/20462757</w:t>
      </w:r>
      <w:r>
        <w:rPr>
          <w:i w:val="1"/>
          <w:iCs w:val="1"/>
        </w:rPr>
        <w:fldChar w:fldCharType="end" w:fldLock="0"/>
      </w:r>
      <w:r>
        <w:rPr>
          <w:i w:val="0"/>
          <w:iCs w:val="0"/>
          <w:rtl w:val="0"/>
          <w:lang w:val="en-US"/>
        </w:rPr>
        <w:t>&gt;, [Accessed 12 December 2020]</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jc w:val="both"/>
      </w:pPr>
      <w:r>
        <w:rPr>
          <w:vertAlign w:val="superscript"/>
        </w:rPr>
        <w:footnoteRef/>
      </w:r>
      <w:r>
        <w:rPr>
          <w:rtl w:val="0"/>
        </w:rPr>
        <w:t xml:space="preserve"> </w:t>
      </w:r>
      <w:r>
        <w:rPr>
          <w:rtl w:val="0"/>
          <w:lang w:val="en-US"/>
        </w:rPr>
        <w:t>L. Traf</w:t>
      </w:r>
      <w:r>
        <w:rPr>
          <w:rtl w:val="0"/>
          <w:lang w:val="en-US"/>
        </w:rPr>
        <w:t>í</w:t>
      </w:r>
      <w:r>
        <w:rPr>
          <w:rtl w:val="0"/>
          <w:lang w:val="en-US"/>
        </w:rPr>
        <w:t xml:space="preserve">-Prats, </w:t>
      </w:r>
      <w:r>
        <w:rPr>
          <w:rtl w:val="0"/>
          <w:lang w:val="en-US"/>
        </w:rPr>
        <w:t>‘</w:t>
      </w:r>
      <w:r>
        <w:rPr>
          <w:rtl w:val="0"/>
          <w:lang w:val="en-US"/>
        </w:rPr>
        <w:t>Art Historical Appropriation In A Visual Culture-Based Art Education,</w:t>
      </w:r>
      <w:r>
        <w:rPr>
          <w:rtl w:val="0"/>
          <w:lang w:val="en-US"/>
        </w:rPr>
        <w:t xml:space="preserve">’ </w:t>
      </w:r>
      <w:r>
        <w:rPr>
          <w:i w:val="1"/>
          <w:iCs w:val="1"/>
          <w:rtl w:val="0"/>
          <w:lang w:val="en-US"/>
        </w:rPr>
        <w:t xml:space="preserve">Studies In Art Education, </w:t>
      </w:r>
      <w:r>
        <w:rPr>
          <w:rtl w:val="0"/>
          <w:lang w:val="en-US"/>
        </w:rPr>
        <w:t>50 (2) (2009), 152-166 (p. 161).</w:t>
      </w:r>
    </w:p>
  </w:footnote>
  <w:footnote w:id="2">
    <w:p>
      <w:pPr>
        <w:pStyle w:val="Footnote"/>
        <w:jc w:val="both"/>
      </w:pPr>
      <w:r>
        <w:rPr>
          <w:vertAlign w:val="superscript"/>
        </w:rPr>
        <w:footnoteRef/>
      </w:r>
      <w:r>
        <w:rPr>
          <w:rtl w:val="0"/>
        </w:rPr>
        <w:t xml:space="preserve"> </w:t>
      </w:r>
      <w:r>
        <w:rPr>
          <w:rtl w:val="0"/>
          <w:lang w:val="en-US"/>
        </w:rPr>
        <w:t xml:space="preserve">G. Ferguson, </w:t>
      </w:r>
      <w:r>
        <w:rPr>
          <w:i w:val="1"/>
          <w:iCs w:val="1"/>
          <w:rtl w:val="0"/>
          <w:lang w:val="en-US"/>
        </w:rPr>
        <w:t xml:space="preserve">Signs &amp; Symbols In Christian Art, </w:t>
      </w:r>
      <w:r>
        <w:rPr>
          <w:rtl w:val="0"/>
          <w:lang w:val="en-US"/>
        </w:rPr>
        <w:t xml:space="preserve">(Oxford: Oxford University Press, 1961), p. 7. </w:t>
      </w:r>
    </w:p>
  </w:footnote>
  <w:footnote w:id="3">
    <w:p>
      <w:pPr>
        <w:pStyle w:val="Footnote"/>
        <w:jc w:val="both"/>
      </w:pPr>
      <w:r>
        <w:rPr>
          <w:vertAlign w:val="superscript"/>
        </w:rPr>
        <w:footnoteRef/>
      </w:r>
      <w:r>
        <w:rPr>
          <w:rtl w:val="0"/>
        </w:rPr>
        <w:t xml:space="preserve"> </w:t>
      </w:r>
      <w:r>
        <w:rPr>
          <w:rtl w:val="0"/>
          <w:lang w:val="en-US"/>
        </w:rPr>
        <w:t xml:space="preserve">N. Coldstream, </w:t>
      </w:r>
      <w:r>
        <w:rPr>
          <w:i w:val="1"/>
          <w:iCs w:val="1"/>
          <w:rtl w:val="0"/>
          <w:lang w:val="en-US"/>
        </w:rPr>
        <w:t xml:space="preserve">Medieval Architecture (Oxford History of Art), </w:t>
      </w:r>
      <w:r>
        <w:rPr>
          <w:rtl w:val="0"/>
          <w:lang w:val="en-US"/>
        </w:rPr>
        <w:t>(Oxford: Oxford University Press, 2009) p. 209.</w:t>
      </w:r>
    </w:p>
  </w:footnote>
  <w:footnote w:id="4">
    <w:p>
      <w:pPr>
        <w:pStyle w:val="Footnote"/>
        <w:jc w:val="both"/>
      </w:pPr>
      <w:r>
        <w:rPr>
          <w:vertAlign w:val="superscript"/>
        </w:rPr>
        <w:footnoteRef/>
      </w:r>
      <w:r>
        <w:rPr>
          <w:rtl w:val="0"/>
        </w:rPr>
        <w:t xml:space="preserve"> </w:t>
      </w:r>
      <w:r>
        <w:rPr>
          <w:rtl w:val="0"/>
          <w:lang w:val="en-US"/>
        </w:rPr>
        <w:t xml:space="preserve">B. Yun, </w:t>
      </w:r>
      <w:r>
        <w:rPr>
          <w:rtl w:val="0"/>
          <w:lang w:val="en-US"/>
        </w:rPr>
        <w:t>‘</w:t>
      </w:r>
      <w:r>
        <w:rPr>
          <w:rtl w:val="0"/>
          <w:lang w:val="en-US"/>
        </w:rPr>
        <w:t>A Visual Mirror Of Princes: The Wheel On The Mural Of Longthorpe Tower,</w:t>
      </w:r>
      <w:r>
        <w:rPr>
          <w:rtl w:val="0"/>
          <w:lang w:val="en-US"/>
        </w:rPr>
        <w:t xml:space="preserve">’ </w:t>
      </w:r>
      <w:r>
        <w:rPr>
          <w:i w:val="1"/>
          <w:iCs w:val="1"/>
          <w:rtl w:val="0"/>
          <w:lang w:val="en-US"/>
        </w:rPr>
        <w:t xml:space="preserve">Journal Of The Warbug And Courtauld Institutes, </w:t>
      </w:r>
      <w:r>
        <w:rPr>
          <w:rtl w:val="0"/>
          <w:lang w:val="en-US"/>
        </w:rPr>
        <w:t>70 (2007), 1-32 (p. 8)</w:t>
      </w:r>
    </w:p>
  </w:footnote>
  <w:footnote w:id="5">
    <w:p>
      <w:pPr>
        <w:pStyle w:val="Footnote"/>
        <w:jc w:val="both"/>
      </w:pPr>
      <w:r>
        <w:rPr>
          <w:vertAlign w:val="superscript"/>
        </w:rPr>
        <w:footnoteRef/>
      </w:r>
      <w:r>
        <w:rPr>
          <w:rtl w:val="0"/>
        </w:rPr>
        <w:t xml:space="preserve"> </w:t>
      </w:r>
      <w:r>
        <w:rPr>
          <w:rtl w:val="0"/>
          <w:lang w:val="en-US"/>
        </w:rPr>
        <w:t xml:space="preserve">B. Yun, </w:t>
      </w:r>
      <w:r>
        <w:rPr>
          <w:rtl w:val="0"/>
          <w:lang w:val="en-US"/>
        </w:rPr>
        <w:t>‘</w:t>
      </w:r>
      <w:r>
        <w:rPr>
          <w:rtl w:val="0"/>
          <w:lang w:val="en-US"/>
        </w:rPr>
        <w:t>A Visual Mirror,</w:t>
      </w:r>
      <w:r>
        <w:rPr>
          <w:rtl w:val="0"/>
          <w:lang w:val="en-US"/>
        </w:rPr>
        <w:t xml:space="preserve">’ </w:t>
      </w:r>
      <w:r>
        <w:rPr>
          <w:rtl w:val="0"/>
          <w:lang w:val="en-US"/>
        </w:rPr>
        <w:t>p. 8.</w:t>
      </w:r>
    </w:p>
  </w:footnote>
  <w:footnote w:id="6">
    <w:p>
      <w:pPr>
        <w:pStyle w:val="Footnote"/>
        <w:jc w:val="both"/>
      </w:pPr>
      <w:r>
        <w:rPr>
          <w:vertAlign w:val="superscript"/>
        </w:rPr>
        <w:footnoteRef/>
      </w:r>
      <w:r>
        <w:rPr>
          <w:rtl w:val="0"/>
        </w:rPr>
        <w:t xml:space="preserve"> </w:t>
      </w:r>
      <w:r>
        <w:rPr>
          <w:rtl w:val="0"/>
          <w:lang w:val="en-US"/>
        </w:rPr>
        <w:t xml:space="preserve">Ferguson, </w:t>
      </w:r>
      <w:r>
        <w:rPr>
          <w:i w:val="1"/>
          <w:iCs w:val="1"/>
          <w:rtl w:val="0"/>
          <w:lang w:val="en-US"/>
        </w:rPr>
        <w:t>Signs &amp; Symbols</w:t>
      </w:r>
      <w:r>
        <w:rPr>
          <w:rtl w:val="0"/>
          <w:lang w:val="en-US"/>
        </w:rPr>
        <w:t xml:space="preserve">, p. 183. </w:t>
      </w:r>
    </w:p>
  </w:footnote>
  <w:footnote w:id="7">
    <w:p>
      <w:pPr>
        <w:pStyle w:val="Footnote"/>
        <w:jc w:val="both"/>
      </w:pPr>
      <w:r>
        <w:rPr>
          <w:vertAlign w:val="superscript"/>
        </w:rPr>
        <w:footnoteRef/>
      </w:r>
      <w:r>
        <w:rPr>
          <w:rtl w:val="0"/>
        </w:rPr>
        <w:t xml:space="preserve"> </w:t>
      </w:r>
      <w:r>
        <w:rPr>
          <w:rtl w:val="0"/>
          <w:lang w:val="en-US"/>
        </w:rPr>
        <w:t>“</w:t>
      </w:r>
      <w:r>
        <w:rPr>
          <w:rtl w:val="0"/>
          <w:lang w:val="en-US"/>
        </w:rPr>
        <w:t xml:space="preserve">And God said, </w:t>
      </w:r>
      <w:r>
        <w:rPr>
          <w:rtl w:val="0"/>
          <w:lang w:val="en-US"/>
        </w:rPr>
        <w:t>‘</w:t>
      </w:r>
      <w:r>
        <w:rPr>
          <w:rtl w:val="0"/>
          <w:lang w:val="en-US"/>
        </w:rPr>
        <w:t>Let there be light;</w:t>
      </w:r>
      <w:r>
        <w:rPr>
          <w:rtl w:val="0"/>
          <w:lang w:val="en-US"/>
        </w:rPr>
        <w:t xml:space="preserve">’ </w:t>
      </w:r>
      <w:r>
        <w:rPr>
          <w:rtl w:val="0"/>
          <w:lang w:val="en-US"/>
        </w:rPr>
        <w:t>and there was light.</w:t>
      </w:r>
      <w:r>
        <w:rPr>
          <w:rtl w:val="0"/>
          <w:lang w:val="en-US"/>
        </w:rPr>
        <w:t xml:space="preserve">”  </w:t>
      </w:r>
      <w:r>
        <w:rPr>
          <w:i w:val="1"/>
          <w:iCs w:val="1"/>
          <w:rtl w:val="0"/>
          <w:lang w:val="en-US"/>
        </w:rPr>
        <w:t xml:space="preserve">The Holy Bible Containing the Old and New Testaments, </w:t>
      </w:r>
      <w:r>
        <w:rPr>
          <w:rtl w:val="0"/>
          <w:lang w:val="en-US"/>
        </w:rPr>
        <w:t>Revised Standard Version, (Camden, NJ: Thomas Nelson &amp; Sons, 1952), Genesis 1.3.</w:t>
      </w:r>
    </w:p>
  </w:footnote>
  <w:footnote w:id="8">
    <w:p>
      <w:pPr>
        <w:pStyle w:val="Footnote"/>
        <w:jc w:val="both"/>
      </w:pPr>
      <w:r>
        <w:rPr>
          <w:vertAlign w:val="superscript"/>
        </w:rPr>
        <w:footnoteRef/>
      </w:r>
      <w:r>
        <w:rPr>
          <w:rtl w:val="0"/>
        </w:rPr>
        <w:t xml:space="preserve"> </w:t>
      </w:r>
      <w:r>
        <w:rPr>
          <w:rtl w:val="0"/>
          <w:lang w:val="en-US"/>
        </w:rPr>
        <w:t>“</w:t>
      </w:r>
      <w:r>
        <w:rPr>
          <w:rtl w:val="0"/>
          <w:lang w:val="en-US"/>
        </w:rPr>
        <w:t>And God made firmament and separated the waters which were under the firmament from the waters which were above the firmament.</w:t>
      </w:r>
      <w:r>
        <w:rPr>
          <w:rtl w:val="0"/>
          <w:lang w:val="en-US"/>
        </w:rPr>
        <w:t xml:space="preserve">”  </w:t>
      </w:r>
      <w:r>
        <w:rPr>
          <w:i w:val="1"/>
          <w:iCs w:val="1"/>
          <w:rtl w:val="0"/>
          <w:lang w:val="en-US"/>
        </w:rPr>
        <w:t xml:space="preserve">Holy Bible, </w:t>
      </w:r>
      <w:r>
        <w:rPr>
          <w:rtl w:val="0"/>
          <w:lang w:val="en-US"/>
        </w:rPr>
        <w:t xml:space="preserve">Genesis 1.7.  </w:t>
      </w:r>
    </w:p>
  </w:footnote>
  <w:footnote w:id="9">
    <w:p>
      <w:pPr>
        <w:pStyle w:val="Footnote"/>
        <w:jc w:val="both"/>
      </w:pPr>
      <w:r>
        <w:rPr>
          <w:vertAlign w:val="superscript"/>
        </w:rPr>
        <w:footnoteRef/>
      </w:r>
      <w:r>
        <w:rPr>
          <w:rtl w:val="0"/>
        </w:rPr>
        <w:t xml:space="preserve"> </w:t>
      </w:r>
      <w:r>
        <w:rPr>
          <w:rtl w:val="0"/>
          <w:lang w:val="en-US"/>
        </w:rPr>
        <w:t>“</w:t>
      </w:r>
      <w:r>
        <w:rPr>
          <w:rtl w:val="0"/>
          <w:lang w:val="en-US"/>
        </w:rPr>
        <w:t>The earth brought forth vegetation, plants yielding seed according to their own kinds, and trees bearing fruit inn which is their seed, each according to its kind.</w:t>
      </w:r>
      <w:r>
        <w:rPr>
          <w:rtl w:val="0"/>
          <w:lang w:val="en-US"/>
        </w:rPr>
        <w:t xml:space="preserve">”  </w:t>
      </w:r>
      <w:r>
        <w:rPr>
          <w:i w:val="1"/>
          <w:iCs w:val="1"/>
          <w:rtl w:val="0"/>
          <w:lang w:val="en-US"/>
        </w:rPr>
        <w:t xml:space="preserve">Holy Bible, </w:t>
      </w:r>
      <w:r>
        <w:rPr>
          <w:rtl w:val="0"/>
          <w:lang w:val="en-US"/>
        </w:rPr>
        <w:t>Genesis 1.12.</w:t>
      </w:r>
    </w:p>
  </w:footnote>
  <w:footnote w:id="10">
    <w:p>
      <w:pPr>
        <w:pStyle w:val="Footnote"/>
        <w:jc w:val="both"/>
      </w:pPr>
      <w:r>
        <w:rPr>
          <w:vertAlign w:val="superscript"/>
        </w:rPr>
        <w:footnoteRef/>
      </w:r>
      <w:r>
        <w:rPr>
          <w:rtl w:val="0"/>
        </w:rPr>
        <w:t xml:space="preserve"> </w:t>
      </w:r>
      <w:r>
        <w:rPr>
          <w:i w:val="1"/>
          <w:iCs w:val="1"/>
          <w:rtl w:val="0"/>
          <w:lang w:val="en-US"/>
        </w:rPr>
        <w:t xml:space="preserve">Holy Bible, </w:t>
      </w:r>
      <w:r>
        <w:rPr>
          <w:rtl w:val="0"/>
          <w:lang w:val="en-US"/>
        </w:rPr>
        <w:t xml:space="preserve">Genesis 1.16.  </w:t>
      </w:r>
    </w:p>
  </w:footnote>
  <w:footnote w:id="11">
    <w:p>
      <w:pPr>
        <w:pStyle w:val="Footnote"/>
        <w:jc w:val="both"/>
      </w:pPr>
      <w:r>
        <w:rPr>
          <w:vertAlign w:val="superscript"/>
        </w:rPr>
        <w:footnoteRef/>
      </w:r>
      <w:r>
        <w:rPr>
          <w:rtl w:val="0"/>
        </w:rPr>
        <w:t xml:space="preserve"> </w:t>
      </w:r>
      <w:r>
        <w:rPr>
          <w:i w:val="1"/>
          <w:iCs w:val="1"/>
          <w:rtl w:val="0"/>
          <w:lang w:val="en-US"/>
        </w:rPr>
        <w:t xml:space="preserve">Holy Bible, </w:t>
      </w:r>
      <w:r>
        <w:rPr>
          <w:rtl w:val="0"/>
        </w:rPr>
        <w:t>Genesis 1</w:t>
      </w:r>
      <w:r>
        <w:rPr>
          <w:rtl w:val="0"/>
          <w:lang w:val="en-US"/>
        </w:rPr>
        <w:t>.</w:t>
      </w:r>
      <w:r>
        <w:rPr>
          <w:rtl w:val="0"/>
        </w:rPr>
        <w:t>21</w:t>
      </w:r>
      <w:r>
        <w:rPr>
          <w:rtl w:val="0"/>
          <w:lang w:val="en-US"/>
        </w:rPr>
        <w:t>.</w:t>
      </w:r>
    </w:p>
  </w:footnote>
  <w:footnote w:id="12">
    <w:p>
      <w:pPr>
        <w:pStyle w:val="Footnote"/>
        <w:jc w:val="both"/>
      </w:pPr>
      <w:r>
        <w:rPr>
          <w:vertAlign w:val="superscript"/>
        </w:rPr>
        <w:footnoteRef/>
      </w:r>
      <w:r>
        <w:rPr>
          <w:rtl w:val="1"/>
          <w:lang w:val="ar-SA" w:bidi="ar-SA"/>
        </w:rPr>
        <w:t xml:space="preserve"> “</w:t>
      </w:r>
      <w:r>
        <w:rPr>
          <w:rtl w:val="0"/>
          <w:lang w:val="en-US"/>
        </w:rPr>
        <w:t>God made the beasts of the earth according to their kinds and the cattle according to their kinds, and everything that creeps upon the ground according to its kind.</w:t>
      </w:r>
      <w:r>
        <w:rPr>
          <w:rtl w:val="0"/>
        </w:rPr>
        <w:t>”</w:t>
      </w:r>
      <w:r>
        <w:rPr>
          <w:rtl w:val="0"/>
          <w:lang w:val="en-US"/>
        </w:rPr>
        <w:t xml:space="preserve">  </w:t>
      </w:r>
      <w:r>
        <w:rPr>
          <w:i w:val="1"/>
          <w:iCs w:val="1"/>
          <w:rtl w:val="0"/>
          <w:lang w:val="en-US"/>
        </w:rPr>
        <w:t xml:space="preserve">Holy Bible, </w:t>
      </w:r>
      <w:r>
        <w:rPr>
          <w:rtl w:val="0"/>
          <w:lang w:val="en-US"/>
        </w:rPr>
        <w:t>Genesis 1.25.</w:t>
      </w:r>
    </w:p>
  </w:footnote>
  <w:footnote w:id="13">
    <w:p>
      <w:pPr>
        <w:pStyle w:val="Footnote"/>
        <w:jc w:val="both"/>
      </w:pPr>
      <w:r>
        <w:rPr>
          <w:vertAlign w:val="superscript"/>
        </w:rPr>
        <w:footnoteRef/>
      </w:r>
      <w:r>
        <w:rPr>
          <w:rtl w:val="0"/>
        </w:rPr>
        <w:t xml:space="preserve"> </w:t>
      </w:r>
      <w:r>
        <w:rPr>
          <w:i w:val="1"/>
          <w:iCs w:val="1"/>
          <w:rtl w:val="0"/>
          <w:lang w:val="en-US"/>
        </w:rPr>
        <w:t xml:space="preserve">Holy Bible, </w:t>
      </w:r>
      <w:r>
        <w:rPr>
          <w:rtl w:val="0"/>
        </w:rPr>
        <w:t>Genesis 1</w:t>
      </w:r>
      <w:r>
        <w:rPr>
          <w:rtl w:val="0"/>
          <w:lang w:val="en-US"/>
        </w:rPr>
        <w:t>.</w:t>
      </w:r>
      <w:r>
        <w:rPr>
          <w:rtl w:val="0"/>
        </w:rPr>
        <w:t>26</w:t>
      </w:r>
      <w:r>
        <w:rPr>
          <w:rtl w:val="0"/>
          <w:lang w:val="en-US"/>
        </w:rPr>
        <w:t xml:space="preserve">. </w:t>
      </w:r>
    </w:p>
  </w:footnote>
  <w:footnote w:id="14">
    <w:p>
      <w:pPr>
        <w:pStyle w:val="Footnote"/>
        <w:jc w:val="both"/>
      </w:pPr>
      <w:r>
        <w:rPr>
          <w:vertAlign w:val="superscript"/>
        </w:rPr>
        <w:footnoteRef/>
      </w:r>
      <w:r>
        <w:rPr>
          <w:rtl w:val="0"/>
        </w:rPr>
        <w:t xml:space="preserve"> </w:t>
      </w:r>
      <w:r>
        <w:rPr>
          <w:rtl w:val="0"/>
          <w:lang w:val="en-US"/>
        </w:rPr>
        <w:t>“</w:t>
      </w:r>
      <w:r>
        <w:rPr>
          <w:rtl w:val="0"/>
          <w:lang w:val="en-US"/>
        </w:rPr>
        <w:t>So the Lord God caused a deep sleep to fall upon the man, and while he slept took one of his ribs and closed up its place with flesh; and the rib which the Lord God had taken from the man he made into a woman and brought her to the man.</w:t>
      </w:r>
      <w:r>
        <w:rPr>
          <w:rtl w:val="0"/>
          <w:lang w:val="en-US"/>
        </w:rPr>
        <w:t xml:space="preserve">”  </w:t>
      </w:r>
      <w:r>
        <w:rPr>
          <w:i w:val="1"/>
          <w:iCs w:val="1"/>
          <w:rtl w:val="0"/>
          <w:lang w:val="en-US"/>
        </w:rPr>
        <w:t xml:space="preserve">Holy Bible, </w:t>
      </w:r>
      <w:r>
        <w:rPr>
          <w:rtl w:val="0"/>
          <w:lang w:val="en-US"/>
        </w:rPr>
        <w:t xml:space="preserve">Genesis 2.21-22.  </w:t>
      </w:r>
    </w:p>
  </w:footnote>
  <w:footnote w:id="15">
    <w:p>
      <w:pPr>
        <w:pStyle w:val="Footnote"/>
        <w:jc w:val="both"/>
      </w:pPr>
      <w:r>
        <w:rPr>
          <w:vertAlign w:val="superscript"/>
        </w:rPr>
        <w:footnoteRef/>
      </w:r>
      <w:r>
        <w:rPr>
          <w:rtl w:val="0"/>
        </w:rPr>
        <w:t xml:space="preserve"> </w:t>
      </w:r>
      <w:r>
        <w:rPr>
          <w:i w:val="1"/>
          <w:iCs w:val="1"/>
          <w:rtl w:val="0"/>
          <w:lang w:val="en-US"/>
        </w:rPr>
        <w:t xml:space="preserve">Holy Bible, </w:t>
      </w:r>
      <w:r>
        <w:rPr>
          <w:rtl w:val="0"/>
          <w:lang w:val="en-US"/>
        </w:rPr>
        <w:t>Genesis 3.1-24.</w:t>
      </w:r>
    </w:p>
  </w:footnote>
  <w:footnote w:id="16">
    <w:p>
      <w:pPr>
        <w:pStyle w:val="Footnote"/>
        <w:jc w:val="both"/>
      </w:pPr>
      <w:r>
        <w:rPr>
          <w:vertAlign w:val="superscript"/>
        </w:rPr>
        <w:footnoteRef/>
      </w:r>
      <w:r>
        <w:rPr>
          <w:rtl w:val="0"/>
        </w:rPr>
        <w:t xml:space="preserve"> </w:t>
      </w:r>
      <w:r>
        <w:rPr>
          <w:i w:val="1"/>
          <w:iCs w:val="1"/>
          <w:rtl w:val="0"/>
          <w:lang w:val="en-US"/>
        </w:rPr>
        <w:t xml:space="preserve">Holy Bible, </w:t>
      </w:r>
      <w:r>
        <w:rPr>
          <w:rtl w:val="0"/>
        </w:rPr>
        <w:t>Genesis 4</w:t>
      </w:r>
      <w:r>
        <w:rPr>
          <w:rtl w:val="0"/>
          <w:lang w:val="en-US"/>
        </w:rPr>
        <w:t>.</w:t>
      </w:r>
      <w:r>
        <w:rPr>
          <w:rtl w:val="0"/>
        </w:rPr>
        <w:t>3-10</w:t>
      </w:r>
      <w:r>
        <w:rPr>
          <w:rtl w:val="0"/>
          <w:lang w:val="en-US"/>
        </w:rPr>
        <w:t>.</w:t>
      </w:r>
    </w:p>
  </w:footnote>
  <w:footnote w:id="17">
    <w:p>
      <w:pPr>
        <w:pStyle w:val="Footnote"/>
        <w:jc w:val="both"/>
      </w:pPr>
      <w:r>
        <w:rPr>
          <w:vertAlign w:val="superscript"/>
        </w:rPr>
        <w:footnoteRef/>
      </w:r>
      <w:r>
        <w:rPr>
          <w:rtl w:val="0"/>
        </w:rPr>
        <w:t xml:space="preserve"> </w:t>
      </w:r>
      <w:r>
        <w:rPr>
          <w:rtl w:val="0"/>
          <w:lang w:val="en-US"/>
        </w:rPr>
        <w:t xml:space="preserve">D. Dubuisson, </w:t>
      </w:r>
      <w:r>
        <w:rPr>
          <w:rtl w:val="0"/>
          <w:lang w:val="en-US"/>
        </w:rPr>
        <w:t>‘</w:t>
      </w:r>
      <w:r>
        <w:rPr>
          <w:rtl w:val="0"/>
          <w:lang w:val="en-US"/>
        </w:rPr>
        <w:t>Visual Culture And Religious Studies: A New Paradigm,</w:t>
      </w:r>
      <w:r>
        <w:rPr>
          <w:rtl w:val="0"/>
          <w:lang w:val="en-US"/>
        </w:rPr>
        <w:t xml:space="preserve">’ </w:t>
      </w:r>
      <w:r>
        <w:rPr>
          <w:i w:val="1"/>
          <w:iCs w:val="1"/>
          <w:rtl w:val="0"/>
          <w:lang w:val="en-US"/>
        </w:rPr>
        <w:t xml:space="preserve">Method &amp; Theory In The Study Of Religion, </w:t>
      </w:r>
      <w:r>
        <w:rPr>
          <w:rtl w:val="0"/>
          <w:lang w:val="en-US"/>
        </w:rPr>
        <w:t xml:space="preserve">27 (4/5) (2015), 299-311 (p. 301).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