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93031" w14:textId="77777777" w:rsidR="00305210" w:rsidRPr="00A13288" w:rsidRDefault="00305210" w:rsidP="00305210">
      <w:pPr>
        <w:rPr>
          <w:rFonts w:ascii="Arial" w:hAnsi="Arial" w:cs="Arial"/>
          <w:szCs w:val="24"/>
        </w:rPr>
      </w:pPr>
    </w:p>
    <w:p w14:paraId="123A9A73" w14:textId="77777777" w:rsidR="00305210" w:rsidRPr="00A13288" w:rsidRDefault="00305210" w:rsidP="00305210">
      <w:pPr>
        <w:rPr>
          <w:rFonts w:ascii="Arial" w:hAnsi="Arial" w:cs="Arial"/>
          <w:szCs w:val="24"/>
        </w:rPr>
      </w:pPr>
    </w:p>
    <w:p w14:paraId="08A53E38" w14:textId="77777777" w:rsidR="00F92E1F" w:rsidRPr="00E71BD7" w:rsidRDefault="00F92E1F" w:rsidP="00F92E1F">
      <w:pPr>
        <w:rPr>
          <w:rFonts w:ascii="Arial" w:hAnsi="Arial" w:cs="Arial"/>
          <w:szCs w:val="24"/>
        </w:rPr>
      </w:pPr>
      <w:r w:rsidRPr="007E399F">
        <w:rPr>
          <w:rFonts w:cs="Arial"/>
          <w:noProof/>
          <w:szCs w:val="24"/>
        </w:rPr>
        <w:drawing>
          <wp:inline distT="0" distB="0" distL="0" distR="0" wp14:anchorId="4BB35983" wp14:editId="3A7DE20A">
            <wp:extent cx="5689600" cy="1778635"/>
            <wp:effectExtent l="0" t="0" r="6350" b="0"/>
            <wp:docPr id="5" name="Picture 5"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8510" cy="1797051"/>
                    </a:xfrm>
                    <a:prstGeom prst="rect">
                      <a:avLst/>
                    </a:prstGeom>
                    <a:noFill/>
                    <a:ln>
                      <a:noFill/>
                    </a:ln>
                  </pic:spPr>
                </pic:pic>
              </a:graphicData>
            </a:graphic>
          </wp:inline>
        </w:drawing>
      </w:r>
    </w:p>
    <w:p w14:paraId="46509C19" w14:textId="77777777" w:rsidR="00F92E1F" w:rsidRPr="00E71BD7" w:rsidRDefault="00F92E1F" w:rsidP="00F92E1F">
      <w:pPr>
        <w:rPr>
          <w:rFonts w:ascii="Arial" w:hAnsi="Arial" w:cs="Arial"/>
          <w:szCs w:val="24"/>
        </w:rPr>
      </w:pPr>
    </w:p>
    <w:p w14:paraId="1D8135F0" w14:textId="77777777" w:rsidR="00F92E1F" w:rsidRPr="00E71BD7" w:rsidRDefault="00F92E1F" w:rsidP="00F92E1F">
      <w:pPr>
        <w:rPr>
          <w:rFonts w:ascii="Arial" w:hAnsi="Arial" w:cs="Arial"/>
          <w:szCs w:val="24"/>
        </w:rPr>
      </w:pPr>
    </w:p>
    <w:p w14:paraId="00FEFD47" w14:textId="77777777" w:rsidR="00F92E1F" w:rsidRPr="0076728B" w:rsidRDefault="00F92E1F" w:rsidP="00F92E1F">
      <w:pPr>
        <w:jc w:val="center"/>
        <w:rPr>
          <w:rFonts w:ascii="Arial" w:hAnsi="Arial" w:cs="Arial"/>
          <w:b/>
          <w:bCs/>
          <w:sz w:val="28"/>
          <w:szCs w:val="28"/>
        </w:rPr>
      </w:pPr>
      <w:r w:rsidRPr="0076728B">
        <w:rPr>
          <w:rFonts w:ascii="Arial" w:hAnsi="Arial" w:cs="Arial"/>
          <w:b/>
          <w:bCs/>
          <w:sz w:val="28"/>
          <w:szCs w:val="28"/>
        </w:rPr>
        <w:t>LCBB4001</w:t>
      </w:r>
    </w:p>
    <w:p w14:paraId="51472C0A" w14:textId="77777777" w:rsidR="00F92E1F" w:rsidRPr="0076728B" w:rsidRDefault="00F92E1F" w:rsidP="00F92E1F">
      <w:pPr>
        <w:jc w:val="center"/>
        <w:rPr>
          <w:rFonts w:ascii="Arial" w:hAnsi="Arial" w:cs="Arial"/>
          <w:b/>
          <w:bCs/>
          <w:sz w:val="28"/>
          <w:szCs w:val="28"/>
        </w:rPr>
      </w:pPr>
      <w:r w:rsidRPr="0076728B">
        <w:rPr>
          <w:rFonts w:ascii="Arial" w:hAnsi="Arial" w:cs="Arial"/>
          <w:b/>
          <w:bCs/>
          <w:sz w:val="28"/>
          <w:szCs w:val="28"/>
        </w:rPr>
        <w:t xml:space="preserve"> Accounting Fundamentals</w:t>
      </w:r>
    </w:p>
    <w:p w14:paraId="32714BA9" w14:textId="43EBFE90" w:rsidR="00F92E1F" w:rsidRPr="0076728B" w:rsidRDefault="009603BD" w:rsidP="00F92E1F">
      <w:pPr>
        <w:jc w:val="center"/>
        <w:rPr>
          <w:rFonts w:ascii="Arial" w:hAnsi="Arial" w:cs="Arial"/>
          <w:b/>
          <w:bCs/>
          <w:sz w:val="28"/>
          <w:szCs w:val="28"/>
        </w:rPr>
      </w:pPr>
      <w:r>
        <w:rPr>
          <w:rFonts w:ascii="Arial" w:hAnsi="Arial" w:cs="Arial"/>
          <w:b/>
          <w:bCs/>
          <w:sz w:val="28"/>
          <w:szCs w:val="28"/>
        </w:rPr>
        <w:t>Assignment 1</w:t>
      </w:r>
    </w:p>
    <w:p w14:paraId="3F705109" w14:textId="77777777" w:rsidR="00F92E1F" w:rsidRDefault="00F92E1F" w:rsidP="00F92E1F">
      <w:pPr>
        <w:jc w:val="center"/>
        <w:rPr>
          <w:rFonts w:ascii="Arial" w:hAnsi="Arial" w:cs="Arial"/>
          <w:b/>
          <w:bCs/>
          <w:szCs w:val="24"/>
        </w:rPr>
      </w:pPr>
    </w:p>
    <w:p w14:paraId="52E19A6A" w14:textId="77777777" w:rsidR="00F92E1F" w:rsidRDefault="00F92E1F" w:rsidP="00F92E1F">
      <w:pPr>
        <w:jc w:val="center"/>
        <w:rPr>
          <w:rFonts w:ascii="Arial" w:hAnsi="Arial" w:cs="Arial"/>
          <w:b/>
          <w:bCs/>
          <w:szCs w:val="24"/>
        </w:rPr>
      </w:pPr>
    </w:p>
    <w:p w14:paraId="33EDADAC" w14:textId="77777777" w:rsidR="00F92E1F" w:rsidRPr="00E71BD7" w:rsidRDefault="00F92E1F" w:rsidP="00F92E1F">
      <w:pPr>
        <w:jc w:val="center"/>
        <w:rPr>
          <w:rFonts w:ascii="Arial" w:hAnsi="Arial" w:cs="Arial"/>
          <w:b/>
          <w:bCs/>
          <w:szCs w:val="24"/>
        </w:rPr>
      </w:pPr>
    </w:p>
    <w:p w14:paraId="402C7F2B" w14:textId="77777777" w:rsidR="00F92E1F" w:rsidRDefault="00F92E1F" w:rsidP="00F92E1F">
      <w:pPr>
        <w:jc w:val="left"/>
        <w:rPr>
          <w:rFonts w:ascii="Arial" w:hAnsi="Arial" w:cs="Arial"/>
          <w:b/>
          <w:bCs/>
          <w:szCs w:val="24"/>
        </w:rPr>
      </w:pPr>
      <w:r w:rsidRPr="00E71BD7">
        <w:rPr>
          <w:rFonts w:ascii="Arial" w:hAnsi="Arial" w:cs="Arial"/>
          <w:b/>
          <w:bCs/>
          <w:szCs w:val="24"/>
        </w:rPr>
        <w:t>Student Name: DAN JOITA</w:t>
      </w:r>
    </w:p>
    <w:p w14:paraId="0CA97DA0" w14:textId="77777777" w:rsidR="00F92E1F" w:rsidRDefault="00F92E1F" w:rsidP="00F92E1F">
      <w:pPr>
        <w:jc w:val="left"/>
        <w:rPr>
          <w:rFonts w:ascii="Arial" w:hAnsi="Arial" w:cs="Arial"/>
          <w:b/>
          <w:bCs/>
          <w:szCs w:val="24"/>
        </w:rPr>
      </w:pPr>
      <w:r w:rsidRPr="00E71BD7">
        <w:rPr>
          <w:rFonts w:ascii="Arial" w:hAnsi="Arial" w:cs="Arial"/>
          <w:b/>
          <w:bCs/>
          <w:szCs w:val="24"/>
        </w:rPr>
        <w:t>Student ID:2124449</w:t>
      </w:r>
      <w:r w:rsidRPr="00E71BD7">
        <w:rPr>
          <w:rFonts w:ascii="Arial" w:hAnsi="Arial" w:cs="Arial"/>
          <w:b/>
          <w:bCs/>
          <w:szCs w:val="24"/>
        </w:rPr>
        <w:br/>
      </w:r>
      <w:r>
        <w:rPr>
          <w:rFonts w:ascii="Arial" w:hAnsi="Arial" w:cs="Arial"/>
          <w:b/>
          <w:bCs/>
          <w:szCs w:val="24"/>
        </w:rPr>
        <w:t xml:space="preserve">Lecturer: NADEEM MIRZA </w:t>
      </w:r>
    </w:p>
    <w:p w14:paraId="1C9A52A3" w14:textId="1FE41940" w:rsidR="00305210" w:rsidRPr="00F92E1F" w:rsidRDefault="00305210" w:rsidP="00F92E1F">
      <w:pPr>
        <w:jc w:val="left"/>
        <w:rPr>
          <w:rFonts w:ascii="Arial" w:hAnsi="Arial" w:cs="Arial"/>
          <w:b/>
          <w:bCs/>
          <w:szCs w:val="24"/>
        </w:rPr>
      </w:pPr>
      <w:r w:rsidRPr="00A13288">
        <w:rPr>
          <w:rFonts w:ascii="Arial" w:hAnsi="Arial" w:cs="Arial"/>
          <w:szCs w:val="24"/>
        </w:rPr>
        <w:br w:type="page"/>
      </w:r>
    </w:p>
    <w:sdt>
      <w:sdtPr>
        <w:rPr>
          <w:rFonts w:ascii="Arial" w:eastAsiaTheme="minorHAnsi" w:hAnsi="Arial" w:cs="Arial"/>
          <w:color w:val="auto"/>
          <w:sz w:val="24"/>
          <w:szCs w:val="24"/>
        </w:rPr>
        <w:id w:val="1644079972"/>
        <w:docPartObj>
          <w:docPartGallery w:val="Table of Contents"/>
          <w:docPartUnique/>
        </w:docPartObj>
      </w:sdtPr>
      <w:sdtEndPr/>
      <w:sdtContent>
        <w:p w14:paraId="67610A9C" w14:textId="77777777" w:rsidR="00305210" w:rsidRPr="0076728B" w:rsidRDefault="00305210" w:rsidP="00305210">
          <w:pPr>
            <w:pStyle w:val="TOCHeading"/>
            <w:spacing w:before="0"/>
            <w:rPr>
              <w:rFonts w:ascii="Arial" w:hAnsi="Arial" w:cs="Arial"/>
              <w:b/>
              <w:bCs/>
              <w:color w:val="auto"/>
              <w:sz w:val="24"/>
              <w:szCs w:val="24"/>
            </w:rPr>
          </w:pPr>
          <w:r w:rsidRPr="0076728B">
            <w:rPr>
              <w:rFonts w:ascii="Arial" w:hAnsi="Arial" w:cs="Arial"/>
              <w:b/>
              <w:bCs/>
              <w:color w:val="auto"/>
              <w:sz w:val="24"/>
              <w:szCs w:val="24"/>
            </w:rPr>
            <w:t>Contents</w:t>
          </w:r>
        </w:p>
        <w:p w14:paraId="10E0E2E2" w14:textId="1E87AFFB" w:rsidR="00305210" w:rsidRPr="00A13288" w:rsidRDefault="00305210" w:rsidP="00305210">
          <w:pPr>
            <w:pStyle w:val="TOC1"/>
            <w:tabs>
              <w:tab w:val="right" w:leader="dot" w:pos="9350"/>
            </w:tabs>
            <w:spacing w:before="0" w:after="0"/>
            <w:rPr>
              <w:rFonts w:ascii="Arial" w:eastAsiaTheme="minorEastAsia" w:hAnsi="Arial" w:cs="Arial"/>
              <w:noProof/>
              <w:szCs w:val="24"/>
              <w:lang w:val="en-US" w:bidi="bn-IN"/>
            </w:rPr>
          </w:pPr>
          <w:r w:rsidRPr="00A13288">
            <w:rPr>
              <w:rFonts w:ascii="Arial" w:hAnsi="Arial" w:cs="Arial"/>
              <w:szCs w:val="24"/>
            </w:rPr>
            <w:fldChar w:fldCharType="begin"/>
          </w:r>
          <w:r w:rsidRPr="00A13288">
            <w:rPr>
              <w:rFonts w:ascii="Arial" w:hAnsi="Arial" w:cs="Arial"/>
              <w:szCs w:val="24"/>
            </w:rPr>
            <w:instrText xml:space="preserve"> TOC \o "1-3" \h \z \u </w:instrText>
          </w:r>
          <w:r w:rsidRPr="00A13288">
            <w:rPr>
              <w:rFonts w:ascii="Arial" w:hAnsi="Arial" w:cs="Arial"/>
              <w:szCs w:val="24"/>
            </w:rPr>
            <w:fldChar w:fldCharType="separate"/>
          </w:r>
          <w:hyperlink r:id="rId8" w:anchor="_Toc123345893" w:history="1">
            <w:r w:rsidRPr="00A13288">
              <w:rPr>
                <w:rStyle w:val="Hyperlink"/>
                <w:rFonts w:ascii="Arial" w:hAnsi="Arial" w:cs="Arial"/>
                <w:noProof/>
                <w:szCs w:val="24"/>
              </w:rPr>
              <w:t>Introduction</w:t>
            </w:r>
            <w:r w:rsidRPr="00A13288">
              <w:rPr>
                <w:rStyle w:val="Hyperlink"/>
                <w:rFonts w:ascii="Arial" w:hAnsi="Arial" w:cs="Arial"/>
                <w:noProof/>
                <w:webHidden/>
                <w:color w:val="auto"/>
                <w:szCs w:val="24"/>
              </w:rPr>
              <w:tab/>
            </w:r>
            <w:r w:rsidRPr="00A13288">
              <w:rPr>
                <w:rStyle w:val="Hyperlink"/>
                <w:rFonts w:ascii="Arial" w:hAnsi="Arial" w:cs="Arial"/>
                <w:noProof/>
                <w:webHidden/>
                <w:color w:val="auto"/>
                <w:szCs w:val="24"/>
              </w:rPr>
              <w:fldChar w:fldCharType="begin"/>
            </w:r>
            <w:r w:rsidRPr="00A13288">
              <w:rPr>
                <w:rStyle w:val="Hyperlink"/>
                <w:rFonts w:ascii="Arial" w:hAnsi="Arial" w:cs="Arial"/>
                <w:noProof/>
                <w:webHidden/>
                <w:color w:val="auto"/>
                <w:szCs w:val="24"/>
              </w:rPr>
              <w:instrText xml:space="preserve"> PAGEREF _Toc123345893 \h </w:instrText>
            </w:r>
            <w:r w:rsidRPr="00A13288">
              <w:rPr>
                <w:rStyle w:val="Hyperlink"/>
                <w:rFonts w:ascii="Arial" w:hAnsi="Arial" w:cs="Arial"/>
                <w:noProof/>
                <w:webHidden/>
                <w:color w:val="auto"/>
                <w:szCs w:val="24"/>
              </w:rPr>
            </w:r>
            <w:r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3</w:t>
            </w:r>
            <w:r w:rsidRPr="00A13288">
              <w:rPr>
                <w:rStyle w:val="Hyperlink"/>
                <w:rFonts w:ascii="Arial" w:hAnsi="Arial" w:cs="Arial"/>
                <w:noProof/>
                <w:webHidden/>
                <w:color w:val="auto"/>
                <w:szCs w:val="24"/>
              </w:rPr>
              <w:fldChar w:fldCharType="end"/>
            </w:r>
          </w:hyperlink>
        </w:p>
        <w:p w14:paraId="1E6CB445" w14:textId="2F0AA263" w:rsidR="00305210" w:rsidRPr="00A13288" w:rsidRDefault="009603BD" w:rsidP="00305210">
          <w:pPr>
            <w:pStyle w:val="TOC1"/>
            <w:tabs>
              <w:tab w:val="right" w:leader="dot" w:pos="9350"/>
            </w:tabs>
            <w:spacing w:before="0" w:after="0"/>
            <w:rPr>
              <w:rFonts w:ascii="Arial" w:eastAsiaTheme="minorEastAsia" w:hAnsi="Arial" w:cs="Arial"/>
              <w:noProof/>
              <w:szCs w:val="24"/>
              <w:lang w:val="en-US" w:bidi="bn-IN"/>
            </w:rPr>
          </w:pPr>
          <w:hyperlink r:id="rId9" w:anchor="_Toc123345894" w:history="1">
            <w:r w:rsidR="00305210" w:rsidRPr="00A13288">
              <w:rPr>
                <w:rStyle w:val="Hyperlink"/>
                <w:rFonts w:ascii="Arial" w:hAnsi="Arial" w:cs="Arial"/>
                <w:noProof/>
                <w:szCs w:val="24"/>
              </w:rPr>
              <w:t>Answer No. 1</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_Toc123345894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4</w:t>
            </w:r>
            <w:r w:rsidR="00305210" w:rsidRPr="00A13288">
              <w:rPr>
                <w:rStyle w:val="Hyperlink"/>
                <w:rFonts w:ascii="Arial" w:hAnsi="Arial" w:cs="Arial"/>
                <w:noProof/>
                <w:webHidden/>
                <w:color w:val="auto"/>
                <w:szCs w:val="24"/>
              </w:rPr>
              <w:fldChar w:fldCharType="end"/>
            </w:r>
          </w:hyperlink>
        </w:p>
        <w:p w14:paraId="4B4C8F6F" w14:textId="379A7056" w:rsidR="00305210" w:rsidRPr="00A13288" w:rsidRDefault="009603BD" w:rsidP="00305210">
          <w:pPr>
            <w:pStyle w:val="TOC2"/>
            <w:tabs>
              <w:tab w:val="left" w:pos="660"/>
              <w:tab w:val="right" w:leader="dot" w:pos="9350"/>
            </w:tabs>
            <w:spacing w:before="0" w:after="0"/>
            <w:rPr>
              <w:rFonts w:ascii="Arial" w:eastAsiaTheme="minorEastAsia" w:hAnsi="Arial" w:cs="Arial"/>
              <w:noProof/>
              <w:szCs w:val="24"/>
              <w:lang w:val="en-US" w:bidi="bn-IN"/>
            </w:rPr>
          </w:pPr>
          <w:hyperlink r:id="rId10" w:anchor="_Toc123345895" w:history="1">
            <w:r w:rsidR="00305210" w:rsidRPr="00A13288">
              <w:rPr>
                <w:rStyle w:val="Hyperlink"/>
                <w:rFonts w:ascii="Arial" w:hAnsi="Arial" w:cs="Arial"/>
                <w:noProof/>
                <w:szCs w:val="24"/>
              </w:rPr>
              <w:t>a)</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Income statement for the year ended 31st December 2021 for Wales plc and a statement of financial position as at that date.</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_Toc123345895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4</w:t>
            </w:r>
            <w:r w:rsidR="00305210" w:rsidRPr="00A13288">
              <w:rPr>
                <w:rStyle w:val="Hyperlink"/>
                <w:rFonts w:ascii="Arial" w:hAnsi="Arial" w:cs="Arial"/>
                <w:noProof/>
                <w:webHidden/>
                <w:color w:val="auto"/>
                <w:szCs w:val="24"/>
              </w:rPr>
              <w:fldChar w:fldCharType="end"/>
            </w:r>
          </w:hyperlink>
        </w:p>
        <w:p w14:paraId="53278365" w14:textId="00A364BD" w:rsidR="00305210" w:rsidRPr="00A13288" w:rsidRDefault="009603BD" w:rsidP="00305210">
          <w:pPr>
            <w:pStyle w:val="TOC2"/>
            <w:tabs>
              <w:tab w:val="left" w:pos="880"/>
              <w:tab w:val="right" w:leader="dot" w:pos="9350"/>
            </w:tabs>
            <w:spacing w:before="0" w:after="0"/>
            <w:rPr>
              <w:rFonts w:ascii="Arial" w:eastAsiaTheme="minorEastAsia" w:hAnsi="Arial" w:cs="Arial"/>
              <w:noProof/>
              <w:szCs w:val="24"/>
              <w:lang w:val="en-US" w:bidi="bn-IN"/>
            </w:rPr>
          </w:pPr>
          <w:hyperlink r:id="rId11" w:anchor="_Toc123345896" w:history="1">
            <w:r w:rsidR="00305210" w:rsidRPr="00A13288">
              <w:rPr>
                <w:rStyle w:val="Hyperlink"/>
                <w:rFonts w:ascii="Arial" w:hAnsi="Arial" w:cs="Arial"/>
                <w:noProof/>
                <w:szCs w:val="24"/>
              </w:rPr>
              <w:t>b)</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Why does the statement of financial position balance?</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_Toc123345896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5</w:t>
            </w:r>
            <w:r w:rsidR="00305210" w:rsidRPr="00A13288">
              <w:rPr>
                <w:rStyle w:val="Hyperlink"/>
                <w:rFonts w:ascii="Arial" w:hAnsi="Arial" w:cs="Arial"/>
                <w:noProof/>
                <w:webHidden/>
                <w:color w:val="auto"/>
                <w:szCs w:val="24"/>
              </w:rPr>
              <w:fldChar w:fldCharType="end"/>
            </w:r>
          </w:hyperlink>
        </w:p>
        <w:p w14:paraId="2DE88D03" w14:textId="4CC144F9" w:rsidR="00305210" w:rsidRPr="00A13288" w:rsidRDefault="009603BD" w:rsidP="00305210">
          <w:pPr>
            <w:pStyle w:val="TOC1"/>
            <w:tabs>
              <w:tab w:val="right" w:leader="dot" w:pos="9350"/>
            </w:tabs>
            <w:spacing w:before="0" w:after="0"/>
            <w:rPr>
              <w:rFonts w:ascii="Arial" w:eastAsiaTheme="minorEastAsia" w:hAnsi="Arial" w:cs="Arial"/>
              <w:noProof/>
              <w:szCs w:val="24"/>
              <w:lang w:val="en-US" w:bidi="bn-IN"/>
            </w:rPr>
          </w:pPr>
          <w:hyperlink r:id="rId12" w:anchor="_Toc123345897" w:history="1">
            <w:r w:rsidR="00305210" w:rsidRPr="00A13288">
              <w:rPr>
                <w:rStyle w:val="Hyperlink"/>
                <w:rFonts w:ascii="Arial" w:hAnsi="Arial" w:cs="Arial"/>
                <w:noProof/>
                <w:szCs w:val="24"/>
              </w:rPr>
              <w:t>Answer No. 2</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_Toc123345897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7</w:t>
            </w:r>
            <w:r w:rsidR="00305210" w:rsidRPr="00A13288">
              <w:rPr>
                <w:rStyle w:val="Hyperlink"/>
                <w:rFonts w:ascii="Arial" w:hAnsi="Arial" w:cs="Arial"/>
                <w:noProof/>
                <w:webHidden/>
                <w:color w:val="auto"/>
                <w:szCs w:val="24"/>
              </w:rPr>
              <w:fldChar w:fldCharType="end"/>
            </w:r>
          </w:hyperlink>
        </w:p>
        <w:p w14:paraId="4D768554" w14:textId="20024E6B" w:rsidR="00305210" w:rsidRPr="00A13288" w:rsidRDefault="009603BD" w:rsidP="00305210">
          <w:pPr>
            <w:pStyle w:val="TOC2"/>
            <w:tabs>
              <w:tab w:val="left" w:pos="660"/>
              <w:tab w:val="right" w:leader="dot" w:pos="9350"/>
            </w:tabs>
            <w:spacing w:before="0" w:after="0"/>
            <w:rPr>
              <w:rFonts w:ascii="Arial" w:eastAsiaTheme="minorEastAsia" w:hAnsi="Arial" w:cs="Arial"/>
              <w:noProof/>
              <w:szCs w:val="24"/>
              <w:lang w:val="en-US" w:bidi="bn-IN"/>
            </w:rPr>
          </w:pPr>
          <w:hyperlink r:id="rId13" w:anchor="_Toc123345898" w:history="1">
            <w:r w:rsidR="00305210" w:rsidRPr="00A13288">
              <w:rPr>
                <w:rStyle w:val="Hyperlink"/>
                <w:rFonts w:ascii="Arial" w:hAnsi="Arial" w:cs="Arial"/>
                <w:noProof/>
                <w:szCs w:val="24"/>
              </w:rPr>
              <w:t>a)</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Calculating the following ratios for Sweets plc for 2021 and 2020, showing the formulas and workings:</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_Toc123345898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7</w:t>
            </w:r>
            <w:r w:rsidR="00305210" w:rsidRPr="00A13288">
              <w:rPr>
                <w:rStyle w:val="Hyperlink"/>
                <w:rFonts w:ascii="Arial" w:hAnsi="Arial" w:cs="Arial"/>
                <w:noProof/>
                <w:webHidden/>
                <w:color w:val="auto"/>
                <w:szCs w:val="24"/>
              </w:rPr>
              <w:fldChar w:fldCharType="end"/>
            </w:r>
          </w:hyperlink>
        </w:p>
        <w:p w14:paraId="56E5CE2B" w14:textId="403F2D59" w:rsidR="00305210" w:rsidRPr="00A13288" w:rsidRDefault="009603BD" w:rsidP="00305210">
          <w:pPr>
            <w:pStyle w:val="TOC3"/>
            <w:tabs>
              <w:tab w:val="left" w:pos="1100"/>
              <w:tab w:val="right" w:leader="dot" w:pos="9350"/>
            </w:tabs>
            <w:spacing w:before="0" w:after="0"/>
            <w:rPr>
              <w:rFonts w:ascii="Arial" w:eastAsiaTheme="minorEastAsia" w:hAnsi="Arial" w:cs="Arial"/>
              <w:noProof/>
              <w:szCs w:val="24"/>
              <w:lang w:val="en-US" w:bidi="bn-IN"/>
            </w:rPr>
          </w:pPr>
          <w:hyperlink r:id="rId14" w:anchor="_Toc123345899" w:history="1">
            <w:r w:rsidR="00305210" w:rsidRPr="00A13288">
              <w:rPr>
                <w:rStyle w:val="Hyperlink"/>
                <w:rFonts w:ascii="Arial" w:hAnsi="Arial" w:cs="Arial"/>
                <w:noProof/>
                <w:szCs w:val="24"/>
              </w:rPr>
              <w:t>1)</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ROCE</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_Toc123345899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7</w:t>
            </w:r>
            <w:r w:rsidR="00305210" w:rsidRPr="00A13288">
              <w:rPr>
                <w:rStyle w:val="Hyperlink"/>
                <w:rFonts w:ascii="Arial" w:hAnsi="Arial" w:cs="Arial"/>
                <w:noProof/>
                <w:webHidden/>
                <w:color w:val="auto"/>
                <w:szCs w:val="24"/>
              </w:rPr>
              <w:fldChar w:fldCharType="end"/>
            </w:r>
          </w:hyperlink>
        </w:p>
        <w:p w14:paraId="49231B9E" w14:textId="003C66A4" w:rsidR="00305210" w:rsidRPr="00A13288" w:rsidRDefault="009603BD" w:rsidP="00305210">
          <w:pPr>
            <w:pStyle w:val="TOC3"/>
            <w:tabs>
              <w:tab w:val="left" w:pos="1100"/>
              <w:tab w:val="right" w:leader="dot" w:pos="9350"/>
            </w:tabs>
            <w:spacing w:before="0" w:after="0"/>
            <w:rPr>
              <w:rFonts w:ascii="Arial" w:eastAsiaTheme="minorEastAsia" w:hAnsi="Arial" w:cs="Arial"/>
              <w:noProof/>
              <w:szCs w:val="24"/>
              <w:lang w:val="en-US" w:bidi="bn-IN"/>
            </w:rPr>
          </w:pPr>
          <w:hyperlink r:id="rId15" w:anchor="_Toc123345900" w:history="1">
            <w:r w:rsidR="00305210" w:rsidRPr="00A13288">
              <w:rPr>
                <w:rStyle w:val="Hyperlink"/>
                <w:rFonts w:ascii="Arial" w:hAnsi="Arial" w:cs="Arial"/>
                <w:noProof/>
                <w:szCs w:val="24"/>
              </w:rPr>
              <w:t>2)</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ROE</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_Toc123345900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7</w:t>
            </w:r>
            <w:r w:rsidR="00305210" w:rsidRPr="00A13288">
              <w:rPr>
                <w:rStyle w:val="Hyperlink"/>
                <w:rFonts w:ascii="Arial" w:hAnsi="Arial" w:cs="Arial"/>
                <w:noProof/>
                <w:webHidden/>
                <w:color w:val="auto"/>
                <w:szCs w:val="24"/>
              </w:rPr>
              <w:fldChar w:fldCharType="end"/>
            </w:r>
          </w:hyperlink>
        </w:p>
        <w:p w14:paraId="62E747A0" w14:textId="62C0B608" w:rsidR="00305210" w:rsidRPr="00A13288" w:rsidRDefault="009603BD" w:rsidP="00305210">
          <w:pPr>
            <w:pStyle w:val="TOC3"/>
            <w:tabs>
              <w:tab w:val="left" w:pos="1100"/>
              <w:tab w:val="right" w:leader="dot" w:pos="9350"/>
            </w:tabs>
            <w:spacing w:before="0" w:after="0"/>
            <w:rPr>
              <w:rFonts w:ascii="Arial" w:eastAsiaTheme="minorEastAsia" w:hAnsi="Arial" w:cs="Arial"/>
              <w:noProof/>
              <w:szCs w:val="24"/>
              <w:lang w:val="en-US" w:bidi="bn-IN"/>
            </w:rPr>
          </w:pPr>
          <w:hyperlink r:id="rId16" w:anchor="_Toc123345901" w:history="1">
            <w:r w:rsidR="00305210" w:rsidRPr="00A13288">
              <w:rPr>
                <w:rStyle w:val="Hyperlink"/>
                <w:rFonts w:ascii="Arial" w:hAnsi="Arial" w:cs="Arial"/>
                <w:noProof/>
                <w:szCs w:val="24"/>
              </w:rPr>
              <w:t>3)</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Earnings per share</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_Toc123345901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8</w:t>
            </w:r>
            <w:r w:rsidR="00305210" w:rsidRPr="00A13288">
              <w:rPr>
                <w:rStyle w:val="Hyperlink"/>
                <w:rFonts w:ascii="Arial" w:hAnsi="Arial" w:cs="Arial"/>
                <w:noProof/>
                <w:webHidden/>
                <w:color w:val="auto"/>
                <w:szCs w:val="24"/>
              </w:rPr>
              <w:fldChar w:fldCharType="end"/>
            </w:r>
          </w:hyperlink>
        </w:p>
        <w:p w14:paraId="5DB3AD0D" w14:textId="208A5E1C" w:rsidR="00305210" w:rsidRPr="00A13288" w:rsidRDefault="009603BD" w:rsidP="00305210">
          <w:pPr>
            <w:pStyle w:val="TOC3"/>
            <w:tabs>
              <w:tab w:val="left" w:pos="1100"/>
              <w:tab w:val="right" w:leader="dot" w:pos="9350"/>
            </w:tabs>
            <w:spacing w:before="0" w:after="0"/>
            <w:rPr>
              <w:rFonts w:ascii="Arial" w:eastAsiaTheme="minorEastAsia" w:hAnsi="Arial" w:cs="Arial"/>
              <w:noProof/>
              <w:szCs w:val="24"/>
              <w:lang w:val="en-US" w:bidi="bn-IN"/>
            </w:rPr>
          </w:pPr>
          <w:hyperlink r:id="rId17" w:anchor="_Toc123345902" w:history="1">
            <w:r w:rsidR="00305210" w:rsidRPr="00A13288">
              <w:rPr>
                <w:rStyle w:val="Hyperlink"/>
                <w:rFonts w:ascii="Arial" w:hAnsi="Arial" w:cs="Arial"/>
                <w:noProof/>
                <w:szCs w:val="24"/>
              </w:rPr>
              <w:t>4)</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Net profit margin</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_Toc123345902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8</w:t>
            </w:r>
            <w:r w:rsidR="00305210" w:rsidRPr="00A13288">
              <w:rPr>
                <w:rStyle w:val="Hyperlink"/>
                <w:rFonts w:ascii="Arial" w:hAnsi="Arial" w:cs="Arial"/>
                <w:noProof/>
                <w:webHidden/>
                <w:color w:val="auto"/>
                <w:szCs w:val="24"/>
              </w:rPr>
              <w:fldChar w:fldCharType="end"/>
            </w:r>
          </w:hyperlink>
        </w:p>
        <w:p w14:paraId="5102A317" w14:textId="4BAF0A2E" w:rsidR="00305210" w:rsidRPr="00A13288" w:rsidRDefault="009603BD" w:rsidP="00305210">
          <w:pPr>
            <w:pStyle w:val="TOC3"/>
            <w:tabs>
              <w:tab w:val="left" w:pos="1100"/>
              <w:tab w:val="right" w:leader="dot" w:pos="9350"/>
            </w:tabs>
            <w:spacing w:before="0" w:after="0"/>
            <w:rPr>
              <w:rFonts w:ascii="Arial" w:eastAsiaTheme="minorEastAsia" w:hAnsi="Arial" w:cs="Arial"/>
              <w:noProof/>
              <w:szCs w:val="24"/>
              <w:lang w:val="en-US" w:bidi="bn-IN"/>
            </w:rPr>
          </w:pPr>
          <w:hyperlink r:id="rId18" w:anchor="_Toc123345903" w:history="1">
            <w:r w:rsidR="00305210" w:rsidRPr="00A13288">
              <w:rPr>
                <w:rStyle w:val="Hyperlink"/>
                <w:rFonts w:ascii="Arial" w:hAnsi="Arial" w:cs="Arial"/>
                <w:noProof/>
                <w:szCs w:val="24"/>
              </w:rPr>
              <w:t>5)</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Asset turnover</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_Toc123345903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8</w:t>
            </w:r>
            <w:r w:rsidR="00305210" w:rsidRPr="00A13288">
              <w:rPr>
                <w:rStyle w:val="Hyperlink"/>
                <w:rFonts w:ascii="Arial" w:hAnsi="Arial" w:cs="Arial"/>
                <w:noProof/>
                <w:webHidden/>
                <w:color w:val="auto"/>
                <w:szCs w:val="24"/>
              </w:rPr>
              <w:fldChar w:fldCharType="end"/>
            </w:r>
          </w:hyperlink>
        </w:p>
        <w:p w14:paraId="6D377B40" w14:textId="7AF9E269" w:rsidR="00305210" w:rsidRPr="00A13288" w:rsidRDefault="009603BD" w:rsidP="00305210">
          <w:pPr>
            <w:pStyle w:val="TOC3"/>
            <w:tabs>
              <w:tab w:val="left" w:pos="1100"/>
              <w:tab w:val="right" w:leader="dot" w:pos="9350"/>
            </w:tabs>
            <w:spacing w:before="0" w:after="0"/>
            <w:rPr>
              <w:rFonts w:ascii="Arial" w:eastAsiaTheme="minorEastAsia" w:hAnsi="Arial" w:cs="Arial"/>
              <w:noProof/>
              <w:szCs w:val="24"/>
              <w:lang w:val="en-US" w:bidi="bn-IN"/>
            </w:rPr>
          </w:pPr>
          <w:hyperlink r:id="rId19" w:anchor="_Toc123345904" w:history="1">
            <w:r w:rsidR="00305210" w:rsidRPr="00A13288">
              <w:rPr>
                <w:rStyle w:val="Hyperlink"/>
                <w:rFonts w:ascii="Arial" w:hAnsi="Arial" w:cs="Arial"/>
                <w:noProof/>
                <w:szCs w:val="24"/>
              </w:rPr>
              <w:t>6)</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Stock holding days</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_Toc123345904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9</w:t>
            </w:r>
            <w:r w:rsidR="00305210" w:rsidRPr="00A13288">
              <w:rPr>
                <w:rStyle w:val="Hyperlink"/>
                <w:rFonts w:ascii="Arial" w:hAnsi="Arial" w:cs="Arial"/>
                <w:noProof/>
                <w:webHidden/>
                <w:color w:val="auto"/>
                <w:szCs w:val="24"/>
              </w:rPr>
              <w:fldChar w:fldCharType="end"/>
            </w:r>
          </w:hyperlink>
        </w:p>
        <w:p w14:paraId="0480348C" w14:textId="5FCCAE18" w:rsidR="00305210" w:rsidRPr="00A13288" w:rsidRDefault="009603BD" w:rsidP="00305210">
          <w:pPr>
            <w:pStyle w:val="TOC3"/>
            <w:tabs>
              <w:tab w:val="left" w:pos="1100"/>
              <w:tab w:val="right" w:leader="dot" w:pos="9350"/>
            </w:tabs>
            <w:spacing w:before="0" w:after="0"/>
            <w:rPr>
              <w:rFonts w:ascii="Arial" w:eastAsiaTheme="minorEastAsia" w:hAnsi="Arial" w:cs="Arial"/>
              <w:noProof/>
              <w:szCs w:val="24"/>
              <w:lang w:val="en-US" w:bidi="bn-IN"/>
            </w:rPr>
          </w:pPr>
          <w:hyperlink r:id="rId20" w:anchor="_Toc123345905" w:history="1">
            <w:r w:rsidR="00305210" w:rsidRPr="00A13288">
              <w:rPr>
                <w:rStyle w:val="Hyperlink"/>
                <w:rFonts w:ascii="Arial" w:hAnsi="Arial" w:cs="Arial"/>
                <w:noProof/>
                <w:szCs w:val="24"/>
              </w:rPr>
              <w:t>7)</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Debtor collection period</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_Toc123345905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9</w:t>
            </w:r>
            <w:r w:rsidR="00305210" w:rsidRPr="00A13288">
              <w:rPr>
                <w:rStyle w:val="Hyperlink"/>
                <w:rFonts w:ascii="Arial" w:hAnsi="Arial" w:cs="Arial"/>
                <w:noProof/>
                <w:webHidden/>
                <w:color w:val="auto"/>
                <w:szCs w:val="24"/>
              </w:rPr>
              <w:fldChar w:fldCharType="end"/>
            </w:r>
          </w:hyperlink>
        </w:p>
        <w:p w14:paraId="456CA0B9" w14:textId="0BF7F0A9" w:rsidR="00305210" w:rsidRPr="00A13288" w:rsidRDefault="009603BD" w:rsidP="00305210">
          <w:pPr>
            <w:pStyle w:val="TOC3"/>
            <w:tabs>
              <w:tab w:val="left" w:pos="1100"/>
              <w:tab w:val="right" w:leader="dot" w:pos="9350"/>
            </w:tabs>
            <w:spacing w:before="0" w:after="0"/>
            <w:rPr>
              <w:rFonts w:ascii="Arial" w:eastAsiaTheme="minorEastAsia" w:hAnsi="Arial" w:cs="Arial"/>
              <w:noProof/>
              <w:szCs w:val="24"/>
              <w:lang w:val="en-US" w:bidi="bn-IN"/>
            </w:rPr>
          </w:pPr>
          <w:hyperlink r:id="rId21" w:anchor="_Toc123345906" w:history="1">
            <w:r w:rsidR="00305210" w:rsidRPr="00A13288">
              <w:rPr>
                <w:rStyle w:val="Hyperlink"/>
                <w:rFonts w:ascii="Arial" w:hAnsi="Arial" w:cs="Arial"/>
                <w:noProof/>
                <w:szCs w:val="24"/>
              </w:rPr>
              <w:t>8)</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Current ratio</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_Toc123345906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10</w:t>
            </w:r>
            <w:r w:rsidR="00305210" w:rsidRPr="00A13288">
              <w:rPr>
                <w:rStyle w:val="Hyperlink"/>
                <w:rFonts w:ascii="Arial" w:hAnsi="Arial" w:cs="Arial"/>
                <w:noProof/>
                <w:webHidden/>
                <w:color w:val="auto"/>
                <w:szCs w:val="24"/>
              </w:rPr>
              <w:fldChar w:fldCharType="end"/>
            </w:r>
          </w:hyperlink>
        </w:p>
        <w:p w14:paraId="735EA615" w14:textId="20A96492" w:rsidR="00305210" w:rsidRPr="00A13288" w:rsidRDefault="009603BD" w:rsidP="00305210">
          <w:pPr>
            <w:pStyle w:val="TOC3"/>
            <w:tabs>
              <w:tab w:val="left" w:pos="1100"/>
              <w:tab w:val="right" w:leader="dot" w:pos="9350"/>
            </w:tabs>
            <w:spacing w:before="0" w:after="0"/>
            <w:rPr>
              <w:rFonts w:ascii="Arial" w:eastAsiaTheme="minorEastAsia" w:hAnsi="Arial" w:cs="Arial"/>
              <w:noProof/>
              <w:szCs w:val="24"/>
              <w:lang w:val="en-US" w:bidi="bn-IN"/>
            </w:rPr>
          </w:pPr>
          <w:hyperlink r:id="rId22" w:anchor="_Toc123345907" w:history="1">
            <w:r w:rsidR="00305210" w:rsidRPr="00A13288">
              <w:rPr>
                <w:rStyle w:val="Hyperlink"/>
                <w:rFonts w:ascii="Arial" w:hAnsi="Arial" w:cs="Arial"/>
                <w:noProof/>
                <w:szCs w:val="24"/>
              </w:rPr>
              <w:t>9)</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Gearing ratio</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_Toc123345907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10</w:t>
            </w:r>
            <w:r w:rsidR="00305210" w:rsidRPr="00A13288">
              <w:rPr>
                <w:rStyle w:val="Hyperlink"/>
                <w:rFonts w:ascii="Arial" w:hAnsi="Arial" w:cs="Arial"/>
                <w:noProof/>
                <w:webHidden/>
                <w:color w:val="auto"/>
                <w:szCs w:val="24"/>
              </w:rPr>
              <w:fldChar w:fldCharType="end"/>
            </w:r>
          </w:hyperlink>
        </w:p>
        <w:p w14:paraId="11165B68" w14:textId="6C0B18A0" w:rsidR="00305210" w:rsidRPr="00A13288" w:rsidRDefault="009603BD" w:rsidP="00305210">
          <w:pPr>
            <w:pStyle w:val="TOC3"/>
            <w:tabs>
              <w:tab w:val="left" w:pos="1100"/>
              <w:tab w:val="right" w:leader="dot" w:pos="9350"/>
            </w:tabs>
            <w:spacing w:before="0" w:after="0"/>
            <w:rPr>
              <w:rFonts w:ascii="Arial" w:eastAsiaTheme="minorEastAsia" w:hAnsi="Arial" w:cs="Arial"/>
              <w:noProof/>
              <w:szCs w:val="24"/>
              <w:lang w:val="en-US" w:bidi="bn-IN"/>
            </w:rPr>
          </w:pPr>
          <w:hyperlink r:id="rId23" w:anchor="_Toc123345908" w:history="1">
            <w:r w:rsidR="00305210" w:rsidRPr="00A13288">
              <w:rPr>
                <w:rStyle w:val="Hyperlink"/>
                <w:rFonts w:ascii="Arial" w:hAnsi="Arial" w:cs="Arial"/>
                <w:noProof/>
                <w:szCs w:val="24"/>
              </w:rPr>
              <w:t>10)</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Interest cover</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_Toc123345908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11</w:t>
            </w:r>
            <w:r w:rsidR="00305210" w:rsidRPr="00A13288">
              <w:rPr>
                <w:rStyle w:val="Hyperlink"/>
                <w:rFonts w:ascii="Arial" w:hAnsi="Arial" w:cs="Arial"/>
                <w:noProof/>
                <w:webHidden/>
                <w:color w:val="auto"/>
                <w:szCs w:val="24"/>
              </w:rPr>
              <w:fldChar w:fldCharType="end"/>
            </w:r>
          </w:hyperlink>
        </w:p>
        <w:p w14:paraId="21BD6E4A" w14:textId="61B3369A" w:rsidR="00305210" w:rsidRPr="00A13288" w:rsidRDefault="009603BD" w:rsidP="00305210">
          <w:pPr>
            <w:pStyle w:val="TOC2"/>
            <w:tabs>
              <w:tab w:val="left" w:pos="880"/>
              <w:tab w:val="right" w:leader="dot" w:pos="9350"/>
            </w:tabs>
            <w:spacing w:before="0" w:after="0"/>
            <w:rPr>
              <w:rFonts w:ascii="Arial" w:eastAsiaTheme="minorEastAsia" w:hAnsi="Arial" w:cs="Arial"/>
              <w:noProof/>
              <w:szCs w:val="24"/>
              <w:lang w:val="en-US" w:bidi="bn-IN"/>
            </w:rPr>
          </w:pPr>
          <w:hyperlink r:id="rId24" w:anchor="_Toc123345909" w:history="1">
            <w:r w:rsidR="00305210" w:rsidRPr="00A13288">
              <w:rPr>
                <w:rStyle w:val="Hyperlink"/>
                <w:rFonts w:ascii="Arial" w:hAnsi="Arial" w:cs="Arial"/>
                <w:noProof/>
                <w:szCs w:val="24"/>
              </w:rPr>
              <w:t>b)</w:t>
            </w:r>
            <w:r w:rsidR="00305210" w:rsidRPr="00A13288">
              <w:rPr>
                <w:rStyle w:val="Hyperlink"/>
                <w:rFonts w:ascii="Arial" w:eastAsiaTheme="minorEastAsia" w:hAnsi="Arial" w:cs="Arial"/>
                <w:noProof/>
                <w:color w:val="auto"/>
                <w:szCs w:val="24"/>
                <w:lang w:val="en-US" w:bidi="bn-IN"/>
              </w:rPr>
              <w:tab/>
            </w:r>
            <w:r w:rsidR="00305210" w:rsidRPr="00A13288">
              <w:rPr>
                <w:rStyle w:val="Hyperlink"/>
                <w:rFonts w:ascii="Arial" w:hAnsi="Arial" w:cs="Arial"/>
                <w:noProof/>
                <w:szCs w:val="24"/>
              </w:rPr>
              <w:t>Comments on the financial performance and position of Sweets plc.</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_Toc123345909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11</w:t>
            </w:r>
            <w:r w:rsidR="00305210" w:rsidRPr="00A13288">
              <w:rPr>
                <w:rStyle w:val="Hyperlink"/>
                <w:rFonts w:ascii="Arial" w:hAnsi="Arial" w:cs="Arial"/>
                <w:noProof/>
                <w:webHidden/>
                <w:color w:val="auto"/>
                <w:szCs w:val="24"/>
              </w:rPr>
              <w:fldChar w:fldCharType="end"/>
            </w:r>
          </w:hyperlink>
        </w:p>
        <w:p w14:paraId="7B3CC7A0" w14:textId="2020DFCC" w:rsidR="00305210" w:rsidRPr="00A13288" w:rsidRDefault="009603BD" w:rsidP="00305210">
          <w:pPr>
            <w:pStyle w:val="TOC1"/>
            <w:tabs>
              <w:tab w:val="right" w:leader="dot" w:pos="9350"/>
            </w:tabs>
            <w:spacing w:before="0" w:after="0"/>
            <w:rPr>
              <w:rFonts w:ascii="Arial" w:hAnsi="Arial" w:cs="Arial"/>
              <w:szCs w:val="24"/>
            </w:rPr>
          </w:pPr>
          <w:hyperlink r:id="rId25" w:anchor="_Toc123345910" w:history="1">
            <w:r w:rsidR="00305210" w:rsidRPr="00A13288">
              <w:rPr>
                <w:rStyle w:val="Hyperlink"/>
                <w:rFonts w:ascii="Arial" w:hAnsi="Arial" w:cs="Arial"/>
                <w:noProof/>
                <w:szCs w:val="24"/>
              </w:rPr>
              <w:t>References</w:t>
            </w:r>
            <w:r w:rsidR="00305210" w:rsidRPr="00A13288">
              <w:rPr>
                <w:rStyle w:val="Hyperlink"/>
                <w:rFonts w:ascii="Arial" w:hAnsi="Arial" w:cs="Arial"/>
                <w:noProof/>
                <w:webHidden/>
                <w:color w:val="auto"/>
                <w:szCs w:val="24"/>
              </w:rPr>
              <w:tab/>
            </w:r>
            <w:r w:rsidR="00305210" w:rsidRPr="00A13288">
              <w:rPr>
                <w:rStyle w:val="Hyperlink"/>
                <w:rFonts w:ascii="Arial" w:hAnsi="Arial" w:cs="Arial"/>
                <w:noProof/>
                <w:webHidden/>
                <w:color w:val="auto"/>
                <w:szCs w:val="24"/>
              </w:rPr>
              <w:fldChar w:fldCharType="begin"/>
            </w:r>
            <w:r w:rsidR="00305210" w:rsidRPr="00A13288">
              <w:rPr>
                <w:rStyle w:val="Hyperlink"/>
                <w:rFonts w:ascii="Arial" w:hAnsi="Arial" w:cs="Arial"/>
                <w:noProof/>
                <w:webHidden/>
                <w:color w:val="auto"/>
                <w:szCs w:val="24"/>
              </w:rPr>
              <w:instrText xml:space="preserve"> PAGEREF _Toc123345910 \h </w:instrText>
            </w:r>
            <w:r w:rsidR="00305210" w:rsidRPr="00A13288">
              <w:rPr>
                <w:rStyle w:val="Hyperlink"/>
                <w:rFonts w:ascii="Arial" w:hAnsi="Arial" w:cs="Arial"/>
                <w:noProof/>
                <w:webHidden/>
                <w:color w:val="auto"/>
                <w:szCs w:val="24"/>
              </w:rPr>
            </w:r>
            <w:r w:rsidR="00305210" w:rsidRPr="00A13288">
              <w:rPr>
                <w:rStyle w:val="Hyperlink"/>
                <w:rFonts w:ascii="Arial" w:hAnsi="Arial" w:cs="Arial"/>
                <w:noProof/>
                <w:webHidden/>
                <w:color w:val="auto"/>
                <w:szCs w:val="24"/>
              </w:rPr>
              <w:fldChar w:fldCharType="separate"/>
            </w:r>
            <w:r w:rsidR="0076728B">
              <w:rPr>
                <w:rStyle w:val="Hyperlink"/>
                <w:rFonts w:ascii="Arial" w:hAnsi="Arial" w:cs="Arial"/>
                <w:noProof/>
                <w:webHidden/>
                <w:color w:val="auto"/>
                <w:szCs w:val="24"/>
              </w:rPr>
              <w:t>14</w:t>
            </w:r>
            <w:r w:rsidR="00305210" w:rsidRPr="00A13288">
              <w:rPr>
                <w:rStyle w:val="Hyperlink"/>
                <w:rFonts w:ascii="Arial" w:hAnsi="Arial" w:cs="Arial"/>
                <w:noProof/>
                <w:webHidden/>
                <w:color w:val="auto"/>
                <w:szCs w:val="24"/>
              </w:rPr>
              <w:fldChar w:fldCharType="end"/>
            </w:r>
          </w:hyperlink>
          <w:r w:rsidR="00305210" w:rsidRPr="00A13288">
            <w:rPr>
              <w:rFonts w:ascii="Arial" w:hAnsi="Arial" w:cs="Arial"/>
              <w:b/>
              <w:bCs/>
              <w:noProof/>
              <w:szCs w:val="24"/>
            </w:rPr>
            <w:fldChar w:fldCharType="end"/>
          </w:r>
        </w:p>
      </w:sdtContent>
    </w:sdt>
    <w:p w14:paraId="65C32E8C" w14:textId="77777777" w:rsidR="00305210" w:rsidRPr="00A13288" w:rsidRDefault="00305210" w:rsidP="00305210">
      <w:pPr>
        <w:spacing w:before="0" w:after="0"/>
        <w:jc w:val="left"/>
        <w:rPr>
          <w:rFonts w:ascii="Arial" w:hAnsi="Arial" w:cs="Arial"/>
          <w:szCs w:val="24"/>
        </w:rPr>
        <w:sectPr w:rsidR="00305210" w:rsidRPr="00A13288">
          <w:footerReference w:type="default" r:id="rId26"/>
          <w:pgSz w:w="12240" w:h="15840"/>
          <w:pgMar w:top="1440" w:right="1440" w:bottom="1440" w:left="1440" w:header="720" w:footer="720" w:gutter="0"/>
          <w:cols w:space="720"/>
        </w:sectPr>
      </w:pPr>
    </w:p>
    <w:p w14:paraId="0BDDA095" w14:textId="77777777" w:rsidR="00305210" w:rsidRPr="00F92E1F" w:rsidRDefault="00305210" w:rsidP="0081214F">
      <w:pPr>
        <w:pStyle w:val="Heading1"/>
        <w:jc w:val="left"/>
        <w:rPr>
          <w:rFonts w:ascii="Arial" w:hAnsi="Arial" w:cs="Arial"/>
          <w:color w:val="auto"/>
          <w:sz w:val="24"/>
          <w:szCs w:val="24"/>
        </w:rPr>
      </w:pPr>
      <w:bookmarkStart w:id="0" w:name="_Toc123345893"/>
      <w:r w:rsidRPr="00F92E1F">
        <w:rPr>
          <w:rFonts w:ascii="Arial" w:hAnsi="Arial" w:cs="Arial"/>
          <w:color w:val="auto"/>
          <w:sz w:val="24"/>
          <w:szCs w:val="24"/>
        </w:rPr>
        <w:lastRenderedPageBreak/>
        <w:t>Introduction</w:t>
      </w:r>
      <w:bookmarkEnd w:id="0"/>
    </w:p>
    <w:p w14:paraId="506620EF" w14:textId="228FC373" w:rsidR="00305210" w:rsidRPr="00A13288" w:rsidRDefault="00305210" w:rsidP="00305210">
      <w:pPr>
        <w:rPr>
          <w:rFonts w:ascii="Arial" w:hAnsi="Arial" w:cs="Arial"/>
          <w:szCs w:val="24"/>
        </w:rPr>
      </w:pPr>
      <w:r w:rsidRPr="00A13288">
        <w:rPr>
          <w:rFonts w:ascii="Arial" w:hAnsi="Arial" w:cs="Arial"/>
          <w:szCs w:val="24"/>
        </w:rPr>
        <w:t xml:space="preserve">Record keeping is the most crucial function of accounting, which is why it's so crucial to understand the fundamentals (Kimmel and </w:t>
      </w:r>
      <w:proofErr w:type="spellStart"/>
      <w:r w:rsidRPr="00A13288">
        <w:rPr>
          <w:rFonts w:ascii="Arial" w:hAnsi="Arial" w:cs="Arial"/>
          <w:szCs w:val="24"/>
        </w:rPr>
        <w:t>Kieso</w:t>
      </w:r>
      <w:proofErr w:type="spellEnd"/>
      <w:r w:rsidRPr="00A13288">
        <w:rPr>
          <w:rFonts w:ascii="Arial" w:hAnsi="Arial" w:cs="Arial"/>
          <w:szCs w:val="24"/>
        </w:rPr>
        <w:t xml:space="preserve">, 2020). Businesses must follow set procedures for data storage and upkeep </w:t>
      </w:r>
      <w:r w:rsidR="007D4F33" w:rsidRPr="00A13288">
        <w:rPr>
          <w:rFonts w:ascii="Arial" w:hAnsi="Arial" w:cs="Arial"/>
          <w:szCs w:val="24"/>
        </w:rPr>
        <w:t>to</w:t>
      </w:r>
      <w:r w:rsidRPr="00A13288">
        <w:rPr>
          <w:rFonts w:ascii="Arial" w:hAnsi="Arial" w:cs="Arial"/>
          <w:szCs w:val="24"/>
        </w:rPr>
        <w:t xml:space="preserve"> retrieve essential data in an emergency. Keep thorough and accurate records whenever there is a financial transaction involved, regardless of the cause. There are many fundamental accounting concepts such as concern, consistency, and accrual basis, entity concept, money measurement concept, periodicity concept, accrual concept, matching concept, going concern concept, cost concept, realization concept (Kimmel and </w:t>
      </w:r>
      <w:proofErr w:type="spellStart"/>
      <w:r w:rsidRPr="00A13288">
        <w:rPr>
          <w:rFonts w:ascii="Arial" w:hAnsi="Arial" w:cs="Arial"/>
          <w:szCs w:val="24"/>
        </w:rPr>
        <w:t>Kieso</w:t>
      </w:r>
      <w:proofErr w:type="spellEnd"/>
      <w:r w:rsidRPr="00A13288">
        <w:rPr>
          <w:rFonts w:ascii="Arial" w:hAnsi="Arial" w:cs="Arial"/>
          <w:szCs w:val="24"/>
        </w:rPr>
        <w:t xml:space="preserve">, 2020). </w:t>
      </w:r>
    </w:p>
    <w:p w14:paraId="790A627D" w14:textId="77777777" w:rsidR="00305210" w:rsidRPr="00A13288" w:rsidRDefault="00305210" w:rsidP="00305210">
      <w:pPr>
        <w:rPr>
          <w:rFonts w:ascii="Arial" w:hAnsi="Arial" w:cs="Arial"/>
          <w:szCs w:val="24"/>
        </w:rPr>
      </w:pPr>
      <w:r w:rsidRPr="00A13288">
        <w:rPr>
          <w:rFonts w:ascii="Arial" w:hAnsi="Arial" w:cs="Arial"/>
          <w:szCs w:val="24"/>
        </w:rPr>
        <w:t xml:space="preserve">Financial accounting is used to record, summarise, and make public all financial transactions for a business (Kimmel and </w:t>
      </w:r>
      <w:proofErr w:type="spellStart"/>
      <w:r w:rsidRPr="00A13288">
        <w:rPr>
          <w:rFonts w:ascii="Arial" w:hAnsi="Arial" w:cs="Arial"/>
          <w:szCs w:val="24"/>
        </w:rPr>
        <w:t>Kieso</w:t>
      </w:r>
      <w:proofErr w:type="spellEnd"/>
      <w:r w:rsidRPr="00A13288">
        <w:rPr>
          <w:rFonts w:ascii="Arial" w:hAnsi="Arial" w:cs="Arial"/>
          <w:szCs w:val="24"/>
        </w:rPr>
        <w:t xml:space="preserve">, 2020). They are the balance sheet, cash flow statement, statement of retained profits, and the income statement. Financial accounting's main objective is to provide meaningful information regarding a company's financial situation. Even though management </w:t>
      </w:r>
      <w:proofErr w:type="gramStart"/>
      <w:r w:rsidRPr="00A13288">
        <w:rPr>
          <w:rFonts w:ascii="Arial" w:hAnsi="Arial" w:cs="Arial"/>
          <w:szCs w:val="24"/>
        </w:rPr>
        <w:t>has the ability to</w:t>
      </w:r>
      <w:proofErr w:type="gramEnd"/>
      <w:r w:rsidRPr="00A13288">
        <w:rPr>
          <w:rFonts w:ascii="Arial" w:hAnsi="Arial" w:cs="Arial"/>
          <w:szCs w:val="24"/>
        </w:rPr>
        <w:t xml:space="preserve"> assess data produced by financial accounting, they often believe managerial accounting to be more advantageous since it is intended for internal use and cannot be published in external reports. The accepted practise is to use financial accounting to provide financial results for external use. A crucial feature of financial accounting is the capacity to track and evaluate a company's financial activity. They will be able to make informed investment decisions thanks to this. Financial accounting also makes it easier for lenders and investors to receive and distribute financial information about a company (Kimmel and </w:t>
      </w:r>
      <w:proofErr w:type="spellStart"/>
      <w:r w:rsidRPr="00A13288">
        <w:rPr>
          <w:rFonts w:ascii="Arial" w:hAnsi="Arial" w:cs="Arial"/>
          <w:szCs w:val="24"/>
        </w:rPr>
        <w:t>Kieso</w:t>
      </w:r>
      <w:proofErr w:type="spellEnd"/>
      <w:r w:rsidRPr="00A13288">
        <w:rPr>
          <w:rFonts w:ascii="Arial" w:hAnsi="Arial" w:cs="Arial"/>
          <w:szCs w:val="24"/>
        </w:rPr>
        <w:t>, 2020).</w:t>
      </w:r>
    </w:p>
    <w:p w14:paraId="1E71444E" w14:textId="77777777" w:rsidR="00305210" w:rsidRPr="00A13288" w:rsidRDefault="00305210" w:rsidP="00305210">
      <w:pPr>
        <w:rPr>
          <w:rFonts w:ascii="Arial" w:eastAsiaTheme="majorEastAsia" w:hAnsi="Arial" w:cs="Arial"/>
          <w:b/>
          <w:color w:val="2F5496" w:themeColor="accent1" w:themeShade="BF"/>
          <w:szCs w:val="24"/>
        </w:rPr>
      </w:pPr>
      <w:r w:rsidRPr="00A13288">
        <w:rPr>
          <w:rFonts w:ascii="Arial" w:hAnsi="Arial" w:cs="Arial"/>
          <w:szCs w:val="24"/>
          <w:lang w:eastAsia="en-GB"/>
        </w:rPr>
        <w:br w:type="page"/>
      </w:r>
    </w:p>
    <w:p w14:paraId="7A563794" w14:textId="77777777" w:rsidR="00305210" w:rsidRPr="00F92E1F" w:rsidRDefault="00305210" w:rsidP="00305210">
      <w:pPr>
        <w:pStyle w:val="Heading1"/>
        <w:rPr>
          <w:rFonts w:ascii="Arial" w:hAnsi="Arial" w:cs="Arial"/>
          <w:color w:val="auto"/>
          <w:sz w:val="24"/>
          <w:szCs w:val="24"/>
        </w:rPr>
      </w:pPr>
      <w:bookmarkStart w:id="1" w:name="_Toc123345894"/>
      <w:r w:rsidRPr="00F92E1F">
        <w:rPr>
          <w:rFonts w:ascii="Arial" w:hAnsi="Arial" w:cs="Arial"/>
          <w:color w:val="auto"/>
          <w:sz w:val="24"/>
          <w:szCs w:val="24"/>
        </w:rPr>
        <w:lastRenderedPageBreak/>
        <w:t>Answer No. 1</w:t>
      </w:r>
      <w:bookmarkEnd w:id="1"/>
    </w:p>
    <w:p w14:paraId="589F2166" w14:textId="77777777" w:rsidR="00305210" w:rsidRPr="00A13288" w:rsidRDefault="00305210" w:rsidP="00305210">
      <w:pPr>
        <w:pStyle w:val="Heading2"/>
        <w:numPr>
          <w:ilvl w:val="0"/>
          <w:numId w:val="1"/>
        </w:numPr>
        <w:rPr>
          <w:rFonts w:ascii="Arial" w:hAnsi="Arial" w:cs="Arial"/>
          <w:sz w:val="24"/>
          <w:szCs w:val="24"/>
        </w:rPr>
      </w:pPr>
      <w:bookmarkStart w:id="2" w:name="_Toc123345895"/>
      <w:r w:rsidRPr="00A13288">
        <w:rPr>
          <w:rFonts w:ascii="Arial" w:hAnsi="Arial" w:cs="Arial"/>
          <w:sz w:val="24"/>
          <w:szCs w:val="24"/>
        </w:rPr>
        <w:t>Income statement for the year ended 31st December 2021 for Wales plc and a statement of financial position as at that date.</w:t>
      </w:r>
      <w:bookmarkEnd w:id="2"/>
    </w:p>
    <w:p w14:paraId="6BD130FA" w14:textId="77777777" w:rsidR="00305210" w:rsidRPr="00A13288" w:rsidRDefault="00305210" w:rsidP="00305210">
      <w:pPr>
        <w:rPr>
          <w:rFonts w:ascii="Arial" w:hAnsi="Arial" w:cs="Arial"/>
          <w:szCs w:val="24"/>
        </w:rPr>
      </w:pPr>
      <w:r w:rsidRPr="00A13288">
        <w:rPr>
          <w:rFonts w:ascii="Arial" w:hAnsi="Arial" w:cs="Arial"/>
          <w:szCs w:val="24"/>
        </w:rPr>
        <w:t xml:space="preserve">An income statement is one of the financial statements that a business keeps track of. It is also called a profit and loss account (Easton, 2018). It shows how much money the company made and how much it spent during a certain </w:t>
      </w:r>
      <w:proofErr w:type="gramStart"/>
      <w:r w:rsidRPr="00A13288">
        <w:rPr>
          <w:rFonts w:ascii="Arial" w:hAnsi="Arial" w:cs="Arial"/>
          <w:szCs w:val="24"/>
        </w:rPr>
        <w:t>time period</w:t>
      </w:r>
      <w:proofErr w:type="gramEnd"/>
      <w:r w:rsidRPr="00A13288">
        <w:rPr>
          <w:rFonts w:ascii="Arial" w:hAnsi="Arial" w:cs="Arial"/>
          <w:szCs w:val="24"/>
        </w:rPr>
        <w:t xml:space="preserve">. It explains how the company turns its income or profit after taxes from what it makes into money (Easton, 2018). </w:t>
      </w:r>
    </w:p>
    <w:tbl>
      <w:tblPr>
        <w:tblStyle w:val="TableGrid"/>
        <w:tblW w:w="0" w:type="auto"/>
        <w:jc w:val="center"/>
        <w:tblInd w:w="0" w:type="dxa"/>
        <w:tblLook w:val="04A0" w:firstRow="1" w:lastRow="0" w:firstColumn="1" w:lastColumn="0" w:noHBand="0" w:noVBand="1"/>
      </w:tblPr>
      <w:tblGrid>
        <w:gridCol w:w="5498"/>
        <w:gridCol w:w="1084"/>
        <w:gridCol w:w="1084"/>
      </w:tblGrid>
      <w:tr w:rsidR="00305210" w:rsidRPr="00A13288" w14:paraId="47E9F10B"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50C860" w14:textId="77777777" w:rsidR="00305210" w:rsidRPr="00A13288" w:rsidRDefault="00305210">
            <w:pPr>
              <w:spacing w:before="0" w:after="0" w:line="240" w:lineRule="auto"/>
              <w:jc w:val="center"/>
              <w:rPr>
                <w:rFonts w:ascii="Arial" w:eastAsia="Times New Roman" w:hAnsi="Arial" w:cs="Arial"/>
                <w:b/>
                <w:bCs/>
                <w:color w:val="000000"/>
                <w:szCs w:val="24"/>
                <w:lang w:bidi="bn-IN"/>
              </w:rPr>
            </w:pPr>
            <w:r w:rsidRPr="00A13288">
              <w:rPr>
                <w:rFonts w:ascii="Arial" w:eastAsia="Times New Roman" w:hAnsi="Arial" w:cs="Arial"/>
                <w:color w:val="000000"/>
                <w:szCs w:val="24"/>
                <w:lang w:bidi="bn-IN"/>
              </w:rPr>
              <w:t>Wales plc</w:t>
            </w:r>
          </w:p>
        </w:tc>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5D23F7E5" w14:textId="77777777" w:rsidR="00305210" w:rsidRPr="00A13288" w:rsidRDefault="00305210">
            <w:pPr>
              <w:rPr>
                <w:rFonts w:ascii="Arial" w:eastAsia="Times New Roman" w:hAnsi="Arial" w:cs="Arial"/>
                <w:b/>
                <w:bCs/>
                <w:color w:val="000000"/>
                <w:szCs w:val="24"/>
                <w:lang w:bidi="bn-IN"/>
              </w:rPr>
            </w:pPr>
          </w:p>
        </w:tc>
      </w:tr>
      <w:tr w:rsidR="00305210" w:rsidRPr="00A13288" w14:paraId="56DF0790"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4D11F90"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b/>
                <w:bCs/>
                <w:color w:val="000000"/>
                <w:szCs w:val="24"/>
                <w:lang w:bidi="bn-IN"/>
              </w:rPr>
              <w:t>Income Statement</w:t>
            </w:r>
          </w:p>
        </w:tc>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15B4DF16" w14:textId="77777777" w:rsidR="00305210" w:rsidRPr="00A13288" w:rsidRDefault="00305210">
            <w:pPr>
              <w:rPr>
                <w:rFonts w:ascii="Arial" w:eastAsia="Times New Roman" w:hAnsi="Arial" w:cs="Arial"/>
                <w:color w:val="000000"/>
                <w:szCs w:val="24"/>
                <w:lang w:bidi="bn-IN"/>
              </w:rPr>
            </w:pPr>
          </w:p>
        </w:tc>
      </w:tr>
      <w:tr w:rsidR="00305210" w:rsidRPr="00A13288" w14:paraId="4BA355BB"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531FE79"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For the year ended 31st December, 2021</w:t>
            </w:r>
          </w:p>
        </w:tc>
        <w:tc>
          <w:tcPr>
            <w:tcW w:w="0" w:type="auto"/>
            <w:gridSpan w:val="2"/>
            <w:tcBorders>
              <w:top w:val="single" w:sz="4" w:space="0" w:color="auto"/>
              <w:left w:val="single" w:sz="4" w:space="0" w:color="auto"/>
              <w:bottom w:val="single" w:sz="4" w:space="0" w:color="auto"/>
              <w:right w:val="single" w:sz="4" w:space="0" w:color="auto"/>
            </w:tcBorders>
            <w:noWrap/>
            <w:vAlign w:val="center"/>
            <w:hideMark/>
          </w:tcPr>
          <w:p w14:paraId="29FC35A9" w14:textId="77777777" w:rsidR="00305210" w:rsidRPr="00A13288" w:rsidRDefault="00305210">
            <w:pPr>
              <w:rPr>
                <w:rFonts w:ascii="Arial" w:eastAsia="Times New Roman" w:hAnsi="Arial" w:cs="Arial"/>
                <w:color w:val="000000"/>
                <w:szCs w:val="24"/>
                <w:lang w:bidi="bn-IN"/>
              </w:rPr>
            </w:pPr>
          </w:p>
        </w:tc>
      </w:tr>
      <w:tr w:rsidR="00305210" w:rsidRPr="00A13288" w14:paraId="30285819"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41CCFC2"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Particulars</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05B23BC"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376D077"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w:t>
            </w:r>
          </w:p>
        </w:tc>
      </w:tr>
      <w:tr w:rsidR="00305210" w:rsidRPr="00A13288" w14:paraId="66F557D7"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6C87C18"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Sales</w:t>
            </w:r>
          </w:p>
        </w:tc>
        <w:tc>
          <w:tcPr>
            <w:tcW w:w="0" w:type="auto"/>
            <w:tcBorders>
              <w:top w:val="single" w:sz="4" w:space="0" w:color="auto"/>
              <w:left w:val="single" w:sz="4" w:space="0" w:color="auto"/>
              <w:bottom w:val="single" w:sz="4" w:space="0" w:color="auto"/>
              <w:right w:val="single" w:sz="4" w:space="0" w:color="auto"/>
            </w:tcBorders>
            <w:vAlign w:val="center"/>
            <w:hideMark/>
          </w:tcPr>
          <w:p w14:paraId="244D635C"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800,000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7E99491" w14:textId="77777777" w:rsidR="00305210" w:rsidRPr="00A13288" w:rsidRDefault="00305210">
            <w:pPr>
              <w:rPr>
                <w:rFonts w:ascii="Arial" w:eastAsia="Times New Roman" w:hAnsi="Arial" w:cs="Arial"/>
                <w:color w:val="000000"/>
                <w:szCs w:val="24"/>
                <w:lang w:bidi="bn-IN"/>
              </w:rPr>
            </w:pPr>
          </w:p>
        </w:tc>
      </w:tr>
      <w:tr w:rsidR="00305210" w:rsidRPr="00A13288" w14:paraId="5C171C24"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D37B2C9"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 Goods sold on credit</w:t>
            </w:r>
          </w:p>
        </w:tc>
        <w:tc>
          <w:tcPr>
            <w:tcW w:w="0" w:type="auto"/>
            <w:tcBorders>
              <w:top w:val="single" w:sz="4" w:space="0" w:color="auto"/>
              <w:left w:val="single" w:sz="4" w:space="0" w:color="auto"/>
              <w:bottom w:val="single" w:sz="4" w:space="0" w:color="auto"/>
              <w:right w:val="single" w:sz="4" w:space="0" w:color="auto"/>
            </w:tcBorders>
            <w:vAlign w:val="center"/>
            <w:hideMark/>
          </w:tcPr>
          <w:p w14:paraId="0CD2C780"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980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D3C445B"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80,980</w:t>
            </w:r>
          </w:p>
        </w:tc>
      </w:tr>
      <w:tr w:rsidR="00305210" w:rsidRPr="00A13288" w14:paraId="17A6BB43" w14:textId="77777777" w:rsidTr="00305210">
        <w:trPr>
          <w:trHeight w:val="3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D9F7D0C"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Cost of sales</w:t>
            </w:r>
          </w:p>
        </w:tc>
        <w:tc>
          <w:tcPr>
            <w:tcW w:w="0" w:type="auto"/>
            <w:tcBorders>
              <w:top w:val="single" w:sz="4" w:space="0" w:color="auto"/>
              <w:left w:val="single" w:sz="4" w:space="0" w:color="auto"/>
              <w:bottom w:val="single" w:sz="4" w:space="0" w:color="auto"/>
              <w:right w:val="single" w:sz="4" w:space="0" w:color="auto"/>
            </w:tcBorders>
            <w:vAlign w:val="center"/>
          </w:tcPr>
          <w:p w14:paraId="6A8D2BBE" w14:textId="77777777" w:rsidR="00305210" w:rsidRPr="00A13288" w:rsidRDefault="00305210">
            <w:pPr>
              <w:spacing w:before="0" w:after="0" w:line="240" w:lineRule="auto"/>
              <w:jc w:val="center"/>
              <w:rPr>
                <w:rFonts w:ascii="Arial" w:eastAsia="Times New Roman" w:hAnsi="Arial" w:cs="Arial"/>
                <w:color w:val="000000"/>
                <w:szCs w:val="24"/>
                <w:lang w:bidi="bn-IN"/>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4D417ED"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578,650</w:t>
            </w:r>
          </w:p>
        </w:tc>
      </w:tr>
      <w:tr w:rsidR="00305210" w:rsidRPr="00A13288" w14:paraId="6753EF12"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26ABCD9" w14:textId="77777777" w:rsidR="00305210" w:rsidRPr="00A13288" w:rsidRDefault="00305210">
            <w:pPr>
              <w:spacing w:before="0" w:after="0" w:line="240" w:lineRule="auto"/>
              <w:jc w:val="center"/>
              <w:rPr>
                <w:rFonts w:ascii="Arial" w:eastAsia="Times New Roman" w:hAnsi="Arial" w:cs="Arial"/>
                <w:b/>
                <w:bCs/>
                <w:color w:val="000000"/>
                <w:szCs w:val="24"/>
                <w:lang w:bidi="bn-IN"/>
              </w:rPr>
            </w:pPr>
            <w:r w:rsidRPr="00A13288">
              <w:rPr>
                <w:rFonts w:ascii="Arial" w:eastAsia="Times New Roman" w:hAnsi="Arial" w:cs="Arial"/>
                <w:b/>
                <w:bCs/>
                <w:color w:val="000000"/>
                <w:szCs w:val="24"/>
                <w:lang w:bidi="bn-IN"/>
              </w:rPr>
              <w:t>Gross profit</w:t>
            </w:r>
          </w:p>
        </w:tc>
        <w:tc>
          <w:tcPr>
            <w:tcW w:w="0" w:type="auto"/>
            <w:tcBorders>
              <w:top w:val="single" w:sz="4" w:space="0" w:color="auto"/>
              <w:left w:val="single" w:sz="4" w:space="0" w:color="auto"/>
              <w:bottom w:val="single" w:sz="4" w:space="0" w:color="auto"/>
              <w:right w:val="single" w:sz="4" w:space="0" w:color="auto"/>
            </w:tcBorders>
            <w:vAlign w:val="center"/>
          </w:tcPr>
          <w:p w14:paraId="03DBC3ED" w14:textId="77777777" w:rsidR="00305210" w:rsidRPr="00A13288" w:rsidRDefault="00305210">
            <w:pPr>
              <w:spacing w:before="0" w:after="0" w:line="240" w:lineRule="auto"/>
              <w:jc w:val="center"/>
              <w:rPr>
                <w:rFonts w:ascii="Arial" w:eastAsia="Times New Roman" w:hAnsi="Arial" w:cs="Arial"/>
                <w:b/>
                <w:bCs/>
                <w:color w:val="000000"/>
                <w:szCs w:val="24"/>
                <w:lang w:bidi="bn-IN"/>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20F80E93" w14:textId="77777777" w:rsidR="00305210" w:rsidRPr="00A13288" w:rsidRDefault="00305210">
            <w:pPr>
              <w:spacing w:before="0" w:after="0" w:line="240" w:lineRule="auto"/>
              <w:jc w:val="center"/>
              <w:rPr>
                <w:rFonts w:ascii="Arial" w:eastAsia="Times New Roman" w:hAnsi="Arial" w:cs="Arial"/>
                <w:b/>
                <w:bCs/>
                <w:color w:val="000000"/>
                <w:szCs w:val="24"/>
                <w:lang w:bidi="bn-IN"/>
              </w:rPr>
            </w:pPr>
            <w:r w:rsidRPr="00A13288">
              <w:rPr>
                <w:rFonts w:ascii="Arial" w:eastAsia="Times New Roman" w:hAnsi="Arial" w:cs="Arial"/>
                <w:b/>
                <w:bCs/>
                <w:color w:val="000000"/>
                <w:szCs w:val="24"/>
                <w:lang w:bidi="bn-IN"/>
              </w:rPr>
              <w:t>222,330</w:t>
            </w:r>
          </w:p>
        </w:tc>
      </w:tr>
      <w:tr w:rsidR="00305210" w:rsidRPr="00A13288" w14:paraId="489F6718"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A07854B" w14:textId="77777777" w:rsidR="00305210" w:rsidRPr="00A13288" w:rsidRDefault="00305210">
            <w:pPr>
              <w:spacing w:before="0" w:after="0" w:line="240" w:lineRule="auto"/>
              <w:jc w:val="center"/>
              <w:rPr>
                <w:rFonts w:ascii="Arial" w:eastAsia="Times New Roman" w:hAnsi="Arial" w:cs="Arial"/>
                <w:b/>
                <w:bCs/>
                <w:color w:val="000000"/>
                <w:szCs w:val="24"/>
                <w:lang w:bidi="bn-IN"/>
              </w:rPr>
            </w:pPr>
            <w:r w:rsidRPr="00A13288">
              <w:rPr>
                <w:rFonts w:ascii="Arial" w:eastAsia="Times New Roman" w:hAnsi="Arial" w:cs="Arial"/>
                <w:b/>
                <w:bCs/>
                <w:color w:val="000000"/>
                <w:szCs w:val="24"/>
                <w:lang w:bidi="bn-IN"/>
              </w:rPr>
              <w:t>(-) Selling, General &amp; Administrative Expenses</w:t>
            </w:r>
          </w:p>
        </w:tc>
        <w:tc>
          <w:tcPr>
            <w:tcW w:w="0" w:type="auto"/>
            <w:tcBorders>
              <w:top w:val="single" w:sz="4" w:space="0" w:color="auto"/>
              <w:left w:val="single" w:sz="4" w:space="0" w:color="auto"/>
              <w:bottom w:val="single" w:sz="4" w:space="0" w:color="auto"/>
              <w:right w:val="single" w:sz="4" w:space="0" w:color="auto"/>
            </w:tcBorders>
            <w:vAlign w:val="center"/>
          </w:tcPr>
          <w:p w14:paraId="2D915C79" w14:textId="77777777" w:rsidR="00305210" w:rsidRPr="00A13288" w:rsidRDefault="00305210">
            <w:pPr>
              <w:spacing w:before="0" w:after="0" w:line="240" w:lineRule="auto"/>
              <w:jc w:val="center"/>
              <w:rPr>
                <w:rFonts w:ascii="Arial" w:eastAsia="Times New Roman" w:hAnsi="Arial" w:cs="Arial"/>
                <w:b/>
                <w:bCs/>
                <w:color w:val="000000"/>
                <w:szCs w:val="24"/>
                <w:lang w:bidi="bn-IN"/>
              </w:rPr>
            </w:pPr>
          </w:p>
        </w:tc>
        <w:tc>
          <w:tcPr>
            <w:tcW w:w="0" w:type="auto"/>
            <w:tcBorders>
              <w:top w:val="single" w:sz="4" w:space="0" w:color="auto"/>
              <w:left w:val="single" w:sz="4" w:space="0" w:color="auto"/>
              <w:bottom w:val="single" w:sz="4" w:space="0" w:color="auto"/>
              <w:right w:val="single" w:sz="4" w:space="0" w:color="auto"/>
            </w:tcBorders>
            <w:noWrap/>
            <w:vAlign w:val="center"/>
          </w:tcPr>
          <w:p w14:paraId="3C9559B6" w14:textId="77777777" w:rsidR="00305210" w:rsidRPr="00A13288" w:rsidRDefault="00305210">
            <w:pPr>
              <w:spacing w:before="0" w:after="0" w:line="240" w:lineRule="auto"/>
              <w:jc w:val="center"/>
              <w:rPr>
                <w:rFonts w:ascii="Arial" w:eastAsia="Times New Roman" w:hAnsi="Arial" w:cs="Arial"/>
                <w:b/>
                <w:bCs/>
                <w:color w:val="000000"/>
                <w:szCs w:val="24"/>
                <w:lang w:bidi="bn-IN"/>
              </w:rPr>
            </w:pPr>
          </w:p>
        </w:tc>
      </w:tr>
      <w:tr w:rsidR="00305210" w:rsidRPr="00A13288" w14:paraId="5975BA87"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642E49A"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Distribution costs</w:t>
            </w:r>
          </w:p>
        </w:tc>
        <w:tc>
          <w:tcPr>
            <w:tcW w:w="0" w:type="auto"/>
            <w:tcBorders>
              <w:top w:val="single" w:sz="4" w:space="0" w:color="auto"/>
              <w:left w:val="single" w:sz="4" w:space="0" w:color="auto"/>
              <w:bottom w:val="single" w:sz="4" w:space="0" w:color="auto"/>
              <w:right w:val="single" w:sz="4" w:space="0" w:color="auto"/>
            </w:tcBorders>
            <w:vAlign w:val="center"/>
            <w:hideMark/>
          </w:tcPr>
          <w:p w14:paraId="6F48BC76"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28,000</w:t>
            </w:r>
          </w:p>
        </w:tc>
        <w:tc>
          <w:tcPr>
            <w:tcW w:w="0" w:type="auto"/>
            <w:tcBorders>
              <w:top w:val="single" w:sz="4" w:space="0" w:color="auto"/>
              <w:left w:val="single" w:sz="4" w:space="0" w:color="auto"/>
              <w:bottom w:val="single" w:sz="4" w:space="0" w:color="auto"/>
              <w:right w:val="single" w:sz="4" w:space="0" w:color="auto"/>
            </w:tcBorders>
            <w:noWrap/>
            <w:vAlign w:val="center"/>
          </w:tcPr>
          <w:p w14:paraId="5472F6DF" w14:textId="77777777" w:rsidR="00305210" w:rsidRPr="00A13288" w:rsidRDefault="00305210">
            <w:pPr>
              <w:spacing w:before="0" w:after="0" w:line="240" w:lineRule="auto"/>
              <w:jc w:val="center"/>
              <w:rPr>
                <w:rFonts w:ascii="Arial" w:eastAsia="Times New Roman" w:hAnsi="Arial" w:cs="Arial"/>
                <w:color w:val="000000"/>
                <w:szCs w:val="24"/>
                <w:lang w:bidi="bn-IN"/>
              </w:rPr>
            </w:pPr>
          </w:p>
        </w:tc>
      </w:tr>
      <w:tr w:rsidR="00305210" w:rsidRPr="00A13288" w14:paraId="64ADD146"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481AE01"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Directors’ remuneration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4DFD117D"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5,000</w:t>
            </w:r>
          </w:p>
        </w:tc>
        <w:tc>
          <w:tcPr>
            <w:tcW w:w="0" w:type="auto"/>
            <w:tcBorders>
              <w:top w:val="single" w:sz="4" w:space="0" w:color="auto"/>
              <w:left w:val="single" w:sz="4" w:space="0" w:color="auto"/>
              <w:bottom w:val="single" w:sz="4" w:space="0" w:color="auto"/>
              <w:right w:val="single" w:sz="4" w:space="0" w:color="auto"/>
            </w:tcBorders>
            <w:noWrap/>
            <w:vAlign w:val="center"/>
          </w:tcPr>
          <w:p w14:paraId="0094B9F0" w14:textId="77777777" w:rsidR="00305210" w:rsidRPr="00A13288" w:rsidRDefault="00305210">
            <w:pPr>
              <w:spacing w:before="0" w:after="0" w:line="240" w:lineRule="auto"/>
              <w:jc w:val="center"/>
              <w:rPr>
                <w:rFonts w:ascii="Arial" w:eastAsia="Times New Roman" w:hAnsi="Arial" w:cs="Arial"/>
                <w:color w:val="000000"/>
                <w:szCs w:val="24"/>
                <w:lang w:bidi="bn-IN"/>
              </w:rPr>
            </w:pPr>
          </w:p>
        </w:tc>
      </w:tr>
      <w:tr w:rsidR="00305210" w:rsidRPr="00A13288" w14:paraId="70FED0A6"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B426742"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Administrative expenses</w:t>
            </w:r>
          </w:p>
        </w:tc>
        <w:tc>
          <w:tcPr>
            <w:tcW w:w="0" w:type="auto"/>
            <w:tcBorders>
              <w:top w:val="single" w:sz="4" w:space="0" w:color="auto"/>
              <w:left w:val="single" w:sz="4" w:space="0" w:color="auto"/>
              <w:bottom w:val="single" w:sz="4" w:space="0" w:color="auto"/>
              <w:right w:val="single" w:sz="4" w:space="0" w:color="auto"/>
            </w:tcBorders>
            <w:vAlign w:val="center"/>
            <w:hideMark/>
          </w:tcPr>
          <w:p w14:paraId="3D804BCF"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30,000</w:t>
            </w:r>
          </w:p>
        </w:tc>
        <w:tc>
          <w:tcPr>
            <w:tcW w:w="0" w:type="auto"/>
            <w:tcBorders>
              <w:top w:val="single" w:sz="4" w:space="0" w:color="auto"/>
              <w:left w:val="single" w:sz="4" w:space="0" w:color="auto"/>
              <w:bottom w:val="single" w:sz="4" w:space="0" w:color="auto"/>
              <w:right w:val="single" w:sz="4" w:space="0" w:color="auto"/>
            </w:tcBorders>
            <w:noWrap/>
            <w:vAlign w:val="center"/>
          </w:tcPr>
          <w:p w14:paraId="7DE90F59" w14:textId="77777777" w:rsidR="00305210" w:rsidRPr="00A13288" w:rsidRDefault="00305210">
            <w:pPr>
              <w:spacing w:before="0" w:after="0" w:line="240" w:lineRule="auto"/>
              <w:jc w:val="center"/>
              <w:rPr>
                <w:rFonts w:ascii="Arial" w:eastAsia="Times New Roman" w:hAnsi="Arial" w:cs="Arial"/>
                <w:color w:val="000000"/>
                <w:szCs w:val="24"/>
                <w:lang w:bidi="bn-IN"/>
              </w:rPr>
            </w:pPr>
          </w:p>
        </w:tc>
      </w:tr>
      <w:tr w:rsidR="00305210" w:rsidRPr="00A13288" w14:paraId="1B9ECCC5" w14:textId="77777777" w:rsidTr="00305210">
        <w:trPr>
          <w:trHeight w:val="3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A97724D"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Sales commission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1F08F9DF"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3,000</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666AA44"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66,000</w:t>
            </w:r>
          </w:p>
        </w:tc>
      </w:tr>
      <w:tr w:rsidR="00305210" w:rsidRPr="00A13288" w14:paraId="0407BF4A"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62261C8" w14:textId="77777777" w:rsidR="00305210" w:rsidRPr="00A13288" w:rsidRDefault="00305210">
            <w:pPr>
              <w:spacing w:before="0" w:after="0" w:line="240" w:lineRule="auto"/>
              <w:jc w:val="center"/>
              <w:rPr>
                <w:rFonts w:ascii="Arial" w:eastAsia="Times New Roman" w:hAnsi="Arial" w:cs="Arial"/>
                <w:b/>
                <w:bCs/>
                <w:color w:val="000000"/>
                <w:szCs w:val="24"/>
                <w:lang w:bidi="bn-IN"/>
              </w:rPr>
            </w:pPr>
            <w:r w:rsidRPr="00A13288">
              <w:rPr>
                <w:rFonts w:ascii="Arial" w:eastAsia="Times New Roman" w:hAnsi="Arial" w:cs="Arial"/>
                <w:b/>
                <w:bCs/>
                <w:color w:val="000000"/>
                <w:szCs w:val="24"/>
                <w:lang w:bidi="bn-IN"/>
              </w:rPr>
              <w:t>Operating profit</w:t>
            </w:r>
          </w:p>
        </w:tc>
        <w:tc>
          <w:tcPr>
            <w:tcW w:w="0" w:type="auto"/>
            <w:tcBorders>
              <w:top w:val="single" w:sz="4" w:space="0" w:color="auto"/>
              <w:left w:val="single" w:sz="4" w:space="0" w:color="auto"/>
              <w:bottom w:val="single" w:sz="4" w:space="0" w:color="auto"/>
              <w:right w:val="single" w:sz="4" w:space="0" w:color="auto"/>
            </w:tcBorders>
            <w:vAlign w:val="center"/>
          </w:tcPr>
          <w:p w14:paraId="600E02AE" w14:textId="77777777" w:rsidR="00305210" w:rsidRPr="00A13288" w:rsidRDefault="00305210">
            <w:pPr>
              <w:spacing w:before="0" w:after="0" w:line="240" w:lineRule="auto"/>
              <w:jc w:val="center"/>
              <w:rPr>
                <w:rFonts w:ascii="Arial" w:eastAsia="Times New Roman" w:hAnsi="Arial" w:cs="Arial"/>
                <w:b/>
                <w:bCs/>
                <w:color w:val="000000"/>
                <w:szCs w:val="24"/>
                <w:lang w:bidi="bn-IN"/>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489C2ED" w14:textId="77777777" w:rsidR="00305210" w:rsidRPr="00A13288" w:rsidRDefault="00305210">
            <w:pPr>
              <w:spacing w:before="0" w:after="0" w:line="240" w:lineRule="auto"/>
              <w:jc w:val="center"/>
              <w:rPr>
                <w:rFonts w:ascii="Arial" w:eastAsia="Times New Roman" w:hAnsi="Arial" w:cs="Arial"/>
                <w:b/>
                <w:bCs/>
                <w:color w:val="000000"/>
                <w:szCs w:val="24"/>
                <w:lang w:bidi="bn-IN"/>
              </w:rPr>
            </w:pPr>
            <w:r w:rsidRPr="00A13288">
              <w:rPr>
                <w:rFonts w:ascii="Arial" w:eastAsia="Times New Roman" w:hAnsi="Arial" w:cs="Arial"/>
                <w:b/>
                <w:bCs/>
                <w:color w:val="000000"/>
                <w:szCs w:val="24"/>
                <w:lang w:bidi="bn-IN"/>
              </w:rPr>
              <w:t>156,330</w:t>
            </w:r>
          </w:p>
        </w:tc>
      </w:tr>
      <w:tr w:rsidR="00305210" w:rsidRPr="00A13288" w14:paraId="03E8613D" w14:textId="77777777" w:rsidTr="00305210">
        <w:trPr>
          <w:trHeight w:val="3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8422E69"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 Interest paid</w:t>
            </w:r>
          </w:p>
        </w:tc>
        <w:tc>
          <w:tcPr>
            <w:tcW w:w="0" w:type="auto"/>
            <w:tcBorders>
              <w:top w:val="single" w:sz="4" w:space="0" w:color="auto"/>
              <w:left w:val="single" w:sz="4" w:space="0" w:color="auto"/>
              <w:bottom w:val="single" w:sz="4" w:space="0" w:color="auto"/>
              <w:right w:val="single" w:sz="4" w:space="0" w:color="auto"/>
            </w:tcBorders>
            <w:vAlign w:val="center"/>
          </w:tcPr>
          <w:p w14:paraId="5DFB3248" w14:textId="77777777" w:rsidR="00305210" w:rsidRPr="00A13288" w:rsidRDefault="00305210">
            <w:pPr>
              <w:spacing w:before="0" w:after="0" w:line="240" w:lineRule="auto"/>
              <w:jc w:val="center"/>
              <w:rPr>
                <w:rFonts w:ascii="Arial" w:eastAsia="Times New Roman" w:hAnsi="Arial" w:cs="Arial"/>
                <w:color w:val="000000"/>
                <w:szCs w:val="24"/>
                <w:lang w:bidi="bn-IN"/>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8C4E095"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2,000</w:t>
            </w:r>
          </w:p>
        </w:tc>
      </w:tr>
      <w:tr w:rsidR="00305210" w:rsidRPr="00A13288" w14:paraId="6838BEE0"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04E721FA" w14:textId="77777777" w:rsidR="00305210" w:rsidRPr="00A13288" w:rsidRDefault="00305210">
            <w:pPr>
              <w:spacing w:before="0" w:after="0" w:line="240" w:lineRule="auto"/>
              <w:jc w:val="center"/>
              <w:rPr>
                <w:rFonts w:ascii="Arial" w:eastAsia="Times New Roman" w:hAnsi="Arial" w:cs="Arial"/>
                <w:b/>
                <w:bCs/>
                <w:color w:val="000000"/>
                <w:szCs w:val="24"/>
                <w:lang w:bidi="bn-IN"/>
              </w:rPr>
            </w:pPr>
            <w:r w:rsidRPr="00A13288">
              <w:rPr>
                <w:rFonts w:ascii="Arial" w:eastAsia="Times New Roman" w:hAnsi="Arial" w:cs="Arial"/>
                <w:b/>
                <w:bCs/>
                <w:color w:val="000000"/>
                <w:szCs w:val="24"/>
                <w:lang w:bidi="bn-IN"/>
              </w:rPr>
              <w:t>Profit before taxation</w:t>
            </w:r>
          </w:p>
        </w:tc>
        <w:tc>
          <w:tcPr>
            <w:tcW w:w="0" w:type="auto"/>
            <w:tcBorders>
              <w:top w:val="single" w:sz="4" w:space="0" w:color="auto"/>
              <w:left w:val="single" w:sz="4" w:space="0" w:color="auto"/>
              <w:bottom w:val="single" w:sz="4" w:space="0" w:color="auto"/>
              <w:right w:val="single" w:sz="4" w:space="0" w:color="auto"/>
            </w:tcBorders>
            <w:vAlign w:val="center"/>
          </w:tcPr>
          <w:p w14:paraId="320F2BDE" w14:textId="77777777" w:rsidR="00305210" w:rsidRPr="00A13288" w:rsidRDefault="00305210">
            <w:pPr>
              <w:spacing w:before="0" w:after="0" w:line="240" w:lineRule="auto"/>
              <w:jc w:val="center"/>
              <w:rPr>
                <w:rFonts w:ascii="Arial" w:eastAsia="Times New Roman" w:hAnsi="Arial" w:cs="Arial"/>
                <w:b/>
                <w:bCs/>
                <w:color w:val="000000"/>
                <w:szCs w:val="24"/>
                <w:lang w:bidi="bn-IN"/>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B12B865" w14:textId="77777777" w:rsidR="00305210" w:rsidRPr="00A13288" w:rsidRDefault="00305210">
            <w:pPr>
              <w:spacing w:before="0" w:after="0" w:line="240" w:lineRule="auto"/>
              <w:jc w:val="center"/>
              <w:rPr>
                <w:rFonts w:ascii="Arial" w:eastAsia="Times New Roman" w:hAnsi="Arial" w:cs="Arial"/>
                <w:b/>
                <w:bCs/>
                <w:color w:val="000000"/>
                <w:szCs w:val="24"/>
                <w:lang w:bidi="bn-IN"/>
              </w:rPr>
            </w:pPr>
            <w:r w:rsidRPr="00A13288">
              <w:rPr>
                <w:rFonts w:ascii="Arial" w:eastAsia="Times New Roman" w:hAnsi="Arial" w:cs="Arial"/>
                <w:b/>
                <w:bCs/>
                <w:color w:val="000000"/>
                <w:szCs w:val="24"/>
                <w:lang w:bidi="bn-IN"/>
              </w:rPr>
              <w:t>154,330</w:t>
            </w:r>
          </w:p>
        </w:tc>
      </w:tr>
      <w:tr w:rsidR="00305210" w:rsidRPr="00A13288" w14:paraId="2DA96817" w14:textId="77777777" w:rsidTr="00305210">
        <w:trPr>
          <w:trHeight w:val="3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3FF7C74"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 Corporate Tax</w:t>
            </w:r>
          </w:p>
        </w:tc>
        <w:tc>
          <w:tcPr>
            <w:tcW w:w="0" w:type="auto"/>
            <w:tcBorders>
              <w:top w:val="single" w:sz="4" w:space="0" w:color="auto"/>
              <w:left w:val="single" w:sz="4" w:space="0" w:color="auto"/>
              <w:bottom w:val="single" w:sz="4" w:space="0" w:color="auto"/>
              <w:right w:val="single" w:sz="4" w:space="0" w:color="auto"/>
            </w:tcBorders>
            <w:vAlign w:val="center"/>
          </w:tcPr>
          <w:p w14:paraId="5B564941" w14:textId="77777777" w:rsidR="00305210" w:rsidRPr="00A13288" w:rsidRDefault="00305210">
            <w:pPr>
              <w:spacing w:before="0" w:after="0" w:line="240" w:lineRule="auto"/>
              <w:jc w:val="center"/>
              <w:rPr>
                <w:rFonts w:ascii="Arial" w:eastAsia="Times New Roman" w:hAnsi="Arial" w:cs="Arial"/>
                <w:color w:val="000000"/>
                <w:szCs w:val="24"/>
                <w:lang w:bidi="bn-IN"/>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184517A9"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100,000</w:t>
            </w:r>
          </w:p>
        </w:tc>
      </w:tr>
      <w:tr w:rsidR="00305210" w:rsidRPr="00A13288" w14:paraId="4783C262" w14:textId="77777777" w:rsidTr="00305210">
        <w:trPr>
          <w:trHeight w:val="31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70B0EF3" w14:textId="77777777" w:rsidR="00305210" w:rsidRPr="00A13288" w:rsidRDefault="00305210">
            <w:pPr>
              <w:spacing w:before="0" w:after="0" w:line="240" w:lineRule="auto"/>
              <w:jc w:val="center"/>
              <w:rPr>
                <w:rFonts w:ascii="Arial" w:eastAsia="Times New Roman" w:hAnsi="Arial" w:cs="Arial"/>
                <w:b/>
                <w:bCs/>
                <w:color w:val="000000"/>
                <w:szCs w:val="24"/>
                <w:lang w:bidi="bn-IN"/>
              </w:rPr>
            </w:pPr>
            <w:r w:rsidRPr="00A13288">
              <w:rPr>
                <w:rFonts w:ascii="Arial" w:eastAsia="Times New Roman" w:hAnsi="Arial" w:cs="Arial"/>
                <w:b/>
                <w:bCs/>
                <w:color w:val="000000"/>
                <w:szCs w:val="24"/>
                <w:lang w:bidi="bn-IN"/>
              </w:rPr>
              <w:t>Profit for the year</w:t>
            </w:r>
          </w:p>
        </w:tc>
        <w:tc>
          <w:tcPr>
            <w:tcW w:w="0" w:type="auto"/>
            <w:tcBorders>
              <w:top w:val="single" w:sz="4" w:space="0" w:color="auto"/>
              <w:left w:val="single" w:sz="4" w:space="0" w:color="auto"/>
              <w:bottom w:val="single" w:sz="4" w:space="0" w:color="auto"/>
              <w:right w:val="single" w:sz="4" w:space="0" w:color="auto"/>
            </w:tcBorders>
            <w:vAlign w:val="center"/>
          </w:tcPr>
          <w:p w14:paraId="5E495CE3" w14:textId="77777777" w:rsidR="00305210" w:rsidRPr="00A13288" w:rsidRDefault="00305210">
            <w:pPr>
              <w:spacing w:before="0" w:after="0" w:line="240" w:lineRule="auto"/>
              <w:jc w:val="center"/>
              <w:rPr>
                <w:rFonts w:ascii="Arial" w:eastAsia="Times New Roman" w:hAnsi="Arial" w:cs="Arial"/>
                <w:b/>
                <w:bCs/>
                <w:color w:val="000000"/>
                <w:szCs w:val="24"/>
                <w:lang w:bidi="bn-IN"/>
              </w:rPr>
            </w:pP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F7D5DC9" w14:textId="77777777" w:rsidR="00305210" w:rsidRPr="00A13288" w:rsidRDefault="00305210">
            <w:pPr>
              <w:spacing w:before="0" w:after="0" w:line="240" w:lineRule="auto"/>
              <w:jc w:val="center"/>
              <w:rPr>
                <w:rFonts w:ascii="Arial" w:eastAsia="Times New Roman" w:hAnsi="Arial" w:cs="Arial"/>
                <w:b/>
                <w:bCs/>
                <w:color w:val="000000"/>
                <w:szCs w:val="24"/>
                <w:lang w:bidi="bn-IN"/>
              </w:rPr>
            </w:pPr>
            <w:r w:rsidRPr="00A13288">
              <w:rPr>
                <w:rFonts w:ascii="Arial" w:eastAsia="Times New Roman" w:hAnsi="Arial" w:cs="Arial"/>
                <w:b/>
                <w:bCs/>
                <w:szCs w:val="24"/>
                <w:lang w:bidi="bn-IN"/>
              </w:rPr>
              <w:t>54,330</w:t>
            </w:r>
          </w:p>
        </w:tc>
      </w:tr>
    </w:tbl>
    <w:p w14:paraId="5D5E413B" w14:textId="77777777" w:rsidR="00A13288" w:rsidRPr="00A13288" w:rsidRDefault="00305210" w:rsidP="00305210">
      <w:pPr>
        <w:rPr>
          <w:rFonts w:ascii="Arial" w:hAnsi="Arial" w:cs="Arial"/>
          <w:szCs w:val="24"/>
        </w:rPr>
      </w:pPr>
      <w:r w:rsidRPr="00A13288">
        <w:rPr>
          <w:rFonts w:ascii="Arial" w:hAnsi="Arial" w:cs="Arial"/>
          <w:szCs w:val="24"/>
        </w:rPr>
        <w:t xml:space="preserve">A balance sheet is a summary of a person's or organization's financial position at a certain point in time. It is used in the accounting process. Any kind of firm, whether it be a sole proprietorship, a commercial partnership, a corporation, a private limited company, or any other entity like the government or a non-profit, may use a balance sheet to keep track of their assets and liabilities (Godfrey, 2010).       </w:t>
      </w:r>
    </w:p>
    <w:p w14:paraId="116740A3" w14:textId="77777777" w:rsidR="00A13288" w:rsidRPr="00A13288" w:rsidRDefault="00A13288" w:rsidP="00305210">
      <w:pPr>
        <w:rPr>
          <w:rFonts w:ascii="Arial" w:hAnsi="Arial" w:cs="Arial"/>
          <w:szCs w:val="24"/>
        </w:rPr>
      </w:pPr>
    </w:p>
    <w:p w14:paraId="1CF4CC26" w14:textId="77777777" w:rsidR="00A13288" w:rsidRPr="00A13288" w:rsidRDefault="00A13288" w:rsidP="00305210">
      <w:pPr>
        <w:rPr>
          <w:rFonts w:ascii="Arial" w:hAnsi="Arial" w:cs="Arial"/>
          <w:szCs w:val="24"/>
        </w:rPr>
      </w:pPr>
    </w:p>
    <w:p w14:paraId="24C505B1" w14:textId="41275501" w:rsidR="00305210" w:rsidRPr="00A13288" w:rsidRDefault="00305210" w:rsidP="00305210">
      <w:pPr>
        <w:rPr>
          <w:rFonts w:ascii="Arial" w:hAnsi="Arial" w:cs="Arial"/>
          <w:szCs w:val="24"/>
        </w:rPr>
      </w:pPr>
      <w:r w:rsidRPr="00A13288">
        <w:rPr>
          <w:rFonts w:ascii="Arial" w:hAnsi="Arial" w:cs="Arial"/>
          <w:szCs w:val="24"/>
        </w:rPr>
        <w:t xml:space="preserve">     </w:t>
      </w:r>
    </w:p>
    <w:tbl>
      <w:tblPr>
        <w:tblW w:w="5086" w:type="dxa"/>
        <w:jc w:val="center"/>
        <w:tblLook w:val="04A0" w:firstRow="1" w:lastRow="0" w:firstColumn="1" w:lastColumn="0" w:noHBand="0" w:noVBand="1"/>
      </w:tblPr>
      <w:tblGrid>
        <w:gridCol w:w="3310"/>
        <w:gridCol w:w="1776"/>
      </w:tblGrid>
      <w:tr w:rsidR="00305210" w:rsidRPr="00A13288" w14:paraId="5A9E1651" w14:textId="77777777" w:rsidTr="00305210">
        <w:trPr>
          <w:trHeight w:val="310"/>
          <w:jc w:val="center"/>
        </w:trPr>
        <w:tc>
          <w:tcPr>
            <w:tcW w:w="5086" w:type="dxa"/>
            <w:gridSpan w:val="2"/>
            <w:noWrap/>
            <w:vAlign w:val="bottom"/>
            <w:hideMark/>
          </w:tcPr>
          <w:p w14:paraId="357813D8" w14:textId="77777777" w:rsidR="00305210" w:rsidRPr="00A13288" w:rsidRDefault="00305210">
            <w:pPr>
              <w:spacing w:before="0" w:after="0" w:line="240" w:lineRule="auto"/>
              <w:jc w:val="center"/>
              <w:rPr>
                <w:rFonts w:ascii="Arial" w:eastAsia="Times New Roman" w:hAnsi="Arial" w:cs="Arial"/>
                <w:b/>
                <w:bCs/>
                <w:color w:val="000000"/>
                <w:szCs w:val="24"/>
                <w:lang w:val="en-US" w:bidi="bn-IN"/>
              </w:rPr>
            </w:pPr>
            <w:r w:rsidRPr="00A13288">
              <w:rPr>
                <w:rFonts w:ascii="Arial" w:eastAsia="Times New Roman" w:hAnsi="Arial" w:cs="Arial"/>
                <w:b/>
                <w:bCs/>
                <w:color w:val="000000"/>
                <w:szCs w:val="24"/>
                <w:lang w:val="en-US" w:bidi="bn-IN"/>
              </w:rPr>
              <w:lastRenderedPageBreak/>
              <w:t>Statement of Financial Position</w:t>
            </w:r>
          </w:p>
        </w:tc>
      </w:tr>
      <w:tr w:rsidR="00305210" w:rsidRPr="00A13288" w14:paraId="6F07D205" w14:textId="77777777" w:rsidTr="00305210">
        <w:trPr>
          <w:trHeight w:val="310"/>
          <w:jc w:val="center"/>
        </w:trPr>
        <w:tc>
          <w:tcPr>
            <w:tcW w:w="5086" w:type="dxa"/>
            <w:gridSpan w:val="2"/>
            <w:noWrap/>
            <w:vAlign w:val="bottom"/>
            <w:hideMark/>
          </w:tcPr>
          <w:p w14:paraId="7DCAFAE3"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Wales PLC</w:t>
            </w:r>
          </w:p>
        </w:tc>
      </w:tr>
      <w:tr w:rsidR="00305210" w:rsidRPr="00A13288" w14:paraId="180292DD" w14:textId="77777777" w:rsidTr="00305210">
        <w:trPr>
          <w:trHeight w:val="310"/>
          <w:jc w:val="center"/>
        </w:trPr>
        <w:tc>
          <w:tcPr>
            <w:tcW w:w="5086" w:type="dxa"/>
            <w:gridSpan w:val="2"/>
            <w:noWrap/>
            <w:vAlign w:val="bottom"/>
            <w:hideMark/>
          </w:tcPr>
          <w:p w14:paraId="1A10F7E4"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for the year ended 31st December, 2021</w:t>
            </w:r>
          </w:p>
        </w:tc>
      </w:tr>
      <w:tr w:rsidR="00305210" w:rsidRPr="00A13288" w14:paraId="3DA638B0" w14:textId="77777777" w:rsidTr="00305210">
        <w:trPr>
          <w:trHeight w:val="310"/>
          <w:jc w:val="center"/>
        </w:trPr>
        <w:tc>
          <w:tcPr>
            <w:tcW w:w="3310" w:type="dxa"/>
            <w:noWrap/>
            <w:vAlign w:val="center"/>
            <w:hideMark/>
          </w:tcPr>
          <w:p w14:paraId="35C8E221" w14:textId="77777777" w:rsidR="00305210" w:rsidRPr="00A13288" w:rsidRDefault="00305210">
            <w:pPr>
              <w:spacing w:before="0" w:after="0" w:line="240" w:lineRule="auto"/>
              <w:jc w:val="left"/>
              <w:rPr>
                <w:rFonts w:ascii="Arial" w:eastAsia="Times New Roman" w:hAnsi="Arial" w:cs="Arial"/>
                <w:b/>
                <w:bCs/>
                <w:color w:val="000000"/>
                <w:szCs w:val="24"/>
                <w:lang w:val="en-US" w:bidi="bn-IN"/>
              </w:rPr>
            </w:pPr>
            <w:r w:rsidRPr="00A13288">
              <w:rPr>
                <w:rFonts w:ascii="Arial" w:eastAsia="Times New Roman" w:hAnsi="Arial" w:cs="Arial"/>
                <w:b/>
                <w:bCs/>
                <w:color w:val="000000"/>
                <w:szCs w:val="24"/>
                <w:lang w:val="en-US" w:bidi="bn-IN"/>
              </w:rPr>
              <w:t xml:space="preserve">Non- Current assets </w:t>
            </w:r>
          </w:p>
        </w:tc>
        <w:tc>
          <w:tcPr>
            <w:tcW w:w="1776" w:type="dxa"/>
            <w:noWrap/>
            <w:vAlign w:val="bottom"/>
            <w:hideMark/>
          </w:tcPr>
          <w:p w14:paraId="7697EE84" w14:textId="77777777" w:rsidR="00305210" w:rsidRPr="00A13288" w:rsidRDefault="00305210">
            <w:pPr>
              <w:rPr>
                <w:rFonts w:ascii="Arial" w:eastAsia="Times New Roman" w:hAnsi="Arial" w:cs="Arial"/>
                <w:b/>
                <w:bCs/>
                <w:color w:val="000000"/>
                <w:szCs w:val="24"/>
                <w:lang w:val="en-US" w:bidi="bn-IN"/>
              </w:rPr>
            </w:pPr>
          </w:p>
        </w:tc>
      </w:tr>
      <w:tr w:rsidR="00305210" w:rsidRPr="00A13288" w14:paraId="71BDA75C" w14:textId="77777777" w:rsidTr="00305210">
        <w:trPr>
          <w:trHeight w:val="310"/>
          <w:jc w:val="center"/>
        </w:trPr>
        <w:tc>
          <w:tcPr>
            <w:tcW w:w="3310" w:type="dxa"/>
            <w:noWrap/>
            <w:vAlign w:val="center"/>
            <w:hideMark/>
          </w:tcPr>
          <w:p w14:paraId="2CD97FCC"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Property, </w:t>
            </w:r>
            <w:proofErr w:type="gramStart"/>
            <w:r w:rsidRPr="00A13288">
              <w:rPr>
                <w:rFonts w:ascii="Arial" w:eastAsia="Times New Roman" w:hAnsi="Arial" w:cs="Arial"/>
                <w:color w:val="000000"/>
                <w:szCs w:val="24"/>
                <w:lang w:val="en-US" w:bidi="bn-IN"/>
              </w:rPr>
              <w:t>plant</w:t>
            </w:r>
            <w:proofErr w:type="gramEnd"/>
            <w:r w:rsidRPr="00A13288">
              <w:rPr>
                <w:rFonts w:ascii="Arial" w:eastAsia="Times New Roman" w:hAnsi="Arial" w:cs="Arial"/>
                <w:color w:val="000000"/>
                <w:szCs w:val="24"/>
                <w:lang w:val="en-US" w:bidi="bn-IN"/>
              </w:rPr>
              <w:t xml:space="preserve"> and equipment </w:t>
            </w:r>
          </w:p>
        </w:tc>
        <w:tc>
          <w:tcPr>
            <w:tcW w:w="1776" w:type="dxa"/>
            <w:noWrap/>
            <w:vAlign w:val="bottom"/>
            <w:hideMark/>
          </w:tcPr>
          <w:p w14:paraId="2F087001"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1,250,000 </w:t>
            </w:r>
          </w:p>
        </w:tc>
      </w:tr>
      <w:tr w:rsidR="00305210" w:rsidRPr="00A13288" w14:paraId="663954B0" w14:textId="77777777" w:rsidTr="00305210">
        <w:trPr>
          <w:trHeight w:val="310"/>
          <w:jc w:val="center"/>
        </w:trPr>
        <w:tc>
          <w:tcPr>
            <w:tcW w:w="3310" w:type="dxa"/>
            <w:tcBorders>
              <w:top w:val="nil"/>
              <w:left w:val="nil"/>
              <w:bottom w:val="single" w:sz="4" w:space="0" w:color="auto"/>
              <w:right w:val="nil"/>
            </w:tcBorders>
            <w:noWrap/>
            <w:vAlign w:val="center"/>
            <w:hideMark/>
          </w:tcPr>
          <w:p w14:paraId="13CA5BD3"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Investments </w:t>
            </w:r>
          </w:p>
        </w:tc>
        <w:tc>
          <w:tcPr>
            <w:tcW w:w="1776" w:type="dxa"/>
            <w:tcBorders>
              <w:top w:val="nil"/>
              <w:left w:val="nil"/>
              <w:bottom w:val="single" w:sz="4" w:space="0" w:color="auto"/>
              <w:right w:val="nil"/>
            </w:tcBorders>
            <w:noWrap/>
            <w:vAlign w:val="bottom"/>
            <w:hideMark/>
          </w:tcPr>
          <w:p w14:paraId="55317A9A"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376,270 </w:t>
            </w:r>
          </w:p>
        </w:tc>
      </w:tr>
      <w:tr w:rsidR="00305210" w:rsidRPr="00A13288" w14:paraId="25F6EB1A" w14:textId="77777777" w:rsidTr="00305210">
        <w:trPr>
          <w:trHeight w:val="310"/>
          <w:jc w:val="center"/>
        </w:trPr>
        <w:tc>
          <w:tcPr>
            <w:tcW w:w="3310" w:type="dxa"/>
            <w:noWrap/>
            <w:vAlign w:val="center"/>
            <w:hideMark/>
          </w:tcPr>
          <w:p w14:paraId="4072CF9C"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w:t>
            </w:r>
          </w:p>
        </w:tc>
        <w:tc>
          <w:tcPr>
            <w:tcW w:w="1776" w:type="dxa"/>
            <w:noWrap/>
            <w:vAlign w:val="bottom"/>
            <w:hideMark/>
          </w:tcPr>
          <w:p w14:paraId="0F936E30"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1,626,270 </w:t>
            </w:r>
          </w:p>
        </w:tc>
      </w:tr>
      <w:tr w:rsidR="00305210" w:rsidRPr="00A13288" w14:paraId="1E47FDF8" w14:textId="77777777" w:rsidTr="00305210">
        <w:trPr>
          <w:trHeight w:val="310"/>
          <w:jc w:val="center"/>
        </w:trPr>
        <w:tc>
          <w:tcPr>
            <w:tcW w:w="3310" w:type="dxa"/>
            <w:noWrap/>
            <w:vAlign w:val="center"/>
            <w:hideMark/>
          </w:tcPr>
          <w:p w14:paraId="0CA5F8C0" w14:textId="77777777" w:rsidR="00305210" w:rsidRPr="00A13288" w:rsidRDefault="00305210">
            <w:pPr>
              <w:spacing w:before="0" w:after="0" w:line="240" w:lineRule="auto"/>
              <w:jc w:val="left"/>
              <w:rPr>
                <w:rFonts w:ascii="Arial" w:eastAsia="Times New Roman" w:hAnsi="Arial" w:cs="Arial"/>
                <w:b/>
                <w:bCs/>
                <w:color w:val="000000"/>
                <w:szCs w:val="24"/>
                <w:lang w:val="en-US" w:bidi="bn-IN"/>
              </w:rPr>
            </w:pPr>
            <w:r w:rsidRPr="00A13288">
              <w:rPr>
                <w:rFonts w:ascii="Arial" w:eastAsia="Times New Roman" w:hAnsi="Arial" w:cs="Arial"/>
                <w:b/>
                <w:bCs/>
                <w:color w:val="000000"/>
                <w:szCs w:val="24"/>
                <w:lang w:val="en-US" w:bidi="bn-IN"/>
              </w:rPr>
              <w:t xml:space="preserve">Current assets </w:t>
            </w:r>
          </w:p>
        </w:tc>
        <w:tc>
          <w:tcPr>
            <w:tcW w:w="1776" w:type="dxa"/>
            <w:noWrap/>
            <w:vAlign w:val="bottom"/>
            <w:hideMark/>
          </w:tcPr>
          <w:p w14:paraId="564488FC" w14:textId="77777777" w:rsidR="00305210" w:rsidRPr="00A13288" w:rsidRDefault="00305210">
            <w:pPr>
              <w:rPr>
                <w:rFonts w:ascii="Arial" w:eastAsia="Times New Roman" w:hAnsi="Arial" w:cs="Arial"/>
                <w:b/>
                <w:bCs/>
                <w:color w:val="000000"/>
                <w:szCs w:val="24"/>
                <w:lang w:val="en-US" w:bidi="bn-IN"/>
              </w:rPr>
            </w:pPr>
          </w:p>
        </w:tc>
      </w:tr>
      <w:tr w:rsidR="00305210" w:rsidRPr="00A13288" w14:paraId="7FE0AA75" w14:textId="77777777" w:rsidTr="00305210">
        <w:trPr>
          <w:trHeight w:val="310"/>
          <w:jc w:val="center"/>
        </w:trPr>
        <w:tc>
          <w:tcPr>
            <w:tcW w:w="3310" w:type="dxa"/>
            <w:noWrap/>
            <w:vAlign w:val="center"/>
            <w:hideMark/>
          </w:tcPr>
          <w:p w14:paraId="4AE6E571"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Trade receivables  </w:t>
            </w:r>
          </w:p>
        </w:tc>
        <w:tc>
          <w:tcPr>
            <w:tcW w:w="1776" w:type="dxa"/>
            <w:noWrap/>
            <w:vAlign w:val="bottom"/>
            <w:hideMark/>
          </w:tcPr>
          <w:p w14:paraId="16FCEB6E"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171,105 </w:t>
            </w:r>
          </w:p>
        </w:tc>
      </w:tr>
      <w:tr w:rsidR="00305210" w:rsidRPr="00A13288" w14:paraId="3CA4AF9F" w14:textId="77777777" w:rsidTr="00305210">
        <w:trPr>
          <w:trHeight w:val="310"/>
          <w:jc w:val="center"/>
        </w:trPr>
        <w:tc>
          <w:tcPr>
            <w:tcW w:w="3310" w:type="dxa"/>
            <w:tcBorders>
              <w:top w:val="nil"/>
              <w:left w:val="nil"/>
              <w:bottom w:val="single" w:sz="4" w:space="0" w:color="auto"/>
              <w:right w:val="nil"/>
            </w:tcBorders>
            <w:noWrap/>
            <w:vAlign w:val="center"/>
            <w:hideMark/>
          </w:tcPr>
          <w:p w14:paraId="68F83FFD"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Cash and bank </w:t>
            </w:r>
          </w:p>
        </w:tc>
        <w:tc>
          <w:tcPr>
            <w:tcW w:w="1776" w:type="dxa"/>
            <w:tcBorders>
              <w:top w:val="nil"/>
              <w:left w:val="nil"/>
              <w:bottom w:val="single" w:sz="4" w:space="0" w:color="auto"/>
              <w:right w:val="nil"/>
            </w:tcBorders>
            <w:noWrap/>
            <w:vAlign w:val="bottom"/>
            <w:hideMark/>
          </w:tcPr>
          <w:p w14:paraId="16BBC5EC"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176,250 </w:t>
            </w:r>
          </w:p>
        </w:tc>
      </w:tr>
      <w:tr w:rsidR="00305210" w:rsidRPr="00A13288" w14:paraId="2CFCAAF4" w14:textId="77777777" w:rsidTr="00305210">
        <w:trPr>
          <w:trHeight w:val="310"/>
          <w:jc w:val="center"/>
        </w:trPr>
        <w:tc>
          <w:tcPr>
            <w:tcW w:w="3310" w:type="dxa"/>
            <w:noWrap/>
            <w:vAlign w:val="center"/>
            <w:hideMark/>
          </w:tcPr>
          <w:p w14:paraId="14F24C25"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w:t>
            </w:r>
          </w:p>
        </w:tc>
        <w:tc>
          <w:tcPr>
            <w:tcW w:w="1776" w:type="dxa"/>
            <w:noWrap/>
            <w:vAlign w:val="bottom"/>
            <w:hideMark/>
          </w:tcPr>
          <w:p w14:paraId="2E5FD1B4"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347,355 </w:t>
            </w:r>
          </w:p>
        </w:tc>
      </w:tr>
      <w:tr w:rsidR="00305210" w:rsidRPr="00A13288" w14:paraId="39431B3E" w14:textId="77777777" w:rsidTr="00305210">
        <w:trPr>
          <w:trHeight w:val="310"/>
          <w:jc w:val="center"/>
        </w:trPr>
        <w:tc>
          <w:tcPr>
            <w:tcW w:w="3310" w:type="dxa"/>
            <w:noWrap/>
            <w:vAlign w:val="center"/>
            <w:hideMark/>
          </w:tcPr>
          <w:p w14:paraId="74370DD5"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w:t>
            </w:r>
          </w:p>
        </w:tc>
        <w:tc>
          <w:tcPr>
            <w:tcW w:w="1776" w:type="dxa"/>
            <w:noWrap/>
            <w:vAlign w:val="bottom"/>
            <w:hideMark/>
          </w:tcPr>
          <w:p w14:paraId="7F1A913F" w14:textId="77777777" w:rsidR="00305210" w:rsidRPr="00A13288" w:rsidRDefault="00305210">
            <w:pPr>
              <w:rPr>
                <w:rFonts w:ascii="Arial" w:eastAsia="Times New Roman" w:hAnsi="Arial" w:cs="Arial"/>
                <w:color w:val="000000"/>
                <w:szCs w:val="24"/>
                <w:lang w:val="en-US" w:bidi="bn-IN"/>
              </w:rPr>
            </w:pPr>
          </w:p>
        </w:tc>
      </w:tr>
      <w:tr w:rsidR="00305210" w:rsidRPr="00A13288" w14:paraId="35E64C3C" w14:textId="77777777" w:rsidTr="00305210">
        <w:trPr>
          <w:trHeight w:val="310"/>
          <w:jc w:val="center"/>
        </w:trPr>
        <w:tc>
          <w:tcPr>
            <w:tcW w:w="3310" w:type="dxa"/>
            <w:noWrap/>
            <w:vAlign w:val="center"/>
            <w:hideMark/>
          </w:tcPr>
          <w:p w14:paraId="5E78EF04" w14:textId="77777777" w:rsidR="00305210" w:rsidRPr="00A13288" w:rsidRDefault="00305210">
            <w:pPr>
              <w:spacing w:before="0" w:after="0" w:line="240" w:lineRule="auto"/>
              <w:jc w:val="left"/>
              <w:rPr>
                <w:rFonts w:ascii="Arial" w:eastAsia="Times New Roman" w:hAnsi="Arial" w:cs="Arial"/>
                <w:b/>
                <w:bCs/>
                <w:color w:val="000000"/>
                <w:szCs w:val="24"/>
                <w:lang w:val="en-US" w:bidi="bn-IN"/>
              </w:rPr>
            </w:pPr>
            <w:r w:rsidRPr="00A13288">
              <w:rPr>
                <w:rFonts w:ascii="Arial" w:eastAsia="Times New Roman" w:hAnsi="Arial" w:cs="Arial"/>
                <w:b/>
                <w:bCs/>
                <w:color w:val="000000"/>
                <w:szCs w:val="24"/>
                <w:lang w:val="en-US" w:bidi="bn-IN"/>
              </w:rPr>
              <w:t xml:space="preserve">Total assets </w:t>
            </w:r>
          </w:p>
        </w:tc>
        <w:tc>
          <w:tcPr>
            <w:tcW w:w="1776" w:type="dxa"/>
            <w:noWrap/>
            <w:vAlign w:val="bottom"/>
            <w:hideMark/>
          </w:tcPr>
          <w:p w14:paraId="60764FF5" w14:textId="77777777" w:rsidR="00305210" w:rsidRPr="00A13288" w:rsidRDefault="00305210">
            <w:pPr>
              <w:spacing w:before="0" w:after="0" w:line="240" w:lineRule="auto"/>
              <w:jc w:val="left"/>
              <w:rPr>
                <w:rFonts w:ascii="Arial" w:eastAsia="Times New Roman" w:hAnsi="Arial" w:cs="Arial"/>
                <w:b/>
                <w:bCs/>
                <w:color w:val="000000"/>
                <w:szCs w:val="24"/>
                <w:lang w:val="en-US" w:bidi="bn-IN"/>
              </w:rPr>
            </w:pPr>
            <w:r w:rsidRPr="00A13288">
              <w:rPr>
                <w:rFonts w:ascii="Arial" w:eastAsia="Times New Roman" w:hAnsi="Arial" w:cs="Arial"/>
                <w:b/>
                <w:bCs/>
                <w:color w:val="000000"/>
                <w:szCs w:val="24"/>
                <w:lang w:val="en-US" w:bidi="bn-IN"/>
              </w:rPr>
              <w:t xml:space="preserve"> €    1,973,625 </w:t>
            </w:r>
          </w:p>
        </w:tc>
      </w:tr>
      <w:tr w:rsidR="00305210" w:rsidRPr="00A13288" w14:paraId="45186587" w14:textId="77777777" w:rsidTr="00305210">
        <w:trPr>
          <w:trHeight w:val="310"/>
          <w:jc w:val="center"/>
        </w:trPr>
        <w:tc>
          <w:tcPr>
            <w:tcW w:w="3310" w:type="dxa"/>
            <w:noWrap/>
            <w:vAlign w:val="center"/>
            <w:hideMark/>
          </w:tcPr>
          <w:p w14:paraId="5F0778A8"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w:t>
            </w:r>
          </w:p>
        </w:tc>
        <w:tc>
          <w:tcPr>
            <w:tcW w:w="1776" w:type="dxa"/>
            <w:noWrap/>
            <w:vAlign w:val="bottom"/>
            <w:hideMark/>
          </w:tcPr>
          <w:p w14:paraId="3CAC9D39" w14:textId="77777777" w:rsidR="00305210" w:rsidRPr="00A13288" w:rsidRDefault="00305210">
            <w:pPr>
              <w:rPr>
                <w:rFonts w:ascii="Arial" w:eastAsia="Times New Roman" w:hAnsi="Arial" w:cs="Arial"/>
                <w:color w:val="000000"/>
                <w:szCs w:val="24"/>
                <w:lang w:val="en-US" w:bidi="bn-IN"/>
              </w:rPr>
            </w:pPr>
          </w:p>
        </w:tc>
      </w:tr>
      <w:tr w:rsidR="00305210" w:rsidRPr="00A13288" w14:paraId="3EBB39A4" w14:textId="77777777" w:rsidTr="00305210">
        <w:trPr>
          <w:trHeight w:val="310"/>
          <w:jc w:val="center"/>
        </w:trPr>
        <w:tc>
          <w:tcPr>
            <w:tcW w:w="3310" w:type="dxa"/>
            <w:noWrap/>
            <w:vAlign w:val="center"/>
            <w:hideMark/>
          </w:tcPr>
          <w:p w14:paraId="53FBD35E" w14:textId="77777777" w:rsidR="00305210" w:rsidRPr="00A13288" w:rsidRDefault="00305210">
            <w:pPr>
              <w:spacing w:before="0" w:after="0" w:line="240" w:lineRule="auto"/>
              <w:jc w:val="left"/>
              <w:rPr>
                <w:rFonts w:ascii="Arial" w:eastAsia="Times New Roman" w:hAnsi="Arial" w:cs="Arial"/>
                <w:b/>
                <w:bCs/>
                <w:color w:val="000000"/>
                <w:szCs w:val="24"/>
                <w:lang w:val="en-US" w:bidi="bn-IN"/>
              </w:rPr>
            </w:pPr>
            <w:r w:rsidRPr="00A13288">
              <w:rPr>
                <w:rFonts w:ascii="Arial" w:eastAsia="Times New Roman" w:hAnsi="Arial" w:cs="Arial"/>
                <w:b/>
                <w:bCs/>
                <w:color w:val="000000"/>
                <w:szCs w:val="24"/>
                <w:lang w:val="en-US" w:bidi="bn-IN"/>
              </w:rPr>
              <w:t xml:space="preserve">Current liabilities </w:t>
            </w:r>
          </w:p>
        </w:tc>
        <w:tc>
          <w:tcPr>
            <w:tcW w:w="1776" w:type="dxa"/>
            <w:noWrap/>
            <w:vAlign w:val="bottom"/>
            <w:hideMark/>
          </w:tcPr>
          <w:p w14:paraId="7EE8A97E" w14:textId="77777777" w:rsidR="00305210" w:rsidRPr="00A13288" w:rsidRDefault="00305210">
            <w:pPr>
              <w:rPr>
                <w:rFonts w:ascii="Arial" w:eastAsia="Times New Roman" w:hAnsi="Arial" w:cs="Arial"/>
                <w:b/>
                <w:bCs/>
                <w:color w:val="000000"/>
                <w:szCs w:val="24"/>
                <w:lang w:val="en-US" w:bidi="bn-IN"/>
              </w:rPr>
            </w:pPr>
          </w:p>
        </w:tc>
      </w:tr>
      <w:tr w:rsidR="00305210" w:rsidRPr="00A13288" w14:paraId="3A8D9448" w14:textId="77777777" w:rsidTr="00305210">
        <w:trPr>
          <w:trHeight w:val="310"/>
          <w:jc w:val="center"/>
        </w:trPr>
        <w:tc>
          <w:tcPr>
            <w:tcW w:w="3310" w:type="dxa"/>
            <w:noWrap/>
            <w:vAlign w:val="center"/>
            <w:hideMark/>
          </w:tcPr>
          <w:p w14:paraId="2F9F0D97"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Trade payables </w:t>
            </w:r>
          </w:p>
        </w:tc>
        <w:tc>
          <w:tcPr>
            <w:tcW w:w="1776" w:type="dxa"/>
            <w:noWrap/>
            <w:vAlign w:val="bottom"/>
            <w:hideMark/>
          </w:tcPr>
          <w:p w14:paraId="03D91880"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188,625 </w:t>
            </w:r>
          </w:p>
        </w:tc>
      </w:tr>
      <w:tr w:rsidR="00305210" w:rsidRPr="00A13288" w14:paraId="41A2BE13" w14:textId="77777777" w:rsidTr="00305210">
        <w:trPr>
          <w:trHeight w:val="310"/>
          <w:jc w:val="center"/>
        </w:trPr>
        <w:tc>
          <w:tcPr>
            <w:tcW w:w="3310" w:type="dxa"/>
            <w:tcBorders>
              <w:top w:val="nil"/>
              <w:left w:val="nil"/>
              <w:bottom w:val="single" w:sz="4" w:space="0" w:color="auto"/>
              <w:right w:val="nil"/>
            </w:tcBorders>
            <w:noWrap/>
            <w:vAlign w:val="center"/>
            <w:hideMark/>
          </w:tcPr>
          <w:p w14:paraId="647E6752"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Other payables</w:t>
            </w:r>
          </w:p>
        </w:tc>
        <w:tc>
          <w:tcPr>
            <w:tcW w:w="1776" w:type="dxa"/>
            <w:tcBorders>
              <w:top w:val="nil"/>
              <w:left w:val="nil"/>
              <w:bottom w:val="single" w:sz="4" w:space="0" w:color="auto"/>
              <w:right w:val="nil"/>
            </w:tcBorders>
            <w:noWrap/>
            <w:vAlign w:val="bottom"/>
            <w:hideMark/>
          </w:tcPr>
          <w:p w14:paraId="604E9479"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3,000 </w:t>
            </w:r>
          </w:p>
        </w:tc>
      </w:tr>
      <w:tr w:rsidR="00305210" w:rsidRPr="00A13288" w14:paraId="1D7B25EC" w14:textId="77777777" w:rsidTr="00305210">
        <w:trPr>
          <w:trHeight w:val="310"/>
          <w:jc w:val="center"/>
        </w:trPr>
        <w:tc>
          <w:tcPr>
            <w:tcW w:w="3310" w:type="dxa"/>
            <w:noWrap/>
            <w:vAlign w:val="center"/>
            <w:hideMark/>
          </w:tcPr>
          <w:p w14:paraId="1B62A9C2"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w:t>
            </w:r>
          </w:p>
        </w:tc>
        <w:tc>
          <w:tcPr>
            <w:tcW w:w="1776" w:type="dxa"/>
            <w:noWrap/>
            <w:vAlign w:val="bottom"/>
            <w:hideMark/>
          </w:tcPr>
          <w:p w14:paraId="33173C90"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191,625 </w:t>
            </w:r>
          </w:p>
        </w:tc>
      </w:tr>
      <w:tr w:rsidR="00305210" w:rsidRPr="00A13288" w14:paraId="76AC3F9D" w14:textId="77777777" w:rsidTr="00305210">
        <w:trPr>
          <w:trHeight w:val="310"/>
          <w:jc w:val="center"/>
        </w:trPr>
        <w:tc>
          <w:tcPr>
            <w:tcW w:w="3310" w:type="dxa"/>
            <w:noWrap/>
            <w:vAlign w:val="center"/>
            <w:hideMark/>
          </w:tcPr>
          <w:p w14:paraId="186A9EC3" w14:textId="77777777" w:rsidR="00305210" w:rsidRPr="00A13288" w:rsidRDefault="00305210">
            <w:pPr>
              <w:spacing w:before="0" w:after="0" w:line="240" w:lineRule="auto"/>
              <w:jc w:val="left"/>
              <w:rPr>
                <w:rFonts w:ascii="Arial" w:eastAsia="Times New Roman" w:hAnsi="Arial" w:cs="Arial"/>
                <w:b/>
                <w:bCs/>
                <w:color w:val="000000"/>
                <w:szCs w:val="24"/>
                <w:lang w:val="en-US" w:bidi="bn-IN"/>
              </w:rPr>
            </w:pPr>
            <w:r w:rsidRPr="00A13288">
              <w:rPr>
                <w:rFonts w:ascii="Arial" w:eastAsia="Times New Roman" w:hAnsi="Arial" w:cs="Arial"/>
                <w:b/>
                <w:bCs/>
                <w:color w:val="000000"/>
                <w:szCs w:val="24"/>
                <w:lang w:val="en-US" w:bidi="bn-IN"/>
              </w:rPr>
              <w:t xml:space="preserve">Non-current liabilities </w:t>
            </w:r>
          </w:p>
        </w:tc>
        <w:tc>
          <w:tcPr>
            <w:tcW w:w="1776" w:type="dxa"/>
            <w:noWrap/>
            <w:vAlign w:val="bottom"/>
            <w:hideMark/>
          </w:tcPr>
          <w:p w14:paraId="4D595204" w14:textId="77777777" w:rsidR="00305210" w:rsidRPr="00A13288" w:rsidRDefault="00305210">
            <w:pPr>
              <w:rPr>
                <w:rFonts w:ascii="Arial" w:eastAsia="Times New Roman" w:hAnsi="Arial" w:cs="Arial"/>
                <w:b/>
                <w:bCs/>
                <w:color w:val="000000"/>
                <w:szCs w:val="24"/>
                <w:lang w:val="en-US" w:bidi="bn-IN"/>
              </w:rPr>
            </w:pPr>
          </w:p>
        </w:tc>
      </w:tr>
      <w:tr w:rsidR="00305210" w:rsidRPr="00A13288" w14:paraId="267E9C39" w14:textId="77777777" w:rsidTr="00305210">
        <w:trPr>
          <w:trHeight w:val="310"/>
          <w:jc w:val="center"/>
        </w:trPr>
        <w:tc>
          <w:tcPr>
            <w:tcW w:w="3310" w:type="dxa"/>
            <w:tcBorders>
              <w:top w:val="nil"/>
              <w:left w:val="nil"/>
              <w:bottom w:val="single" w:sz="4" w:space="0" w:color="auto"/>
              <w:right w:val="nil"/>
            </w:tcBorders>
            <w:noWrap/>
            <w:vAlign w:val="center"/>
            <w:hideMark/>
          </w:tcPr>
          <w:p w14:paraId="491153E9"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Loans and other borrowings </w:t>
            </w:r>
          </w:p>
        </w:tc>
        <w:tc>
          <w:tcPr>
            <w:tcW w:w="1776" w:type="dxa"/>
            <w:tcBorders>
              <w:top w:val="nil"/>
              <w:left w:val="nil"/>
              <w:bottom w:val="single" w:sz="4" w:space="0" w:color="auto"/>
              <w:right w:val="nil"/>
            </w:tcBorders>
            <w:noWrap/>
            <w:vAlign w:val="bottom"/>
            <w:hideMark/>
          </w:tcPr>
          <w:p w14:paraId="38CCDE72"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50,000 </w:t>
            </w:r>
          </w:p>
        </w:tc>
      </w:tr>
      <w:tr w:rsidR="00305210" w:rsidRPr="00A13288" w14:paraId="3E8D10BA" w14:textId="77777777" w:rsidTr="00305210">
        <w:trPr>
          <w:trHeight w:val="310"/>
          <w:jc w:val="center"/>
        </w:trPr>
        <w:tc>
          <w:tcPr>
            <w:tcW w:w="3310" w:type="dxa"/>
            <w:noWrap/>
            <w:vAlign w:val="center"/>
            <w:hideMark/>
          </w:tcPr>
          <w:p w14:paraId="623C0442"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w:t>
            </w:r>
          </w:p>
        </w:tc>
        <w:tc>
          <w:tcPr>
            <w:tcW w:w="1776" w:type="dxa"/>
            <w:noWrap/>
            <w:vAlign w:val="bottom"/>
            <w:hideMark/>
          </w:tcPr>
          <w:p w14:paraId="337C31BE"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50,000 </w:t>
            </w:r>
          </w:p>
        </w:tc>
      </w:tr>
      <w:tr w:rsidR="00305210" w:rsidRPr="00A13288" w14:paraId="54C339F5" w14:textId="77777777" w:rsidTr="00305210">
        <w:trPr>
          <w:trHeight w:val="310"/>
          <w:jc w:val="center"/>
        </w:trPr>
        <w:tc>
          <w:tcPr>
            <w:tcW w:w="3310" w:type="dxa"/>
            <w:noWrap/>
            <w:vAlign w:val="center"/>
            <w:hideMark/>
          </w:tcPr>
          <w:p w14:paraId="44C78D15" w14:textId="77777777" w:rsidR="00305210" w:rsidRPr="00A13288" w:rsidRDefault="00305210">
            <w:pPr>
              <w:rPr>
                <w:rFonts w:ascii="Arial" w:eastAsia="Times New Roman" w:hAnsi="Arial" w:cs="Arial"/>
                <w:color w:val="000000"/>
                <w:szCs w:val="24"/>
                <w:lang w:val="en-US" w:bidi="bn-IN"/>
              </w:rPr>
            </w:pPr>
          </w:p>
        </w:tc>
        <w:tc>
          <w:tcPr>
            <w:tcW w:w="1776" w:type="dxa"/>
            <w:noWrap/>
            <w:vAlign w:val="bottom"/>
            <w:hideMark/>
          </w:tcPr>
          <w:p w14:paraId="367C2C7B" w14:textId="77777777" w:rsidR="00305210" w:rsidRPr="00A13288" w:rsidRDefault="00305210">
            <w:pPr>
              <w:spacing w:before="0" w:after="0" w:line="256" w:lineRule="auto"/>
              <w:jc w:val="left"/>
              <w:rPr>
                <w:rFonts w:ascii="Arial" w:hAnsi="Arial" w:cs="Arial"/>
                <w:szCs w:val="24"/>
                <w:lang w:eastAsia="en-GB"/>
              </w:rPr>
            </w:pPr>
          </w:p>
        </w:tc>
      </w:tr>
      <w:tr w:rsidR="00305210" w:rsidRPr="00A13288" w14:paraId="7CF015A0" w14:textId="77777777" w:rsidTr="00305210">
        <w:trPr>
          <w:trHeight w:val="310"/>
          <w:jc w:val="center"/>
        </w:trPr>
        <w:tc>
          <w:tcPr>
            <w:tcW w:w="3310" w:type="dxa"/>
            <w:noWrap/>
            <w:vAlign w:val="center"/>
            <w:hideMark/>
          </w:tcPr>
          <w:p w14:paraId="60934C96" w14:textId="77777777" w:rsidR="00305210" w:rsidRPr="00A13288" w:rsidRDefault="00305210">
            <w:pPr>
              <w:spacing w:before="0" w:after="0" w:line="240" w:lineRule="auto"/>
              <w:jc w:val="left"/>
              <w:rPr>
                <w:rFonts w:ascii="Arial" w:eastAsia="Times New Roman" w:hAnsi="Arial" w:cs="Arial"/>
                <w:b/>
                <w:bCs/>
                <w:color w:val="000000"/>
                <w:szCs w:val="24"/>
                <w:lang w:val="en-US" w:bidi="bn-IN"/>
              </w:rPr>
            </w:pPr>
            <w:r w:rsidRPr="00A13288">
              <w:rPr>
                <w:rFonts w:ascii="Arial" w:eastAsia="Times New Roman" w:hAnsi="Arial" w:cs="Arial"/>
                <w:b/>
                <w:bCs/>
                <w:color w:val="000000"/>
                <w:szCs w:val="24"/>
                <w:lang w:val="en-US" w:bidi="bn-IN"/>
              </w:rPr>
              <w:t>Total liability</w:t>
            </w:r>
          </w:p>
        </w:tc>
        <w:tc>
          <w:tcPr>
            <w:tcW w:w="1776" w:type="dxa"/>
            <w:noWrap/>
            <w:vAlign w:val="bottom"/>
            <w:hideMark/>
          </w:tcPr>
          <w:p w14:paraId="0DEDF581" w14:textId="77777777" w:rsidR="00305210" w:rsidRPr="00A13288" w:rsidRDefault="00305210">
            <w:pPr>
              <w:spacing w:before="0" w:after="0" w:line="240" w:lineRule="auto"/>
              <w:jc w:val="left"/>
              <w:rPr>
                <w:rFonts w:ascii="Arial" w:eastAsia="Times New Roman" w:hAnsi="Arial" w:cs="Arial"/>
                <w:b/>
                <w:bCs/>
                <w:color w:val="000000"/>
                <w:szCs w:val="24"/>
                <w:lang w:val="en-US" w:bidi="bn-IN"/>
              </w:rPr>
            </w:pPr>
            <w:r w:rsidRPr="00A13288">
              <w:rPr>
                <w:rFonts w:ascii="Arial" w:eastAsia="Times New Roman" w:hAnsi="Arial" w:cs="Arial"/>
                <w:b/>
                <w:bCs/>
                <w:color w:val="000000"/>
                <w:szCs w:val="24"/>
                <w:lang w:val="en-US" w:bidi="bn-IN"/>
              </w:rPr>
              <w:t xml:space="preserve"> €       241,625 </w:t>
            </w:r>
          </w:p>
        </w:tc>
      </w:tr>
      <w:tr w:rsidR="00305210" w:rsidRPr="00A13288" w14:paraId="31C7834C" w14:textId="77777777" w:rsidTr="00305210">
        <w:trPr>
          <w:trHeight w:val="310"/>
          <w:jc w:val="center"/>
        </w:trPr>
        <w:tc>
          <w:tcPr>
            <w:tcW w:w="3310" w:type="dxa"/>
            <w:noWrap/>
            <w:vAlign w:val="center"/>
            <w:hideMark/>
          </w:tcPr>
          <w:p w14:paraId="217A8B12"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w:t>
            </w:r>
          </w:p>
        </w:tc>
        <w:tc>
          <w:tcPr>
            <w:tcW w:w="1776" w:type="dxa"/>
            <w:noWrap/>
            <w:vAlign w:val="bottom"/>
            <w:hideMark/>
          </w:tcPr>
          <w:p w14:paraId="7535F366" w14:textId="77777777" w:rsidR="00305210" w:rsidRPr="00A13288" w:rsidRDefault="00305210">
            <w:pPr>
              <w:rPr>
                <w:rFonts w:ascii="Arial" w:eastAsia="Times New Roman" w:hAnsi="Arial" w:cs="Arial"/>
                <w:color w:val="000000"/>
                <w:szCs w:val="24"/>
                <w:lang w:val="en-US" w:bidi="bn-IN"/>
              </w:rPr>
            </w:pPr>
          </w:p>
        </w:tc>
      </w:tr>
      <w:tr w:rsidR="00305210" w:rsidRPr="00A13288" w14:paraId="58273D97" w14:textId="77777777" w:rsidTr="00305210">
        <w:trPr>
          <w:trHeight w:val="310"/>
          <w:jc w:val="center"/>
        </w:trPr>
        <w:tc>
          <w:tcPr>
            <w:tcW w:w="3310" w:type="dxa"/>
            <w:noWrap/>
            <w:vAlign w:val="center"/>
            <w:hideMark/>
          </w:tcPr>
          <w:p w14:paraId="4E04BC2C" w14:textId="77777777" w:rsidR="00305210" w:rsidRPr="00A13288" w:rsidRDefault="00305210">
            <w:pPr>
              <w:spacing w:before="0" w:after="0" w:line="240" w:lineRule="auto"/>
              <w:jc w:val="left"/>
              <w:rPr>
                <w:rFonts w:ascii="Arial" w:eastAsia="Times New Roman" w:hAnsi="Arial" w:cs="Arial"/>
                <w:b/>
                <w:bCs/>
                <w:color w:val="000000"/>
                <w:szCs w:val="24"/>
                <w:lang w:val="en-US" w:bidi="bn-IN"/>
              </w:rPr>
            </w:pPr>
            <w:r w:rsidRPr="00A13288">
              <w:rPr>
                <w:rFonts w:ascii="Arial" w:eastAsia="Times New Roman" w:hAnsi="Arial" w:cs="Arial"/>
                <w:b/>
                <w:bCs/>
                <w:color w:val="000000"/>
                <w:szCs w:val="24"/>
                <w:lang w:val="en-US" w:bidi="bn-IN"/>
              </w:rPr>
              <w:t xml:space="preserve">Equity </w:t>
            </w:r>
          </w:p>
        </w:tc>
        <w:tc>
          <w:tcPr>
            <w:tcW w:w="1776" w:type="dxa"/>
            <w:noWrap/>
            <w:vAlign w:val="bottom"/>
            <w:hideMark/>
          </w:tcPr>
          <w:p w14:paraId="26B3BB5A" w14:textId="77777777" w:rsidR="00305210" w:rsidRPr="00A13288" w:rsidRDefault="00305210">
            <w:pPr>
              <w:rPr>
                <w:rFonts w:ascii="Arial" w:eastAsia="Times New Roman" w:hAnsi="Arial" w:cs="Arial"/>
                <w:b/>
                <w:bCs/>
                <w:color w:val="000000"/>
                <w:szCs w:val="24"/>
                <w:lang w:val="en-US" w:bidi="bn-IN"/>
              </w:rPr>
            </w:pPr>
          </w:p>
        </w:tc>
      </w:tr>
      <w:tr w:rsidR="00305210" w:rsidRPr="00A13288" w14:paraId="1B9669DC" w14:textId="77777777" w:rsidTr="00305210">
        <w:trPr>
          <w:trHeight w:val="310"/>
          <w:jc w:val="center"/>
        </w:trPr>
        <w:tc>
          <w:tcPr>
            <w:tcW w:w="3310" w:type="dxa"/>
            <w:noWrap/>
            <w:vAlign w:val="center"/>
            <w:hideMark/>
          </w:tcPr>
          <w:p w14:paraId="7472B826"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£1 ordinary shares </w:t>
            </w:r>
          </w:p>
        </w:tc>
        <w:tc>
          <w:tcPr>
            <w:tcW w:w="1776" w:type="dxa"/>
            <w:noWrap/>
            <w:vAlign w:val="bottom"/>
            <w:hideMark/>
          </w:tcPr>
          <w:p w14:paraId="700F7207"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1,000,000 </w:t>
            </w:r>
          </w:p>
        </w:tc>
      </w:tr>
      <w:tr w:rsidR="00305210" w:rsidRPr="00A13288" w14:paraId="77504C7E" w14:textId="77777777" w:rsidTr="00305210">
        <w:trPr>
          <w:trHeight w:val="310"/>
          <w:jc w:val="center"/>
        </w:trPr>
        <w:tc>
          <w:tcPr>
            <w:tcW w:w="3310" w:type="dxa"/>
            <w:noWrap/>
            <w:vAlign w:val="center"/>
            <w:hideMark/>
          </w:tcPr>
          <w:p w14:paraId="7467E560"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10% £1 preference shares </w:t>
            </w:r>
          </w:p>
        </w:tc>
        <w:tc>
          <w:tcPr>
            <w:tcW w:w="1776" w:type="dxa"/>
            <w:noWrap/>
            <w:vAlign w:val="bottom"/>
            <w:hideMark/>
          </w:tcPr>
          <w:p w14:paraId="50D78684"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400,000 </w:t>
            </w:r>
          </w:p>
        </w:tc>
      </w:tr>
      <w:tr w:rsidR="00305210" w:rsidRPr="00A13288" w14:paraId="204E5963" w14:textId="77777777" w:rsidTr="00305210">
        <w:trPr>
          <w:trHeight w:val="310"/>
          <w:jc w:val="center"/>
        </w:trPr>
        <w:tc>
          <w:tcPr>
            <w:tcW w:w="3310" w:type="dxa"/>
            <w:noWrap/>
            <w:vAlign w:val="center"/>
            <w:hideMark/>
          </w:tcPr>
          <w:p w14:paraId="5E93761B"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4% Debentures</w:t>
            </w:r>
          </w:p>
        </w:tc>
        <w:tc>
          <w:tcPr>
            <w:tcW w:w="1776" w:type="dxa"/>
            <w:noWrap/>
            <w:vAlign w:val="bottom"/>
            <w:hideMark/>
          </w:tcPr>
          <w:p w14:paraId="5A26DF38"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200,000 </w:t>
            </w:r>
          </w:p>
        </w:tc>
      </w:tr>
      <w:tr w:rsidR="00305210" w:rsidRPr="00A13288" w14:paraId="31A76B03" w14:textId="77777777" w:rsidTr="00305210">
        <w:trPr>
          <w:trHeight w:val="310"/>
          <w:jc w:val="center"/>
        </w:trPr>
        <w:tc>
          <w:tcPr>
            <w:tcW w:w="3310" w:type="dxa"/>
            <w:tcBorders>
              <w:top w:val="nil"/>
              <w:left w:val="nil"/>
              <w:bottom w:val="single" w:sz="4" w:space="0" w:color="auto"/>
              <w:right w:val="nil"/>
            </w:tcBorders>
            <w:noWrap/>
            <w:vAlign w:val="center"/>
            <w:hideMark/>
          </w:tcPr>
          <w:p w14:paraId="78C7EFF8"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Retained profits </w:t>
            </w:r>
          </w:p>
        </w:tc>
        <w:tc>
          <w:tcPr>
            <w:tcW w:w="1776" w:type="dxa"/>
            <w:tcBorders>
              <w:top w:val="nil"/>
              <w:left w:val="nil"/>
              <w:bottom w:val="single" w:sz="4" w:space="0" w:color="auto"/>
              <w:right w:val="nil"/>
            </w:tcBorders>
            <w:noWrap/>
            <w:vAlign w:val="bottom"/>
            <w:hideMark/>
          </w:tcPr>
          <w:p w14:paraId="294E0876"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132,000 </w:t>
            </w:r>
          </w:p>
        </w:tc>
      </w:tr>
      <w:tr w:rsidR="00305210" w:rsidRPr="00A13288" w14:paraId="050707CE" w14:textId="77777777" w:rsidTr="00305210">
        <w:trPr>
          <w:trHeight w:val="310"/>
          <w:jc w:val="center"/>
        </w:trPr>
        <w:tc>
          <w:tcPr>
            <w:tcW w:w="3310" w:type="dxa"/>
            <w:noWrap/>
            <w:vAlign w:val="center"/>
            <w:hideMark/>
          </w:tcPr>
          <w:p w14:paraId="7EC12B40" w14:textId="77777777" w:rsidR="00305210" w:rsidRPr="00A13288" w:rsidRDefault="00305210">
            <w:pPr>
              <w:rPr>
                <w:rFonts w:ascii="Arial" w:eastAsia="Times New Roman" w:hAnsi="Arial" w:cs="Arial"/>
                <w:color w:val="000000"/>
                <w:szCs w:val="24"/>
                <w:lang w:val="en-US" w:bidi="bn-IN"/>
              </w:rPr>
            </w:pPr>
          </w:p>
        </w:tc>
        <w:tc>
          <w:tcPr>
            <w:tcW w:w="1776" w:type="dxa"/>
            <w:noWrap/>
            <w:vAlign w:val="bottom"/>
            <w:hideMark/>
          </w:tcPr>
          <w:p w14:paraId="53A53C4C" w14:textId="77777777" w:rsidR="00305210" w:rsidRPr="00A13288" w:rsidRDefault="00305210">
            <w:pPr>
              <w:spacing w:before="0" w:after="0" w:line="240" w:lineRule="auto"/>
              <w:jc w:val="left"/>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 xml:space="preserve"> €    1,732,000 </w:t>
            </w:r>
          </w:p>
        </w:tc>
      </w:tr>
      <w:tr w:rsidR="00305210" w:rsidRPr="00A13288" w14:paraId="53EC5E76" w14:textId="77777777" w:rsidTr="00305210">
        <w:trPr>
          <w:trHeight w:val="310"/>
          <w:jc w:val="center"/>
        </w:trPr>
        <w:tc>
          <w:tcPr>
            <w:tcW w:w="3310" w:type="dxa"/>
            <w:noWrap/>
            <w:vAlign w:val="center"/>
            <w:hideMark/>
          </w:tcPr>
          <w:p w14:paraId="79C3154B" w14:textId="77777777" w:rsidR="00305210" w:rsidRPr="00A13288" w:rsidRDefault="00305210">
            <w:pPr>
              <w:rPr>
                <w:rFonts w:ascii="Arial" w:eastAsia="Times New Roman" w:hAnsi="Arial" w:cs="Arial"/>
                <w:color w:val="000000"/>
                <w:szCs w:val="24"/>
                <w:lang w:val="en-US" w:bidi="bn-IN"/>
              </w:rPr>
            </w:pPr>
          </w:p>
        </w:tc>
        <w:tc>
          <w:tcPr>
            <w:tcW w:w="1776" w:type="dxa"/>
            <w:noWrap/>
            <w:vAlign w:val="bottom"/>
            <w:hideMark/>
          </w:tcPr>
          <w:p w14:paraId="4C14C592" w14:textId="77777777" w:rsidR="00305210" w:rsidRPr="00A13288" w:rsidRDefault="00305210">
            <w:pPr>
              <w:spacing w:before="0" w:after="0" w:line="256" w:lineRule="auto"/>
              <w:jc w:val="left"/>
              <w:rPr>
                <w:rFonts w:ascii="Arial" w:hAnsi="Arial" w:cs="Arial"/>
                <w:szCs w:val="24"/>
                <w:lang w:eastAsia="en-GB"/>
              </w:rPr>
            </w:pPr>
          </w:p>
        </w:tc>
      </w:tr>
      <w:tr w:rsidR="00305210" w:rsidRPr="00A13288" w14:paraId="5D733147" w14:textId="77777777" w:rsidTr="00305210">
        <w:trPr>
          <w:trHeight w:val="310"/>
          <w:jc w:val="center"/>
        </w:trPr>
        <w:tc>
          <w:tcPr>
            <w:tcW w:w="3310" w:type="dxa"/>
            <w:noWrap/>
            <w:vAlign w:val="center"/>
            <w:hideMark/>
          </w:tcPr>
          <w:p w14:paraId="2DF0A857" w14:textId="77777777" w:rsidR="00305210" w:rsidRPr="00A13288" w:rsidRDefault="00305210">
            <w:pPr>
              <w:spacing w:before="0" w:after="0" w:line="240" w:lineRule="auto"/>
              <w:jc w:val="left"/>
              <w:rPr>
                <w:rFonts w:ascii="Arial" w:eastAsia="Times New Roman" w:hAnsi="Arial" w:cs="Arial"/>
                <w:b/>
                <w:bCs/>
                <w:color w:val="000000"/>
                <w:szCs w:val="24"/>
                <w:lang w:val="en-US" w:bidi="bn-IN"/>
              </w:rPr>
            </w:pPr>
            <w:r w:rsidRPr="00A13288">
              <w:rPr>
                <w:rFonts w:ascii="Arial" w:eastAsia="Times New Roman" w:hAnsi="Arial" w:cs="Arial"/>
                <w:b/>
                <w:bCs/>
                <w:color w:val="000000"/>
                <w:szCs w:val="24"/>
                <w:lang w:val="en-US" w:bidi="bn-IN"/>
              </w:rPr>
              <w:t>Total Liabilities and Equities</w:t>
            </w:r>
          </w:p>
        </w:tc>
        <w:tc>
          <w:tcPr>
            <w:tcW w:w="1776" w:type="dxa"/>
            <w:noWrap/>
            <w:vAlign w:val="bottom"/>
            <w:hideMark/>
          </w:tcPr>
          <w:p w14:paraId="0476D26C" w14:textId="77777777" w:rsidR="00305210" w:rsidRPr="00A13288" w:rsidRDefault="00305210">
            <w:pPr>
              <w:spacing w:before="0" w:after="0" w:line="240" w:lineRule="auto"/>
              <w:jc w:val="left"/>
              <w:rPr>
                <w:rFonts w:ascii="Arial" w:eastAsia="Times New Roman" w:hAnsi="Arial" w:cs="Arial"/>
                <w:b/>
                <w:bCs/>
                <w:color w:val="000000"/>
                <w:szCs w:val="24"/>
                <w:lang w:val="en-US" w:bidi="bn-IN"/>
              </w:rPr>
            </w:pPr>
            <w:r w:rsidRPr="00A13288">
              <w:rPr>
                <w:rFonts w:ascii="Arial" w:eastAsia="Times New Roman" w:hAnsi="Arial" w:cs="Arial"/>
                <w:b/>
                <w:bCs/>
                <w:color w:val="000000"/>
                <w:szCs w:val="24"/>
                <w:lang w:val="en-US" w:bidi="bn-IN"/>
              </w:rPr>
              <w:t xml:space="preserve"> €    1,973,625 </w:t>
            </w:r>
          </w:p>
        </w:tc>
      </w:tr>
    </w:tbl>
    <w:p w14:paraId="27366BE7" w14:textId="77777777" w:rsidR="00305210" w:rsidRPr="00A13288" w:rsidRDefault="00305210" w:rsidP="00305210">
      <w:pPr>
        <w:pStyle w:val="Heading2"/>
        <w:numPr>
          <w:ilvl w:val="0"/>
          <w:numId w:val="1"/>
        </w:numPr>
        <w:rPr>
          <w:rFonts w:ascii="Arial" w:hAnsi="Arial" w:cs="Arial"/>
          <w:sz w:val="24"/>
          <w:szCs w:val="24"/>
        </w:rPr>
      </w:pPr>
      <w:bookmarkStart w:id="3" w:name="_Toc123345896"/>
      <w:r w:rsidRPr="00A13288">
        <w:rPr>
          <w:rFonts w:ascii="Arial" w:hAnsi="Arial" w:cs="Arial"/>
          <w:sz w:val="24"/>
          <w:szCs w:val="24"/>
        </w:rPr>
        <w:t>Why does the statement of financial position balance?</w:t>
      </w:r>
      <w:bookmarkEnd w:id="3"/>
    </w:p>
    <w:p w14:paraId="6DD6411A" w14:textId="77777777" w:rsidR="00305210" w:rsidRPr="00A13288" w:rsidRDefault="00305210" w:rsidP="00305210">
      <w:pPr>
        <w:rPr>
          <w:rFonts w:ascii="Arial" w:hAnsi="Arial" w:cs="Arial"/>
          <w:szCs w:val="24"/>
        </w:rPr>
      </w:pPr>
      <w:r w:rsidRPr="00A13288">
        <w:rPr>
          <w:rFonts w:ascii="Arial" w:hAnsi="Arial" w:cs="Arial"/>
          <w:szCs w:val="24"/>
        </w:rPr>
        <w:t>The statement of financial position balances due to the principle of double entry, which is used in accounting, is the most important component in producing accurate and reliable results. Within this system, each transaction is recorded in at least two distinct accounts. This acts as a double check on the correctness of the accounting that is being done (Sangster, 2016).</w:t>
      </w:r>
    </w:p>
    <w:p w14:paraId="4F8C6786" w14:textId="77777777" w:rsidR="00305210" w:rsidRPr="00A13288" w:rsidRDefault="00305210" w:rsidP="00305210">
      <w:pPr>
        <w:rPr>
          <w:rFonts w:ascii="Arial" w:hAnsi="Arial" w:cs="Arial"/>
          <w:szCs w:val="24"/>
        </w:rPr>
      </w:pPr>
      <w:proofErr w:type="gramStart"/>
      <w:r w:rsidRPr="00A13288">
        <w:rPr>
          <w:rFonts w:ascii="Arial" w:hAnsi="Arial" w:cs="Arial"/>
          <w:szCs w:val="24"/>
        </w:rPr>
        <w:lastRenderedPageBreak/>
        <w:t>In order to</w:t>
      </w:r>
      <w:proofErr w:type="gramEnd"/>
      <w:r w:rsidRPr="00A13288">
        <w:rPr>
          <w:rFonts w:ascii="Arial" w:hAnsi="Arial" w:cs="Arial"/>
          <w:szCs w:val="24"/>
        </w:rPr>
        <w:t xml:space="preserve"> keep track of financial transactions and maintain accurate records, double-entry accounting requires that every debit and credit be entered into two distinct accounts. In a system with a duplicate entry, debits and credits </w:t>
      </w:r>
      <w:proofErr w:type="gramStart"/>
      <w:r w:rsidRPr="00A13288">
        <w:rPr>
          <w:rFonts w:ascii="Arial" w:hAnsi="Arial" w:cs="Arial"/>
          <w:szCs w:val="24"/>
        </w:rPr>
        <w:t>have to</w:t>
      </w:r>
      <w:proofErr w:type="gramEnd"/>
      <w:r w:rsidRPr="00A13288">
        <w:rPr>
          <w:rFonts w:ascii="Arial" w:hAnsi="Arial" w:cs="Arial"/>
          <w:szCs w:val="24"/>
        </w:rPr>
        <w:t xml:space="preserve"> be balanced out to equal one another. Keeping the books using the double-entry method will assist reduce the number of errors you make and increase the probability that the accounts will be in balance (Sangster, 2016). The use of double entry accounting in organizations is very beneficial since it helps with both the reporting of financial information and the prevention of fraud, in addition to dramatically reducing the chance of errors caused by humans. It is very necessary that the total on a balance sheet always read as zero. If everything went according to plan, the total assets would correspond to the entire liabilities plus the owner equity. The amount of a company's equity can never be more than the difference between its assets and its liabilities. The total liabilities </w:t>
      </w:r>
      <w:proofErr w:type="gramStart"/>
      <w:r w:rsidRPr="00A13288">
        <w:rPr>
          <w:rFonts w:ascii="Arial" w:hAnsi="Arial" w:cs="Arial"/>
          <w:szCs w:val="24"/>
        </w:rPr>
        <w:t>have to</w:t>
      </w:r>
      <w:proofErr w:type="gramEnd"/>
      <w:r w:rsidRPr="00A13288">
        <w:rPr>
          <w:rFonts w:ascii="Arial" w:hAnsi="Arial" w:cs="Arial"/>
          <w:szCs w:val="24"/>
        </w:rPr>
        <w:t xml:space="preserve"> always equal the total assets less the owners' equity (Wen and Hu, 2021).</w:t>
      </w:r>
    </w:p>
    <w:p w14:paraId="586C5ADE" w14:textId="7CE946AC" w:rsidR="00305210" w:rsidRPr="00A13288" w:rsidRDefault="00305210" w:rsidP="00305210">
      <w:pPr>
        <w:rPr>
          <w:rFonts w:ascii="Arial" w:hAnsi="Arial" w:cs="Arial"/>
          <w:szCs w:val="24"/>
        </w:rPr>
      </w:pPr>
      <w:r w:rsidRPr="00A13288">
        <w:rPr>
          <w:rFonts w:ascii="Arial" w:hAnsi="Arial" w:cs="Arial"/>
          <w:szCs w:val="24"/>
        </w:rPr>
        <w:t xml:space="preserve">If the figures on the balance sheet do not add up, then there is an error in the accounting. Common reasons of inaccuracy include incorrect estimates of equity, depreciation, or amortization, as well as incomplete or missing data, poorly recorded transactions, incorrect foreign conversion rates, or erroneous inventory totals (Wen and Hu, 2021). When one </w:t>
      </w:r>
      <w:r w:rsidR="0081214F" w:rsidRPr="00A13288">
        <w:rPr>
          <w:rFonts w:ascii="Arial" w:hAnsi="Arial" w:cs="Arial"/>
          <w:szCs w:val="24"/>
        </w:rPr>
        <w:t>reconciles</w:t>
      </w:r>
      <w:r w:rsidRPr="00A13288">
        <w:rPr>
          <w:rFonts w:ascii="Arial" w:hAnsi="Arial" w:cs="Arial"/>
          <w:szCs w:val="24"/>
        </w:rPr>
        <w:t xml:space="preserve"> the balance sheet, one may check to make sure that </w:t>
      </w:r>
      <w:proofErr w:type="gramStart"/>
      <w:r w:rsidRPr="00A13288">
        <w:rPr>
          <w:rFonts w:ascii="Arial" w:hAnsi="Arial" w:cs="Arial"/>
          <w:szCs w:val="24"/>
        </w:rPr>
        <w:t>all of</w:t>
      </w:r>
      <w:proofErr w:type="gramEnd"/>
      <w:r w:rsidRPr="00A13288">
        <w:rPr>
          <w:rFonts w:ascii="Arial" w:hAnsi="Arial" w:cs="Arial"/>
          <w:szCs w:val="24"/>
        </w:rPr>
        <w:t xml:space="preserve"> the entries have been recorded and categorised appropriately. One run the danger of the balances on the balance sheet being wrong if one </w:t>
      </w:r>
      <w:proofErr w:type="spellStart"/>
      <w:r w:rsidRPr="00A13288">
        <w:rPr>
          <w:rFonts w:ascii="Arial" w:hAnsi="Arial" w:cs="Arial"/>
          <w:szCs w:val="24"/>
        </w:rPr>
        <w:t>doesn</w:t>
      </w:r>
      <w:proofErr w:type="spellEnd"/>
      <w:r w:rsidRPr="00A13288">
        <w:rPr>
          <w:rFonts w:ascii="Arial" w:hAnsi="Arial" w:cs="Arial"/>
          <w:szCs w:val="24"/>
        </w:rPr>
        <w:t>' reconcile it on a regular basis. It is a best practise for most types of businesses to do a monthly balance sheet reconciliation (Wen and Hu, 2021).</w:t>
      </w:r>
    </w:p>
    <w:p w14:paraId="4FE6D2A9" w14:textId="77777777" w:rsidR="00305210" w:rsidRPr="00A13288" w:rsidRDefault="00305210" w:rsidP="00305210">
      <w:pPr>
        <w:rPr>
          <w:rFonts w:ascii="Arial" w:hAnsi="Arial" w:cs="Arial"/>
          <w:szCs w:val="24"/>
        </w:rPr>
      </w:pPr>
    </w:p>
    <w:p w14:paraId="652C7954" w14:textId="77777777" w:rsidR="00305210" w:rsidRPr="00A13288" w:rsidRDefault="00305210" w:rsidP="00305210">
      <w:pPr>
        <w:rPr>
          <w:rFonts w:ascii="Arial" w:hAnsi="Arial" w:cs="Arial"/>
          <w:szCs w:val="24"/>
        </w:rPr>
      </w:pPr>
    </w:p>
    <w:p w14:paraId="763786D8" w14:textId="77777777" w:rsidR="00305210" w:rsidRPr="00A13288" w:rsidRDefault="00305210" w:rsidP="00305210">
      <w:pPr>
        <w:spacing w:before="0" w:after="160" w:line="256" w:lineRule="auto"/>
        <w:jc w:val="left"/>
        <w:rPr>
          <w:rFonts w:ascii="Arial" w:eastAsia="Times New Roman" w:hAnsi="Arial" w:cs="Arial"/>
          <w:b/>
          <w:bCs/>
          <w:szCs w:val="24"/>
        </w:rPr>
      </w:pPr>
      <w:r w:rsidRPr="00A13288">
        <w:rPr>
          <w:rFonts w:ascii="Arial" w:hAnsi="Arial" w:cs="Arial"/>
          <w:szCs w:val="24"/>
        </w:rPr>
        <w:br w:type="page"/>
      </w:r>
    </w:p>
    <w:p w14:paraId="4B3D0BEC" w14:textId="77777777" w:rsidR="00305210" w:rsidRPr="00F92E1F" w:rsidRDefault="00305210" w:rsidP="00305210">
      <w:pPr>
        <w:pStyle w:val="Heading1"/>
        <w:rPr>
          <w:rFonts w:ascii="Arial" w:hAnsi="Arial" w:cs="Arial"/>
          <w:color w:val="auto"/>
          <w:sz w:val="24"/>
          <w:szCs w:val="24"/>
        </w:rPr>
      </w:pPr>
      <w:bookmarkStart w:id="4" w:name="_Toc123345897"/>
      <w:r w:rsidRPr="00F92E1F">
        <w:rPr>
          <w:rFonts w:ascii="Arial" w:hAnsi="Arial" w:cs="Arial"/>
          <w:color w:val="auto"/>
          <w:sz w:val="24"/>
          <w:szCs w:val="24"/>
        </w:rPr>
        <w:lastRenderedPageBreak/>
        <w:t>Answer No. 2</w:t>
      </w:r>
      <w:bookmarkEnd w:id="4"/>
    </w:p>
    <w:p w14:paraId="7FFF3585" w14:textId="40D2E5F6" w:rsidR="00305210" w:rsidRPr="00A13288" w:rsidRDefault="00305210" w:rsidP="00305210">
      <w:pPr>
        <w:pStyle w:val="Heading2"/>
        <w:numPr>
          <w:ilvl w:val="0"/>
          <w:numId w:val="2"/>
        </w:numPr>
        <w:rPr>
          <w:rFonts w:ascii="Arial" w:hAnsi="Arial" w:cs="Arial"/>
          <w:sz w:val="24"/>
          <w:szCs w:val="24"/>
        </w:rPr>
      </w:pPr>
      <w:bookmarkStart w:id="5" w:name="_Toc123345898"/>
      <w:r w:rsidRPr="00A13288">
        <w:rPr>
          <w:rFonts w:ascii="Arial" w:hAnsi="Arial" w:cs="Arial"/>
          <w:sz w:val="24"/>
          <w:szCs w:val="24"/>
        </w:rPr>
        <w:t xml:space="preserve">Calculating the following ratios for </w:t>
      </w:r>
      <w:r w:rsidR="0081214F" w:rsidRPr="00A13288">
        <w:rPr>
          <w:rFonts w:ascii="Arial" w:hAnsi="Arial" w:cs="Arial"/>
          <w:sz w:val="24"/>
          <w:szCs w:val="24"/>
        </w:rPr>
        <w:t>sweets</w:t>
      </w:r>
      <w:r w:rsidRPr="00A13288">
        <w:rPr>
          <w:rFonts w:ascii="Arial" w:hAnsi="Arial" w:cs="Arial"/>
          <w:sz w:val="24"/>
          <w:szCs w:val="24"/>
        </w:rPr>
        <w:t xml:space="preserve"> plc for 2021 and 2020, showing the formulas and workings:</w:t>
      </w:r>
      <w:bookmarkEnd w:id="5"/>
      <w:r w:rsidRPr="00A13288">
        <w:rPr>
          <w:rFonts w:ascii="Arial" w:hAnsi="Arial" w:cs="Arial"/>
          <w:sz w:val="24"/>
          <w:szCs w:val="24"/>
        </w:rPr>
        <w:t xml:space="preserve"> </w:t>
      </w:r>
    </w:p>
    <w:p w14:paraId="7CB538E2" w14:textId="77777777" w:rsidR="00305210" w:rsidRPr="00A13288" w:rsidRDefault="00305210" w:rsidP="00305210">
      <w:pPr>
        <w:pStyle w:val="Heading3"/>
        <w:numPr>
          <w:ilvl w:val="0"/>
          <w:numId w:val="3"/>
        </w:numPr>
        <w:rPr>
          <w:rFonts w:ascii="Arial" w:hAnsi="Arial" w:cs="Arial"/>
        </w:rPr>
      </w:pPr>
      <w:bookmarkStart w:id="6" w:name="_Toc123345899"/>
      <w:r w:rsidRPr="00A13288">
        <w:rPr>
          <w:rFonts w:ascii="Arial" w:hAnsi="Arial" w:cs="Arial"/>
        </w:rPr>
        <w:t>ROCE</w:t>
      </w:r>
      <w:bookmarkEnd w:id="6"/>
      <w:r w:rsidRPr="00A13288">
        <w:rPr>
          <w:rFonts w:ascii="Arial" w:hAnsi="Arial" w:cs="Arial"/>
        </w:rPr>
        <w:t xml:space="preserve"> </w:t>
      </w:r>
    </w:p>
    <w:p w14:paraId="4F5422D2" w14:textId="77777777" w:rsidR="00305210" w:rsidRPr="00A13288" w:rsidRDefault="00305210" w:rsidP="00305210">
      <w:pPr>
        <w:rPr>
          <w:rFonts w:ascii="Arial" w:hAnsi="Arial" w:cs="Arial"/>
          <w:szCs w:val="24"/>
        </w:rPr>
      </w:pPr>
      <w:r w:rsidRPr="00A13288">
        <w:rPr>
          <w:rFonts w:ascii="Arial" w:hAnsi="Arial" w:cs="Arial"/>
          <w:szCs w:val="24"/>
        </w:rPr>
        <w:t>A financial measurement called ROCE evaluates how effectively and profitably a business uses its capital. Simply said, this ratio may provide insight into how well a company converts its cash flow into profits (</w:t>
      </w:r>
      <w:proofErr w:type="spellStart"/>
      <w:r w:rsidRPr="00A13288">
        <w:rPr>
          <w:rFonts w:ascii="Arial" w:hAnsi="Arial" w:cs="Arial"/>
          <w:szCs w:val="24"/>
        </w:rPr>
        <w:t>Hilkevics</w:t>
      </w:r>
      <w:proofErr w:type="spellEnd"/>
      <w:r w:rsidRPr="00A13288">
        <w:rPr>
          <w:rFonts w:ascii="Arial" w:hAnsi="Arial" w:cs="Arial"/>
          <w:szCs w:val="24"/>
        </w:rPr>
        <w:t xml:space="preserve"> and </w:t>
      </w:r>
      <w:proofErr w:type="spellStart"/>
      <w:r w:rsidRPr="00A13288">
        <w:rPr>
          <w:rFonts w:ascii="Arial" w:hAnsi="Arial" w:cs="Arial"/>
          <w:szCs w:val="24"/>
        </w:rPr>
        <w:t>Semakina</w:t>
      </w:r>
      <w:proofErr w:type="spellEnd"/>
      <w:r w:rsidRPr="00A13288">
        <w:rPr>
          <w:rFonts w:ascii="Arial" w:hAnsi="Arial" w:cs="Arial"/>
          <w:szCs w:val="24"/>
        </w:rPr>
        <w:t>, 2019). The ability of the Return on Invested Capital Ratio to measure the financial returns on both stock and debt is only one of its many benefits. Other advantages include the following: Additional advantages of ROCE include the following: As a result of this, investors make use of it as a benchmark by which to construct a portfolio and create methods for investing. Comparing organisations that use different methods of capitalization is one of the possible applications for this tool (</w:t>
      </w:r>
      <w:proofErr w:type="spellStart"/>
      <w:r w:rsidRPr="00A13288">
        <w:rPr>
          <w:rFonts w:ascii="Arial" w:hAnsi="Arial" w:cs="Arial"/>
          <w:szCs w:val="24"/>
        </w:rPr>
        <w:t>Hilkevics</w:t>
      </w:r>
      <w:proofErr w:type="spellEnd"/>
      <w:r w:rsidRPr="00A13288">
        <w:rPr>
          <w:rFonts w:ascii="Arial" w:hAnsi="Arial" w:cs="Arial"/>
          <w:szCs w:val="24"/>
        </w:rPr>
        <w:t xml:space="preserve"> and </w:t>
      </w:r>
      <w:proofErr w:type="spellStart"/>
      <w:r w:rsidRPr="00A13288">
        <w:rPr>
          <w:rFonts w:ascii="Arial" w:hAnsi="Arial" w:cs="Arial"/>
          <w:szCs w:val="24"/>
        </w:rPr>
        <w:t>Semakina</w:t>
      </w:r>
      <w:proofErr w:type="spellEnd"/>
      <w:r w:rsidRPr="00A13288">
        <w:rPr>
          <w:rFonts w:ascii="Arial" w:hAnsi="Arial" w:cs="Arial"/>
          <w:szCs w:val="24"/>
        </w:rPr>
        <w:t>, 2019)</w:t>
      </w:r>
    </w:p>
    <w:p w14:paraId="69C8C1B5" w14:textId="77777777" w:rsidR="00305210" w:rsidRPr="00A13288" w:rsidRDefault="00305210" w:rsidP="00305210">
      <w:pPr>
        <w:rPr>
          <w:rFonts w:ascii="Arial" w:hAnsi="Arial" w:cs="Arial"/>
          <w:szCs w:val="24"/>
        </w:rPr>
      </w:pPr>
      <w:r w:rsidRPr="00A13288">
        <w:rPr>
          <w:rFonts w:ascii="Arial" w:hAnsi="Arial" w:cs="Arial"/>
          <w:szCs w:val="24"/>
        </w:rPr>
        <w:t>Return on capital employed = EBIT / capital employed</w:t>
      </w:r>
    </w:p>
    <w:tbl>
      <w:tblPr>
        <w:tblW w:w="7476" w:type="dxa"/>
        <w:jc w:val="center"/>
        <w:tblLook w:val="04A0" w:firstRow="1" w:lastRow="0" w:firstColumn="1" w:lastColumn="0" w:noHBand="0" w:noVBand="1"/>
      </w:tblPr>
      <w:tblGrid>
        <w:gridCol w:w="960"/>
        <w:gridCol w:w="1440"/>
        <w:gridCol w:w="2160"/>
        <w:gridCol w:w="2916"/>
      </w:tblGrid>
      <w:tr w:rsidR="00305210" w:rsidRPr="00A13288" w14:paraId="7D04D09B" w14:textId="77777777" w:rsidTr="00305210">
        <w:trPr>
          <w:trHeight w:val="31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55BC1A6A" w14:textId="77777777" w:rsidR="00305210" w:rsidRPr="00A13288" w:rsidRDefault="00305210">
            <w:pPr>
              <w:rPr>
                <w:rFonts w:ascii="Arial" w:hAnsi="Arial" w:cs="Arial"/>
                <w:szCs w:val="24"/>
              </w:rPr>
            </w:pPr>
          </w:p>
        </w:tc>
        <w:tc>
          <w:tcPr>
            <w:tcW w:w="1440" w:type="dxa"/>
            <w:tcBorders>
              <w:top w:val="single" w:sz="4" w:space="0" w:color="auto"/>
              <w:left w:val="nil"/>
              <w:bottom w:val="single" w:sz="4" w:space="0" w:color="auto"/>
              <w:right w:val="single" w:sz="4" w:space="0" w:color="auto"/>
            </w:tcBorders>
            <w:noWrap/>
            <w:vAlign w:val="center"/>
            <w:hideMark/>
          </w:tcPr>
          <w:p w14:paraId="2C4E304C"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EBIT</w:t>
            </w:r>
          </w:p>
        </w:tc>
        <w:tc>
          <w:tcPr>
            <w:tcW w:w="2160" w:type="dxa"/>
            <w:tcBorders>
              <w:top w:val="single" w:sz="4" w:space="0" w:color="auto"/>
              <w:left w:val="nil"/>
              <w:bottom w:val="single" w:sz="4" w:space="0" w:color="auto"/>
              <w:right w:val="single" w:sz="4" w:space="0" w:color="auto"/>
            </w:tcBorders>
            <w:noWrap/>
            <w:vAlign w:val="center"/>
            <w:hideMark/>
          </w:tcPr>
          <w:p w14:paraId="4E9F9AA4"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capital employed</w:t>
            </w:r>
          </w:p>
        </w:tc>
        <w:tc>
          <w:tcPr>
            <w:tcW w:w="2916" w:type="dxa"/>
            <w:tcBorders>
              <w:top w:val="single" w:sz="4" w:space="0" w:color="auto"/>
              <w:left w:val="nil"/>
              <w:bottom w:val="single" w:sz="4" w:space="0" w:color="auto"/>
              <w:right w:val="single" w:sz="4" w:space="0" w:color="auto"/>
            </w:tcBorders>
            <w:noWrap/>
            <w:vAlign w:val="center"/>
            <w:hideMark/>
          </w:tcPr>
          <w:p w14:paraId="5BFC66E9"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return on employed capital</w:t>
            </w:r>
          </w:p>
        </w:tc>
      </w:tr>
      <w:tr w:rsidR="00305210" w:rsidRPr="00A13288" w14:paraId="22FDA958" w14:textId="77777777" w:rsidTr="00305210">
        <w:trPr>
          <w:trHeight w:val="310"/>
          <w:jc w:val="center"/>
        </w:trPr>
        <w:tc>
          <w:tcPr>
            <w:tcW w:w="960" w:type="dxa"/>
            <w:tcBorders>
              <w:top w:val="nil"/>
              <w:left w:val="single" w:sz="4" w:space="0" w:color="auto"/>
              <w:bottom w:val="single" w:sz="4" w:space="0" w:color="auto"/>
              <w:right w:val="single" w:sz="4" w:space="0" w:color="auto"/>
            </w:tcBorders>
            <w:noWrap/>
            <w:vAlign w:val="center"/>
            <w:hideMark/>
          </w:tcPr>
          <w:p w14:paraId="3CC3D3F4"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2020</w:t>
            </w:r>
          </w:p>
        </w:tc>
        <w:tc>
          <w:tcPr>
            <w:tcW w:w="1440" w:type="dxa"/>
            <w:tcBorders>
              <w:top w:val="nil"/>
              <w:left w:val="nil"/>
              <w:bottom w:val="single" w:sz="4" w:space="0" w:color="auto"/>
              <w:right w:val="single" w:sz="4" w:space="0" w:color="auto"/>
            </w:tcBorders>
            <w:noWrap/>
            <w:vAlign w:val="center"/>
            <w:hideMark/>
          </w:tcPr>
          <w:p w14:paraId="3FA7050B"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366</w:t>
            </w:r>
          </w:p>
        </w:tc>
        <w:tc>
          <w:tcPr>
            <w:tcW w:w="2160" w:type="dxa"/>
            <w:tcBorders>
              <w:top w:val="nil"/>
              <w:left w:val="nil"/>
              <w:bottom w:val="single" w:sz="4" w:space="0" w:color="auto"/>
              <w:right w:val="single" w:sz="4" w:space="0" w:color="auto"/>
            </w:tcBorders>
            <w:noWrap/>
            <w:vAlign w:val="center"/>
            <w:hideMark/>
          </w:tcPr>
          <w:p w14:paraId="057942D4"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2,912</w:t>
            </w:r>
          </w:p>
        </w:tc>
        <w:tc>
          <w:tcPr>
            <w:tcW w:w="2916" w:type="dxa"/>
            <w:tcBorders>
              <w:top w:val="nil"/>
              <w:left w:val="nil"/>
              <w:bottom w:val="single" w:sz="4" w:space="0" w:color="auto"/>
              <w:right w:val="single" w:sz="4" w:space="0" w:color="auto"/>
            </w:tcBorders>
            <w:noWrap/>
            <w:vAlign w:val="center"/>
            <w:hideMark/>
          </w:tcPr>
          <w:p w14:paraId="18056B9A"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0.13</w:t>
            </w:r>
          </w:p>
        </w:tc>
      </w:tr>
      <w:tr w:rsidR="00305210" w:rsidRPr="00A13288" w14:paraId="1962887E" w14:textId="77777777" w:rsidTr="00305210">
        <w:trPr>
          <w:trHeight w:val="310"/>
          <w:jc w:val="center"/>
        </w:trPr>
        <w:tc>
          <w:tcPr>
            <w:tcW w:w="960" w:type="dxa"/>
            <w:tcBorders>
              <w:top w:val="nil"/>
              <w:left w:val="single" w:sz="4" w:space="0" w:color="auto"/>
              <w:bottom w:val="single" w:sz="4" w:space="0" w:color="auto"/>
              <w:right w:val="single" w:sz="4" w:space="0" w:color="auto"/>
            </w:tcBorders>
            <w:noWrap/>
            <w:vAlign w:val="center"/>
            <w:hideMark/>
          </w:tcPr>
          <w:p w14:paraId="785669DC"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2021</w:t>
            </w:r>
          </w:p>
        </w:tc>
        <w:tc>
          <w:tcPr>
            <w:tcW w:w="1440" w:type="dxa"/>
            <w:tcBorders>
              <w:top w:val="nil"/>
              <w:left w:val="nil"/>
              <w:bottom w:val="single" w:sz="4" w:space="0" w:color="auto"/>
              <w:right w:val="single" w:sz="4" w:space="0" w:color="auto"/>
            </w:tcBorders>
            <w:noWrap/>
            <w:vAlign w:val="center"/>
            <w:hideMark/>
          </w:tcPr>
          <w:p w14:paraId="26281569"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431</w:t>
            </w:r>
          </w:p>
        </w:tc>
        <w:tc>
          <w:tcPr>
            <w:tcW w:w="2160" w:type="dxa"/>
            <w:tcBorders>
              <w:top w:val="nil"/>
              <w:left w:val="nil"/>
              <w:bottom w:val="single" w:sz="4" w:space="0" w:color="auto"/>
              <w:right w:val="single" w:sz="4" w:space="0" w:color="auto"/>
            </w:tcBorders>
            <w:noWrap/>
            <w:vAlign w:val="center"/>
            <w:hideMark/>
          </w:tcPr>
          <w:p w14:paraId="6ACA139D"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3,088</w:t>
            </w:r>
          </w:p>
        </w:tc>
        <w:tc>
          <w:tcPr>
            <w:tcW w:w="2916" w:type="dxa"/>
            <w:tcBorders>
              <w:top w:val="nil"/>
              <w:left w:val="nil"/>
              <w:bottom w:val="single" w:sz="4" w:space="0" w:color="auto"/>
              <w:right w:val="single" w:sz="4" w:space="0" w:color="auto"/>
            </w:tcBorders>
            <w:noWrap/>
            <w:vAlign w:val="center"/>
            <w:hideMark/>
          </w:tcPr>
          <w:p w14:paraId="655F7042"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0.14</w:t>
            </w:r>
          </w:p>
        </w:tc>
      </w:tr>
    </w:tbl>
    <w:p w14:paraId="741B0E8E" w14:textId="77777777" w:rsidR="00305210" w:rsidRPr="00A13288" w:rsidRDefault="00305210" w:rsidP="00305210">
      <w:pPr>
        <w:pStyle w:val="Heading3"/>
        <w:numPr>
          <w:ilvl w:val="0"/>
          <w:numId w:val="3"/>
        </w:numPr>
        <w:rPr>
          <w:rFonts w:ascii="Arial" w:hAnsi="Arial" w:cs="Arial"/>
        </w:rPr>
      </w:pPr>
      <w:bookmarkStart w:id="7" w:name="_Toc123345900"/>
      <w:r w:rsidRPr="00A13288">
        <w:rPr>
          <w:rFonts w:ascii="Arial" w:hAnsi="Arial" w:cs="Arial"/>
        </w:rPr>
        <w:t>ROE</w:t>
      </w:r>
      <w:bookmarkEnd w:id="7"/>
      <w:r w:rsidRPr="00A13288">
        <w:rPr>
          <w:rFonts w:ascii="Arial" w:hAnsi="Arial" w:cs="Arial"/>
        </w:rPr>
        <w:t xml:space="preserve"> </w:t>
      </w:r>
    </w:p>
    <w:p w14:paraId="4D0A540C" w14:textId="77777777" w:rsidR="00305210" w:rsidRPr="00A13288" w:rsidRDefault="00305210" w:rsidP="00305210">
      <w:pPr>
        <w:rPr>
          <w:rFonts w:ascii="Arial" w:hAnsi="Arial" w:cs="Arial"/>
          <w:szCs w:val="24"/>
        </w:rPr>
      </w:pPr>
      <w:r w:rsidRPr="00A13288">
        <w:rPr>
          <w:rFonts w:ascii="Arial" w:hAnsi="Arial" w:cs="Arial"/>
          <w:szCs w:val="24"/>
        </w:rPr>
        <w:t xml:space="preserve">Calculating a company's return on equity provides a quantitative measure of its profitability. As shareholder's equity is calculated by adding up </w:t>
      </w:r>
      <w:proofErr w:type="gramStart"/>
      <w:r w:rsidRPr="00A13288">
        <w:rPr>
          <w:rFonts w:ascii="Arial" w:hAnsi="Arial" w:cs="Arial"/>
          <w:szCs w:val="24"/>
        </w:rPr>
        <w:t>all of</w:t>
      </w:r>
      <w:proofErr w:type="gramEnd"/>
      <w:r w:rsidRPr="00A13288">
        <w:rPr>
          <w:rFonts w:ascii="Arial" w:hAnsi="Arial" w:cs="Arial"/>
          <w:szCs w:val="24"/>
        </w:rPr>
        <w:t xml:space="preserve"> the company's assets and subtracting all of its obligations, return on equity may also be thought of as a return on assets minus liabilities (Kimmel and </w:t>
      </w:r>
      <w:proofErr w:type="spellStart"/>
      <w:r w:rsidRPr="00A13288">
        <w:rPr>
          <w:rFonts w:ascii="Arial" w:hAnsi="Arial" w:cs="Arial"/>
          <w:szCs w:val="24"/>
        </w:rPr>
        <w:t>Kieso</w:t>
      </w:r>
      <w:proofErr w:type="spellEnd"/>
      <w:r w:rsidRPr="00A13288">
        <w:rPr>
          <w:rFonts w:ascii="Arial" w:hAnsi="Arial" w:cs="Arial"/>
          <w:szCs w:val="24"/>
        </w:rPr>
        <w:t xml:space="preserve">, 2020). Return on equity, also known as ROE, is a useful metric to use when comparing companies operating in the same industry (Kimmel and </w:t>
      </w:r>
      <w:proofErr w:type="spellStart"/>
      <w:r w:rsidRPr="00A13288">
        <w:rPr>
          <w:rFonts w:ascii="Arial" w:hAnsi="Arial" w:cs="Arial"/>
          <w:szCs w:val="24"/>
        </w:rPr>
        <w:t>Kieso</w:t>
      </w:r>
      <w:proofErr w:type="spellEnd"/>
      <w:r w:rsidRPr="00A13288">
        <w:rPr>
          <w:rFonts w:ascii="Arial" w:hAnsi="Arial" w:cs="Arial"/>
          <w:szCs w:val="24"/>
        </w:rPr>
        <w:t xml:space="preserve">, 2020). </w:t>
      </w:r>
    </w:p>
    <w:p w14:paraId="204730F2" w14:textId="77777777" w:rsidR="00305210" w:rsidRPr="00A13288" w:rsidRDefault="00305210" w:rsidP="00305210">
      <w:pPr>
        <w:rPr>
          <w:rFonts w:ascii="Arial" w:hAnsi="Arial" w:cs="Arial"/>
          <w:szCs w:val="24"/>
        </w:rPr>
      </w:pPr>
      <w:r w:rsidRPr="00A13288">
        <w:rPr>
          <w:rFonts w:ascii="Arial" w:hAnsi="Arial" w:cs="Arial"/>
          <w:szCs w:val="24"/>
        </w:rPr>
        <w:t>Return on equity = Net income / shareholder’s equity</w:t>
      </w:r>
    </w:p>
    <w:tbl>
      <w:tblPr>
        <w:tblW w:w="6522" w:type="dxa"/>
        <w:jc w:val="center"/>
        <w:tblLook w:val="04A0" w:firstRow="1" w:lastRow="0" w:firstColumn="1" w:lastColumn="0" w:noHBand="0" w:noVBand="1"/>
      </w:tblPr>
      <w:tblGrid>
        <w:gridCol w:w="960"/>
        <w:gridCol w:w="1440"/>
        <w:gridCol w:w="2253"/>
        <w:gridCol w:w="1869"/>
      </w:tblGrid>
      <w:tr w:rsidR="00305210" w:rsidRPr="00A13288" w14:paraId="17DEBF8B" w14:textId="77777777" w:rsidTr="00305210">
        <w:trPr>
          <w:trHeight w:val="31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62D6C8F" w14:textId="77777777" w:rsidR="00305210" w:rsidRPr="00A13288" w:rsidRDefault="00305210">
            <w:pPr>
              <w:rPr>
                <w:rFonts w:ascii="Arial" w:hAnsi="Arial" w:cs="Arial"/>
                <w:szCs w:val="24"/>
              </w:rPr>
            </w:pPr>
          </w:p>
        </w:tc>
        <w:tc>
          <w:tcPr>
            <w:tcW w:w="1440" w:type="dxa"/>
            <w:tcBorders>
              <w:top w:val="single" w:sz="4" w:space="0" w:color="auto"/>
              <w:left w:val="nil"/>
              <w:bottom w:val="single" w:sz="4" w:space="0" w:color="auto"/>
              <w:right w:val="single" w:sz="4" w:space="0" w:color="auto"/>
            </w:tcBorders>
            <w:noWrap/>
            <w:vAlign w:val="center"/>
            <w:hideMark/>
          </w:tcPr>
          <w:p w14:paraId="77AA9013"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net income</w:t>
            </w:r>
          </w:p>
        </w:tc>
        <w:tc>
          <w:tcPr>
            <w:tcW w:w="2253" w:type="dxa"/>
            <w:tcBorders>
              <w:top w:val="single" w:sz="4" w:space="0" w:color="auto"/>
              <w:left w:val="nil"/>
              <w:bottom w:val="single" w:sz="4" w:space="0" w:color="auto"/>
              <w:right w:val="single" w:sz="4" w:space="0" w:color="auto"/>
            </w:tcBorders>
            <w:noWrap/>
            <w:vAlign w:val="center"/>
            <w:hideMark/>
          </w:tcPr>
          <w:p w14:paraId="656618D8"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shareholders' equity</w:t>
            </w:r>
          </w:p>
        </w:tc>
        <w:tc>
          <w:tcPr>
            <w:tcW w:w="1869" w:type="dxa"/>
            <w:tcBorders>
              <w:top w:val="single" w:sz="4" w:space="0" w:color="auto"/>
              <w:left w:val="nil"/>
              <w:bottom w:val="single" w:sz="4" w:space="0" w:color="auto"/>
              <w:right w:val="single" w:sz="4" w:space="0" w:color="auto"/>
            </w:tcBorders>
            <w:noWrap/>
            <w:vAlign w:val="center"/>
            <w:hideMark/>
          </w:tcPr>
          <w:p w14:paraId="18D3FEB2"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return on equity</w:t>
            </w:r>
          </w:p>
        </w:tc>
      </w:tr>
      <w:tr w:rsidR="00305210" w:rsidRPr="00A13288" w14:paraId="6860CD9D" w14:textId="77777777" w:rsidTr="00305210">
        <w:trPr>
          <w:trHeight w:val="310"/>
          <w:jc w:val="center"/>
        </w:trPr>
        <w:tc>
          <w:tcPr>
            <w:tcW w:w="960" w:type="dxa"/>
            <w:tcBorders>
              <w:top w:val="nil"/>
              <w:left w:val="single" w:sz="4" w:space="0" w:color="auto"/>
              <w:bottom w:val="single" w:sz="4" w:space="0" w:color="auto"/>
              <w:right w:val="single" w:sz="4" w:space="0" w:color="auto"/>
            </w:tcBorders>
            <w:noWrap/>
            <w:vAlign w:val="center"/>
            <w:hideMark/>
          </w:tcPr>
          <w:p w14:paraId="5766F8E8"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2020</w:t>
            </w:r>
          </w:p>
        </w:tc>
        <w:tc>
          <w:tcPr>
            <w:tcW w:w="1440" w:type="dxa"/>
            <w:tcBorders>
              <w:top w:val="nil"/>
              <w:left w:val="nil"/>
              <w:bottom w:val="single" w:sz="4" w:space="0" w:color="auto"/>
              <w:right w:val="single" w:sz="4" w:space="0" w:color="auto"/>
            </w:tcBorders>
            <w:noWrap/>
            <w:vAlign w:val="center"/>
            <w:hideMark/>
          </w:tcPr>
          <w:p w14:paraId="2467CC14"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366</w:t>
            </w:r>
          </w:p>
        </w:tc>
        <w:tc>
          <w:tcPr>
            <w:tcW w:w="2253" w:type="dxa"/>
            <w:tcBorders>
              <w:top w:val="nil"/>
              <w:left w:val="nil"/>
              <w:bottom w:val="single" w:sz="4" w:space="0" w:color="auto"/>
              <w:right w:val="single" w:sz="4" w:space="0" w:color="auto"/>
            </w:tcBorders>
            <w:noWrap/>
            <w:vAlign w:val="center"/>
            <w:hideMark/>
          </w:tcPr>
          <w:p w14:paraId="3D0CCF0B"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2,912</w:t>
            </w:r>
          </w:p>
        </w:tc>
        <w:tc>
          <w:tcPr>
            <w:tcW w:w="1869" w:type="dxa"/>
            <w:tcBorders>
              <w:top w:val="nil"/>
              <w:left w:val="nil"/>
              <w:bottom w:val="single" w:sz="4" w:space="0" w:color="auto"/>
              <w:right w:val="single" w:sz="4" w:space="0" w:color="auto"/>
            </w:tcBorders>
            <w:noWrap/>
            <w:vAlign w:val="center"/>
            <w:hideMark/>
          </w:tcPr>
          <w:p w14:paraId="2F6FA02E"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0.13</w:t>
            </w:r>
          </w:p>
        </w:tc>
      </w:tr>
      <w:tr w:rsidR="00305210" w:rsidRPr="00A13288" w14:paraId="490878AF" w14:textId="77777777" w:rsidTr="00305210">
        <w:trPr>
          <w:trHeight w:val="310"/>
          <w:jc w:val="center"/>
        </w:trPr>
        <w:tc>
          <w:tcPr>
            <w:tcW w:w="960" w:type="dxa"/>
            <w:tcBorders>
              <w:top w:val="nil"/>
              <w:left w:val="single" w:sz="4" w:space="0" w:color="auto"/>
              <w:bottom w:val="single" w:sz="4" w:space="0" w:color="auto"/>
              <w:right w:val="single" w:sz="4" w:space="0" w:color="auto"/>
            </w:tcBorders>
            <w:noWrap/>
            <w:vAlign w:val="center"/>
            <w:hideMark/>
          </w:tcPr>
          <w:p w14:paraId="64BCF61F"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2021</w:t>
            </w:r>
          </w:p>
        </w:tc>
        <w:tc>
          <w:tcPr>
            <w:tcW w:w="1440" w:type="dxa"/>
            <w:tcBorders>
              <w:top w:val="nil"/>
              <w:left w:val="nil"/>
              <w:bottom w:val="single" w:sz="4" w:space="0" w:color="auto"/>
              <w:right w:val="single" w:sz="4" w:space="0" w:color="auto"/>
            </w:tcBorders>
            <w:noWrap/>
            <w:vAlign w:val="center"/>
            <w:hideMark/>
          </w:tcPr>
          <w:p w14:paraId="403AE74B"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431</w:t>
            </w:r>
          </w:p>
        </w:tc>
        <w:tc>
          <w:tcPr>
            <w:tcW w:w="2253" w:type="dxa"/>
            <w:tcBorders>
              <w:top w:val="nil"/>
              <w:left w:val="nil"/>
              <w:bottom w:val="single" w:sz="4" w:space="0" w:color="auto"/>
              <w:right w:val="single" w:sz="4" w:space="0" w:color="auto"/>
            </w:tcBorders>
            <w:noWrap/>
            <w:vAlign w:val="center"/>
            <w:hideMark/>
          </w:tcPr>
          <w:p w14:paraId="2EC7EE88"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3,088</w:t>
            </w:r>
          </w:p>
        </w:tc>
        <w:tc>
          <w:tcPr>
            <w:tcW w:w="1869" w:type="dxa"/>
            <w:tcBorders>
              <w:top w:val="nil"/>
              <w:left w:val="nil"/>
              <w:bottom w:val="single" w:sz="4" w:space="0" w:color="auto"/>
              <w:right w:val="single" w:sz="4" w:space="0" w:color="auto"/>
            </w:tcBorders>
            <w:noWrap/>
            <w:vAlign w:val="center"/>
            <w:hideMark/>
          </w:tcPr>
          <w:p w14:paraId="4716996B"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0.14</w:t>
            </w:r>
          </w:p>
        </w:tc>
      </w:tr>
    </w:tbl>
    <w:p w14:paraId="650AB11B" w14:textId="77777777" w:rsidR="00305210" w:rsidRPr="00A13288" w:rsidRDefault="00305210" w:rsidP="00305210">
      <w:pPr>
        <w:pStyle w:val="Heading3"/>
        <w:numPr>
          <w:ilvl w:val="0"/>
          <w:numId w:val="3"/>
        </w:numPr>
        <w:rPr>
          <w:rFonts w:ascii="Arial" w:hAnsi="Arial" w:cs="Arial"/>
        </w:rPr>
      </w:pPr>
      <w:bookmarkStart w:id="8" w:name="_Toc123345901"/>
      <w:r w:rsidRPr="00A13288">
        <w:rPr>
          <w:rFonts w:ascii="Arial" w:hAnsi="Arial" w:cs="Arial"/>
        </w:rPr>
        <w:lastRenderedPageBreak/>
        <w:t>Earnings per share</w:t>
      </w:r>
      <w:bookmarkEnd w:id="8"/>
      <w:r w:rsidRPr="00A13288">
        <w:rPr>
          <w:rFonts w:ascii="Arial" w:hAnsi="Arial" w:cs="Arial"/>
        </w:rPr>
        <w:t xml:space="preserve"> </w:t>
      </w:r>
    </w:p>
    <w:p w14:paraId="66394959" w14:textId="77777777" w:rsidR="00305210" w:rsidRPr="00A13288" w:rsidRDefault="00305210" w:rsidP="00305210">
      <w:pPr>
        <w:rPr>
          <w:rFonts w:ascii="Arial" w:hAnsi="Arial" w:cs="Arial"/>
          <w:szCs w:val="24"/>
        </w:rPr>
      </w:pPr>
      <w:r w:rsidRPr="00A13288">
        <w:rPr>
          <w:rFonts w:ascii="Arial" w:hAnsi="Arial" w:cs="Arial"/>
          <w:szCs w:val="24"/>
        </w:rPr>
        <w:t>To determine a company's profit per share, simply divide the net profit of the company by the total number of shares of common stock that are both issued and outstanding. It is often used as a stand-in for a company's profitability in stock valuation (</w:t>
      </w:r>
      <w:proofErr w:type="spellStart"/>
      <w:r w:rsidRPr="00A13288">
        <w:rPr>
          <w:rFonts w:ascii="Arial" w:hAnsi="Arial" w:cs="Arial"/>
          <w:szCs w:val="24"/>
        </w:rPr>
        <w:t>Jurakulovna</w:t>
      </w:r>
      <w:proofErr w:type="spellEnd"/>
      <w:r w:rsidRPr="00A13288">
        <w:rPr>
          <w:rFonts w:ascii="Arial" w:hAnsi="Arial" w:cs="Arial"/>
          <w:szCs w:val="24"/>
        </w:rPr>
        <w:t>, 2021). It provides a detailed explanation of the percentage return that the equity stockholders have received. It makes it easier for investors to compare the success of various equity investments and, as a result, influences the investment strategy they will use in the future (</w:t>
      </w:r>
      <w:proofErr w:type="spellStart"/>
      <w:r w:rsidRPr="00A13288">
        <w:rPr>
          <w:rFonts w:ascii="Arial" w:hAnsi="Arial" w:cs="Arial"/>
          <w:szCs w:val="24"/>
        </w:rPr>
        <w:t>Jurakulovna</w:t>
      </w:r>
      <w:proofErr w:type="spellEnd"/>
      <w:r w:rsidRPr="00A13288">
        <w:rPr>
          <w:rFonts w:ascii="Arial" w:hAnsi="Arial" w:cs="Arial"/>
          <w:szCs w:val="24"/>
        </w:rPr>
        <w:t>, 2021).</w:t>
      </w:r>
    </w:p>
    <w:p w14:paraId="3EBFD4CB" w14:textId="77777777" w:rsidR="00305210" w:rsidRPr="00A13288" w:rsidRDefault="00305210" w:rsidP="00305210">
      <w:pPr>
        <w:rPr>
          <w:rFonts w:ascii="Arial" w:hAnsi="Arial" w:cs="Arial"/>
          <w:szCs w:val="24"/>
        </w:rPr>
      </w:pPr>
      <w:r w:rsidRPr="00A13288">
        <w:rPr>
          <w:rFonts w:ascii="Arial" w:hAnsi="Arial" w:cs="Arial"/>
          <w:szCs w:val="24"/>
        </w:rPr>
        <w:t>Earnings per share = (Net income – dividends payments) / weighted average shares outstanding</w:t>
      </w:r>
    </w:p>
    <w:tbl>
      <w:tblPr>
        <w:tblW w:w="9907" w:type="dxa"/>
        <w:tblLook w:val="04A0" w:firstRow="1" w:lastRow="0" w:firstColumn="1" w:lastColumn="0" w:noHBand="0" w:noVBand="1"/>
      </w:tblPr>
      <w:tblGrid>
        <w:gridCol w:w="960"/>
        <w:gridCol w:w="3003"/>
        <w:gridCol w:w="3862"/>
        <w:gridCol w:w="2082"/>
      </w:tblGrid>
      <w:tr w:rsidR="00305210" w:rsidRPr="00A13288" w14:paraId="666308FF" w14:textId="77777777" w:rsidTr="00305210">
        <w:trPr>
          <w:trHeight w:val="31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0533414" w14:textId="77777777" w:rsidR="00305210" w:rsidRPr="00A13288" w:rsidRDefault="00305210">
            <w:pPr>
              <w:rPr>
                <w:rFonts w:ascii="Arial" w:hAnsi="Arial" w:cs="Arial"/>
                <w:szCs w:val="24"/>
              </w:rPr>
            </w:pPr>
          </w:p>
        </w:tc>
        <w:tc>
          <w:tcPr>
            <w:tcW w:w="3003" w:type="dxa"/>
            <w:tcBorders>
              <w:top w:val="single" w:sz="4" w:space="0" w:color="auto"/>
              <w:left w:val="nil"/>
              <w:bottom w:val="single" w:sz="4" w:space="0" w:color="auto"/>
              <w:right w:val="single" w:sz="4" w:space="0" w:color="auto"/>
            </w:tcBorders>
            <w:noWrap/>
            <w:vAlign w:val="center"/>
            <w:hideMark/>
          </w:tcPr>
          <w:p w14:paraId="7301D647"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net income - dividends paid</w:t>
            </w:r>
          </w:p>
        </w:tc>
        <w:tc>
          <w:tcPr>
            <w:tcW w:w="3862" w:type="dxa"/>
            <w:tcBorders>
              <w:top w:val="single" w:sz="4" w:space="0" w:color="auto"/>
              <w:left w:val="nil"/>
              <w:bottom w:val="single" w:sz="4" w:space="0" w:color="auto"/>
              <w:right w:val="single" w:sz="4" w:space="0" w:color="auto"/>
            </w:tcBorders>
            <w:noWrap/>
            <w:vAlign w:val="center"/>
            <w:hideMark/>
          </w:tcPr>
          <w:p w14:paraId="28865B07"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weighted average shares outstanding</w:t>
            </w:r>
          </w:p>
        </w:tc>
        <w:tc>
          <w:tcPr>
            <w:tcW w:w="2082" w:type="dxa"/>
            <w:tcBorders>
              <w:top w:val="single" w:sz="4" w:space="0" w:color="auto"/>
              <w:left w:val="nil"/>
              <w:bottom w:val="single" w:sz="4" w:space="0" w:color="auto"/>
              <w:right w:val="single" w:sz="4" w:space="0" w:color="auto"/>
            </w:tcBorders>
            <w:noWrap/>
            <w:vAlign w:val="center"/>
            <w:hideMark/>
          </w:tcPr>
          <w:p w14:paraId="455EF17C"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earnings per share</w:t>
            </w:r>
          </w:p>
        </w:tc>
      </w:tr>
      <w:tr w:rsidR="00305210" w:rsidRPr="00A13288" w14:paraId="2F5321FB" w14:textId="77777777" w:rsidTr="00305210">
        <w:trPr>
          <w:trHeight w:val="310"/>
        </w:trPr>
        <w:tc>
          <w:tcPr>
            <w:tcW w:w="960" w:type="dxa"/>
            <w:tcBorders>
              <w:top w:val="nil"/>
              <w:left w:val="single" w:sz="4" w:space="0" w:color="auto"/>
              <w:bottom w:val="single" w:sz="4" w:space="0" w:color="auto"/>
              <w:right w:val="single" w:sz="4" w:space="0" w:color="auto"/>
            </w:tcBorders>
            <w:noWrap/>
            <w:vAlign w:val="center"/>
            <w:hideMark/>
          </w:tcPr>
          <w:p w14:paraId="005D0E82"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2020</w:t>
            </w:r>
          </w:p>
        </w:tc>
        <w:tc>
          <w:tcPr>
            <w:tcW w:w="3003" w:type="dxa"/>
            <w:tcBorders>
              <w:top w:val="nil"/>
              <w:left w:val="nil"/>
              <w:bottom w:val="single" w:sz="4" w:space="0" w:color="auto"/>
              <w:right w:val="single" w:sz="4" w:space="0" w:color="auto"/>
            </w:tcBorders>
            <w:noWrap/>
            <w:vAlign w:val="center"/>
            <w:hideMark/>
          </w:tcPr>
          <w:p w14:paraId="0D024BF9"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124</w:t>
            </w:r>
          </w:p>
        </w:tc>
        <w:tc>
          <w:tcPr>
            <w:tcW w:w="3862" w:type="dxa"/>
            <w:tcBorders>
              <w:top w:val="nil"/>
              <w:left w:val="nil"/>
              <w:bottom w:val="single" w:sz="4" w:space="0" w:color="auto"/>
              <w:right w:val="single" w:sz="4" w:space="0" w:color="auto"/>
            </w:tcBorders>
            <w:noWrap/>
            <w:vAlign w:val="center"/>
            <w:hideMark/>
          </w:tcPr>
          <w:p w14:paraId="2C295285"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75</w:t>
            </w:r>
          </w:p>
        </w:tc>
        <w:tc>
          <w:tcPr>
            <w:tcW w:w="2082" w:type="dxa"/>
            <w:tcBorders>
              <w:top w:val="nil"/>
              <w:left w:val="nil"/>
              <w:bottom w:val="single" w:sz="4" w:space="0" w:color="auto"/>
              <w:right w:val="single" w:sz="4" w:space="0" w:color="auto"/>
            </w:tcBorders>
            <w:noWrap/>
            <w:vAlign w:val="center"/>
            <w:hideMark/>
          </w:tcPr>
          <w:p w14:paraId="484F8FF9"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1.65</w:t>
            </w:r>
          </w:p>
        </w:tc>
      </w:tr>
      <w:tr w:rsidR="00305210" w:rsidRPr="00A13288" w14:paraId="1620CE56" w14:textId="77777777" w:rsidTr="00305210">
        <w:trPr>
          <w:trHeight w:val="310"/>
        </w:trPr>
        <w:tc>
          <w:tcPr>
            <w:tcW w:w="960" w:type="dxa"/>
            <w:tcBorders>
              <w:top w:val="nil"/>
              <w:left w:val="single" w:sz="4" w:space="0" w:color="auto"/>
              <w:bottom w:val="single" w:sz="4" w:space="0" w:color="auto"/>
              <w:right w:val="single" w:sz="4" w:space="0" w:color="auto"/>
            </w:tcBorders>
            <w:noWrap/>
            <w:vAlign w:val="center"/>
            <w:hideMark/>
          </w:tcPr>
          <w:p w14:paraId="234B662A"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2021</w:t>
            </w:r>
          </w:p>
        </w:tc>
        <w:tc>
          <w:tcPr>
            <w:tcW w:w="3003" w:type="dxa"/>
            <w:tcBorders>
              <w:top w:val="nil"/>
              <w:left w:val="nil"/>
              <w:bottom w:val="single" w:sz="4" w:space="0" w:color="auto"/>
              <w:right w:val="single" w:sz="4" w:space="0" w:color="auto"/>
            </w:tcBorders>
            <w:noWrap/>
            <w:vAlign w:val="center"/>
            <w:hideMark/>
          </w:tcPr>
          <w:p w14:paraId="1E9B13C7"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176</w:t>
            </w:r>
          </w:p>
        </w:tc>
        <w:tc>
          <w:tcPr>
            <w:tcW w:w="3862" w:type="dxa"/>
            <w:tcBorders>
              <w:top w:val="nil"/>
              <w:left w:val="nil"/>
              <w:bottom w:val="single" w:sz="4" w:space="0" w:color="auto"/>
              <w:right w:val="single" w:sz="4" w:space="0" w:color="auto"/>
            </w:tcBorders>
            <w:noWrap/>
            <w:vAlign w:val="center"/>
            <w:hideMark/>
          </w:tcPr>
          <w:p w14:paraId="3E528DD0"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59</w:t>
            </w:r>
          </w:p>
        </w:tc>
        <w:tc>
          <w:tcPr>
            <w:tcW w:w="2082" w:type="dxa"/>
            <w:tcBorders>
              <w:top w:val="nil"/>
              <w:left w:val="nil"/>
              <w:bottom w:val="single" w:sz="4" w:space="0" w:color="auto"/>
              <w:right w:val="single" w:sz="4" w:space="0" w:color="auto"/>
            </w:tcBorders>
            <w:noWrap/>
            <w:vAlign w:val="center"/>
            <w:hideMark/>
          </w:tcPr>
          <w:p w14:paraId="00173A36"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3.00</w:t>
            </w:r>
          </w:p>
        </w:tc>
      </w:tr>
    </w:tbl>
    <w:p w14:paraId="03986CE0" w14:textId="77777777" w:rsidR="00305210" w:rsidRPr="00A13288" w:rsidRDefault="00305210" w:rsidP="00305210">
      <w:pPr>
        <w:pStyle w:val="Heading3"/>
        <w:numPr>
          <w:ilvl w:val="0"/>
          <w:numId w:val="3"/>
        </w:numPr>
        <w:rPr>
          <w:rFonts w:ascii="Arial" w:hAnsi="Arial" w:cs="Arial"/>
        </w:rPr>
      </w:pPr>
      <w:bookmarkStart w:id="9" w:name="_Toc123345902"/>
      <w:r w:rsidRPr="00A13288">
        <w:rPr>
          <w:rFonts w:ascii="Arial" w:hAnsi="Arial" w:cs="Arial"/>
        </w:rPr>
        <w:t>Net profit margin</w:t>
      </w:r>
      <w:bookmarkEnd w:id="9"/>
      <w:r w:rsidRPr="00A13288">
        <w:rPr>
          <w:rFonts w:ascii="Arial" w:hAnsi="Arial" w:cs="Arial"/>
        </w:rPr>
        <w:t xml:space="preserve"> </w:t>
      </w:r>
    </w:p>
    <w:p w14:paraId="09956DEB" w14:textId="77777777" w:rsidR="00305210" w:rsidRPr="00A13288" w:rsidRDefault="00305210" w:rsidP="00305210">
      <w:pPr>
        <w:rPr>
          <w:rFonts w:ascii="Arial" w:hAnsi="Arial" w:cs="Arial"/>
          <w:szCs w:val="24"/>
        </w:rPr>
      </w:pPr>
      <w:r w:rsidRPr="00A13288">
        <w:rPr>
          <w:rFonts w:ascii="Arial" w:hAnsi="Arial" w:cs="Arial"/>
          <w:szCs w:val="24"/>
        </w:rPr>
        <w:t xml:space="preserve">The percentage of revenue that is retained as profit is one measure of the robustness of a company's finances. To calculate your net profit, simply divide your earnings by your revenue. This will give you your net profit. To get an accurate picture of their level of success, a lot of companies rely heavily on the return on sales ratio, which is also referred to as the net profit margin (Robinson, 2020). By analysing the net profit margin, an investor can determine </w:t>
      </w:r>
      <w:proofErr w:type="gramStart"/>
      <w:r w:rsidRPr="00A13288">
        <w:rPr>
          <w:rFonts w:ascii="Arial" w:hAnsi="Arial" w:cs="Arial"/>
          <w:szCs w:val="24"/>
        </w:rPr>
        <w:t>whether or not</w:t>
      </w:r>
      <w:proofErr w:type="gramEnd"/>
      <w:r w:rsidRPr="00A13288">
        <w:rPr>
          <w:rFonts w:ascii="Arial" w:hAnsi="Arial" w:cs="Arial"/>
          <w:szCs w:val="24"/>
        </w:rPr>
        <w:t xml:space="preserve"> the company can generate a sufficient amount of profit from its sales, as well as whether or not it can keep its operating expenses and overhead costs under control (Robinson, 2020).</w:t>
      </w:r>
    </w:p>
    <w:p w14:paraId="44A6758E" w14:textId="77777777" w:rsidR="00305210" w:rsidRPr="00A13288" w:rsidRDefault="00305210" w:rsidP="00305210">
      <w:pPr>
        <w:rPr>
          <w:rFonts w:ascii="Arial" w:hAnsi="Arial" w:cs="Arial"/>
          <w:szCs w:val="24"/>
        </w:rPr>
      </w:pPr>
      <w:r w:rsidRPr="00A13288">
        <w:rPr>
          <w:rFonts w:ascii="Arial" w:hAnsi="Arial" w:cs="Arial"/>
          <w:szCs w:val="24"/>
        </w:rPr>
        <w:t>Net profit margin = Net income / net sales</w:t>
      </w:r>
    </w:p>
    <w:tbl>
      <w:tblPr>
        <w:tblStyle w:val="TableGrid"/>
        <w:tblW w:w="5983" w:type="dxa"/>
        <w:jc w:val="center"/>
        <w:tblInd w:w="0" w:type="dxa"/>
        <w:tblLook w:val="04A0" w:firstRow="1" w:lastRow="0" w:firstColumn="1" w:lastColumn="0" w:noHBand="0" w:noVBand="1"/>
      </w:tblPr>
      <w:tblGrid>
        <w:gridCol w:w="960"/>
        <w:gridCol w:w="1440"/>
        <w:gridCol w:w="1620"/>
        <w:gridCol w:w="1963"/>
      </w:tblGrid>
      <w:tr w:rsidR="00305210" w:rsidRPr="00A13288" w14:paraId="17CFF273" w14:textId="77777777" w:rsidTr="00305210">
        <w:trPr>
          <w:trHeight w:val="31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40F89E2C" w14:textId="77777777" w:rsidR="00305210" w:rsidRPr="00A13288" w:rsidRDefault="00305210">
            <w:pPr>
              <w:rPr>
                <w:rFonts w:ascii="Arial" w:hAnsi="Arial" w:cs="Arial"/>
                <w:szCs w:val="24"/>
              </w:rPr>
            </w:pPr>
          </w:p>
        </w:tc>
        <w:tc>
          <w:tcPr>
            <w:tcW w:w="1440" w:type="dxa"/>
            <w:tcBorders>
              <w:top w:val="single" w:sz="4" w:space="0" w:color="auto"/>
              <w:left w:val="single" w:sz="4" w:space="0" w:color="auto"/>
              <w:bottom w:val="single" w:sz="4" w:space="0" w:color="auto"/>
              <w:right w:val="single" w:sz="4" w:space="0" w:color="auto"/>
            </w:tcBorders>
            <w:noWrap/>
            <w:vAlign w:val="center"/>
            <w:hideMark/>
          </w:tcPr>
          <w:p w14:paraId="1CD8E098"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net income</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472CDC31"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Net sales</w:t>
            </w:r>
          </w:p>
        </w:tc>
        <w:tc>
          <w:tcPr>
            <w:tcW w:w="1963" w:type="dxa"/>
            <w:tcBorders>
              <w:top w:val="single" w:sz="4" w:space="0" w:color="auto"/>
              <w:left w:val="single" w:sz="4" w:space="0" w:color="auto"/>
              <w:bottom w:val="single" w:sz="4" w:space="0" w:color="auto"/>
              <w:right w:val="single" w:sz="4" w:space="0" w:color="auto"/>
            </w:tcBorders>
            <w:noWrap/>
            <w:vAlign w:val="center"/>
            <w:hideMark/>
          </w:tcPr>
          <w:p w14:paraId="1F082DC0"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net profit margin</w:t>
            </w:r>
          </w:p>
        </w:tc>
      </w:tr>
      <w:tr w:rsidR="00305210" w:rsidRPr="00A13288" w14:paraId="40548E78" w14:textId="77777777" w:rsidTr="00305210">
        <w:trPr>
          <w:trHeight w:val="31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1F94D522"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2020</w:t>
            </w:r>
          </w:p>
        </w:tc>
        <w:tc>
          <w:tcPr>
            <w:tcW w:w="1440" w:type="dxa"/>
            <w:tcBorders>
              <w:top w:val="single" w:sz="4" w:space="0" w:color="auto"/>
              <w:left w:val="single" w:sz="4" w:space="0" w:color="auto"/>
              <w:bottom w:val="single" w:sz="4" w:space="0" w:color="auto"/>
              <w:right w:val="single" w:sz="4" w:space="0" w:color="auto"/>
            </w:tcBorders>
            <w:noWrap/>
            <w:vAlign w:val="center"/>
            <w:hideMark/>
          </w:tcPr>
          <w:p w14:paraId="2BC14B66"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366</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31765DEC"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3,345</w:t>
            </w:r>
          </w:p>
        </w:tc>
        <w:tc>
          <w:tcPr>
            <w:tcW w:w="1963" w:type="dxa"/>
            <w:tcBorders>
              <w:top w:val="single" w:sz="4" w:space="0" w:color="auto"/>
              <w:left w:val="single" w:sz="4" w:space="0" w:color="auto"/>
              <w:bottom w:val="single" w:sz="4" w:space="0" w:color="auto"/>
              <w:right w:val="single" w:sz="4" w:space="0" w:color="auto"/>
            </w:tcBorders>
            <w:noWrap/>
            <w:vAlign w:val="center"/>
            <w:hideMark/>
          </w:tcPr>
          <w:p w14:paraId="24FE06B8"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0.11</w:t>
            </w:r>
          </w:p>
        </w:tc>
      </w:tr>
      <w:tr w:rsidR="00305210" w:rsidRPr="00A13288" w14:paraId="061FF324" w14:textId="77777777" w:rsidTr="00305210">
        <w:trPr>
          <w:trHeight w:val="31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06EA7254"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2021</w:t>
            </w:r>
          </w:p>
        </w:tc>
        <w:tc>
          <w:tcPr>
            <w:tcW w:w="1440" w:type="dxa"/>
            <w:tcBorders>
              <w:top w:val="single" w:sz="4" w:space="0" w:color="auto"/>
              <w:left w:val="single" w:sz="4" w:space="0" w:color="auto"/>
              <w:bottom w:val="single" w:sz="4" w:space="0" w:color="auto"/>
              <w:right w:val="single" w:sz="4" w:space="0" w:color="auto"/>
            </w:tcBorders>
            <w:noWrap/>
            <w:vAlign w:val="center"/>
            <w:hideMark/>
          </w:tcPr>
          <w:p w14:paraId="6B30C719"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431</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4952E7F8"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3,503</w:t>
            </w:r>
          </w:p>
        </w:tc>
        <w:tc>
          <w:tcPr>
            <w:tcW w:w="1963" w:type="dxa"/>
            <w:tcBorders>
              <w:top w:val="single" w:sz="4" w:space="0" w:color="auto"/>
              <w:left w:val="single" w:sz="4" w:space="0" w:color="auto"/>
              <w:bottom w:val="single" w:sz="4" w:space="0" w:color="auto"/>
              <w:right w:val="single" w:sz="4" w:space="0" w:color="auto"/>
            </w:tcBorders>
            <w:noWrap/>
            <w:vAlign w:val="center"/>
            <w:hideMark/>
          </w:tcPr>
          <w:p w14:paraId="0C99DF80"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0.12</w:t>
            </w:r>
          </w:p>
        </w:tc>
      </w:tr>
    </w:tbl>
    <w:p w14:paraId="12BF640D" w14:textId="77777777" w:rsidR="00305210" w:rsidRPr="00A13288" w:rsidRDefault="00305210" w:rsidP="00305210">
      <w:pPr>
        <w:pStyle w:val="Heading3"/>
        <w:numPr>
          <w:ilvl w:val="0"/>
          <w:numId w:val="3"/>
        </w:numPr>
        <w:rPr>
          <w:rFonts w:ascii="Arial" w:hAnsi="Arial" w:cs="Arial"/>
        </w:rPr>
      </w:pPr>
      <w:bookmarkStart w:id="10" w:name="_Toc123345903"/>
      <w:r w:rsidRPr="00A13288">
        <w:rPr>
          <w:rFonts w:ascii="Arial" w:hAnsi="Arial" w:cs="Arial"/>
        </w:rPr>
        <w:t>Asset turnover</w:t>
      </w:r>
      <w:bookmarkEnd w:id="10"/>
      <w:r w:rsidRPr="00A13288">
        <w:rPr>
          <w:rFonts w:ascii="Arial" w:hAnsi="Arial" w:cs="Arial"/>
        </w:rPr>
        <w:t xml:space="preserve"> </w:t>
      </w:r>
    </w:p>
    <w:p w14:paraId="536E147F" w14:textId="77777777" w:rsidR="00305210" w:rsidRPr="00A13288" w:rsidRDefault="00305210" w:rsidP="00305210">
      <w:pPr>
        <w:rPr>
          <w:rFonts w:ascii="Arial" w:hAnsi="Arial" w:cs="Arial"/>
          <w:szCs w:val="24"/>
        </w:rPr>
      </w:pPr>
      <w:r w:rsidRPr="00A13288">
        <w:rPr>
          <w:rFonts w:ascii="Arial" w:hAnsi="Arial" w:cs="Arial"/>
          <w:szCs w:val="24"/>
        </w:rPr>
        <w:t xml:space="preserve">The asset turnover ratio analyses how well a company's assets create sales or income. The yearly percentage of total assets is used to illustrate the ratio of sales (revenues) to assets. The turnover ratio may be determined by dividing the number </w:t>
      </w:r>
      <w:r w:rsidRPr="00A13288">
        <w:rPr>
          <w:rFonts w:ascii="Arial" w:hAnsi="Arial" w:cs="Arial"/>
          <w:szCs w:val="24"/>
        </w:rPr>
        <w:lastRenderedPageBreak/>
        <w:t>net sales or revenue by the total average assets (Schroeder, 2022). This ratio may be helpful in determining how productive a business is, and it may also be able to point the way toward improving the company's ability to transform its assets into cash via the activities of its employees and customers (Schroeder, 2022).</w:t>
      </w:r>
    </w:p>
    <w:p w14:paraId="41153ACE" w14:textId="77777777" w:rsidR="00305210" w:rsidRPr="00A13288" w:rsidRDefault="00305210" w:rsidP="00305210">
      <w:pPr>
        <w:rPr>
          <w:rFonts w:ascii="Arial" w:hAnsi="Arial" w:cs="Arial"/>
          <w:szCs w:val="24"/>
        </w:rPr>
      </w:pPr>
      <w:r w:rsidRPr="00A13288">
        <w:rPr>
          <w:rFonts w:ascii="Arial" w:hAnsi="Arial" w:cs="Arial"/>
          <w:szCs w:val="24"/>
        </w:rPr>
        <w:t>Asset turnover = Net sales / total assets</w:t>
      </w:r>
    </w:p>
    <w:tbl>
      <w:tblPr>
        <w:tblStyle w:val="TableGrid"/>
        <w:tblW w:w="5696" w:type="dxa"/>
        <w:jc w:val="center"/>
        <w:tblInd w:w="0" w:type="dxa"/>
        <w:tblLook w:val="04A0" w:firstRow="1" w:lastRow="0" w:firstColumn="1" w:lastColumn="0" w:noHBand="0" w:noVBand="1"/>
      </w:tblPr>
      <w:tblGrid>
        <w:gridCol w:w="960"/>
        <w:gridCol w:w="1440"/>
        <w:gridCol w:w="1620"/>
        <w:gridCol w:w="1676"/>
      </w:tblGrid>
      <w:tr w:rsidR="00305210" w:rsidRPr="00A13288" w14:paraId="0ECC5D72" w14:textId="77777777" w:rsidTr="00305210">
        <w:trPr>
          <w:trHeight w:val="29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67DD58A" w14:textId="77777777" w:rsidR="00305210" w:rsidRPr="00A13288" w:rsidRDefault="00305210">
            <w:pPr>
              <w:rPr>
                <w:rFonts w:ascii="Arial" w:hAnsi="Arial" w:cs="Arial"/>
                <w:szCs w:val="24"/>
              </w:rPr>
            </w:pPr>
          </w:p>
        </w:tc>
        <w:tc>
          <w:tcPr>
            <w:tcW w:w="1440" w:type="dxa"/>
            <w:tcBorders>
              <w:top w:val="single" w:sz="4" w:space="0" w:color="auto"/>
              <w:left w:val="single" w:sz="4" w:space="0" w:color="auto"/>
              <w:bottom w:val="single" w:sz="4" w:space="0" w:color="auto"/>
              <w:right w:val="single" w:sz="4" w:space="0" w:color="auto"/>
            </w:tcBorders>
            <w:noWrap/>
            <w:vAlign w:val="center"/>
            <w:hideMark/>
          </w:tcPr>
          <w:p w14:paraId="0475EDC5"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net sales</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3B2F61DA"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total assets</w:t>
            </w:r>
          </w:p>
        </w:tc>
        <w:tc>
          <w:tcPr>
            <w:tcW w:w="1676" w:type="dxa"/>
            <w:tcBorders>
              <w:top w:val="single" w:sz="4" w:space="0" w:color="auto"/>
              <w:left w:val="single" w:sz="4" w:space="0" w:color="auto"/>
              <w:bottom w:val="single" w:sz="4" w:space="0" w:color="auto"/>
              <w:right w:val="single" w:sz="4" w:space="0" w:color="auto"/>
            </w:tcBorders>
            <w:noWrap/>
            <w:vAlign w:val="center"/>
            <w:hideMark/>
          </w:tcPr>
          <w:p w14:paraId="23C9C662"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asset turnover</w:t>
            </w:r>
          </w:p>
        </w:tc>
      </w:tr>
      <w:tr w:rsidR="00305210" w:rsidRPr="00A13288" w14:paraId="758ED414" w14:textId="77777777" w:rsidTr="00305210">
        <w:trPr>
          <w:trHeight w:val="29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51298899"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2020</w:t>
            </w:r>
          </w:p>
        </w:tc>
        <w:tc>
          <w:tcPr>
            <w:tcW w:w="1440" w:type="dxa"/>
            <w:tcBorders>
              <w:top w:val="single" w:sz="4" w:space="0" w:color="auto"/>
              <w:left w:val="single" w:sz="4" w:space="0" w:color="auto"/>
              <w:bottom w:val="single" w:sz="4" w:space="0" w:color="auto"/>
              <w:right w:val="single" w:sz="4" w:space="0" w:color="auto"/>
            </w:tcBorders>
            <w:noWrap/>
            <w:vAlign w:val="center"/>
            <w:hideMark/>
          </w:tcPr>
          <w:p w14:paraId="416A3989"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3,345</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232E2273"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10,087</w:t>
            </w:r>
          </w:p>
        </w:tc>
        <w:tc>
          <w:tcPr>
            <w:tcW w:w="1676" w:type="dxa"/>
            <w:tcBorders>
              <w:top w:val="single" w:sz="4" w:space="0" w:color="auto"/>
              <w:left w:val="single" w:sz="4" w:space="0" w:color="auto"/>
              <w:bottom w:val="single" w:sz="4" w:space="0" w:color="auto"/>
              <w:right w:val="single" w:sz="4" w:space="0" w:color="auto"/>
            </w:tcBorders>
            <w:noWrap/>
            <w:vAlign w:val="center"/>
            <w:hideMark/>
          </w:tcPr>
          <w:p w14:paraId="3BEC5BE9"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0.33</w:t>
            </w:r>
          </w:p>
        </w:tc>
      </w:tr>
      <w:tr w:rsidR="00305210" w:rsidRPr="00A13288" w14:paraId="19F78689" w14:textId="77777777" w:rsidTr="00305210">
        <w:trPr>
          <w:trHeight w:val="29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036B0CB0"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2021</w:t>
            </w:r>
          </w:p>
        </w:tc>
        <w:tc>
          <w:tcPr>
            <w:tcW w:w="1440" w:type="dxa"/>
            <w:tcBorders>
              <w:top w:val="single" w:sz="4" w:space="0" w:color="auto"/>
              <w:left w:val="single" w:sz="4" w:space="0" w:color="auto"/>
              <w:bottom w:val="single" w:sz="4" w:space="0" w:color="auto"/>
              <w:right w:val="single" w:sz="4" w:space="0" w:color="auto"/>
            </w:tcBorders>
            <w:noWrap/>
            <w:vAlign w:val="center"/>
            <w:hideMark/>
          </w:tcPr>
          <w:p w14:paraId="3CD27482"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3,503</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70CC7E62"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9,736</w:t>
            </w:r>
          </w:p>
        </w:tc>
        <w:tc>
          <w:tcPr>
            <w:tcW w:w="1676" w:type="dxa"/>
            <w:tcBorders>
              <w:top w:val="single" w:sz="4" w:space="0" w:color="auto"/>
              <w:left w:val="single" w:sz="4" w:space="0" w:color="auto"/>
              <w:bottom w:val="single" w:sz="4" w:space="0" w:color="auto"/>
              <w:right w:val="single" w:sz="4" w:space="0" w:color="auto"/>
            </w:tcBorders>
            <w:noWrap/>
            <w:vAlign w:val="center"/>
            <w:hideMark/>
          </w:tcPr>
          <w:p w14:paraId="701969AA" w14:textId="77777777" w:rsidR="00305210" w:rsidRPr="00A13288" w:rsidRDefault="00305210">
            <w:pPr>
              <w:spacing w:before="0" w:after="0" w:line="240" w:lineRule="auto"/>
              <w:jc w:val="center"/>
              <w:rPr>
                <w:rFonts w:ascii="Arial" w:eastAsia="Times New Roman" w:hAnsi="Arial" w:cs="Arial"/>
                <w:color w:val="000000"/>
                <w:szCs w:val="24"/>
                <w:lang w:bidi="bn-IN"/>
              </w:rPr>
            </w:pPr>
            <w:r w:rsidRPr="00A13288">
              <w:rPr>
                <w:rFonts w:ascii="Arial" w:eastAsia="Times New Roman" w:hAnsi="Arial" w:cs="Arial"/>
                <w:color w:val="000000"/>
                <w:szCs w:val="24"/>
                <w:lang w:bidi="bn-IN"/>
              </w:rPr>
              <w:t>0.36</w:t>
            </w:r>
          </w:p>
        </w:tc>
      </w:tr>
    </w:tbl>
    <w:p w14:paraId="47F0FF46" w14:textId="77777777" w:rsidR="00305210" w:rsidRPr="00A13288" w:rsidRDefault="00305210" w:rsidP="00305210">
      <w:pPr>
        <w:pStyle w:val="Heading3"/>
        <w:numPr>
          <w:ilvl w:val="0"/>
          <w:numId w:val="3"/>
        </w:numPr>
        <w:rPr>
          <w:rFonts w:ascii="Arial" w:hAnsi="Arial" w:cs="Arial"/>
        </w:rPr>
      </w:pPr>
      <w:bookmarkStart w:id="11" w:name="_Toc123345904"/>
      <w:r w:rsidRPr="00A13288">
        <w:rPr>
          <w:rFonts w:ascii="Arial" w:hAnsi="Arial" w:cs="Arial"/>
        </w:rPr>
        <w:t>Stock holding days</w:t>
      </w:r>
      <w:bookmarkEnd w:id="11"/>
      <w:r w:rsidRPr="00A13288">
        <w:rPr>
          <w:rFonts w:ascii="Arial" w:hAnsi="Arial" w:cs="Arial"/>
        </w:rPr>
        <w:t xml:space="preserve"> </w:t>
      </w:r>
    </w:p>
    <w:p w14:paraId="037E018A" w14:textId="77777777" w:rsidR="00305210" w:rsidRPr="00A13288" w:rsidRDefault="00305210" w:rsidP="00305210">
      <w:pPr>
        <w:rPr>
          <w:rFonts w:ascii="Arial" w:hAnsi="Arial" w:cs="Arial"/>
          <w:szCs w:val="24"/>
        </w:rPr>
      </w:pPr>
      <w:r w:rsidRPr="00A13288">
        <w:rPr>
          <w:rFonts w:ascii="Arial" w:hAnsi="Arial" w:cs="Arial"/>
          <w:szCs w:val="24"/>
        </w:rPr>
        <w:t>The DIO calculates the typical amount of time a company keeps its stock on hand before selling it. The amount of time it takes for a corporation to sell off its stock is a gauge of its capacity to turn inventory into cash. It evaluates a company's financial and operational health and assesses liquidity (</w:t>
      </w:r>
      <w:proofErr w:type="spellStart"/>
      <w:r w:rsidRPr="00A13288">
        <w:rPr>
          <w:rFonts w:ascii="Arial" w:hAnsi="Arial" w:cs="Arial"/>
          <w:szCs w:val="24"/>
        </w:rPr>
        <w:t>Welc</w:t>
      </w:r>
      <w:proofErr w:type="spellEnd"/>
      <w:r w:rsidRPr="00A13288">
        <w:rPr>
          <w:rFonts w:ascii="Arial" w:hAnsi="Arial" w:cs="Arial"/>
          <w:szCs w:val="24"/>
        </w:rPr>
        <w:t xml:space="preserve">, 2022). Distribution companies might benefit from having an estimate of their inventory's days of supply since it enables more accurate cost allocation for the inventory's storage. It provides information on the typical number of times per week that the firm sold its goods. It is to the company's advantage to reduce the amount of period it </w:t>
      </w:r>
      <w:proofErr w:type="spellStart"/>
      <w:r w:rsidRPr="00A13288">
        <w:rPr>
          <w:rFonts w:ascii="Arial" w:hAnsi="Arial" w:cs="Arial"/>
          <w:szCs w:val="24"/>
        </w:rPr>
        <w:t>reqiures</w:t>
      </w:r>
      <w:proofErr w:type="spellEnd"/>
      <w:r w:rsidRPr="00A13288">
        <w:rPr>
          <w:rFonts w:ascii="Arial" w:hAnsi="Arial" w:cs="Arial"/>
          <w:szCs w:val="24"/>
        </w:rPr>
        <w:t xml:space="preserve"> to sell off its inventory (</w:t>
      </w:r>
      <w:proofErr w:type="spellStart"/>
      <w:r w:rsidRPr="00A13288">
        <w:rPr>
          <w:rFonts w:ascii="Arial" w:hAnsi="Arial" w:cs="Arial"/>
          <w:szCs w:val="24"/>
        </w:rPr>
        <w:t>Welc</w:t>
      </w:r>
      <w:proofErr w:type="spellEnd"/>
      <w:r w:rsidRPr="00A13288">
        <w:rPr>
          <w:rFonts w:ascii="Arial" w:hAnsi="Arial" w:cs="Arial"/>
          <w:szCs w:val="24"/>
        </w:rPr>
        <w:t xml:space="preserve">, 2022). </w:t>
      </w:r>
    </w:p>
    <w:p w14:paraId="140DCE32" w14:textId="77777777" w:rsidR="00305210" w:rsidRPr="00A13288" w:rsidRDefault="00305210" w:rsidP="00305210">
      <w:pPr>
        <w:rPr>
          <w:rFonts w:ascii="Arial" w:hAnsi="Arial" w:cs="Arial"/>
          <w:szCs w:val="24"/>
        </w:rPr>
      </w:pPr>
      <w:r w:rsidRPr="00A13288">
        <w:rPr>
          <w:rFonts w:ascii="Arial" w:hAnsi="Arial" w:cs="Arial"/>
          <w:szCs w:val="24"/>
        </w:rPr>
        <w:t>Stock holding days = (average inventory / cost of goods sold) × 365</w:t>
      </w:r>
    </w:p>
    <w:tbl>
      <w:tblPr>
        <w:tblW w:w="10180" w:type="dxa"/>
        <w:tblLook w:val="04A0" w:firstRow="1" w:lastRow="0" w:firstColumn="1" w:lastColumn="0" w:noHBand="0" w:noVBand="1"/>
      </w:tblPr>
      <w:tblGrid>
        <w:gridCol w:w="960"/>
        <w:gridCol w:w="2780"/>
        <w:gridCol w:w="3660"/>
        <w:gridCol w:w="2780"/>
      </w:tblGrid>
      <w:tr w:rsidR="00305210" w:rsidRPr="00A13288" w14:paraId="7174C1DB" w14:textId="77777777" w:rsidTr="00305210">
        <w:trPr>
          <w:trHeight w:val="31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70AC1D71" w14:textId="77777777" w:rsidR="00305210" w:rsidRPr="00A13288" w:rsidRDefault="00305210">
            <w:pPr>
              <w:rPr>
                <w:rFonts w:ascii="Arial" w:hAnsi="Arial" w:cs="Arial"/>
                <w:szCs w:val="24"/>
              </w:rPr>
            </w:pPr>
          </w:p>
        </w:tc>
        <w:tc>
          <w:tcPr>
            <w:tcW w:w="2780" w:type="dxa"/>
            <w:tcBorders>
              <w:top w:val="single" w:sz="4" w:space="0" w:color="auto"/>
              <w:left w:val="nil"/>
              <w:bottom w:val="single" w:sz="4" w:space="0" w:color="auto"/>
              <w:right w:val="single" w:sz="4" w:space="0" w:color="auto"/>
            </w:tcBorders>
            <w:noWrap/>
            <w:vAlign w:val="center"/>
            <w:hideMark/>
          </w:tcPr>
          <w:p w14:paraId="15F26A9E"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average inventory</w:t>
            </w:r>
          </w:p>
        </w:tc>
        <w:tc>
          <w:tcPr>
            <w:tcW w:w="3660" w:type="dxa"/>
            <w:tcBorders>
              <w:top w:val="single" w:sz="4" w:space="0" w:color="auto"/>
              <w:left w:val="nil"/>
              <w:bottom w:val="single" w:sz="4" w:space="0" w:color="auto"/>
              <w:right w:val="single" w:sz="4" w:space="0" w:color="auto"/>
            </w:tcBorders>
            <w:noWrap/>
            <w:vAlign w:val="center"/>
            <w:hideMark/>
          </w:tcPr>
          <w:p w14:paraId="0FF0FEE7"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cost of goods sold</w:t>
            </w:r>
          </w:p>
        </w:tc>
        <w:tc>
          <w:tcPr>
            <w:tcW w:w="2780" w:type="dxa"/>
            <w:tcBorders>
              <w:top w:val="single" w:sz="4" w:space="0" w:color="auto"/>
              <w:left w:val="nil"/>
              <w:bottom w:val="single" w:sz="4" w:space="0" w:color="auto"/>
              <w:right w:val="single" w:sz="4" w:space="0" w:color="auto"/>
            </w:tcBorders>
            <w:noWrap/>
            <w:vAlign w:val="center"/>
            <w:hideMark/>
          </w:tcPr>
          <w:p w14:paraId="2B6F8CAE"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stock holding days</w:t>
            </w:r>
          </w:p>
        </w:tc>
      </w:tr>
      <w:tr w:rsidR="00305210" w:rsidRPr="00A13288" w14:paraId="7E352B6C" w14:textId="77777777" w:rsidTr="00305210">
        <w:trPr>
          <w:trHeight w:val="310"/>
        </w:trPr>
        <w:tc>
          <w:tcPr>
            <w:tcW w:w="960" w:type="dxa"/>
            <w:tcBorders>
              <w:top w:val="nil"/>
              <w:left w:val="single" w:sz="4" w:space="0" w:color="auto"/>
              <w:bottom w:val="single" w:sz="4" w:space="0" w:color="auto"/>
              <w:right w:val="single" w:sz="4" w:space="0" w:color="auto"/>
            </w:tcBorders>
            <w:noWrap/>
            <w:vAlign w:val="center"/>
            <w:hideMark/>
          </w:tcPr>
          <w:p w14:paraId="273DD5D0"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2020</w:t>
            </w:r>
          </w:p>
        </w:tc>
        <w:tc>
          <w:tcPr>
            <w:tcW w:w="2780" w:type="dxa"/>
            <w:tcBorders>
              <w:top w:val="nil"/>
              <w:left w:val="nil"/>
              <w:bottom w:val="single" w:sz="4" w:space="0" w:color="auto"/>
              <w:right w:val="single" w:sz="4" w:space="0" w:color="auto"/>
            </w:tcBorders>
            <w:noWrap/>
            <w:vAlign w:val="center"/>
            <w:hideMark/>
          </w:tcPr>
          <w:p w14:paraId="0A404BBB"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659</w:t>
            </w:r>
          </w:p>
        </w:tc>
        <w:tc>
          <w:tcPr>
            <w:tcW w:w="3660" w:type="dxa"/>
            <w:tcBorders>
              <w:top w:val="nil"/>
              <w:left w:val="nil"/>
              <w:bottom w:val="single" w:sz="4" w:space="0" w:color="auto"/>
              <w:right w:val="single" w:sz="4" w:space="0" w:color="auto"/>
            </w:tcBorders>
            <w:noWrap/>
            <w:vAlign w:val="center"/>
            <w:hideMark/>
          </w:tcPr>
          <w:p w14:paraId="5FA5FD21"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3,096</w:t>
            </w:r>
          </w:p>
        </w:tc>
        <w:tc>
          <w:tcPr>
            <w:tcW w:w="2780" w:type="dxa"/>
            <w:tcBorders>
              <w:top w:val="nil"/>
              <w:left w:val="nil"/>
              <w:bottom w:val="single" w:sz="4" w:space="0" w:color="auto"/>
              <w:right w:val="single" w:sz="4" w:space="0" w:color="auto"/>
            </w:tcBorders>
            <w:noWrap/>
            <w:vAlign w:val="center"/>
            <w:hideMark/>
          </w:tcPr>
          <w:p w14:paraId="7DECBDAA"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77.69</w:t>
            </w:r>
          </w:p>
        </w:tc>
      </w:tr>
      <w:tr w:rsidR="00305210" w:rsidRPr="00A13288" w14:paraId="6BDDD360" w14:textId="77777777" w:rsidTr="00305210">
        <w:trPr>
          <w:trHeight w:val="310"/>
        </w:trPr>
        <w:tc>
          <w:tcPr>
            <w:tcW w:w="960" w:type="dxa"/>
            <w:tcBorders>
              <w:top w:val="nil"/>
              <w:left w:val="single" w:sz="4" w:space="0" w:color="auto"/>
              <w:bottom w:val="single" w:sz="4" w:space="0" w:color="auto"/>
              <w:right w:val="single" w:sz="4" w:space="0" w:color="auto"/>
            </w:tcBorders>
            <w:noWrap/>
            <w:vAlign w:val="center"/>
            <w:hideMark/>
          </w:tcPr>
          <w:p w14:paraId="58CFDA6D"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2021</w:t>
            </w:r>
          </w:p>
        </w:tc>
        <w:tc>
          <w:tcPr>
            <w:tcW w:w="2780" w:type="dxa"/>
            <w:tcBorders>
              <w:top w:val="nil"/>
              <w:left w:val="nil"/>
              <w:bottom w:val="single" w:sz="4" w:space="0" w:color="auto"/>
              <w:right w:val="single" w:sz="4" w:space="0" w:color="auto"/>
            </w:tcBorders>
            <w:noWrap/>
            <w:vAlign w:val="center"/>
            <w:hideMark/>
          </w:tcPr>
          <w:p w14:paraId="38FB5BBE"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708</w:t>
            </w:r>
          </w:p>
        </w:tc>
        <w:tc>
          <w:tcPr>
            <w:tcW w:w="3660" w:type="dxa"/>
            <w:tcBorders>
              <w:top w:val="nil"/>
              <w:left w:val="nil"/>
              <w:bottom w:val="single" w:sz="4" w:space="0" w:color="auto"/>
              <w:right w:val="single" w:sz="4" w:space="0" w:color="auto"/>
            </w:tcBorders>
            <w:noWrap/>
            <w:vAlign w:val="center"/>
            <w:hideMark/>
          </w:tcPr>
          <w:p w14:paraId="1DFB6131"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3,235</w:t>
            </w:r>
          </w:p>
        </w:tc>
        <w:tc>
          <w:tcPr>
            <w:tcW w:w="2780" w:type="dxa"/>
            <w:tcBorders>
              <w:top w:val="nil"/>
              <w:left w:val="nil"/>
              <w:bottom w:val="single" w:sz="4" w:space="0" w:color="auto"/>
              <w:right w:val="single" w:sz="4" w:space="0" w:color="auto"/>
            </w:tcBorders>
            <w:noWrap/>
            <w:vAlign w:val="center"/>
            <w:hideMark/>
          </w:tcPr>
          <w:p w14:paraId="4FCC4E1F"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79.88</w:t>
            </w:r>
          </w:p>
        </w:tc>
      </w:tr>
    </w:tbl>
    <w:p w14:paraId="3802FB18" w14:textId="77777777" w:rsidR="00305210" w:rsidRPr="00A13288" w:rsidRDefault="00305210" w:rsidP="00305210">
      <w:pPr>
        <w:pStyle w:val="Heading3"/>
        <w:numPr>
          <w:ilvl w:val="0"/>
          <w:numId w:val="3"/>
        </w:numPr>
        <w:rPr>
          <w:rFonts w:ascii="Arial" w:hAnsi="Arial" w:cs="Arial"/>
        </w:rPr>
      </w:pPr>
      <w:bookmarkStart w:id="12" w:name="_Toc123345905"/>
      <w:r w:rsidRPr="00A13288">
        <w:rPr>
          <w:rFonts w:ascii="Arial" w:hAnsi="Arial" w:cs="Arial"/>
        </w:rPr>
        <w:t>Debtor collection period</w:t>
      </w:r>
      <w:bookmarkEnd w:id="12"/>
      <w:r w:rsidRPr="00A13288">
        <w:rPr>
          <w:rFonts w:ascii="Arial" w:hAnsi="Arial" w:cs="Arial"/>
        </w:rPr>
        <w:t xml:space="preserve"> </w:t>
      </w:r>
    </w:p>
    <w:p w14:paraId="65678CE0" w14:textId="77777777" w:rsidR="00305210" w:rsidRPr="00A13288" w:rsidRDefault="00305210" w:rsidP="00305210">
      <w:pPr>
        <w:rPr>
          <w:rFonts w:ascii="Arial" w:hAnsi="Arial" w:cs="Arial"/>
          <w:szCs w:val="24"/>
        </w:rPr>
      </w:pPr>
      <w:r w:rsidRPr="00A13288">
        <w:rPr>
          <w:rFonts w:ascii="Arial" w:hAnsi="Arial" w:cs="Arial"/>
          <w:szCs w:val="24"/>
        </w:rPr>
        <w:t xml:space="preserve">The Debtor Collection Period is a statistic used in accounting to determine the typical time it takes to collect corporate debts. To put it another way, a shorter </w:t>
      </w:r>
      <w:proofErr w:type="gramStart"/>
      <w:r w:rsidRPr="00A13288">
        <w:rPr>
          <w:rFonts w:ascii="Arial" w:hAnsi="Arial" w:cs="Arial"/>
          <w:szCs w:val="24"/>
        </w:rPr>
        <w:t>time period</w:t>
      </w:r>
      <w:proofErr w:type="gramEnd"/>
      <w:r w:rsidRPr="00A13288">
        <w:rPr>
          <w:rFonts w:ascii="Arial" w:hAnsi="Arial" w:cs="Arial"/>
          <w:szCs w:val="24"/>
        </w:rPr>
        <w:t xml:space="preserve"> is a sign of increasing efficiency. The business may compare how long credit was issued or potentially supplied to how long it really took to collect (</w:t>
      </w:r>
      <w:proofErr w:type="spellStart"/>
      <w:r w:rsidRPr="00A13288">
        <w:rPr>
          <w:rFonts w:ascii="Arial" w:hAnsi="Arial" w:cs="Arial"/>
          <w:szCs w:val="24"/>
        </w:rPr>
        <w:t>Welc</w:t>
      </w:r>
      <w:proofErr w:type="spellEnd"/>
      <w:r w:rsidRPr="00A13288">
        <w:rPr>
          <w:rFonts w:ascii="Arial" w:hAnsi="Arial" w:cs="Arial"/>
          <w:szCs w:val="24"/>
        </w:rPr>
        <w:t xml:space="preserve">, 2022). As a result of increased productivity, the amount of time needed to complete the same amount of work may decrease. This statistic might be used by the company </w:t>
      </w:r>
      <w:proofErr w:type="gramStart"/>
      <w:r w:rsidRPr="00A13288">
        <w:rPr>
          <w:rFonts w:ascii="Arial" w:hAnsi="Arial" w:cs="Arial"/>
          <w:szCs w:val="24"/>
        </w:rPr>
        <w:t>in order to</w:t>
      </w:r>
      <w:proofErr w:type="gramEnd"/>
      <w:r w:rsidRPr="00A13288">
        <w:rPr>
          <w:rFonts w:ascii="Arial" w:hAnsi="Arial" w:cs="Arial"/>
          <w:szCs w:val="24"/>
        </w:rPr>
        <w:t xml:space="preserve"> make a </w:t>
      </w:r>
      <w:r w:rsidRPr="00A13288">
        <w:rPr>
          <w:rFonts w:ascii="Arial" w:hAnsi="Arial" w:cs="Arial"/>
          <w:szCs w:val="24"/>
        </w:rPr>
        <w:lastRenderedPageBreak/>
        <w:t>comparison between the actual time it takes to collect and the theoretical credit period that is provided (</w:t>
      </w:r>
      <w:proofErr w:type="spellStart"/>
      <w:r w:rsidRPr="00A13288">
        <w:rPr>
          <w:rFonts w:ascii="Arial" w:hAnsi="Arial" w:cs="Arial"/>
          <w:szCs w:val="24"/>
        </w:rPr>
        <w:t>Welc</w:t>
      </w:r>
      <w:proofErr w:type="spellEnd"/>
      <w:r w:rsidRPr="00A13288">
        <w:rPr>
          <w:rFonts w:ascii="Arial" w:hAnsi="Arial" w:cs="Arial"/>
          <w:szCs w:val="24"/>
        </w:rPr>
        <w:t xml:space="preserve">, 2022). </w:t>
      </w:r>
    </w:p>
    <w:p w14:paraId="50946050" w14:textId="77777777" w:rsidR="00305210" w:rsidRPr="00A13288" w:rsidRDefault="00305210" w:rsidP="00305210">
      <w:pPr>
        <w:rPr>
          <w:rFonts w:ascii="Arial" w:hAnsi="Arial" w:cs="Arial"/>
          <w:szCs w:val="24"/>
        </w:rPr>
      </w:pPr>
      <w:r w:rsidRPr="00A13288">
        <w:rPr>
          <w:rFonts w:ascii="Arial" w:hAnsi="Arial" w:cs="Arial"/>
          <w:szCs w:val="24"/>
        </w:rPr>
        <w:t>Debtor collection period = (accounts receivables / total sales) × 365</w:t>
      </w:r>
    </w:p>
    <w:tbl>
      <w:tblPr>
        <w:tblW w:w="10180" w:type="dxa"/>
        <w:tblLook w:val="04A0" w:firstRow="1" w:lastRow="0" w:firstColumn="1" w:lastColumn="0" w:noHBand="0" w:noVBand="1"/>
      </w:tblPr>
      <w:tblGrid>
        <w:gridCol w:w="960"/>
        <w:gridCol w:w="2780"/>
        <w:gridCol w:w="3660"/>
        <w:gridCol w:w="2780"/>
      </w:tblGrid>
      <w:tr w:rsidR="00305210" w:rsidRPr="00A13288" w14:paraId="7721D494" w14:textId="77777777" w:rsidTr="00305210">
        <w:trPr>
          <w:trHeight w:val="31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673FCF53" w14:textId="77777777" w:rsidR="00305210" w:rsidRPr="00A13288" w:rsidRDefault="00305210">
            <w:pPr>
              <w:rPr>
                <w:rFonts w:ascii="Arial" w:hAnsi="Arial" w:cs="Arial"/>
                <w:szCs w:val="24"/>
              </w:rPr>
            </w:pPr>
          </w:p>
        </w:tc>
        <w:tc>
          <w:tcPr>
            <w:tcW w:w="2780" w:type="dxa"/>
            <w:tcBorders>
              <w:top w:val="single" w:sz="4" w:space="0" w:color="auto"/>
              <w:left w:val="nil"/>
              <w:bottom w:val="single" w:sz="4" w:space="0" w:color="auto"/>
              <w:right w:val="single" w:sz="4" w:space="0" w:color="auto"/>
            </w:tcBorders>
            <w:noWrap/>
            <w:vAlign w:val="center"/>
            <w:hideMark/>
          </w:tcPr>
          <w:p w14:paraId="1601A36F"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accounts receivables</w:t>
            </w:r>
          </w:p>
        </w:tc>
        <w:tc>
          <w:tcPr>
            <w:tcW w:w="3660" w:type="dxa"/>
            <w:tcBorders>
              <w:top w:val="single" w:sz="4" w:space="0" w:color="auto"/>
              <w:left w:val="nil"/>
              <w:bottom w:val="single" w:sz="4" w:space="0" w:color="auto"/>
              <w:right w:val="single" w:sz="4" w:space="0" w:color="auto"/>
            </w:tcBorders>
            <w:noWrap/>
            <w:vAlign w:val="center"/>
            <w:hideMark/>
          </w:tcPr>
          <w:p w14:paraId="57E78B9A"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total sales</w:t>
            </w:r>
          </w:p>
        </w:tc>
        <w:tc>
          <w:tcPr>
            <w:tcW w:w="2780" w:type="dxa"/>
            <w:tcBorders>
              <w:top w:val="single" w:sz="4" w:space="0" w:color="auto"/>
              <w:left w:val="nil"/>
              <w:bottom w:val="single" w:sz="4" w:space="0" w:color="auto"/>
              <w:right w:val="single" w:sz="4" w:space="0" w:color="auto"/>
            </w:tcBorders>
            <w:noWrap/>
            <w:vAlign w:val="center"/>
            <w:hideMark/>
          </w:tcPr>
          <w:p w14:paraId="68E36836"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debtor collection period</w:t>
            </w:r>
          </w:p>
        </w:tc>
      </w:tr>
      <w:tr w:rsidR="00305210" w:rsidRPr="00A13288" w14:paraId="0EE72E75" w14:textId="77777777" w:rsidTr="00305210">
        <w:trPr>
          <w:trHeight w:val="310"/>
        </w:trPr>
        <w:tc>
          <w:tcPr>
            <w:tcW w:w="960" w:type="dxa"/>
            <w:tcBorders>
              <w:top w:val="nil"/>
              <w:left w:val="single" w:sz="4" w:space="0" w:color="auto"/>
              <w:bottom w:val="single" w:sz="4" w:space="0" w:color="auto"/>
              <w:right w:val="single" w:sz="4" w:space="0" w:color="auto"/>
            </w:tcBorders>
            <w:noWrap/>
            <w:vAlign w:val="center"/>
            <w:hideMark/>
          </w:tcPr>
          <w:p w14:paraId="67E5205C"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2020</w:t>
            </w:r>
          </w:p>
        </w:tc>
        <w:tc>
          <w:tcPr>
            <w:tcW w:w="2780" w:type="dxa"/>
            <w:tcBorders>
              <w:top w:val="nil"/>
              <w:left w:val="nil"/>
              <w:bottom w:val="single" w:sz="4" w:space="0" w:color="auto"/>
              <w:right w:val="single" w:sz="4" w:space="0" w:color="auto"/>
            </w:tcBorders>
            <w:noWrap/>
            <w:vAlign w:val="center"/>
            <w:hideMark/>
          </w:tcPr>
          <w:p w14:paraId="5C174728"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659</w:t>
            </w:r>
          </w:p>
        </w:tc>
        <w:tc>
          <w:tcPr>
            <w:tcW w:w="3660" w:type="dxa"/>
            <w:tcBorders>
              <w:top w:val="nil"/>
              <w:left w:val="nil"/>
              <w:bottom w:val="single" w:sz="4" w:space="0" w:color="auto"/>
              <w:right w:val="single" w:sz="4" w:space="0" w:color="auto"/>
            </w:tcBorders>
            <w:noWrap/>
            <w:vAlign w:val="center"/>
            <w:hideMark/>
          </w:tcPr>
          <w:p w14:paraId="0411AC4A"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6,441</w:t>
            </w:r>
          </w:p>
        </w:tc>
        <w:tc>
          <w:tcPr>
            <w:tcW w:w="2780" w:type="dxa"/>
            <w:tcBorders>
              <w:top w:val="nil"/>
              <w:left w:val="nil"/>
              <w:bottom w:val="single" w:sz="4" w:space="0" w:color="auto"/>
              <w:right w:val="single" w:sz="4" w:space="0" w:color="auto"/>
            </w:tcBorders>
            <w:noWrap/>
            <w:vAlign w:val="center"/>
            <w:hideMark/>
          </w:tcPr>
          <w:p w14:paraId="350B55CB"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37.34</w:t>
            </w:r>
          </w:p>
        </w:tc>
      </w:tr>
      <w:tr w:rsidR="00305210" w:rsidRPr="00A13288" w14:paraId="6B96470C" w14:textId="77777777" w:rsidTr="00305210">
        <w:trPr>
          <w:trHeight w:val="310"/>
        </w:trPr>
        <w:tc>
          <w:tcPr>
            <w:tcW w:w="960" w:type="dxa"/>
            <w:tcBorders>
              <w:top w:val="nil"/>
              <w:left w:val="single" w:sz="4" w:space="0" w:color="auto"/>
              <w:bottom w:val="single" w:sz="4" w:space="0" w:color="auto"/>
              <w:right w:val="single" w:sz="4" w:space="0" w:color="auto"/>
            </w:tcBorders>
            <w:noWrap/>
            <w:vAlign w:val="center"/>
            <w:hideMark/>
          </w:tcPr>
          <w:p w14:paraId="55EDEC95"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2021</w:t>
            </w:r>
          </w:p>
        </w:tc>
        <w:tc>
          <w:tcPr>
            <w:tcW w:w="2780" w:type="dxa"/>
            <w:tcBorders>
              <w:top w:val="nil"/>
              <w:left w:val="nil"/>
              <w:bottom w:val="single" w:sz="4" w:space="0" w:color="auto"/>
              <w:right w:val="single" w:sz="4" w:space="0" w:color="auto"/>
            </w:tcBorders>
            <w:noWrap/>
            <w:vAlign w:val="center"/>
            <w:hideMark/>
          </w:tcPr>
          <w:p w14:paraId="239A052B"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708</w:t>
            </w:r>
          </w:p>
        </w:tc>
        <w:tc>
          <w:tcPr>
            <w:tcW w:w="3660" w:type="dxa"/>
            <w:tcBorders>
              <w:top w:val="nil"/>
              <w:left w:val="nil"/>
              <w:bottom w:val="single" w:sz="4" w:space="0" w:color="auto"/>
              <w:right w:val="single" w:sz="4" w:space="0" w:color="auto"/>
            </w:tcBorders>
            <w:noWrap/>
            <w:vAlign w:val="center"/>
            <w:hideMark/>
          </w:tcPr>
          <w:p w14:paraId="66C511D1"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6,738</w:t>
            </w:r>
          </w:p>
        </w:tc>
        <w:tc>
          <w:tcPr>
            <w:tcW w:w="2780" w:type="dxa"/>
            <w:tcBorders>
              <w:top w:val="nil"/>
              <w:left w:val="nil"/>
              <w:bottom w:val="single" w:sz="4" w:space="0" w:color="auto"/>
              <w:right w:val="single" w:sz="4" w:space="0" w:color="auto"/>
            </w:tcBorders>
            <w:noWrap/>
            <w:vAlign w:val="center"/>
            <w:hideMark/>
          </w:tcPr>
          <w:p w14:paraId="31497EE8"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38.35</w:t>
            </w:r>
          </w:p>
        </w:tc>
      </w:tr>
    </w:tbl>
    <w:p w14:paraId="7F307D1C" w14:textId="77777777" w:rsidR="00305210" w:rsidRPr="00A13288" w:rsidRDefault="00305210" w:rsidP="00305210">
      <w:pPr>
        <w:pStyle w:val="Heading3"/>
        <w:numPr>
          <w:ilvl w:val="0"/>
          <w:numId w:val="3"/>
        </w:numPr>
        <w:rPr>
          <w:rFonts w:ascii="Arial" w:hAnsi="Arial" w:cs="Arial"/>
        </w:rPr>
      </w:pPr>
      <w:bookmarkStart w:id="13" w:name="_Toc123345906"/>
      <w:r w:rsidRPr="00A13288">
        <w:rPr>
          <w:rFonts w:ascii="Arial" w:hAnsi="Arial" w:cs="Arial"/>
        </w:rPr>
        <w:t>Current ratio</w:t>
      </w:r>
      <w:bookmarkEnd w:id="13"/>
    </w:p>
    <w:p w14:paraId="023C8ECA" w14:textId="77777777" w:rsidR="00305210" w:rsidRPr="00A13288" w:rsidRDefault="00305210" w:rsidP="00305210">
      <w:pPr>
        <w:rPr>
          <w:rFonts w:ascii="Arial" w:hAnsi="Arial" w:cs="Arial"/>
          <w:szCs w:val="24"/>
        </w:rPr>
      </w:pPr>
      <w:r w:rsidRPr="00A13288">
        <w:rPr>
          <w:rFonts w:ascii="Arial" w:hAnsi="Arial" w:cs="Arial"/>
          <w:szCs w:val="24"/>
        </w:rPr>
        <w:t xml:space="preserve">The current ratio may be thought of as a subset of the liquidity ratio since it evaluates a company's capacity to meet its immediate financial obligations. (Schroeder, 2022). Investors </w:t>
      </w:r>
      <w:proofErr w:type="gramStart"/>
      <w:r w:rsidRPr="00A13288">
        <w:rPr>
          <w:rFonts w:ascii="Arial" w:hAnsi="Arial" w:cs="Arial"/>
          <w:szCs w:val="24"/>
        </w:rPr>
        <w:t>are able to</w:t>
      </w:r>
      <w:proofErr w:type="gramEnd"/>
      <w:r w:rsidRPr="00A13288">
        <w:rPr>
          <w:rFonts w:ascii="Arial" w:hAnsi="Arial" w:cs="Arial"/>
          <w:szCs w:val="24"/>
        </w:rPr>
        <w:t xml:space="preserve"> compare a company to its rivals and peers with the use of a metric called the current ratio, which reveals how well each company is able to pay down its short-term debt using its current assets. One of the limitations of the current ratio is that it makes it difficult to compare performance metrics across different industry groupings (Schroeder, 2022).</w:t>
      </w:r>
    </w:p>
    <w:p w14:paraId="683E9959" w14:textId="77777777" w:rsidR="00305210" w:rsidRPr="00A13288" w:rsidRDefault="00305210" w:rsidP="00305210">
      <w:pPr>
        <w:rPr>
          <w:rFonts w:ascii="Arial" w:hAnsi="Arial" w:cs="Arial"/>
          <w:szCs w:val="24"/>
        </w:rPr>
      </w:pPr>
      <w:r w:rsidRPr="00A13288">
        <w:rPr>
          <w:rFonts w:ascii="Arial" w:hAnsi="Arial" w:cs="Arial"/>
          <w:szCs w:val="24"/>
        </w:rPr>
        <w:t>Current ratio = (current assets / current liabilities)</w:t>
      </w:r>
    </w:p>
    <w:tbl>
      <w:tblPr>
        <w:tblW w:w="7016" w:type="dxa"/>
        <w:jc w:val="center"/>
        <w:tblLook w:val="04A0" w:firstRow="1" w:lastRow="0" w:firstColumn="1" w:lastColumn="0" w:noHBand="0" w:noVBand="1"/>
      </w:tblPr>
      <w:tblGrid>
        <w:gridCol w:w="960"/>
        <w:gridCol w:w="1636"/>
        <w:gridCol w:w="2160"/>
        <w:gridCol w:w="2260"/>
      </w:tblGrid>
      <w:tr w:rsidR="00305210" w:rsidRPr="00A13288" w14:paraId="52288BD4" w14:textId="77777777" w:rsidTr="00305210">
        <w:trPr>
          <w:trHeight w:val="31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448DCD7E" w14:textId="77777777" w:rsidR="00305210" w:rsidRPr="00A13288" w:rsidRDefault="00305210">
            <w:pPr>
              <w:rPr>
                <w:rFonts w:ascii="Arial" w:hAnsi="Arial" w:cs="Arial"/>
                <w:szCs w:val="24"/>
              </w:rPr>
            </w:pPr>
          </w:p>
        </w:tc>
        <w:tc>
          <w:tcPr>
            <w:tcW w:w="1636" w:type="dxa"/>
            <w:tcBorders>
              <w:top w:val="single" w:sz="4" w:space="0" w:color="auto"/>
              <w:left w:val="nil"/>
              <w:bottom w:val="single" w:sz="4" w:space="0" w:color="auto"/>
              <w:right w:val="single" w:sz="4" w:space="0" w:color="auto"/>
            </w:tcBorders>
            <w:noWrap/>
            <w:vAlign w:val="center"/>
            <w:hideMark/>
          </w:tcPr>
          <w:p w14:paraId="0F11234F"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current assets</w:t>
            </w:r>
          </w:p>
        </w:tc>
        <w:tc>
          <w:tcPr>
            <w:tcW w:w="2160" w:type="dxa"/>
            <w:tcBorders>
              <w:top w:val="single" w:sz="4" w:space="0" w:color="auto"/>
              <w:left w:val="nil"/>
              <w:bottom w:val="single" w:sz="4" w:space="0" w:color="auto"/>
              <w:right w:val="single" w:sz="4" w:space="0" w:color="auto"/>
            </w:tcBorders>
            <w:noWrap/>
            <w:vAlign w:val="center"/>
            <w:hideMark/>
          </w:tcPr>
          <w:p w14:paraId="1F843A95"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current liabilities</w:t>
            </w:r>
          </w:p>
        </w:tc>
        <w:tc>
          <w:tcPr>
            <w:tcW w:w="2260" w:type="dxa"/>
            <w:tcBorders>
              <w:top w:val="single" w:sz="4" w:space="0" w:color="auto"/>
              <w:left w:val="nil"/>
              <w:bottom w:val="single" w:sz="4" w:space="0" w:color="auto"/>
              <w:right w:val="single" w:sz="4" w:space="0" w:color="auto"/>
            </w:tcBorders>
            <w:noWrap/>
            <w:vAlign w:val="center"/>
            <w:hideMark/>
          </w:tcPr>
          <w:p w14:paraId="2EC83867"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current ratio</w:t>
            </w:r>
          </w:p>
        </w:tc>
      </w:tr>
      <w:tr w:rsidR="00305210" w:rsidRPr="00A13288" w14:paraId="2C4961C2" w14:textId="77777777" w:rsidTr="00305210">
        <w:trPr>
          <w:trHeight w:val="310"/>
          <w:jc w:val="center"/>
        </w:trPr>
        <w:tc>
          <w:tcPr>
            <w:tcW w:w="960" w:type="dxa"/>
            <w:tcBorders>
              <w:top w:val="nil"/>
              <w:left w:val="single" w:sz="4" w:space="0" w:color="auto"/>
              <w:bottom w:val="single" w:sz="4" w:space="0" w:color="auto"/>
              <w:right w:val="single" w:sz="4" w:space="0" w:color="auto"/>
            </w:tcBorders>
            <w:noWrap/>
            <w:vAlign w:val="center"/>
            <w:hideMark/>
          </w:tcPr>
          <w:p w14:paraId="788917A2"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2020</w:t>
            </w:r>
          </w:p>
        </w:tc>
        <w:tc>
          <w:tcPr>
            <w:tcW w:w="1636" w:type="dxa"/>
            <w:tcBorders>
              <w:top w:val="nil"/>
              <w:left w:val="nil"/>
              <w:bottom w:val="single" w:sz="4" w:space="0" w:color="auto"/>
              <w:right w:val="single" w:sz="4" w:space="0" w:color="auto"/>
            </w:tcBorders>
            <w:noWrap/>
            <w:vAlign w:val="center"/>
            <w:hideMark/>
          </w:tcPr>
          <w:p w14:paraId="3E5C96F7"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2,355</w:t>
            </w:r>
          </w:p>
        </w:tc>
        <w:tc>
          <w:tcPr>
            <w:tcW w:w="2160" w:type="dxa"/>
            <w:tcBorders>
              <w:top w:val="nil"/>
              <w:left w:val="nil"/>
              <w:bottom w:val="single" w:sz="4" w:space="0" w:color="auto"/>
              <w:right w:val="single" w:sz="4" w:space="0" w:color="auto"/>
            </w:tcBorders>
            <w:noWrap/>
            <w:vAlign w:val="center"/>
            <w:hideMark/>
          </w:tcPr>
          <w:p w14:paraId="011857FA"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3,046</w:t>
            </w:r>
          </w:p>
        </w:tc>
        <w:tc>
          <w:tcPr>
            <w:tcW w:w="2260" w:type="dxa"/>
            <w:tcBorders>
              <w:top w:val="nil"/>
              <w:left w:val="nil"/>
              <w:bottom w:val="single" w:sz="4" w:space="0" w:color="auto"/>
              <w:right w:val="single" w:sz="4" w:space="0" w:color="auto"/>
            </w:tcBorders>
            <w:noWrap/>
            <w:vAlign w:val="center"/>
            <w:hideMark/>
          </w:tcPr>
          <w:p w14:paraId="1DF3C7EC"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0.77</w:t>
            </w:r>
          </w:p>
        </w:tc>
      </w:tr>
      <w:tr w:rsidR="00305210" w:rsidRPr="00A13288" w14:paraId="06B280B8" w14:textId="77777777" w:rsidTr="00305210">
        <w:trPr>
          <w:trHeight w:val="310"/>
          <w:jc w:val="center"/>
        </w:trPr>
        <w:tc>
          <w:tcPr>
            <w:tcW w:w="960" w:type="dxa"/>
            <w:tcBorders>
              <w:top w:val="nil"/>
              <w:left w:val="single" w:sz="4" w:space="0" w:color="auto"/>
              <w:bottom w:val="single" w:sz="4" w:space="0" w:color="auto"/>
              <w:right w:val="single" w:sz="4" w:space="0" w:color="auto"/>
            </w:tcBorders>
            <w:noWrap/>
            <w:vAlign w:val="center"/>
            <w:hideMark/>
          </w:tcPr>
          <w:p w14:paraId="16381739"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2021</w:t>
            </w:r>
          </w:p>
        </w:tc>
        <w:tc>
          <w:tcPr>
            <w:tcW w:w="1636" w:type="dxa"/>
            <w:tcBorders>
              <w:top w:val="nil"/>
              <w:left w:val="nil"/>
              <w:bottom w:val="single" w:sz="4" w:space="0" w:color="auto"/>
              <w:right w:val="single" w:sz="4" w:space="0" w:color="auto"/>
            </w:tcBorders>
            <w:noWrap/>
            <w:vAlign w:val="center"/>
            <w:hideMark/>
          </w:tcPr>
          <w:p w14:paraId="00DFA956"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2,303</w:t>
            </w:r>
          </w:p>
        </w:tc>
        <w:tc>
          <w:tcPr>
            <w:tcW w:w="2160" w:type="dxa"/>
            <w:tcBorders>
              <w:top w:val="nil"/>
              <w:left w:val="nil"/>
              <w:bottom w:val="single" w:sz="4" w:space="0" w:color="auto"/>
              <w:right w:val="single" w:sz="4" w:space="0" w:color="auto"/>
            </w:tcBorders>
            <w:noWrap/>
            <w:vAlign w:val="center"/>
            <w:hideMark/>
          </w:tcPr>
          <w:p w14:paraId="1F6FE5E1"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2,511</w:t>
            </w:r>
          </w:p>
        </w:tc>
        <w:tc>
          <w:tcPr>
            <w:tcW w:w="2260" w:type="dxa"/>
            <w:tcBorders>
              <w:top w:val="nil"/>
              <w:left w:val="nil"/>
              <w:bottom w:val="single" w:sz="4" w:space="0" w:color="auto"/>
              <w:right w:val="single" w:sz="4" w:space="0" w:color="auto"/>
            </w:tcBorders>
            <w:noWrap/>
            <w:vAlign w:val="center"/>
            <w:hideMark/>
          </w:tcPr>
          <w:p w14:paraId="22D2A938"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0.92</w:t>
            </w:r>
          </w:p>
        </w:tc>
      </w:tr>
    </w:tbl>
    <w:p w14:paraId="0900CF3D" w14:textId="77777777" w:rsidR="00305210" w:rsidRPr="00A13288" w:rsidRDefault="00305210" w:rsidP="00305210">
      <w:pPr>
        <w:pStyle w:val="Heading3"/>
        <w:numPr>
          <w:ilvl w:val="0"/>
          <w:numId w:val="3"/>
        </w:numPr>
        <w:rPr>
          <w:rFonts w:ascii="Arial" w:hAnsi="Arial" w:cs="Arial"/>
        </w:rPr>
      </w:pPr>
      <w:bookmarkStart w:id="14" w:name="_Toc123345907"/>
      <w:r w:rsidRPr="00A13288">
        <w:rPr>
          <w:rFonts w:ascii="Arial" w:hAnsi="Arial" w:cs="Arial"/>
        </w:rPr>
        <w:t>Gearing ratio</w:t>
      </w:r>
      <w:bookmarkEnd w:id="14"/>
      <w:r w:rsidRPr="00A13288">
        <w:rPr>
          <w:rFonts w:ascii="Arial" w:hAnsi="Arial" w:cs="Arial"/>
        </w:rPr>
        <w:t xml:space="preserve"> </w:t>
      </w:r>
    </w:p>
    <w:p w14:paraId="7F1B1A11" w14:textId="77777777" w:rsidR="00305210" w:rsidRPr="00A13288" w:rsidRDefault="00305210" w:rsidP="00305210">
      <w:pPr>
        <w:rPr>
          <w:rFonts w:ascii="Arial" w:hAnsi="Arial" w:cs="Arial"/>
          <w:szCs w:val="24"/>
        </w:rPr>
      </w:pPr>
      <w:r w:rsidRPr="00A13288">
        <w:rPr>
          <w:rFonts w:ascii="Arial" w:hAnsi="Arial" w:cs="Arial"/>
          <w:szCs w:val="24"/>
        </w:rPr>
        <w:t>Gearing ratios are a measurement of the percentage of a company's equity (or capital) to its debt. Examining a company's gearing ratios is one technique to assess the company's financial health (or borrowed money). Gearing is a measure of financial leverage that represents the percentage of a company's activities that are backed by equity investors as opposed to debt investors. Gearing may be positive or negative, depending on how much of the company's operations are supported by equity investors. (Robinson, 2020). When analysing a company's vulnerability to bankruptcy, the gearing ratio is a useful metric to use. If a company has amassed too much debt, it may have financial difficulties. The opposite is true for a low gearing ratio, which shows a large proportion of equity to debt.</w:t>
      </w:r>
    </w:p>
    <w:p w14:paraId="4DC4063F" w14:textId="77777777" w:rsidR="00305210" w:rsidRPr="00A13288" w:rsidRDefault="00305210" w:rsidP="00305210">
      <w:pPr>
        <w:rPr>
          <w:rFonts w:ascii="Arial" w:hAnsi="Arial" w:cs="Arial"/>
          <w:szCs w:val="24"/>
        </w:rPr>
      </w:pPr>
      <w:r w:rsidRPr="00A13288">
        <w:rPr>
          <w:rFonts w:ascii="Arial" w:hAnsi="Arial" w:cs="Arial"/>
          <w:szCs w:val="24"/>
        </w:rPr>
        <w:t>Gearing ratio = total debt / total equity</w:t>
      </w:r>
    </w:p>
    <w:tbl>
      <w:tblPr>
        <w:tblW w:w="6080" w:type="dxa"/>
        <w:jc w:val="center"/>
        <w:tblLook w:val="04A0" w:firstRow="1" w:lastRow="0" w:firstColumn="1" w:lastColumn="0" w:noHBand="0" w:noVBand="1"/>
      </w:tblPr>
      <w:tblGrid>
        <w:gridCol w:w="960"/>
        <w:gridCol w:w="1440"/>
        <w:gridCol w:w="2020"/>
        <w:gridCol w:w="1660"/>
      </w:tblGrid>
      <w:tr w:rsidR="00305210" w:rsidRPr="00A13288" w14:paraId="600A0CC1" w14:textId="77777777" w:rsidTr="00305210">
        <w:trPr>
          <w:trHeight w:val="31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74307354" w14:textId="77777777" w:rsidR="00305210" w:rsidRPr="00A13288" w:rsidRDefault="00305210">
            <w:pPr>
              <w:rPr>
                <w:rFonts w:ascii="Arial" w:hAnsi="Arial" w:cs="Arial"/>
                <w:szCs w:val="24"/>
              </w:rPr>
            </w:pPr>
          </w:p>
        </w:tc>
        <w:tc>
          <w:tcPr>
            <w:tcW w:w="1440" w:type="dxa"/>
            <w:tcBorders>
              <w:top w:val="single" w:sz="4" w:space="0" w:color="auto"/>
              <w:left w:val="nil"/>
              <w:bottom w:val="single" w:sz="4" w:space="0" w:color="auto"/>
              <w:right w:val="single" w:sz="4" w:space="0" w:color="auto"/>
            </w:tcBorders>
            <w:noWrap/>
            <w:vAlign w:val="center"/>
            <w:hideMark/>
          </w:tcPr>
          <w:p w14:paraId="01C5528F"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total debt</w:t>
            </w:r>
          </w:p>
        </w:tc>
        <w:tc>
          <w:tcPr>
            <w:tcW w:w="2020" w:type="dxa"/>
            <w:tcBorders>
              <w:top w:val="single" w:sz="4" w:space="0" w:color="auto"/>
              <w:left w:val="nil"/>
              <w:bottom w:val="single" w:sz="4" w:space="0" w:color="auto"/>
              <w:right w:val="single" w:sz="4" w:space="0" w:color="auto"/>
            </w:tcBorders>
            <w:noWrap/>
            <w:vAlign w:val="center"/>
            <w:hideMark/>
          </w:tcPr>
          <w:p w14:paraId="09FCE0F0"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total equity</w:t>
            </w:r>
          </w:p>
        </w:tc>
        <w:tc>
          <w:tcPr>
            <w:tcW w:w="1660" w:type="dxa"/>
            <w:tcBorders>
              <w:top w:val="single" w:sz="4" w:space="0" w:color="auto"/>
              <w:left w:val="nil"/>
              <w:bottom w:val="single" w:sz="4" w:space="0" w:color="auto"/>
              <w:right w:val="single" w:sz="4" w:space="0" w:color="auto"/>
            </w:tcBorders>
            <w:noWrap/>
            <w:vAlign w:val="center"/>
            <w:hideMark/>
          </w:tcPr>
          <w:p w14:paraId="454E1861"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gearing ratio</w:t>
            </w:r>
          </w:p>
        </w:tc>
      </w:tr>
      <w:tr w:rsidR="00305210" w:rsidRPr="00A13288" w14:paraId="3AEC65FE" w14:textId="77777777" w:rsidTr="00305210">
        <w:trPr>
          <w:trHeight w:val="310"/>
          <w:jc w:val="center"/>
        </w:trPr>
        <w:tc>
          <w:tcPr>
            <w:tcW w:w="960" w:type="dxa"/>
            <w:tcBorders>
              <w:top w:val="nil"/>
              <w:left w:val="single" w:sz="4" w:space="0" w:color="auto"/>
              <w:bottom w:val="single" w:sz="4" w:space="0" w:color="auto"/>
              <w:right w:val="single" w:sz="4" w:space="0" w:color="auto"/>
            </w:tcBorders>
            <w:noWrap/>
            <w:vAlign w:val="center"/>
            <w:hideMark/>
          </w:tcPr>
          <w:p w14:paraId="7C983CA0"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2020</w:t>
            </w:r>
          </w:p>
        </w:tc>
        <w:tc>
          <w:tcPr>
            <w:tcW w:w="1440" w:type="dxa"/>
            <w:tcBorders>
              <w:top w:val="nil"/>
              <w:left w:val="nil"/>
              <w:bottom w:val="single" w:sz="4" w:space="0" w:color="auto"/>
              <w:right w:val="single" w:sz="4" w:space="0" w:color="auto"/>
            </w:tcBorders>
            <w:noWrap/>
            <w:vAlign w:val="center"/>
            <w:hideMark/>
          </w:tcPr>
          <w:p w14:paraId="775AB145"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7,175</w:t>
            </w:r>
          </w:p>
        </w:tc>
        <w:tc>
          <w:tcPr>
            <w:tcW w:w="2020" w:type="dxa"/>
            <w:tcBorders>
              <w:top w:val="nil"/>
              <w:left w:val="nil"/>
              <w:bottom w:val="single" w:sz="4" w:space="0" w:color="auto"/>
              <w:right w:val="single" w:sz="4" w:space="0" w:color="auto"/>
            </w:tcBorders>
            <w:noWrap/>
            <w:vAlign w:val="center"/>
            <w:hideMark/>
          </w:tcPr>
          <w:p w14:paraId="6D4F9AAD"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2,912</w:t>
            </w:r>
          </w:p>
        </w:tc>
        <w:tc>
          <w:tcPr>
            <w:tcW w:w="1660" w:type="dxa"/>
            <w:tcBorders>
              <w:top w:val="nil"/>
              <w:left w:val="nil"/>
              <w:bottom w:val="single" w:sz="4" w:space="0" w:color="auto"/>
              <w:right w:val="single" w:sz="4" w:space="0" w:color="auto"/>
            </w:tcBorders>
            <w:noWrap/>
            <w:vAlign w:val="center"/>
            <w:hideMark/>
          </w:tcPr>
          <w:p w14:paraId="21EDCD5E"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2.46</w:t>
            </w:r>
          </w:p>
        </w:tc>
      </w:tr>
      <w:tr w:rsidR="00305210" w:rsidRPr="00A13288" w14:paraId="504E7EF8" w14:textId="77777777" w:rsidTr="00305210">
        <w:trPr>
          <w:trHeight w:val="310"/>
          <w:jc w:val="center"/>
        </w:trPr>
        <w:tc>
          <w:tcPr>
            <w:tcW w:w="960" w:type="dxa"/>
            <w:tcBorders>
              <w:top w:val="nil"/>
              <w:left w:val="single" w:sz="4" w:space="0" w:color="auto"/>
              <w:bottom w:val="single" w:sz="4" w:space="0" w:color="auto"/>
              <w:right w:val="single" w:sz="4" w:space="0" w:color="auto"/>
            </w:tcBorders>
            <w:noWrap/>
            <w:vAlign w:val="center"/>
            <w:hideMark/>
          </w:tcPr>
          <w:p w14:paraId="1A1188C2"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2021</w:t>
            </w:r>
          </w:p>
        </w:tc>
        <w:tc>
          <w:tcPr>
            <w:tcW w:w="1440" w:type="dxa"/>
            <w:tcBorders>
              <w:top w:val="nil"/>
              <w:left w:val="nil"/>
              <w:bottom w:val="single" w:sz="4" w:space="0" w:color="auto"/>
              <w:right w:val="single" w:sz="4" w:space="0" w:color="auto"/>
            </w:tcBorders>
            <w:noWrap/>
            <w:vAlign w:val="center"/>
            <w:hideMark/>
          </w:tcPr>
          <w:p w14:paraId="2DB838E5"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6,648</w:t>
            </w:r>
          </w:p>
        </w:tc>
        <w:tc>
          <w:tcPr>
            <w:tcW w:w="2020" w:type="dxa"/>
            <w:tcBorders>
              <w:top w:val="nil"/>
              <w:left w:val="nil"/>
              <w:bottom w:val="single" w:sz="4" w:space="0" w:color="auto"/>
              <w:right w:val="single" w:sz="4" w:space="0" w:color="auto"/>
            </w:tcBorders>
            <w:noWrap/>
            <w:vAlign w:val="center"/>
            <w:hideMark/>
          </w:tcPr>
          <w:p w14:paraId="0F6B686F"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3,088</w:t>
            </w:r>
          </w:p>
        </w:tc>
        <w:tc>
          <w:tcPr>
            <w:tcW w:w="1660" w:type="dxa"/>
            <w:tcBorders>
              <w:top w:val="nil"/>
              <w:left w:val="nil"/>
              <w:bottom w:val="single" w:sz="4" w:space="0" w:color="auto"/>
              <w:right w:val="single" w:sz="4" w:space="0" w:color="auto"/>
            </w:tcBorders>
            <w:noWrap/>
            <w:vAlign w:val="center"/>
            <w:hideMark/>
          </w:tcPr>
          <w:p w14:paraId="2692297E"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2.15</w:t>
            </w:r>
          </w:p>
        </w:tc>
      </w:tr>
    </w:tbl>
    <w:p w14:paraId="6E69D2C6" w14:textId="77777777" w:rsidR="00305210" w:rsidRPr="00A13288" w:rsidRDefault="00305210" w:rsidP="00305210">
      <w:pPr>
        <w:pStyle w:val="Heading3"/>
        <w:numPr>
          <w:ilvl w:val="0"/>
          <w:numId w:val="3"/>
        </w:numPr>
        <w:rPr>
          <w:rFonts w:ascii="Arial" w:hAnsi="Arial" w:cs="Arial"/>
        </w:rPr>
      </w:pPr>
      <w:bookmarkStart w:id="15" w:name="_Toc123345908"/>
      <w:r w:rsidRPr="00A13288">
        <w:rPr>
          <w:rFonts w:ascii="Arial" w:hAnsi="Arial" w:cs="Arial"/>
        </w:rPr>
        <w:t>Interest cover</w:t>
      </w:r>
      <w:bookmarkEnd w:id="15"/>
    </w:p>
    <w:p w14:paraId="6CC7D83C" w14:textId="77777777" w:rsidR="00305210" w:rsidRPr="00A13288" w:rsidRDefault="00305210" w:rsidP="00305210">
      <w:pPr>
        <w:rPr>
          <w:rFonts w:ascii="Arial" w:hAnsi="Arial" w:cs="Arial"/>
          <w:szCs w:val="24"/>
        </w:rPr>
      </w:pPr>
      <w:r w:rsidRPr="00A13288">
        <w:rPr>
          <w:rFonts w:ascii="Arial" w:hAnsi="Arial" w:cs="Arial"/>
          <w:szCs w:val="24"/>
        </w:rPr>
        <w:t>A company's interest coverage ratio is a measurement of its financial health that examines the company's interest payments as a proportion of the company's total debt. To get the interest coverage ratio, subtract interest payments from profits before interest and taxes. This will give you the interest coverage ratio (EBIT) (</w:t>
      </w:r>
      <w:proofErr w:type="spellStart"/>
      <w:r w:rsidRPr="00A13288">
        <w:rPr>
          <w:rFonts w:ascii="Arial" w:hAnsi="Arial" w:cs="Arial"/>
          <w:szCs w:val="24"/>
        </w:rPr>
        <w:t>Welc</w:t>
      </w:r>
      <w:proofErr w:type="spellEnd"/>
      <w:r w:rsidRPr="00A13288">
        <w:rPr>
          <w:rFonts w:ascii="Arial" w:hAnsi="Arial" w:cs="Arial"/>
          <w:szCs w:val="24"/>
        </w:rPr>
        <w:t>, 2022). A quick calculation of the interest coverage ratio may give valuable insight into a company's ability to satisfy its interest obligations. The figure provides analysts with an overall picture of the financial strength of a firm. In most cases, a ratio of interest paid to total debt that is larger is preferable to one that is lower (</w:t>
      </w:r>
      <w:proofErr w:type="spellStart"/>
      <w:r w:rsidRPr="00A13288">
        <w:rPr>
          <w:rFonts w:ascii="Arial" w:hAnsi="Arial" w:cs="Arial"/>
          <w:szCs w:val="24"/>
        </w:rPr>
        <w:t>Welc</w:t>
      </w:r>
      <w:proofErr w:type="spellEnd"/>
      <w:r w:rsidRPr="00A13288">
        <w:rPr>
          <w:rFonts w:ascii="Arial" w:hAnsi="Arial" w:cs="Arial"/>
          <w:szCs w:val="24"/>
        </w:rPr>
        <w:t xml:space="preserve">, 2022). </w:t>
      </w:r>
    </w:p>
    <w:p w14:paraId="49BF5BA0" w14:textId="77777777" w:rsidR="00305210" w:rsidRPr="00A13288" w:rsidRDefault="00305210" w:rsidP="00305210">
      <w:pPr>
        <w:rPr>
          <w:rFonts w:ascii="Arial" w:hAnsi="Arial" w:cs="Arial"/>
          <w:szCs w:val="24"/>
        </w:rPr>
      </w:pPr>
      <w:r w:rsidRPr="00A13288">
        <w:rPr>
          <w:rFonts w:ascii="Arial" w:hAnsi="Arial" w:cs="Arial"/>
          <w:szCs w:val="24"/>
        </w:rPr>
        <w:t>Interest coverage ratio = EBIT / total interest expense</w:t>
      </w:r>
    </w:p>
    <w:tbl>
      <w:tblPr>
        <w:tblW w:w="6820" w:type="dxa"/>
        <w:jc w:val="center"/>
        <w:tblLook w:val="04A0" w:firstRow="1" w:lastRow="0" w:firstColumn="1" w:lastColumn="0" w:noHBand="0" w:noVBand="1"/>
      </w:tblPr>
      <w:tblGrid>
        <w:gridCol w:w="960"/>
        <w:gridCol w:w="1440"/>
        <w:gridCol w:w="2160"/>
        <w:gridCol w:w="2260"/>
      </w:tblGrid>
      <w:tr w:rsidR="00305210" w:rsidRPr="00A13288" w14:paraId="6C4916CE" w14:textId="77777777" w:rsidTr="00305210">
        <w:trPr>
          <w:trHeight w:val="310"/>
          <w:jc w:val="center"/>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4D2ADD45" w14:textId="77777777" w:rsidR="00305210" w:rsidRPr="00A13288" w:rsidRDefault="00305210">
            <w:pPr>
              <w:rPr>
                <w:rFonts w:ascii="Arial" w:hAnsi="Arial" w:cs="Arial"/>
                <w:szCs w:val="24"/>
              </w:rPr>
            </w:pPr>
          </w:p>
        </w:tc>
        <w:tc>
          <w:tcPr>
            <w:tcW w:w="1440" w:type="dxa"/>
            <w:tcBorders>
              <w:top w:val="single" w:sz="4" w:space="0" w:color="auto"/>
              <w:left w:val="nil"/>
              <w:bottom w:val="single" w:sz="4" w:space="0" w:color="auto"/>
              <w:right w:val="single" w:sz="4" w:space="0" w:color="auto"/>
            </w:tcBorders>
            <w:noWrap/>
            <w:vAlign w:val="center"/>
            <w:hideMark/>
          </w:tcPr>
          <w:p w14:paraId="0077793C"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EBIT</w:t>
            </w:r>
          </w:p>
        </w:tc>
        <w:tc>
          <w:tcPr>
            <w:tcW w:w="2160" w:type="dxa"/>
            <w:tcBorders>
              <w:top w:val="single" w:sz="4" w:space="0" w:color="auto"/>
              <w:left w:val="nil"/>
              <w:bottom w:val="single" w:sz="4" w:space="0" w:color="auto"/>
              <w:right w:val="single" w:sz="4" w:space="0" w:color="auto"/>
            </w:tcBorders>
            <w:noWrap/>
            <w:vAlign w:val="center"/>
            <w:hideMark/>
          </w:tcPr>
          <w:p w14:paraId="0272AC1F"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total interest expense</w:t>
            </w:r>
          </w:p>
        </w:tc>
        <w:tc>
          <w:tcPr>
            <w:tcW w:w="2260" w:type="dxa"/>
            <w:tcBorders>
              <w:top w:val="single" w:sz="4" w:space="0" w:color="auto"/>
              <w:left w:val="nil"/>
              <w:bottom w:val="single" w:sz="4" w:space="0" w:color="auto"/>
              <w:right w:val="single" w:sz="4" w:space="0" w:color="auto"/>
            </w:tcBorders>
            <w:noWrap/>
            <w:vAlign w:val="center"/>
            <w:hideMark/>
          </w:tcPr>
          <w:p w14:paraId="0441D305"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interest coverage ratio</w:t>
            </w:r>
          </w:p>
        </w:tc>
      </w:tr>
      <w:tr w:rsidR="00305210" w:rsidRPr="00A13288" w14:paraId="33E0244F" w14:textId="77777777" w:rsidTr="00305210">
        <w:trPr>
          <w:trHeight w:val="310"/>
          <w:jc w:val="center"/>
        </w:trPr>
        <w:tc>
          <w:tcPr>
            <w:tcW w:w="960" w:type="dxa"/>
            <w:tcBorders>
              <w:top w:val="nil"/>
              <w:left w:val="single" w:sz="4" w:space="0" w:color="auto"/>
              <w:bottom w:val="single" w:sz="4" w:space="0" w:color="auto"/>
              <w:right w:val="single" w:sz="4" w:space="0" w:color="auto"/>
            </w:tcBorders>
            <w:noWrap/>
            <w:vAlign w:val="center"/>
            <w:hideMark/>
          </w:tcPr>
          <w:p w14:paraId="4AFCBFF0"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2020</w:t>
            </w:r>
          </w:p>
        </w:tc>
        <w:tc>
          <w:tcPr>
            <w:tcW w:w="1440" w:type="dxa"/>
            <w:tcBorders>
              <w:top w:val="nil"/>
              <w:left w:val="nil"/>
              <w:bottom w:val="single" w:sz="4" w:space="0" w:color="auto"/>
              <w:right w:val="single" w:sz="4" w:space="0" w:color="auto"/>
            </w:tcBorders>
            <w:noWrap/>
            <w:vAlign w:val="center"/>
            <w:hideMark/>
          </w:tcPr>
          <w:p w14:paraId="5D5C38AC"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366</w:t>
            </w:r>
          </w:p>
        </w:tc>
        <w:tc>
          <w:tcPr>
            <w:tcW w:w="2160" w:type="dxa"/>
            <w:tcBorders>
              <w:top w:val="nil"/>
              <w:left w:val="nil"/>
              <w:bottom w:val="single" w:sz="4" w:space="0" w:color="auto"/>
              <w:right w:val="single" w:sz="4" w:space="0" w:color="auto"/>
            </w:tcBorders>
            <w:noWrap/>
            <w:vAlign w:val="center"/>
            <w:hideMark/>
          </w:tcPr>
          <w:p w14:paraId="35F6FA33"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181</w:t>
            </w:r>
          </w:p>
        </w:tc>
        <w:tc>
          <w:tcPr>
            <w:tcW w:w="2260" w:type="dxa"/>
            <w:tcBorders>
              <w:top w:val="nil"/>
              <w:left w:val="nil"/>
              <w:bottom w:val="single" w:sz="4" w:space="0" w:color="auto"/>
              <w:right w:val="single" w:sz="4" w:space="0" w:color="auto"/>
            </w:tcBorders>
            <w:noWrap/>
            <w:vAlign w:val="center"/>
            <w:hideMark/>
          </w:tcPr>
          <w:p w14:paraId="5EE93697"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w:t>
            </w:r>
          </w:p>
        </w:tc>
      </w:tr>
      <w:tr w:rsidR="00305210" w:rsidRPr="00A13288" w14:paraId="46DC0C4B" w14:textId="77777777" w:rsidTr="00305210">
        <w:trPr>
          <w:trHeight w:val="310"/>
          <w:jc w:val="center"/>
        </w:trPr>
        <w:tc>
          <w:tcPr>
            <w:tcW w:w="960" w:type="dxa"/>
            <w:tcBorders>
              <w:top w:val="nil"/>
              <w:left w:val="single" w:sz="4" w:space="0" w:color="auto"/>
              <w:bottom w:val="single" w:sz="4" w:space="0" w:color="auto"/>
              <w:right w:val="single" w:sz="4" w:space="0" w:color="auto"/>
            </w:tcBorders>
            <w:noWrap/>
            <w:vAlign w:val="center"/>
            <w:hideMark/>
          </w:tcPr>
          <w:p w14:paraId="38DDC24B"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2021</w:t>
            </w:r>
          </w:p>
        </w:tc>
        <w:tc>
          <w:tcPr>
            <w:tcW w:w="1440" w:type="dxa"/>
            <w:tcBorders>
              <w:top w:val="nil"/>
              <w:left w:val="nil"/>
              <w:bottom w:val="single" w:sz="4" w:space="0" w:color="auto"/>
              <w:right w:val="single" w:sz="4" w:space="0" w:color="auto"/>
            </w:tcBorders>
            <w:noWrap/>
            <w:vAlign w:val="center"/>
            <w:hideMark/>
          </w:tcPr>
          <w:p w14:paraId="2E7377B0"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431</w:t>
            </w:r>
          </w:p>
        </w:tc>
        <w:tc>
          <w:tcPr>
            <w:tcW w:w="2160" w:type="dxa"/>
            <w:tcBorders>
              <w:top w:val="nil"/>
              <w:left w:val="nil"/>
              <w:bottom w:val="single" w:sz="4" w:space="0" w:color="auto"/>
              <w:right w:val="single" w:sz="4" w:space="0" w:color="auto"/>
            </w:tcBorders>
            <w:noWrap/>
            <w:vAlign w:val="center"/>
            <w:hideMark/>
          </w:tcPr>
          <w:p w14:paraId="1EC35682"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226</w:t>
            </w:r>
          </w:p>
        </w:tc>
        <w:tc>
          <w:tcPr>
            <w:tcW w:w="2260" w:type="dxa"/>
            <w:tcBorders>
              <w:top w:val="nil"/>
              <w:left w:val="nil"/>
              <w:bottom w:val="single" w:sz="4" w:space="0" w:color="auto"/>
              <w:right w:val="single" w:sz="4" w:space="0" w:color="auto"/>
            </w:tcBorders>
            <w:noWrap/>
            <w:vAlign w:val="center"/>
            <w:hideMark/>
          </w:tcPr>
          <w:p w14:paraId="46DA7C36" w14:textId="77777777" w:rsidR="00305210" w:rsidRPr="00A13288" w:rsidRDefault="00305210">
            <w:pPr>
              <w:spacing w:before="0" w:after="0" w:line="240" w:lineRule="auto"/>
              <w:jc w:val="center"/>
              <w:rPr>
                <w:rFonts w:ascii="Arial" w:eastAsia="Times New Roman" w:hAnsi="Arial" w:cs="Arial"/>
                <w:color w:val="000000"/>
                <w:szCs w:val="24"/>
                <w:lang w:val="en-US" w:bidi="bn-IN"/>
              </w:rPr>
            </w:pPr>
            <w:r w:rsidRPr="00A13288">
              <w:rPr>
                <w:rFonts w:ascii="Arial" w:eastAsia="Times New Roman" w:hAnsi="Arial" w:cs="Arial"/>
                <w:color w:val="000000"/>
                <w:szCs w:val="24"/>
                <w:lang w:val="en-US" w:bidi="bn-IN"/>
              </w:rPr>
              <w:t>1.91</w:t>
            </w:r>
          </w:p>
        </w:tc>
      </w:tr>
    </w:tbl>
    <w:p w14:paraId="02D06993" w14:textId="484314DE" w:rsidR="00305210" w:rsidRPr="00A13288" w:rsidRDefault="00305210" w:rsidP="00305210">
      <w:pPr>
        <w:pStyle w:val="Heading2"/>
        <w:numPr>
          <w:ilvl w:val="0"/>
          <w:numId w:val="2"/>
        </w:numPr>
        <w:rPr>
          <w:rFonts w:ascii="Arial" w:hAnsi="Arial" w:cs="Arial"/>
          <w:sz w:val="24"/>
          <w:szCs w:val="24"/>
        </w:rPr>
      </w:pPr>
      <w:bookmarkStart w:id="16" w:name="_Toc123345909"/>
      <w:r w:rsidRPr="00A13288">
        <w:rPr>
          <w:rFonts w:ascii="Arial" w:hAnsi="Arial" w:cs="Arial"/>
          <w:sz w:val="24"/>
          <w:szCs w:val="24"/>
        </w:rPr>
        <w:t xml:space="preserve">Comments on the financial performance and position of </w:t>
      </w:r>
      <w:r w:rsidR="0076728B" w:rsidRPr="00A13288">
        <w:rPr>
          <w:rFonts w:ascii="Arial" w:hAnsi="Arial" w:cs="Arial"/>
          <w:sz w:val="24"/>
          <w:szCs w:val="24"/>
        </w:rPr>
        <w:t>sweets</w:t>
      </w:r>
      <w:r w:rsidRPr="00A13288">
        <w:rPr>
          <w:rFonts w:ascii="Arial" w:hAnsi="Arial" w:cs="Arial"/>
          <w:sz w:val="24"/>
          <w:szCs w:val="24"/>
        </w:rPr>
        <w:t xml:space="preserve"> plc.</w:t>
      </w:r>
      <w:bookmarkEnd w:id="16"/>
      <w:r w:rsidRPr="00A13288">
        <w:rPr>
          <w:rFonts w:ascii="Arial" w:hAnsi="Arial" w:cs="Arial"/>
          <w:sz w:val="24"/>
          <w:szCs w:val="24"/>
        </w:rPr>
        <w:t xml:space="preserve">  </w:t>
      </w:r>
    </w:p>
    <w:p w14:paraId="106ED517" w14:textId="77777777" w:rsidR="00305210" w:rsidRPr="00A13288" w:rsidRDefault="00305210" w:rsidP="00305210">
      <w:pPr>
        <w:pStyle w:val="ListParagraph"/>
        <w:numPr>
          <w:ilvl w:val="0"/>
          <w:numId w:val="4"/>
        </w:numPr>
        <w:rPr>
          <w:rFonts w:ascii="Arial" w:hAnsi="Arial" w:cs="Arial"/>
          <w:szCs w:val="24"/>
        </w:rPr>
      </w:pPr>
      <w:r w:rsidRPr="00A13288">
        <w:rPr>
          <w:rFonts w:ascii="Arial" w:hAnsi="Arial" w:cs="Arial"/>
          <w:b/>
          <w:bCs/>
          <w:szCs w:val="24"/>
        </w:rPr>
        <w:t xml:space="preserve">ROCE </w:t>
      </w:r>
    </w:p>
    <w:p w14:paraId="06F19F0A" w14:textId="77777777" w:rsidR="00305210" w:rsidRPr="00A13288" w:rsidRDefault="00305210" w:rsidP="00305210">
      <w:pPr>
        <w:rPr>
          <w:rFonts w:ascii="Arial" w:hAnsi="Arial" w:cs="Arial"/>
          <w:szCs w:val="24"/>
        </w:rPr>
      </w:pPr>
      <w:r w:rsidRPr="00A13288">
        <w:rPr>
          <w:rFonts w:ascii="Arial" w:hAnsi="Arial" w:cs="Arial"/>
          <w:szCs w:val="24"/>
        </w:rPr>
        <w:t>The return on capital employed in 2020 was 0.13 and in 2021 was0.14 that is higher than the previous year. A high return on capital employed (ROCE) indicates that more money is being reinvested to expand Sweets PLC and boost shareholder profits. One benefit of reinvesting money more quickly is an increase in earnings per share. Thus, a high return on average capital employed (ROCE) is a sign of a successful, growing company.</w:t>
      </w:r>
    </w:p>
    <w:p w14:paraId="7E6EF847" w14:textId="77777777" w:rsidR="00305210" w:rsidRPr="00A13288" w:rsidRDefault="00305210" w:rsidP="00305210">
      <w:pPr>
        <w:pStyle w:val="ListParagraph"/>
        <w:numPr>
          <w:ilvl w:val="0"/>
          <w:numId w:val="4"/>
        </w:numPr>
        <w:rPr>
          <w:rFonts w:ascii="Arial" w:hAnsi="Arial" w:cs="Arial"/>
          <w:b/>
          <w:bCs/>
          <w:szCs w:val="24"/>
        </w:rPr>
      </w:pPr>
      <w:r w:rsidRPr="00A13288">
        <w:rPr>
          <w:rFonts w:ascii="Arial" w:hAnsi="Arial" w:cs="Arial"/>
          <w:b/>
          <w:bCs/>
          <w:szCs w:val="24"/>
        </w:rPr>
        <w:t xml:space="preserve">ROE </w:t>
      </w:r>
    </w:p>
    <w:p w14:paraId="0237BE19" w14:textId="77777777" w:rsidR="00305210" w:rsidRPr="00A13288" w:rsidRDefault="00305210" w:rsidP="00305210">
      <w:pPr>
        <w:rPr>
          <w:rFonts w:ascii="Arial" w:hAnsi="Arial" w:cs="Arial"/>
          <w:szCs w:val="24"/>
        </w:rPr>
      </w:pPr>
      <w:r w:rsidRPr="00A13288">
        <w:rPr>
          <w:rFonts w:ascii="Arial" w:hAnsi="Arial" w:cs="Arial"/>
          <w:szCs w:val="24"/>
        </w:rPr>
        <w:t xml:space="preserve">The return on equity in 2020 was 0.13 and in 2021 was0.14 that is higher than the previous year. Sweets PLC is successful at converting the capital it raised from investors into cash if it has a high return on equity. Sweets PLC’s leadership has done a good job of expanding the business </w:t>
      </w:r>
      <w:proofErr w:type="gramStart"/>
      <w:r w:rsidRPr="00A13288">
        <w:rPr>
          <w:rFonts w:ascii="Arial" w:hAnsi="Arial" w:cs="Arial"/>
          <w:szCs w:val="24"/>
        </w:rPr>
        <w:t>through the use of</w:t>
      </w:r>
      <w:proofErr w:type="gramEnd"/>
      <w:r w:rsidRPr="00A13288">
        <w:rPr>
          <w:rFonts w:ascii="Arial" w:hAnsi="Arial" w:cs="Arial"/>
          <w:szCs w:val="24"/>
        </w:rPr>
        <w:t xml:space="preserve"> capital expenditures if the </w:t>
      </w:r>
      <w:r w:rsidRPr="00A13288">
        <w:rPr>
          <w:rFonts w:ascii="Arial" w:hAnsi="Arial" w:cs="Arial"/>
          <w:szCs w:val="24"/>
        </w:rPr>
        <w:lastRenderedPageBreak/>
        <w:t>return on equity is high. Increases in Return on Equity (ROE) show that shareholder capital has been used effectively.</w:t>
      </w:r>
    </w:p>
    <w:p w14:paraId="2F8473C4" w14:textId="77777777" w:rsidR="00305210" w:rsidRPr="00A13288" w:rsidRDefault="00305210" w:rsidP="00305210">
      <w:pPr>
        <w:pStyle w:val="ListParagraph"/>
        <w:numPr>
          <w:ilvl w:val="0"/>
          <w:numId w:val="5"/>
        </w:numPr>
        <w:rPr>
          <w:rFonts w:ascii="Arial" w:hAnsi="Arial" w:cs="Arial"/>
          <w:b/>
          <w:bCs/>
          <w:szCs w:val="24"/>
        </w:rPr>
      </w:pPr>
      <w:r w:rsidRPr="00A13288">
        <w:rPr>
          <w:rFonts w:ascii="Arial" w:hAnsi="Arial" w:cs="Arial"/>
          <w:b/>
          <w:bCs/>
          <w:szCs w:val="24"/>
        </w:rPr>
        <w:t xml:space="preserve">Earnings per share </w:t>
      </w:r>
    </w:p>
    <w:p w14:paraId="0759DFE7" w14:textId="01B7A79A" w:rsidR="00305210" w:rsidRPr="00A13288" w:rsidRDefault="00305210" w:rsidP="00305210">
      <w:pPr>
        <w:rPr>
          <w:rFonts w:ascii="Arial" w:hAnsi="Arial" w:cs="Arial"/>
          <w:szCs w:val="24"/>
        </w:rPr>
      </w:pPr>
      <w:r w:rsidRPr="00A13288">
        <w:rPr>
          <w:rFonts w:ascii="Arial" w:hAnsi="Arial" w:cs="Arial"/>
          <w:szCs w:val="24"/>
        </w:rPr>
        <w:t xml:space="preserve">Earnings per share in 2020 was £1.65 and in 2021 was £3 that is higher than the previous year. A greater EPS signifies more value as investors </w:t>
      </w:r>
      <w:r w:rsidR="0076728B" w:rsidRPr="00A13288">
        <w:rPr>
          <w:rFonts w:ascii="Arial" w:hAnsi="Arial" w:cs="Arial"/>
          <w:szCs w:val="24"/>
        </w:rPr>
        <w:t>will</w:t>
      </w:r>
      <w:r w:rsidRPr="00A13288">
        <w:rPr>
          <w:rFonts w:ascii="Arial" w:hAnsi="Arial" w:cs="Arial"/>
          <w:szCs w:val="24"/>
        </w:rPr>
        <w:t xml:space="preserve"> pay more for a firm's shares if they feel the business has more significant profits than its share price.</w:t>
      </w:r>
    </w:p>
    <w:p w14:paraId="1DEF6627" w14:textId="77777777" w:rsidR="00305210" w:rsidRPr="00A13288" w:rsidRDefault="00305210" w:rsidP="00305210">
      <w:pPr>
        <w:pStyle w:val="ListParagraph"/>
        <w:numPr>
          <w:ilvl w:val="0"/>
          <w:numId w:val="6"/>
        </w:numPr>
        <w:rPr>
          <w:rFonts w:ascii="Arial" w:hAnsi="Arial" w:cs="Arial"/>
          <w:b/>
          <w:bCs/>
          <w:szCs w:val="24"/>
        </w:rPr>
      </w:pPr>
      <w:r w:rsidRPr="00A13288">
        <w:rPr>
          <w:rFonts w:ascii="Arial" w:hAnsi="Arial" w:cs="Arial"/>
          <w:b/>
          <w:bCs/>
          <w:szCs w:val="24"/>
        </w:rPr>
        <w:t xml:space="preserve">Net profit margin </w:t>
      </w:r>
    </w:p>
    <w:p w14:paraId="042EB9B8" w14:textId="77777777" w:rsidR="00305210" w:rsidRPr="00A13288" w:rsidRDefault="00305210" w:rsidP="00305210">
      <w:pPr>
        <w:rPr>
          <w:rFonts w:ascii="Arial" w:hAnsi="Arial" w:cs="Arial"/>
          <w:szCs w:val="24"/>
        </w:rPr>
      </w:pPr>
      <w:r w:rsidRPr="00A13288">
        <w:rPr>
          <w:rFonts w:ascii="Arial" w:hAnsi="Arial" w:cs="Arial"/>
          <w:szCs w:val="24"/>
        </w:rPr>
        <w:t>Net profit margin in 2021 was greater than 2020. Sweets PLC's capacity to maintain low costs and/or charge prices that are much higher than production costs is a factor in its ability to maintain a good net profit margin. In this context, a high ratio may result from effective management.</w:t>
      </w:r>
    </w:p>
    <w:p w14:paraId="0F976944" w14:textId="77777777" w:rsidR="00305210" w:rsidRPr="00A13288" w:rsidRDefault="00305210" w:rsidP="00305210">
      <w:pPr>
        <w:pStyle w:val="ListParagraph"/>
        <w:numPr>
          <w:ilvl w:val="0"/>
          <w:numId w:val="7"/>
        </w:numPr>
        <w:rPr>
          <w:rFonts w:ascii="Arial" w:hAnsi="Arial" w:cs="Arial"/>
          <w:b/>
          <w:bCs/>
          <w:szCs w:val="24"/>
        </w:rPr>
      </w:pPr>
      <w:r w:rsidRPr="00A13288">
        <w:rPr>
          <w:rFonts w:ascii="Arial" w:hAnsi="Arial" w:cs="Arial"/>
          <w:b/>
          <w:bCs/>
          <w:szCs w:val="24"/>
        </w:rPr>
        <w:t xml:space="preserve">Asset turnover </w:t>
      </w:r>
    </w:p>
    <w:p w14:paraId="3EAE09A1" w14:textId="77777777" w:rsidR="00305210" w:rsidRPr="00A13288" w:rsidRDefault="00305210" w:rsidP="00305210">
      <w:pPr>
        <w:rPr>
          <w:rFonts w:ascii="Arial" w:hAnsi="Arial" w:cs="Arial"/>
          <w:szCs w:val="24"/>
        </w:rPr>
      </w:pPr>
      <w:r w:rsidRPr="00A13288">
        <w:rPr>
          <w:rFonts w:ascii="Arial" w:hAnsi="Arial" w:cs="Arial"/>
          <w:szCs w:val="24"/>
        </w:rPr>
        <w:t>Asset turnover in 2021 was greater than 2020. Which is a positive sign. High asset turnover ratio Sweets PLC is particularly effective at converting their assets into cash. Like many other business metrics, the asset turnover ratio excels when compared with companies in the same industry.</w:t>
      </w:r>
    </w:p>
    <w:p w14:paraId="35B43A9C" w14:textId="77777777" w:rsidR="00305210" w:rsidRPr="00A13288" w:rsidRDefault="00305210" w:rsidP="00305210">
      <w:pPr>
        <w:pStyle w:val="ListParagraph"/>
        <w:numPr>
          <w:ilvl w:val="0"/>
          <w:numId w:val="8"/>
        </w:numPr>
        <w:rPr>
          <w:rFonts w:ascii="Arial" w:hAnsi="Arial" w:cs="Arial"/>
          <w:szCs w:val="24"/>
        </w:rPr>
      </w:pPr>
      <w:r w:rsidRPr="00A13288">
        <w:rPr>
          <w:rFonts w:ascii="Arial" w:hAnsi="Arial" w:cs="Arial"/>
          <w:b/>
          <w:bCs/>
          <w:szCs w:val="24"/>
        </w:rPr>
        <w:t>Stock holding days</w:t>
      </w:r>
      <w:r w:rsidRPr="00A13288">
        <w:rPr>
          <w:rFonts w:ascii="Arial" w:hAnsi="Arial" w:cs="Arial"/>
          <w:szCs w:val="24"/>
        </w:rPr>
        <w:t xml:space="preserve"> </w:t>
      </w:r>
    </w:p>
    <w:p w14:paraId="5E393355" w14:textId="32C09792" w:rsidR="00305210" w:rsidRPr="00A13288" w:rsidRDefault="00305210" w:rsidP="00305210">
      <w:pPr>
        <w:rPr>
          <w:rFonts w:ascii="Arial" w:hAnsi="Arial" w:cs="Arial"/>
          <w:szCs w:val="24"/>
        </w:rPr>
      </w:pPr>
      <w:r w:rsidRPr="00A13288">
        <w:rPr>
          <w:rFonts w:ascii="Arial" w:hAnsi="Arial" w:cs="Arial"/>
          <w:szCs w:val="24"/>
        </w:rPr>
        <w:t xml:space="preserve">The stock holding days in 2020 was 77.69 days and in 2021 was 79.88 days which is higher than the previous year. Sweets PLC may need to move its inventory more quickly to fulfil demand if it has a lot of unsold products on hand (a high </w:t>
      </w:r>
      <w:r w:rsidR="0076728B" w:rsidRPr="00A13288">
        <w:rPr>
          <w:rFonts w:ascii="Arial" w:hAnsi="Arial" w:cs="Arial"/>
          <w:szCs w:val="24"/>
        </w:rPr>
        <w:t>day’s</w:t>
      </w:r>
      <w:r w:rsidRPr="00A13288">
        <w:rPr>
          <w:rFonts w:ascii="Arial" w:hAnsi="Arial" w:cs="Arial"/>
          <w:szCs w:val="24"/>
        </w:rPr>
        <w:t xml:space="preserve"> inventory outstanding). This could happen if the stock were purchased in excess or sales were weak. Having stuff lying around gathering dust may be terrible for a company since such products may eventually go out of date and become useless.</w:t>
      </w:r>
    </w:p>
    <w:p w14:paraId="53733AB7" w14:textId="77777777" w:rsidR="00305210" w:rsidRPr="00A13288" w:rsidRDefault="00305210" w:rsidP="00305210">
      <w:pPr>
        <w:pStyle w:val="ListParagraph"/>
        <w:numPr>
          <w:ilvl w:val="0"/>
          <w:numId w:val="9"/>
        </w:numPr>
        <w:rPr>
          <w:rFonts w:ascii="Arial" w:hAnsi="Arial" w:cs="Arial"/>
          <w:b/>
          <w:bCs/>
          <w:szCs w:val="24"/>
        </w:rPr>
      </w:pPr>
      <w:r w:rsidRPr="00A13288">
        <w:rPr>
          <w:rFonts w:ascii="Arial" w:hAnsi="Arial" w:cs="Arial"/>
          <w:b/>
          <w:bCs/>
          <w:szCs w:val="24"/>
        </w:rPr>
        <w:t xml:space="preserve">Debtor collection period </w:t>
      </w:r>
    </w:p>
    <w:p w14:paraId="06A05B78" w14:textId="77777777" w:rsidR="00305210" w:rsidRPr="00A13288" w:rsidRDefault="00305210" w:rsidP="00305210">
      <w:pPr>
        <w:rPr>
          <w:rFonts w:ascii="Arial" w:hAnsi="Arial" w:cs="Arial"/>
          <w:szCs w:val="24"/>
        </w:rPr>
      </w:pPr>
      <w:r w:rsidRPr="00A13288">
        <w:rPr>
          <w:rFonts w:ascii="Arial" w:hAnsi="Arial" w:cs="Arial"/>
          <w:szCs w:val="24"/>
        </w:rPr>
        <w:t xml:space="preserve">The Debtor collection period in 2020 was 37.34 and in 2021 was 38.35 which is higher than the previous year. An extended collection period for </w:t>
      </w:r>
      <w:bookmarkStart w:id="17" w:name="_Hlk118842991"/>
      <w:r w:rsidRPr="00A13288">
        <w:rPr>
          <w:rFonts w:ascii="Arial" w:hAnsi="Arial" w:cs="Arial"/>
          <w:szCs w:val="24"/>
        </w:rPr>
        <w:t xml:space="preserve">Sweets PLC </w:t>
      </w:r>
      <w:bookmarkEnd w:id="17"/>
      <w:r w:rsidRPr="00A13288">
        <w:rPr>
          <w:rFonts w:ascii="Arial" w:hAnsi="Arial" w:cs="Arial"/>
          <w:szCs w:val="24"/>
        </w:rPr>
        <w:t xml:space="preserve">indicates that payments are delayed. However, one shouldn't take this as a representation of how </w:t>
      </w:r>
      <w:r w:rsidRPr="00A13288">
        <w:rPr>
          <w:rFonts w:ascii="Arial" w:hAnsi="Arial" w:cs="Arial"/>
          <w:szCs w:val="24"/>
        </w:rPr>
        <w:lastRenderedPageBreak/>
        <w:t>the business really runs. Sweets PLC’s customers' slow payment of invoices may be the cause of the lengthy collection period.</w:t>
      </w:r>
    </w:p>
    <w:p w14:paraId="50E1CE07" w14:textId="77777777" w:rsidR="00305210" w:rsidRPr="00A13288" w:rsidRDefault="00305210" w:rsidP="00305210">
      <w:pPr>
        <w:pStyle w:val="ListParagraph"/>
        <w:numPr>
          <w:ilvl w:val="0"/>
          <w:numId w:val="10"/>
        </w:numPr>
        <w:rPr>
          <w:rFonts w:ascii="Arial" w:hAnsi="Arial" w:cs="Arial"/>
          <w:b/>
          <w:bCs/>
          <w:szCs w:val="24"/>
        </w:rPr>
      </w:pPr>
      <w:r w:rsidRPr="00A13288">
        <w:rPr>
          <w:rFonts w:ascii="Arial" w:hAnsi="Arial" w:cs="Arial"/>
          <w:b/>
          <w:bCs/>
          <w:szCs w:val="24"/>
        </w:rPr>
        <w:t>Current ratio</w:t>
      </w:r>
    </w:p>
    <w:p w14:paraId="01A9CEAB" w14:textId="77777777" w:rsidR="00305210" w:rsidRPr="00A13288" w:rsidRDefault="00305210" w:rsidP="00305210">
      <w:pPr>
        <w:rPr>
          <w:rFonts w:ascii="Arial" w:hAnsi="Arial" w:cs="Arial"/>
          <w:szCs w:val="24"/>
        </w:rPr>
      </w:pPr>
      <w:bookmarkStart w:id="18" w:name="_Hlk118842770"/>
      <w:r w:rsidRPr="00A13288">
        <w:rPr>
          <w:rFonts w:ascii="Arial" w:hAnsi="Arial" w:cs="Arial"/>
          <w:szCs w:val="24"/>
        </w:rPr>
        <w:t xml:space="preserve">The current ratio in 2020 was 0.77 and in 2021 was 0.92 which is higher than the previous year. </w:t>
      </w:r>
      <w:bookmarkEnd w:id="18"/>
      <w:r w:rsidRPr="00A13288">
        <w:rPr>
          <w:rFonts w:ascii="Arial" w:hAnsi="Arial" w:cs="Arial"/>
          <w:szCs w:val="24"/>
        </w:rPr>
        <w:t xml:space="preserve">A high current ratio indicates that </w:t>
      </w:r>
      <w:bookmarkStart w:id="19" w:name="_Hlk118842673"/>
      <w:r w:rsidRPr="00A13288">
        <w:rPr>
          <w:rFonts w:ascii="Arial" w:hAnsi="Arial" w:cs="Arial"/>
          <w:szCs w:val="24"/>
        </w:rPr>
        <w:t xml:space="preserve">Sweets PLC </w:t>
      </w:r>
      <w:bookmarkEnd w:id="19"/>
      <w:r w:rsidRPr="00A13288">
        <w:rPr>
          <w:rFonts w:ascii="Arial" w:hAnsi="Arial" w:cs="Arial"/>
          <w:szCs w:val="24"/>
        </w:rPr>
        <w:t>has sufficient liquid assets to meet its immediate commitments. Sweets PLC with a more excellent current ratio is thus more liquid than one with a lower current ratio.</w:t>
      </w:r>
    </w:p>
    <w:p w14:paraId="6A6A2DB7" w14:textId="77777777" w:rsidR="00305210" w:rsidRPr="00A13288" w:rsidRDefault="00305210" w:rsidP="00305210">
      <w:pPr>
        <w:pStyle w:val="ListParagraph"/>
        <w:numPr>
          <w:ilvl w:val="0"/>
          <w:numId w:val="11"/>
        </w:numPr>
        <w:rPr>
          <w:rFonts w:ascii="Arial" w:hAnsi="Arial" w:cs="Arial"/>
          <w:b/>
          <w:bCs/>
          <w:szCs w:val="24"/>
        </w:rPr>
      </w:pPr>
      <w:r w:rsidRPr="00A13288">
        <w:rPr>
          <w:rFonts w:ascii="Arial" w:hAnsi="Arial" w:cs="Arial"/>
          <w:b/>
          <w:bCs/>
          <w:szCs w:val="24"/>
        </w:rPr>
        <w:t xml:space="preserve">Gearing ratio </w:t>
      </w:r>
    </w:p>
    <w:p w14:paraId="0668BD25" w14:textId="77777777" w:rsidR="00305210" w:rsidRPr="00A13288" w:rsidRDefault="00305210" w:rsidP="00305210">
      <w:pPr>
        <w:rPr>
          <w:rFonts w:ascii="Arial" w:hAnsi="Arial" w:cs="Arial"/>
          <w:szCs w:val="24"/>
        </w:rPr>
      </w:pPr>
      <w:r w:rsidRPr="00A13288">
        <w:rPr>
          <w:rFonts w:ascii="Arial" w:hAnsi="Arial" w:cs="Arial"/>
          <w:szCs w:val="24"/>
        </w:rPr>
        <w:t>The gearing ratio is 2020 was 2.46 and in 2021 was 2.15, which is lower than the previous year. A low gearing ratio shows that debt is not disproportionately onerous compared to equity. Even if a corporation has a low gearing ratio, it doesn't always mean its finances are stable.</w:t>
      </w:r>
    </w:p>
    <w:p w14:paraId="7B2CF673" w14:textId="77777777" w:rsidR="00305210" w:rsidRPr="00A13288" w:rsidRDefault="00305210" w:rsidP="00305210">
      <w:pPr>
        <w:pStyle w:val="ListParagraph"/>
        <w:numPr>
          <w:ilvl w:val="0"/>
          <w:numId w:val="12"/>
        </w:numPr>
        <w:rPr>
          <w:rFonts w:ascii="Arial" w:hAnsi="Arial" w:cs="Arial"/>
          <w:b/>
          <w:bCs/>
          <w:szCs w:val="24"/>
        </w:rPr>
      </w:pPr>
      <w:r w:rsidRPr="00A13288">
        <w:rPr>
          <w:rFonts w:ascii="Arial" w:hAnsi="Arial" w:cs="Arial"/>
          <w:b/>
          <w:bCs/>
          <w:szCs w:val="24"/>
        </w:rPr>
        <w:t>Interest coverage ratio</w:t>
      </w:r>
    </w:p>
    <w:p w14:paraId="06F79AF5" w14:textId="49B71037" w:rsidR="00305210" w:rsidRDefault="00305210" w:rsidP="00305210">
      <w:pPr>
        <w:rPr>
          <w:rFonts w:ascii="Arial" w:hAnsi="Arial" w:cs="Arial"/>
          <w:szCs w:val="24"/>
        </w:rPr>
      </w:pPr>
      <w:r w:rsidRPr="00A13288">
        <w:rPr>
          <w:rFonts w:ascii="Arial" w:hAnsi="Arial" w:cs="Arial"/>
          <w:szCs w:val="24"/>
        </w:rPr>
        <w:t>The interest coverage ratio in 2020 was 2.02 and in 20221 it was 1.91 which is lower than 2020’s. Poor interest coverage ratios increase the company's risk of debt default, which might result in bankruptcy. In other words, if the interest coverage ratio is low, there is not enough revenue to cover the cost of debt servicing.</w:t>
      </w:r>
    </w:p>
    <w:p w14:paraId="0EF5DC22" w14:textId="090AC924" w:rsidR="00326C58" w:rsidRDefault="00326C58" w:rsidP="00305210">
      <w:pPr>
        <w:rPr>
          <w:rFonts w:ascii="Arial" w:hAnsi="Arial" w:cs="Arial"/>
          <w:szCs w:val="24"/>
        </w:rPr>
      </w:pPr>
    </w:p>
    <w:p w14:paraId="7DD313CF" w14:textId="11AD0504" w:rsidR="00326C58" w:rsidRDefault="00326C58" w:rsidP="00305210">
      <w:pPr>
        <w:rPr>
          <w:rFonts w:ascii="Arial" w:hAnsi="Arial" w:cs="Arial"/>
          <w:szCs w:val="24"/>
        </w:rPr>
      </w:pPr>
    </w:p>
    <w:p w14:paraId="35A633A9" w14:textId="396A9C0D" w:rsidR="00326C58" w:rsidRDefault="00326C58" w:rsidP="00305210">
      <w:pPr>
        <w:rPr>
          <w:rFonts w:ascii="Arial" w:hAnsi="Arial" w:cs="Arial"/>
          <w:szCs w:val="24"/>
        </w:rPr>
      </w:pPr>
    </w:p>
    <w:p w14:paraId="49F17929" w14:textId="27279809" w:rsidR="00326C58" w:rsidRDefault="00326C58" w:rsidP="00305210">
      <w:pPr>
        <w:rPr>
          <w:rFonts w:ascii="Arial" w:hAnsi="Arial" w:cs="Arial"/>
          <w:szCs w:val="24"/>
        </w:rPr>
      </w:pPr>
    </w:p>
    <w:p w14:paraId="35006737" w14:textId="1F70E8AE" w:rsidR="00326C58" w:rsidRDefault="00326C58" w:rsidP="00305210">
      <w:pPr>
        <w:rPr>
          <w:rFonts w:ascii="Arial" w:hAnsi="Arial" w:cs="Arial"/>
          <w:szCs w:val="24"/>
        </w:rPr>
      </w:pPr>
    </w:p>
    <w:p w14:paraId="499B253D" w14:textId="25785213" w:rsidR="00326C58" w:rsidRDefault="00326C58" w:rsidP="00305210">
      <w:pPr>
        <w:rPr>
          <w:rFonts w:ascii="Arial" w:hAnsi="Arial" w:cs="Arial"/>
          <w:szCs w:val="24"/>
        </w:rPr>
      </w:pPr>
    </w:p>
    <w:p w14:paraId="13F15675" w14:textId="77777777" w:rsidR="00326C58" w:rsidRPr="00A13288" w:rsidRDefault="00326C58" w:rsidP="00305210">
      <w:pPr>
        <w:rPr>
          <w:rFonts w:ascii="Arial" w:hAnsi="Arial" w:cs="Arial"/>
          <w:szCs w:val="24"/>
        </w:rPr>
      </w:pPr>
    </w:p>
    <w:p w14:paraId="6400622C" w14:textId="77777777" w:rsidR="00305210" w:rsidRPr="00F92E1F" w:rsidRDefault="00305210" w:rsidP="00326C58">
      <w:pPr>
        <w:pStyle w:val="Heading1"/>
        <w:jc w:val="left"/>
        <w:rPr>
          <w:rFonts w:ascii="Arial" w:hAnsi="Arial" w:cs="Arial"/>
          <w:color w:val="auto"/>
          <w:sz w:val="24"/>
          <w:szCs w:val="24"/>
        </w:rPr>
      </w:pPr>
      <w:bookmarkStart w:id="20" w:name="_Toc123345910"/>
      <w:r w:rsidRPr="00F92E1F">
        <w:rPr>
          <w:rFonts w:ascii="Arial" w:hAnsi="Arial" w:cs="Arial"/>
          <w:color w:val="auto"/>
          <w:sz w:val="24"/>
          <w:szCs w:val="24"/>
        </w:rPr>
        <w:lastRenderedPageBreak/>
        <w:t>References</w:t>
      </w:r>
      <w:bookmarkEnd w:id="20"/>
    </w:p>
    <w:p w14:paraId="7DC32286" w14:textId="77777777" w:rsidR="00305210" w:rsidRPr="00A13288" w:rsidRDefault="00305210" w:rsidP="00305210">
      <w:pPr>
        <w:rPr>
          <w:rFonts w:ascii="Arial" w:hAnsi="Arial" w:cs="Arial"/>
          <w:szCs w:val="24"/>
        </w:rPr>
      </w:pPr>
      <w:r w:rsidRPr="00A13288">
        <w:rPr>
          <w:rFonts w:ascii="Arial" w:hAnsi="Arial" w:cs="Arial"/>
          <w:szCs w:val="24"/>
        </w:rPr>
        <w:t>Easton, P.D., McAnally, M.L., Sommers, G.A. and Zhang, X.J., 2018. </w:t>
      </w:r>
      <w:r w:rsidRPr="00A13288">
        <w:rPr>
          <w:rFonts w:ascii="Arial" w:hAnsi="Arial" w:cs="Arial"/>
          <w:i/>
          <w:iCs/>
          <w:szCs w:val="24"/>
        </w:rPr>
        <w:t>Financial statement analysis &amp; valuation</w:t>
      </w:r>
      <w:r w:rsidRPr="00A13288">
        <w:rPr>
          <w:rFonts w:ascii="Arial" w:hAnsi="Arial" w:cs="Arial"/>
          <w:szCs w:val="24"/>
        </w:rPr>
        <w:t>. Boston, MA: Cambridge Business Publishers.</w:t>
      </w:r>
    </w:p>
    <w:p w14:paraId="42106823" w14:textId="77777777" w:rsidR="00305210" w:rsidRPr="00A13288" w:rsidRDefault="00305210" w:rsidP="00305210">
      <w:pPr>
        <w:rPr>
          <w:rFonts w:ascii="Arial" w:hAnsi="Arial" w:cs="Arial"/>
          <w:szCs w:val="24"/>
        </w:rPr>
      </w:pPr>
      <w:r w:rsidRPr="00A13288">
        <w:rPr>
          <w:rFonts w:ascii="Arial" w:hAnsi="Arial" w:cs="Arial"/>
          <w:szCs w:val="24"/>
        </w:rPr>
        <w:t xml:space="preserve">Godfrey, J., Hodgson, A., </w:t>
      </w:r>
      <w:proofErr w:type="spellStart"/>
      <w:r w:rsidRPr="00A13288">
        <w:rPr>
          <w:rFonts w:ascii="Arial" w:hAnsi="Arial" w:cs="Arial"/>
          <w:szCs w:val="24"/>
        </w:rPr>
        <w:t>Tarca</w:t>
      </w:r>
      <w:proofErr w:type="spellEnd"/>
      <w:r w:rsidRPr="00A13288">
        <w:rPr>
          <w:rFonts w:ascii="Arial" w:hAnsi="Arial" w:cs="Arial"/>
          <w:szCs w:val="24"/>
        </w:rPr>
        <w:t>, A., Hamilton, J. and Holmen, S., 2010. </w:t>
      </w:r>
      <w:r w:rsidRPr="00A13288">
        <w:rPr>
          <w:rFonts w:ascii="Arial" w:hAnsi="Arial" w:cs="Arial"/>
          <w:i/>
          <w:iCs/>
          <w:szCs w:val="24"/>
        </w:rPr>
        <w:t>Accounting</w:t>
      </w:r>
      <w:r w:rsidRPr="00A13288">
        <w:rPr>
          <w:rFonts w:ascii="Arial" w:hAnsi="Arial" w:cs="Arial"/>
          <w:szCs w:val="24"/>
        </w:rPr>
        <w:t>. John Wiley &amp; Sons, Inc.</w:t>
      </w:r>
    </w:p>
    <w:p w14:paraId="0A77F17E" w14:textId="77777777" w:rsidR="00305210" w:rsidRPr="00A13288" w:rsidRDefault="00305210" w:rsidP="00305210">
      <w:pPr>
        <w:rPr>
          <w:rFonts w:ascii="Arial" w:hAnsi="Arial" w:cs="Arial"/>
          <w:szCs w:val="24"/>
        </w:rPr>
      </w:pPr>
      <w:proofErr w:type="spellStart"/>
      <w:r w:rsidRPr="00A13288">
        <w:rPr>
          <w:rFonts w:ascii="Arial" w:hAnsi="Arial" w:cs="Arial"/>
          <w:szCs w:val="24"/>
        </w:rPr>
        <w:t>Hilkevics</w:t>
      </w:r>
      <w:proofErr w:type="spellEnd"/>
      <w:r w:rsidRPr="00A13288">
        <w:rPr>
          <w:rFonts w:ascii="Arial" w:hAnsi="Arial" w:cs="Arial"/>
          <w:szCs w:val="24"/>
        </w:rPr>
        <w:t xml:space="preserve">, S. and </w:t>
      </w:r>
      <w:proofErr w:type="spellStart"/>
      <w:r w:rsidRPr="00A13288">
        <w:rPr>
          <w:rFonts w:ascii="Arial" w:hAnsi="Arial" w:cs="Arial"/>
          <w:szCs w:val="24"/>
        </w:rPr>
        <w:t>Semakina</w:t>
      </w:r>
      <w:proofErr w:type="spellEnd"/>
      <w:r w:rsidRPr="00A13288">
        <w:rPr>
          <w:rFonts w:ascii="Arial" w:hAnsi="Arial" w:cs="Arial"/>
          <w:szCs w:val="24"/>
        </w:rPr>
        <w:t>, V., 2019. The classification and comparison of business ratios analysis methods. </w:t>
      </w:r>
      <w:r w:rsidRPr="00A13288">
        <w:rPr>
          <w:rFonts w:ascii="Arial" w:hAnsi="Arial" w:cs="Arial"/>
          <w:i/>
          <w:iCs/>
          <w:szCs w:val="24"/>
        </w:rPr>
        <w:t>Insights into Regional Development</w:t>
      </w:r>
      <w:r w:rsidRPr="00A13288">
        <w:rPr>
          <w:rFonts w:ascii="Arial" w:hAnsi="Arial" w:cs="Arial"/>
          <w:szCs w:val="24"/>
        </w:rPr>
        <w:t>, </w:t>
      </w:r>
      <w:r w:rsidRPr="00A13288">
        <w:rPr>
          <w:rFonts w:ascii="Arial" w:hAnsi="Arial" w:cs="Arial"/>
          <w:i/>
          <w:iCs/>
          <w:szCs w:val="24"/>
        </w:rPr>
        <w:t>1</w:t>
      </w:r>
      <w:r w:rsidRPr="00A13288">
        <w:rPr>
          <w:rFonts w:ascii="Arial" w:hAnsi="Arial" w:cs="Arial"/>
          <w:szCs w:val="24"/>
        </w:rPr>
        <w:t>(1), pp.47-56.</w:t>
      </w:r>
    </w:p>
    <w:p w14:paraId="36781C08" w14:textId="77777777" w:rsidR="00305210" w:rsidRPr="00A13288" w:rsidRDefault="00305210" w:rsidP="00305210">
      <w:pPr>
        <w:rPr>
          <w:rFonts w:ascii="Arial" w:hAnsi="Arial" w:cs="Arial"/>
          <w:szCs w:val="24"/>
        </w:rPr>
      </w:pPr>
      <w:proofErr w:type="spellStart"/>
      <w:r w:rsidRPr="00A13288">
        <w:rPr>
          <w:rFonts w:ascii="Arial" w:hAnsi="Arial" w:cs="Arial"/>
          <w:szCs w:val="24"/>
        </w:rPr>
        <w:t>Jurakulovna</w:t>
      </w:r>
      <w:proofErr w:type="spellEnd"/>
      <w:r w:rsidRPr="00A13288">
        <w:rPr>
          <w:rFonts w:ascii="Arial" w:hAnsi="Arial" w:cs="Arial"/>
          <w:szCs w:val="24"/>
        </w:rPr>
        <w:t>, J.G., 2021. The Necessity and Theoretical Basis of Financial Statement Analysis in Modern Management. </w:t>
      </w:r>
      <w:r w:rsidRPr="00A13288">
        <w:rPr>
          <w:rFonts w:ascii="Arial" w:hAnsi="Arial" w:cs="Arial"/>
          <w:i/>
          <w:iCs/>
          <w:szCs w:val="24"/>
        </w:rPr>
        <w:t>Academic Journal of Digital Economics and Stability</w:t>
      </w:r>
      <w:r w:rsidRPr="00A13288">
        <w:rPr>
          <w:rFonts w:ascii="Arial" w:hAnsi="Arial" w:cs="Arial"/>
          <w:szCs w:val="24"/>
        </w:rPr>
        <w:t>, </w:t>
      </w:r>
      <w:r w:rsidRPr="00A13288">
        <w:rPr>
          <w:rFonts w:ascii="Arial" w:hAnsi="Arial" w:cs="Arial"/>
          <w:i/>
          <w:iCs/>
          <w:szCs w:val="24"/>
        </w:rPr>
        <w:t>7</w:t>
      </w:r>
      <w:r w:rsidRPr="00A13288">
        <w:rPr>
          <w:rFonts w:ascii="Arial" w:hAnsi="Arial" w:cs="Arial"/>
          <w:szCs w:val="24"/>
        </w:rPr>
        <w:t>, pp.89-95.</w:t>
      </w:r>
    </w:p>
    <w:p w14:paraId="38D82DA8" w14:textId="77777777" w:rsidR="00305210" w:rsidRPr="00A13288" w:rsidRDefault="00305210" w:rsidP="00305210">
      <w:pPr>
        <w:rPr>
          <w:rFonts w:ascii="Arial" w:hAnsi="Arial" w:cs="Arial"/>
          <w:szCs w:val="24"/>
        </w:rPr>
      </w:pPr>
      <w:r w:rsidRPr="00A13288">
        <w:rPr>
          <w:rFonts w:ascii="Arial" w:hAnsi="Arial" w:cs="Arial"/>
          <w:szCs w:val="24"/>
        </w:rPr>
        <w:t xml:space="preserve">Kimmel, P.D., Weygandt, J.J. and </w:t>
      </w:r>
      <w:proofErr w:type="spellStart"/>
      <w:r w:rsidRPr="00A13288">
        <w:rPr>
          <w:rFonts w:ascii="Arial" w:hAnsi="Arial" w:cs="Arial"/>
          <w:szCs w:val="24"/>
        </w:rPr>
        <w:t>Kieso</w:t>
      </w:r>
      <w:proofErr w:type="spellEnd"/>
      <w:r w:rsidRPr="00A13288">
        <w:rPr>
          <w:rFonts w:ascii="Arial" w:hAnsi="Arial" w:cs="Arial"/>
          <w:szCs w:val="24"/>
        </w:rPr>
        <w:t>, D.E., 2020. </w:t>
      </w:r>
      <w:r w:rsidRPr="00A13288">
        <w:rPr>
          <w:rFonts w:ascii="Arial" w:hAnsi="Arial" w:cs="Arial"/>
          <w:i/>
          <w:iCs/>
          <w:szCs w:val="24"/>
        </w:rPr>
        <w:t>Financial accounting: tools for business decision-making</w:t>
      </w:r>
      <w:r w:rsidRPr="00A13288">
        <w:rPr>
          <w:rFonts w:ascii="Arial" w:hAnsi="Arial" w:cs="Arial"/>
          <w:szCs w:val="24"/>
        </w:rPr>
        <w:t>. John Wiley &amp; Sons.</w:t>
      </w:r>
    </w:p>
    <w:p w14:paraId="585C5C33" w14:textId="77777777" w:rsidR="00305210" w:rsidRPr="00A13288" w:rsidRDefault="00305210" w:rsidP="00305210">
      <w:pPr>
        <w:rPr>
          <w:rFonts w:ascii="Arial" w:hAnsi="Arial" w:cs="Arial"/>
          <w:szCs w:val="24"/>
        </w:rPr>
      </w:pPr>
      <w:r w:rsidRPr="00A13288">
        <w:rPr>
          <w:rFonts w:ascii="Arial" w:hAnsi="Arial" w:cs="Arial"/>
          <w:szCs w:val="24"/>
        </w:rPr>
        <w:t>Robinson, T.R., 2020. </w:t>
      </w:r>
      <w:r w:rsidRPr="00A13288">
        <w:rPr>
          <w:rFonts w:ascii="Arial" w:hAnsi="Arial" w:cs="Arial"/>
          <w:i/>
          <w:iCs/>
          <w:szCs w:val="24"/>
        </w:rPr>
        <w:t>International financial statement analysis</w:t>
      </w:r>
      <w:r w:rsidRPr="00A13288">
        <w:rPr>
          <w:rFonts w:ascii="Arial" w:hAnsi="Arial" w:cs="Arial"/>
          <w:szCs w:val="24"/>
        </w:rPr>
        <w:t>. John Wiley &amp; Sons.</w:t>
      </w:r>
    </w:p>
    <w:p w14:paraId="6A49E605" w14:textId="77777777" w:rsidR="00305210" w:rsidRPr="00A13288" w:rsidRDefault="00305210" w:rsidP="00305210">
      <w:pPr>
        <w:rPr>
          <w:rFonts w:ascii="Arial" w:hAnsi="Arial" w:cs="Arial"/>
          <w:szCs w:val="24"/>
        </w:rPr>
      </w:pPr>
      <w:r w:rsidRPr="00A13288">
        <w:rPr>
          <w:rFonts w:ascii="Arial" w:hAnsi="Arial" w:cs="Arial"/>
          <w:szCs w:val="24"/>
        </w:rPr>
        <w:t>Sangster, A., 2016. The genesis of double entry bookkeeping. </w:t>
      </w:r>
      <w:r w:rsidRPr="00A13288">
        <w:rPr>
          <w:rFonts w:ascii="Arial" w:hAnsi="Arial" w:cs="Arial"/>
          <w:i/>
          <w:iCs/>
          <w:szCs w:val="24"/>
        </w:rPr>
        <w:t>The Accounting Review</w:t>
      </w:r>
      <w:r w:rsidRPr="00A13288">
        <w:rPr>
          <w:rFonts w:ascii="Arial" w:hAnsi="Arial" w:cs="Arial"/>
          <w:szCs w:val="24"/>
        </w:rPr>
        <w:t>, </w:t>
      </w:r>
      <w:r w:rsidRPr="00A13288">
        <w:rPr>
          <w:rFonts w:ascii="Arial" w:hAnsi="Arial" w:cs="Arial"/>
          <w:i/>
          <w:iCs/>
          <w:szCs w:val="24"/>
        </w:rPr>
        <w:t>91</w:t>
      </w:r>
      <w:r w:rsidRPr="00A13288">
        <w:rPr>
          <w:rFonts w:ascii="Arial" w:hAnsi="Arial" w:cs="Arial"/>
          <w:szCs w:val="24"/>
        </w:rPr>
        <w:t>(1), pp.299-315.</w:t>
      </w:r>
    </w:p>
    <w:p w14:paraId="300A3153" w14:textId="77777777" w:rsidR="00305210" w:rsidRPr="00A13288" w:rsidRDefault="00305210" w:rsidP="00305210">
      <w:pPr>
        <w:rPr>
          <w:rFonts w:ascii="Arial" w:hAnsi="Arial" w:cs="Arial"/>
          <w:szCs w:val="24"/>
        </w:rPr>
      </w:pPr>
      <w:r w:rsidRPr="00A13288">
        <w:rPr>
          <w:rFonts w:ascii="Arial" w:hAnsi="Arial" w:cs="Arial"/>
          <w:szCs w:val="24"/>
        </w:rPr>
        <w:t>Schroeder, R.G., Clark, M.W. and Cathey, J.M., 2022. </w:t>
      </w:r>
      <w:r w:rsidRPr="00A13288">
        <w:rPr>
          <w:rFonts w:ascii="Arial" w:hAnsi="Arial" w:cs="Arial"/>
          <w:i/>
          <w:iCs/>
          <w:szCs w:val="24"/>
        </w:rPr>
        <w:t>Financial accounting theory and analysis: text and cases</w:t>
      </w:r>
      <w:r w:rsidRPr="00A13288">
        <w:rPr>
          <w:rFonts w:ascii="Arial" w:hAnsi="Arial" w:cs="Arial"/>
          <w:szCs w:val="24"/>
        </w:rPr>
        <w:t>. John Wiley &amp; Sons.</w:t>
      </w:r>
    </w:p>
    <w:p w14:paraId="1212F906" w14:textId="77777777" w:rsidR="00305210" w:rsidRPr="00A13288" w:rsidRDefault="00305210" w:rsidP="00305210">
      <w:pPr>
        <w:rPr>
          <w:rFonts w:ascii="Arial" w:hAnsi="Arial" w:cs="Arial"/>
          <w:szCs w:val="24"/>
        </w:rPr>
      </w:pPr>
      <w:proofErr w:type="spellStart"/>
      <w:r w:rsidRPr="00A13288">
        <w:rPr>
          <w:rFonts w:ascii="Arial" w:hAnsi="Arial" w:cs="Arial"/>
          <w:szCs w:val="24"/>
        </w:rPr>
        <w:t>Welc</w:t>
      </w:r>
      <w:proofErr w:type="spellEnd"/>
      <w:r w:rsidRPr="00A13288">
        <w:rPr>
          <w:rFonts w:ascii="Arial" w:hAnsi="Arial" w:cs="Arial"/>
          <w:szCs w:val="24"/>
        </w:rPr>
        <w:t>, J., 2022. Financial statement analysis. In </w:t>
      </w:r>
      <w:r w:rsidRPr="00A13288">
        <w:rPr>
          <w:rFonts w:ascii="Arial" w:hAnsi="Arial" w:cs="Arial"/>
          <w:i/>
          <w:iCs/>
          <w:szCs w:val="24"/>
        </w:rPr>
        <w:t>Evaluating Corporate Financial Performance</w:t>
      </w:r>
      <w:r w:rsidRPr="00A13288">
        <w:rPr>
          <w:rFonts w:ascii="Arial" w:hAnsi="Arial" w:cs="Arial"/>
          <w:szCs w:val="24"/>
        </w:rPr>
        <w:t> (pp. 131-212). Palgrave Macmillan, Cham.</w:t>
      </w:r>
    </w:p>
    <w:p w14:paraId="7CE813AC" w14:textId="77777777" w:rsidR="00305210" w:rsidRPr="00A13288" w:rsidRDefault="00305210" w:rsidP="00305210">
      <w:pPr>
        <w:rPr>
          <w:rFonts w:ascii="Arial" w:hAnsi="Arial" w:cs="Arial"/>
          <w:szCs w:val="24"/>
        </w:rPr>
      </w:pPr>
      <w:r w:rsidRPr="00A13288">
        <w:rPr>
          <w:rFonts w:ascii="Arial" w:hAnsi="Arial" w:cs="Arial"/>
          <w:szCs w:val="24"/>
        </w:rPr>
        <w:t>Wen, T., Leung, X.Y., Li, B. and Hu, L., 2021. Examining framing effect in travel package purchase: An application of double-entry mental accounting theory. </w:t>
      </w:r>
      <w:r w:rsidRPr="00A13288">
        <w:rPr>
          <w:rFonts w:ascii="Arial" w:hAnsi="Arial" w:cs="Arial"/>
          <w:i/>
          <w:iCs/>
          <w:szCs w:val="24"/>
        </w:rPr>
        <w:t>Annals of Tourism Research</w:t>
      </w:r>
      <w:r w:rsidRPr="00A13288">
        <w:rPr>
          <w:rFonts w:ascii="Arial" w:hAnsi="Arial" w:cs="Arial"/>
          <w:szCs w:val="24"/>
        </w:rPr>
        <w:t>, </w:t>
      </w:r>
      <w:r w:rsidRPr="00A13288">
        <w:rPr>
          <w:rFonts w:ascii="Arial" w:hAnsi="Arial" w:cs="Arial"/>
          <w:i/>
          <w:iCs/>
          <w:szCs w:val="24"/>
        </w:rPr>
        <w:t>90</w:t>
      </w:r>
      <w:r w:rsidRPr="00A13288">
        <w:rPr>
          <w:rFonts w:ascii="Arial" w:hAnsi="Arial" w:cs="Arial"/>
          <w:szCs w:val="24"/>
        </w:rPr>
        <w:t>, p.103265.</w:t>
      </w:r>
    </w:p>
    <w:p w14:paraId="1B9D11F1" w14:textId="77777777" w:rsidR="00111581" w:rsidRPr="00A13288" w:rsidRDefault="00111581">
      <w:pPr>
        <w:rPr>
          <w:rFonts w:ascii="Arial" w:hAnsi="Arial" w:cs="Arial"/>
          <w:szCs w:val="24"/>
        </w:rPr>
      </w:pPr>
    </w:p>
    <w:sectPr w:rsidR="00111581" w:rsidRPr="00A132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5DE0B2" w14:textId="77777777" w:rsidR="0076728B" w:rsidRDefault="0076728B" w:rsidP="0076728B">
      <w:pPr>
        <w:spacing w:before="0" w:after="0" w:line="240" w:lineRule="auto"/>
      </w:pPr>
      <w:r>
        <w:separator/>
      </w:r>
    </w:p>
  </w:endnote>
  <w:endnote w:type="continuationSeparator" w:id="0">
    <w:p w14:paraId="3F165788" w14:textId="77777777" w:rsidR="0076728B" w:rsidRDefault="0076728B" w:rsidP="0076728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7176391"/>
      <w:docPartObj>
        <w:docPartGallery w:val="Page Numbers (Bottom of Page)"/>
        <w:docPartUnique/>
      </w:docPartObj>
    </w:sdtPr>
    <w:sdtEndPr>
      <w:rPr>
        <w:noProof/>
      </w:rPr>
    </w:sdtEndPr>
    <w:sdtContent>
      <w:p w14:paraId="4294A1F2" w14:textId="1E699C03" w:rsidR="0076728B" w:rsidRDefault="007672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9D9D43" w14:textId="77777777" w:rsidR="0076728B" w:rsidRDefault="00767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C3EDB" w14:textId="77777777" w:rsidR="0076728B" w:rsidRDefault="0076728B" w:rsidP="0076728B">
      <w:pPr>
        <w:spacing w:before="0" w:after="0" w:line="240" w:lineRule="auto"/>
      </w:pPr>
      <w:r>
        <w:separator/>
      </w:r>
    </w:p>
  </w:footnote>
  <w:footnote w:type="continuationSeparator" w:id="0">
    <w:p w14:paraId="78E9C625" w14:textId="77777777" w:rsidR="0076728B" w:rsidRDefault="0076728B" w:rsidP="0076728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A2AA0"/>
    <w:multiLevelType w:val="hybridMultilevel"/>
    <w:tmpl w:val="5A9C9EC0"/>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156739EB"/>
    <w:multiLevelType w:val="hybridMultilevel"/>
    <w:tmpl w:val="590EDD5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17541B6E"/>
    <w:multiLevelType w:val="hybridMultilevel"/>
    <w:tmpl w:val="BBD2132C"/>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18FA57C6"/>
    <w:multiLevelType w:val="hybridMultilevel"/>
    <w:tmpl w:val="0D8C24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15:restartNumberingAfterBreak="0">
    <w:nsid w:val="1F3E478D"/>
    <w:multiLevelType w:val="hybridMultilevel"/>
    <w:tmpl w:val="743E08E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249F131F"/>
    <w:multiLevelType w:val="hybridMultilevel"/>
    <w:tmpl w:val="86B8C9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 w15:restartNumberingAfterBreak="0">
    <w:nsid w:val="2D3803D4"/>
    <w:multiLevelType w:val="hybridMultilevel"/>
    <w:tmpl w:val="146249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 w15:restartNumberingAfterBreak="0">
    <w:nsid w:val="47EA1B1C"/>
    <w:multiLevelType w:val="hybridMultilevel"/>
    <w:tmpl w:val="678270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592D6921"/>
    <w:multiLevelType w:val="hybridMultilevel"/>
    <w:tmpl w:val="B98CE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FC4AA4"/>
    <w:multiLevelType w:val="hybridMultilevel"/>
    <w:tmpl w:val="978AF4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77DA3055"/>
    <w:multiLevelType w:val="hybridMultilevel"/>
    <w:tmpl w:val="D88615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7B6C23DF"/>
    <w:multiLevelType w:val="hybridMultilevel"/>
    <w:tmpl w:val="3958351E"/>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7EF12FD2"/>
    <w:multiLevelType w:val="hybridMultilevel"/>
    <w:tmpl w:val="865889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120718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540420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71090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5873577">
    <w:abstractNumId w:val="1"/>
  </w:num>
  <w:num w:numId="5" w16cid:durableId="384304095">
    <w:abstractNumId w:val="9"/>
  </w:num>
  <w:num w:numId="6" w16cid:durableId="453597072">
    <w:abstractNumId w:val="5"/>
  </w:num>
  <w:num w:numId="7" w16cid:durableId="2048144128">
    <w:abstractNumId w:val="7"/>
  </w:num>
  <w:num w:numId="8" w16cid:durableId="1809662010">
    <w:abstractNumId w:val="12"/>
  </w:num>
  <w:num w:numId="9" w16cid:durableId="1319193262">
    <w:abstractNumId w:val="10"/>
  </w:num>
  <w:num w:numId="10" w16cid:durableId="1391687396">
    <w:abstractNumId w:val="6"/>
  </w:num>
  <w:num w:numId="11" w16cid:durableId="1323049673">
    <w:abstractNumId w:val="3"/>
  </w:num>
  <w:num w:numId="12" w16cid:durableId="870068094">
    <w:abstractNumId w:val="4"/>
  </w:num>
  <w:num w:numId="13" w16cid:durableId="5234447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210"/>
    <w:rsid w:val="00111581"/>
    <w:rsid w:val="00305210"/>
    <w:rsid w:val="00326C58"/>
    <w:rsid w:val="00373A5F"/>
    <w:rsid w:val="00485372"/>
    <w:rsid w:val="0076728B"/>
    <w:rsid w:val="007D4F33"/>
    <w:rsid w:val="0081214F"/>
    <w:rsid w:val="009603BD"/>
    <w:rsid w:val="00A13288"/>
    <w:rsid w:val="00F92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6CDE"/>
  <w15:chartTrackingRefBased/>
  <w15:docId w15:val="{4074F17F-774A-4EEA-B447-91E717676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210"/>
    <w:pPr>
      <w:spacing w:before="240" w:after="24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5210"/>
    <w:pPr>
      <w:keepNext/>
      <w:keepLines/>
      <w:spacing w:line="240" w:lineRule="auto"/>
      <w:jc w:val="center"/>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305210"/>
    <w:pPr>
      <w:spacing w:line="240" w:lineRule="auto"/>
      <w:outlineLvl w:val="1"/>
    </w:pPr>
    <w:rPr>
      <w:rFonts w:eastAsia="Times New Roman" w:cs="Times New Roman"/>
      <w:b/>
      <w:bCs/>
      <w:sz w:val="28"/>
    </w:rPr>
  </w:style>
  <w:style w:type="paragraph" w:styleId="Heading3">
    <w:name w:val="heading 3"/>
    <w:basedOn w:val="Normal"/>
    <w:next w:val="Normal"/>
    <w:link w:val="Heading3Char"/>
    <w:uiPriority w:val="9"/>
    <w:semiHidden/>
    <w:unhideWhenUsed/>
    <w:qFormat/>
    <w:rsid w:val="00305210"/>
    <w:pPr>
      <w:keepNext/>
      <w:keepLines/>
      <w:spacing w:line="240" w:lineRule="auto"/>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210"/>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305210"/>
    <w:rPr>
      <w:rFonts w:ascii="Times New Roman" w:eastAsia="Times New Roman" w:hAnsi="Times New Roman" w:cs="Times New Roman"/>
      <w:b/>
      <w:bCs/>
      <w:sz w:val="28"/>
    </w:rPr>
  </w:style>
  <w:style w:type="character" w:customStyle="1" w:styleId="Heading3Char">
    <w:name w:val="Heading 3 Char"/>
    <w:basedOn w:val="DefaultParagraphFont"/>
    <w:link w:val="Heading3"/>
    <w:uiPriority w:val="9"/>
    <w:semiHidden/>
    <w:rsid w:val="00305210"/>
    <w:rPr>
      <w:rFonts w:ascii="Times New Roman" w:eastAsiaTheme="majorEastAsia" w:hAnsi="Times New Roman" w:cstheme="majorBidi"/>
      <w:b/>
      <w:sz w:val="24"/>
      <w:szCs w:val="24"/>
    </w:rPr>
  </w:style>
  <w:style w:type="character" w:styleId="Hyperlink">
    <w:name w:val="Hyperlink"/>
    <w:basedOn w:val="DefaultParagraphFont"/>
    <w:uiPriority w:val="99"/>
    <w:semiHidden/>
    <w:unhideWhenUsed/>
    <w:rsid w:val="00305210"/>
    <w:rPr>
      <w:color w:val="0563C1" w:themeColor="hyperlink"/>
      <w:u w:val="single"/>
    </w:rPr>
  </w:style>
  <w:style w:type="paragraph" w:styleId="TOC1">
    <w:name w:val="toc 1"/>
    <w:basedOn w:val="Normal"/>
    <w:next w:val="Normal"/>
    <w:autoRedefine/>
    <w:uiPriority w:val="39"/>
    <w:semiHidden/>
    <w:unhideWhenUsed/>
    <w:rsid w:val="00305210"/>
    <w:pPr>
      <w:spacing w:after="100"/>
    </w:pPr>
  </w:style>
  <w:style w:type="paragraph" w:styleId="TOC2">
    <w:name w:val="toc 2"/>
    <w:basedOn w:val="Normal"/>
    <w:next w:val="Normal"/>
    <w:autoRedefine/>
    <w:uiPriority w:val="39"/>
    <w:semiHidden/>
    <w:unhideWhenUsed/>
    <w:rsid w:val="00305210"/>
    <w:pPr>
      <w:spacing w:after="100"/>
      <w:ind w:left="240"/>
    </w:pPr>
  </w:style>
  <w:style w:type="paragraph" w:styleId="TOC3">
    <w:name w:val="toc 3"/>
    <w:basedOn w:val="Normal"/>
    <w:next w:val="Normal"/>
    <w:autoRedefine/>
    <w:uiPriority w:val="39"/>
    <w:semiHidden/>
    <w:unhideWhenUsed/>
    <w:rsid w:val="00305210"/>
    <w:pPr>
      <w:spacing w:after="100"/>
      <w:ind w:left="480"/>
    </w:pPr>
  </w:style>
  <w:style w:type="paragraph" w:styleId="ListParagraph">
    <w:name w:val="List Paragraph"/>
    <w:basedOn w:val="Normal"/>
    <w:uiPriority w:val="34"/>
    <w:qFormat/>
    <w:rsid w:val="00305210"/>
    <w:pPr>
      <w:ind w:left="720"/>
      <w:contextualSpacing/>
    </w:pPr>
  </w:style>
  <w:style w:type="paragraph" w:styleId="TOCHeading">
    <w:name w:val="TOC Heading"/>
    <w:basedOn w:val="Heading1"/>
    <w:next w:val="Normal"/>
    <w:uiPriority w:val="39"/>
    <w:semiHidden/>
    <w:unhideWhenUsed/>
    <w:qFormat/>
    <w:rsid w:val="00305210"/>
    <w:pPr>
      <w:spacing w:after="0" w:line="256" w:lineRule="auto"/>
      <w:jc w:val="left"/>
      <w:outlineLvl w:val="9"/>
    </w:pPr>
    <w:rPr>
      <w:rFonts w:asciiTheme="majorHAnsi" w:hAnsiTheme="majorHAnsi"/>
      <w:b w:val="0"/>
    </w:rPr>
  </w:style>
  <w:style w:type="table" w:styleId="TableGrid">
    <w:name w:val="Table Grid"/>
    <w:basedOn w:val="TableNormal"/>
    <w:uiPriority w:val="39"/>
    <w:rsid w:val="00305210"/>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728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6728B"/>
    <w:rPr>
      <w:rFonts w:ascii="Times New Roman" w:hAnsi="Times New Roman"/>
      <w:sz w:val="24"/>
    </w:rPr>
  </w:style>
  <w:style w:type="paragraph" w:styleId="Footer">
    <w:name w:val="footer"/>
    <w:basedOn w:val="Normal"/>
    <w:link w:val="FooterChar"/>
    <w:uiPriority w:val="99"/>
    <w:unhideWhenUsed/>
    <w:rsid w:val="0076728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6728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58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y%20Laptop\Downloads\V2_(22156)%20AP_Accounting-A1%20(1).docx" TargetMode="External"/><Relationship Id="rId13" Type="http://schemas.openxmlformats.org/officeDocument/2006/relationships/hyperlink" Target="file:///C:\Users\My%20Laptop\Downloads\V2_(22156)%20AP_Accounting-A1%20(1).docx" TargetMode="External"/><Relationship Id="rId18" Type="http://schemas.openxmlformats.org/officeDocument/2006/relationships/hyperlink" Target="file:///C:\Users\My%20Laptop\Downloads\V2_(22156)%20AP_Accounting-A1%20(1).docx"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file:///C:\Users\My%20Laptop\Downloads\V2_(22156)%20AP_Accounting-A1%20(1).docx" TargetMode="External"/><Relationship Id="rId7" Type="http://schemas.openxmlformats.org/officeDocument/2006/relationships/image" Target="media/image1.jpeg"/><Relationship Id="rId12" Type="http://schemas.openxmlformats.org/officeDocument/2006/relationships/hyperlink" Target="file:///C:\Users\My%20Laptop\Downloads\V2_(22156)%20AP_Accounting-A1%20(1).docx" TargetMode="External"/><Relationship Id="rId17" Type="http://schemas.openxmlformats.org/officeDocument/2006/relationships/hyperlink" Target="file:///C:\Users\My%20Laptop\Downloads\V2_(22156)%20AP_Accounting-A1%20(1).docx" TargetMode="External"/><Relationship Id="rId25" Type="http://schemas.openxmlformats.org/officeDocument/2006/relationships/hyperlink" Target="file:///C:\Users\My%20Laptop\Downloads\V2_(22156)%20AP_Accounting-A1%20(1).docx" TargetMode="External"/><Relationship Id="rId2" Type="http://schemas.openxmlformats.org/officeDocument/2006/relationships/styles" Target="styles.xml"/><Relationship Id="rId16" Type="http://schemas.openxmlformats.org/officeDocument/2006/relationships/hyperlink" Target="file:///C:\Users\My%20Laptop\Downloads\V2_(22156)%20AP_Accounting-A1%20(1).docx" TargetMode="External"/><Relationship Id="rId20" Type="http://schemas.openxmlformats.org/officeDocument/2006/relationships/hyperlink" Target="file:///C:\Users\My%20Laptop\Downloads\V2_(22156)%20AP_Accounting-A1%20(1).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My%20Laptop\Downloads\V2_(22156)%20AP_Accounting-A1%20(1).docx" TargetMode="External"/><Relationship Id="rId24" Type="http://schemas.openxmlformats.org/officeDocument/2006/relationships/hyperlink" Target="file:///C:\Users\My%20Laptop\Downloads\V2_(22156)%20AP_Accounting-A1%20(1).docx" TargetMode="External"/><Relationship Id="rId5" Type="http://schemas.openxmlformats.org/officeDocument/2006/relationships/footnotes" Target="footnotes.xml"/><Relationship Id="rId15" Type="http://schemas.openxmlformats.org/officeDocument/2006/relationships/hyperlink" Target="file:///C:\Users\My%20Laptop\Downloads\V2_(22156)%20AP_Accounting-A1%20(1).docx" TargetMode="External"/><Relationship Id="rId23" Type="http://schemas.openxmlformats.org/officeDocument/2006/relationships/hyperlink" Target="file:///C:\Users\My%20Laptop\Downloads\V2_(22156)%20AP_Accounting-A1%20(1).docx" TargetMode="External"/><Relationship Id="rId28" Type="http://schemas.openxmlformats.org/officeDocument/2006/relationships/theme" Target="theme/theme1.xml"/><Relationship Id="rId10" Type="http://schemas.openxmlformats.org/officeDocument/2006/relationships/hyperlink" Target="file:///C:\Users\My%20Laptop\Downloads\V2_(22156)%20AP_Accounting-A1%20(1).docx" TargetMode="External"/><Relationship Id="rId19" Type="http://schemas.openxmlformats.org/officeDocument/2006/relationships/hyperlink" Target="file:///C:\Users\My%20Laptop\Downloads\V2_(22156)%20AP_Accounting-A1%20(1).docx" TargetMode="External"/><Relationship Id="rId4" Type="http://schemas.openxmlformats.org/officeDocument/2006/relationships/webSettings" Target="webSettings.xml"/><Relationship Id="rId9" Type="http://schemas.openxmlformats.org/officeDocument/2006/relationships/hyperlink" Target="file:///C:\Users\My%20Laptop\Downloads\V2_(22156)%20AP_Accounting-A1%20(1).docx" TargetMode="External"/><Relationship Id="rId14" Type="http://schemas.openxmlformats.org/officeDocument/2006/relationships/hyperlink" Target="file:///C:\Users\My%20Laptop\Downloads\V2_(22156)%20AP_Accounting-A1%20(1).docx" TargetMode="External"/><Relationship Id="rId22" Type="http://schemas.openxmlformats.org/officeDocument/2006/relationships/hyperlink" Target="file:///C:\Users\My%20Laptop\Downloads\V2_(22156)%20AP_Accounting-A1%20(1).doc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14</Pages>
  <Words>3436</Words>
  <Characters>19590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9</cp:revision>
  <cp:lastPrinted>2023-01-10T18:41:00Z</cp:lastPrinted>
  <dcterms:created xsi:type="dcterms:W3CDTF">2023-01-10T18:13:00Z</dcterms:created>
  <dcterms:modified xsi:type="dcterms:W3CDTF">2023-01-10T19:01:00Z</dcterms:modified>
</cp:coreProperties>
</file>