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336E1539">
      <w:pPr>
        <w:bidi w:val="0"/>
        <w:rPr>
          <w:rFonts w:hint="default" w:ascii="Times New Roman" w:hAnsi="Times New Roman" w:cs="Times New Roman"/>
          <w:b/>
          <w:bCs/>
          <w:sz w:val="24"/>
          <w:szCs w:val="24"/>
        </w:rPr>
      </w:pPr>
    </w:p>
    <w:p w14:paraId="36521B82">
      <w:pPr>
        <w:bidi w:val="0"/>
        <w:rPr>
          <w:rFonts w:hint="default" w:ascii="Times New Roman" w:hAnsi="Times New Roman" w:cs="Times New Roman"/>
          <w:b/>
          <w:bCs/>
          <w:sz w:val="24"/>
          <w:szCs w:val="24"/>
        </w:rPr>
      </w:pPr>
    </w:p>
    <w:p w14:paraId="7255974D">
      <w:pPr>
        <w:bidi w:val="0"/>
        <w:rPr>
          <w:rFonts w:hint="default" w:ascii="Times New Roman" w:hAnsi="Times New Roman" w:cs="Times New Roman"/>
          <w:b/>
          <w:bCs/>
          <w:sz w:val="24"/>
          <w:szCs w:val="24"/>
        </w:rPr>
      </w:pPr>
    </w:p>
    <w:p w14:paraId="570ADC4E">
      <w:pPr>
        <w:bidi w:val="0"/>
        <w:rPr>
          <w:rFonts w:hint="default" w:ascii="Times New Roman" w:hAnsi="Times New Roman" w:cs="Times New Roman"/>
          <w:b/>
          <w:bCs/>
          <w:sz w:val="24"/>
          <w:szCs w:val="24"/>
        </w:rPr>
      </w:pPr>
    </w:p>
    <w:p w14:paraId="182D6C31">
      <w:pPr>
        <w:bidi w:val="0"/>
        <w:rPr>
          <w:rFonts w:hint="default" w:ascii="Times New Roman" w:hAnsi="Times New Roman" w:cs="Times New Roman"/>
          <w:b/>
          <w:bCs/>
          <w:sz w:val="24"/>
          <w:szCs w:val="24"/>
        </w:rPr>
      </w:pPr>
    </w:p>
    <w:p w14:paraId="65BF6BA2">
      <w:pPr>
        <w:bidi w:val="0"/>
        <w:rPr>
          <w:rFonts w:hint="default" w:ascii="Times New Roman" w:hAnsi="Times New Roman" w:cs="Times New Roman"/>
          <w:b/>
          <w:bCs/>
          <w:sz w:val="24"/>
          <w:szCs w:val="24"/>
        </w:rPr>
      </w:pPr>
    </w:p>
    <w:p w14:paraId="71E86F6F">
      <w:pPr>
        <w:bidi w:val="0"/>
        <w:rPr>
          <w:rFonts w:hint="default" w:ascii="Times New Roman" w:hAnsi="Times New Roman" w:cs="Times New Roman"/>
          <w:b/>
          <w:bCs/>
          <w:sz w:val="24"/>
          <w:szCs w:val="24"/>
        </w:rPr>
      </w:pPr>
    </w:p>
    <w:p w14:paraId="4E33AE61">
      <w:pPr>
        <w:bidi w:val="0"/>
        <w:rPr>
          <w:rFonts w:hint="default" w:ascii="Times New Roman" w:hAnsi="Times New Roman" w:cs="Times New Roman"/>
          <w:b/>
          <w:bCs/>
          <w:sz w:val="24"/>
          <w:szCs w:val="24"/>
        </w:rPr>
      </w:pPr>
    </w:p>
    <w:p w14:paraId="15194EF7">
      <w:pPr>
        <w:bidi w:val="0"/>
        <w:rPr>
          <w:rFonts w:hint="default" w:ascii="Times New Roman" w:hAnsi="Times New Roman" w:cs="Times New Roman"/>
          <w:b/>
          <w:bCs/>
          <w:sz w:val="24"/>
          <w:szCs w:val="24"/>
        </w:rPr>
      </w:pPr>
    </w:p>
    <w:p w14:paraId="05F3A5AF">
      <w:pPr>
        <w:keepNext w:val="0"/>
        <w:keepLines w:val="0"/>
        <w:pageBreakBefore w:val="0"/>
        <w:widowControl w:val="0"/>
        <w:kinsoku/>
        <w:wordWrap/>
        <w:overflowPunct/>
        <w:topLinePunct w:val="0"/>
        <w:autoSpaceDE/>
        <w:autoSpaceDN/>
        <w:bidi w:val="0"/>
        <w:adjustRightInd/>
        <w:snapToGrid/>
        <w:ind w:firstLine="482" w:firstLineChars="200"/>
        <w:textAlignment w:val="auto"/>
        <w:rPr>
          <w:rFonts w:hint="default" w:ascii="Times New Roman" w:hAnsi="Times New Roman" w:cs="Times New Roman"/>
          <w:b/>
          <w:bCs/>
          <w:sz w:val="24"/>
          <w:szCs w:val="24"/>
        </w:rPr>
      </w:pPr>
      <w:r>
        <w:rPr>
          <w:rFonts w:hint="default" w:ascii="Times New Roman" w:hAnsi="Times New Roman" w:cs="Times New Roman"/>
          <w:b/>
          <w:bCs/>
          <w:sz w:val="24"/>
          <w:szCs w:val="24"/>
        </w:rPr>
        <w:t>Reflective Analysis of Cross-Cultural Business Communication Between the UK and Japan: Challenges, Misunderstandings and Strategic Adaptation</w:t>
      </w:r>
    </w:p>
    <w:p w14:paraId="76727439">
      <w:pPr>
        <w:pStyle w:val="14"/>
        <w:bidi w:val="0"/>
        <w:rPr>
          <w:rFonts w:hint="eastAsia"/>
        </w:rPr>
      </w:pPr>
    </w:p>
    <w:p w14:paraId="3521770E">
      <w:pPr>
        <w:pStyle w:val="14"/>
        <w:bidi w:val="0"/>
        <w:rPr>
          <w:rFonts w:hint="eastAsia"/>
        </w:rPr>
      </w:pPr>
    </w:p>
    <w:p w14:paraId="1C3F4467">
      <w:pPr>
        <w:pStyle w:val="14"/>
        <w:bidi w:val="0"/>
        <w:rPr>
          <w:rFonts w:hint="eastAsia"/>
        </w:rPr>
      </w:pPr>
    </w:p>
    <w:p w14:paraId="0FC0B7C1">
      <w:pPr>
        <w:pStyle w:val="14"/>
        <w:bidi w:val="0"/>
        <w:rPr>
          <w:rFonts w:hint="eastAsia"/>
        </w:rPr>
      </w:pPr>
    </w:p>
    <w:p w14:paraId="7524B39F">
      <w:pPr>
        <w:pStyle w:val="14"/>
        <w:bidi w:val="0"/>
        <w:rPr>
          <w:rFonts w:hint="eastAsia"/>
        </w:rPr>
      </w:pPr>
    </w:p>
    <w:p w14:paraId="705472B0">
      <w:pPr>
        <w:pStyle w:val="14"/>
        <w:bidi w:val="0"/>
        <w:rPr>
          <w:rFonts w:hint="eastAsia"/>
        </w:rPr>
      </w:pPr>
    </w:p>
    <w:p w14:paraId="237FA9F7">
      <w:pPr>
        <w:pStyle w:val="14"/>
        <w:bidi w:val="0"/>
        <w:rPr>
          <w:rFonts w:hint="eastAsia"/>
        </w:rPr>
      </w:pPr>
    </w:p>
    <w:p w14:paraId="56A3CE80">
      <w:pPr>
        <w:pStyle w:val="14"/>
        <w:bidi w:val="0"/>
        <w:rPr>
          <w:rFonts w:hint="eastAsia"/>
        </w:rPr>
      </w:pPr>
    </w:p>
    <w:p w14:paraId="389B4F75">
      <w:pPr>
        <w:pStyle w:val="14"/>
        <w:bidi w:val="0"/>
        <w:rPr>
          <w:rFonts w:hint="eastAsia"/>
        </w:rPr>
      </w:pPr>
    </w:p>
    <w:p w14:paraId="43126EC3">
      <w:pPr>
        <w:pStyle w:val="14"/>
        <w:bidi w:val="0"/>
        <w:rPr>
          <w:rFonts w:hint="eastAsia"/>
        </w:rPr>
      </w:pPr>
    </w:p>
    <w:p w14:paraId="0628F96D">
      <w:pPr>
        <w:pStyle w:val="14"/>
        <w:bidi w:val="0"/>
        <w:rPr>
          <w:rFonts w:hint="eastAsia"/>
        </w:rPr>
      </w:pPr>
    </w:p>
    <w:p w14:paraId="6021B81D">
      <w:pPr>
        <w:pStyle w:val="14"/>
        <w:bidi w:val="0"/>
        <w:rPr>
          <w:rFonts w:hint="eastAsia"/>
        </w:rPr>
      </w:pPr>
    </w:p>
    <w:p w14:paraId="46F60C59">
      <w:pPr>
        <w:pStyle w:val="14"/>
        <w:bidi w:val="0"/>
        <w:rPr>
          <w:rFonts w:hint="default" w:eastAsia="宋体" w:cs="Times New Roman"/>
          <w:i w:val="0"/>
          <w:iCs w:val="0"/>
          <w:caps w:val="0"/>
          <w:color w:val="1D2125"/>
          <w:spacing w:val="0"/>
          <w:sz w:val="24"/>
          <w:szCs w:val="24"/>
          <w:shd w:val="clear" w:fill="FFFFFF"/>
          <w:lang w:val="en-US" w:eastAsia="zh-CN"/>
        </w:rPr>
      </w:pPr>
      <w:r>
        <w:rPr>
          <w:rFonts w:hint="default" w:ascii="Times New Roman" w:hAnsi="Times New Roman" w:eastAsia="Segoe UI" w:cs="Times New Roman"/>
          <w:i w:val="0"/>
          <w:iCs w:val="0"/>
          <w:color w:val="1D2125"/>
          <w:spacing w:val="0"/>
          <w:sz w:val="24"/>
          <w:szCs w:val="24"/>
          <w:shd w:val="clear" w:fill="FFFFFF"/>
        </w:rPr>
        <w:t>M</w:t>
      </w:r>
      <w:r>
        <w:rPr>
          <w:rFonts w:hint="default" w:ascii="Times New Roman" w:hAnsi="Times New Roman" w:eastAsia="Segoe UI" w:cs="Times New Roman"/>
          <w:i w:val="0"/>
          <w:iCs w:val="0"/>
          <w:caps w:val="0"/>
          <w:color w:val="1D2125"/>
          <w:spacing w:val="0"/>
          <w:sz w:val="24"/>
          <w:szCs w:val="24"/>
          <w:shd w:val="clear" w:fill="FFFFFF"/>
        </w:rPr>
        <w:t>odule</w:t>
      </w:r>
      <w:r>
        <w:rPr>
          <w:rFonts w:hint="eastAsia" w:eastAsia="宋体" w:cs="Times New Roman"/>
          <w:i w:val="0"/>
          <w:iCs w:val="0"/>
          <w:caps w:val="0"/>
          <w:color w:val="1D2125"/>
          <w:spacing w:val="0"/>
          <w:sz w:val="24"/>
          <w:szCs w:val="24"/>
          <w:shd w:val="clear" w:fill="FFFFFF"/>
          <w:lang w:val="en-US" w:eastAsia="zh-CN"/>
        </w:rPr>
        <w:t xml:space="preserve"> C</w:t>
      </w:r>
      <w:r>
        <w:rPr>
          <w:rFonts w:hint="default" w:ascii="Times New Roman" w:hAnsi="Times New Roman" w:eastAsia="Segoe UI" w:cs="Times New Roman"/>
          <w:i w:val="0"/>
          <w:iCs w:val="0"/>
          <w:caps w:val="0"/>
          <w:color w:val="1D2125"/>
          <w:spacing w:val="0"/>
          <w:sz w:val="24"/>
          <w:szCs w:val="24"/>
          <w:shd w:val="clear" w:fill="FFFFFF"/>
        </w:rPr>
        <w:t>ode</w:t>
      </w:r>
      <w:r>
        <w:rPr>
          <w:rFonts w:hint="eastAsia" w:eastAsia="宋体" w:cs="Times New Roman"/>
          <w:i w:val="0"/>
          <w:iCs w:val="0"/>
          <w:caps w:val="0"/>
          <w:color w:val="1D2125"/>
          <w:spacing w:val="0"/>
          <w:sz w:val="24"/>
          <w:szCs w:val="24"/>
          <w:shd w:val="clear" w:fill="FFFFFF"/>
          <w:lang w:val="en-US" w:eastAsia="zh-CN"/>
        </w:rPr>
        <w:t>: BMBM6021</w:t>
      </w:r>
    </w:p>
    <w:p w14:paraId="41ABD896">
      <w:pPr>
        <w:pStyle w:val="14"/>
        <w:bidi w:val="0"/>
        <w:rPr>
          <w:rFonts w:hint="eastAsia" w:eastAsia="宋体" w:cs="Times New Roman"/>
          <w:i w:val="0"/>
          <w:iCs w:val="0"/>
          <w:caps w:val="0"/>
          <w:color w:val="1D2125"/>
          <w:spacing w:val="0"/>
          <w:sz w:val="24"/>
          <w:szCs w:val="24"/>
          <w:shd w:val="clear" w:fill="FFFFFF"/>
          <w:lang w:val="en-US" w:eastAsia="zh-CN"/>
        </w:rPr>
      </w:pPr>
    </w:p>
    <w:p w14:paraId="19B055DC">
      <w:pPr>
        <w:pStyle w:val="14"/>
        <w:bidi w:val="0"/>
        <w:rPr>
          <w:rFonts w:hint="eastAsia" w:eastAsia="宋体" w:cs="Times New Roman"/>
          <w:i w:val="0"/>
          <w:iCs w:val="0"/>
          <w:caps w:val="0"/>
          <w:color w:val="1D2125"/>
          <w:spacing w:val="0"/>
          <w:sz w:val="24"/>
          <w:szCs w:val="24"/>
          <w:shd w:val="clear" w:fill="FFFFFF"/>
          <w:lang w:val="en-US" w:eastAsia="zh-CN"/>
        </w:rPr>
      </w:pPr>
      <w:r>
        <w:rPr>
          <w:rFonts w:hint="default" w:ascii="Times New Roman" w:hAnsi="Times New Roman" w:eastAsia="Segoe UI" w:cs="Times New Roman"/>
          <w:i w:val="0"/>
          <w:iCs w:val="0"/>
          <w:color w:val="1D2125"/>
          <w:spacing w:val="0"/>
          <w:sz w:val="24"/>
          <w:szCs w:val="24"/>
          <w:shd w:val="clear" w:fill="FFFFFF"/>
        </w:rPr>
        <w:t>L</w:t>
      </w:r>
      <w:r>
        <w:rPr>
          <w:rFonts w:hint="default" w:ascii="Times New Roman" w:hAnsi="Times New Roman" w:eastAsia="Segoe UI" w:cs="Times New Roman"/>
          <w:i w:val="0"/>
          <w:iCs w:val="0"/>
          <w:caps w:val="0"/>
          <w:color w:val="1D2125"/>
          <w:spacing w:val="0"/>
          <w:sz w:val="24"/>
          <w:szCs w:val="24"/>
          <w:shd w:val="clear" w:fill="FFFFFF"/>
        </w:rPr>
        <w:t>ecturer</w:t>
      </w:r>
      <w:r>
        <w:rPr>
          <w:rFonts w:hint="eastAsia" w:eastAsia="宋体" w:cs="Times New Roman"/>
          <w:i w:val="0"/>
          <w:iCs w:val="0"/>
          <w:caps w:val="0"/>
          <w:color w:val="1D2125"/>
          <w:spacing w:val="0"/>
          <w:sz w:val="24"/>
          <w:szCs w:val="24"/>
          <w:shd w:val="clear" w:fill="FFFFFF"/>
          <w:lang w:val="en-US" w:eastAsia="zh-CN"/>
        </w:rPr>
        <w:t xml:space="preserve"> N</w:t>
      </w:r>
      <w:r>
        <w:rPr>
          <w:rFonts w:hint="default" w:ascii="Times New Roman" w:hAnsi="Times New Roman" w:eastAsia="Segoe UI" w:cs="Times New Roman"/>
          <w:i w:val="0"/>
          <w:iCs w:val="0"/>
          <w:caps w:val="0"/>
          <w:color w:val="1D2125"/>
          <w:spacing w:val="0"/>
          <w:sz w:val="24"/>
          <w:szCs w:val="24"/>
          <w:shd w:val="clear" w:fill="FFFFFF"/>
        </w:rPr>
        <w:t>ame</w:t>
      </w:r>
      <w:r>
        <w:rPr>
          <w:rFonts w:hint="eastAsia" w:eastAsia="宋体" w:cs="Times New Roman"/>
          <w:i w:val="0"/>
          <w:iCs w:val="0"/>
          <w:caps w:val="0"/>
          <w:color w:val="1D2125"/>
          <w:spacing w:val="0"/>
          <w:sz w:val="24"/>
          <w:szCs w:val="24"/>
          <w:shd w:val="clear" w:fill="FFFFFF"/>
          <w:lang w:val="en-US" w:eastAsia="zh-CN"/>
        </w:rPr>
        <w:t>: Jaliya de Silva</w:t>
      </w:r>
    </w:p>
    <w:p w14:paraId="2A258D0A">
      <w:pPr>
        <w:pStyle w:val="14"/>
        <w:bidi w:val="0"/>
        <w:rPr>
          <w:rFonts w:hint="eastAsia" w:eastAsia="宋体" w:cs="Times New Roman"/>
          <w:i w:val="0"/>
          <w:iCs w:val="0"/>
          <w:caps w:val="0"/>
          <w:color w:val="1D2125"/>
          <w:spacing w:val="0"/>
          <w:sz w:val="24"/>
          <w:szCs w:val="24"/>
          <w:shd w:val="clear" w:fill="FFFFFF"/>
          <w:lang w:val="en-US" w:eastAsia="zh-CN"/>
        </w:rPr>
      </w:pPr>
    </w:p>
    <w:p w14:paraId="046A97D0">
      <w:pPr>
        <w:pStyle w:val="14"/>
        <w:bidi w:val="0"/>
        <w:rPr>
          <w:rFonts w:hint="default" w:eastAsia="宋体" w:cs="Times New Roman"/>
          <w:i w:val="0"/>
          <w:iCs w:val="0"/>
          <w:caps w:val="0"/>
          <w:color w:val="1D2125"/>
          <w:spacing w:val="0"/>
          <w:sz w:val="24"/>
          <w:szCs w:val="24"/>
          <w:shd w:val="clear" w:fill="FFFFFF"/>
          <w:lang w:val="en-US" w:eastAsia="zh-CN"/>
        </w:rPr>
      </w:pPr>
      <w:r>
        <w:rPr>
          <w:rFonts w:hint="default" w:ascii="Times New Roman" w:hAnsi="Times New Roman" w:eastAsia="Segoe UI" w:cs="Times New Roman"/>
          <w:i w:val="0"/>
          <w:iCs w:val="0"/>
          <w:color w:val="1D2125"/>
          <w:spacing w:val="0"/>
          <w:sz w:val="24"/>
          <w:szCs w:val="24"/>
          <w:shd w:val="clear" w:fill="FFFFFF"/>
        </w:rPr>
        <w:t>S</w:t>
      </w:r>
      <w:r>
        <w:rPr>
          <w:rFonts w:hint="default" w:ascii="Times New Roman" w:hAnsi="Times New Roman" w:eastAsia="Segoe UI" w:cs="Times New Roman"/>
          <w:i w:val="0"/>
          <w:iCs w:val="0"/>
          <w:caps w:val="0"/>
          <w:color w:val="1D2125"/>
          <w:spacing w:val="0"/>
          <w:sz w:val="24"/>
          <w:szCs w:val="24"/>
          <w:shd w:val="clear" w:fill="FFFFFF"/>
        </w:rPr>
        <w:t>tudent</w:t>
      </w:r>
      <w:r>
        <w:rPr>
          <w:rFonts w:hint="eastAsia" w:eastAsia="宋体" w:cs="Times New Roman"/>
          <w:i w:val="0"/>
          <w:iCs w:val="0"/>
          <w:caps w:val="0"/>
          <w:color w:val="1D2125"/>
          <w:spacing w:val="0"/>
          <w:sz w:val="24"/>
          <w:szCs w:val="24"/>
          <w:shd w:val="clear" w:fill="FFFFFF"/>
          <w:lang w:val="en-US" w:eastAsia="zh-CN"/>
        </w:rPr>
        <w:t xml:space="preserve"> N</w:t>
      </w:r>
      <w:r>
        <w:rPr>
          <w:rFonts w:hint="default" w:ascii="Times New Roman" w:hAnsi="Times New Roman" w:eastAsia="Segoe UI" w:cs="Times New Roman"/>
          <w:i w:val="0"/>
          <w:iCs w:val="0"/>
          <w:caps w:val="0"/>
          <w:color w:val="1D2125"/>
          <w:spacing w:val="0"/>
          <w:sz w:val="24"/>
          <w:szCs w:val="24"/>
          <w:shd w:val="clear" w:fill="FFFFFF"/>
        </w:rPr>
        <w:t>ame</w:t>
      </w:r>
      <w:r>
        <w:rPr>
          <w:rFonts w:hint="eastAsia" w:eastAsia="宋体" w:cs="Times New Roman"/>
          <w:i w:val="0"/>
          <w:iCs w:val="0"/>
          <w:caps w:val="0"/>
          <w:color w:val="1D2125"/>
          <w:spacing w:val="0"/>
          <w:sz w:val="24"/>
          <w:szCs w:val="24"/>
          <w:shd w:val="clear" w:fill="FFFFFF"/>
          <w:lang w:val="en-US" w:eastAsia="zh-CN"/>
        </w:rPr>
        <w:t>: Mingyang Zhang</w:t>
      </w:r>
    </w:p>
    <w:p w14:paraId="70CA1DB8">
      <w:pPr>
        <w:pStyle w:val="14"/>
        <w:bidi w:val="0"/>
        <w:rPr>
          <w:rFonts w:hint="eastAsia" w:eastAsia="宋体" w:cs="Times New Roman"/>
          <w:i w:val="0"/>
          <w:iCs w:val="0"/>
          <w:caps w:val="0"/>
          <w:color w:val="1D2125"/>
          <w:spacing w:val="0"/>
          <w:sz w:val="24"/>
          <w:szCs w:val="24"/>
          <w:shd w:val="clear" w:fill="FFFFFF"/>
          <w:lang w:val="en-US" w:eastAsia="zh-CN"/>
        </w:rPr>
      </w:pPr>
    </w:p>
    <w:p w14:paraId="097F9573">
      <w:pPr>
        <w:pStyle w:val="14"/>
        <w:bidi w:val="0"/>
        <w:rPr>
          <w:rFonts w:hint="default" w:ascii="Times New Roman" w:hAnsi="Times New Roman" w:eastAsia="宋体" w:cs="Times New Roman"/>
          <w:i w:val="0"/>
          <w:iCs w:val="0"/>
          <w:caps w:val="0"/>
          <w:color w:val="1D2125"/>
          <w:spacing w:val="0"/>
          <w:sz w:val="24"/>
          <w:szCs w:val="24"/>
          <w:shd w:val="clear" w:fill="FFFFFF"/>
          <w:lang w:val="en-US" w:eastAsia="zh-CN"/>
        </w:rPr>
      </w:pPr>
      <w:r>
        <w:rPr>
          <w:rFonts w:hint="default" w:ascii="Times New Roman" w:hAnsi="Times New Roman" w:eastAsia="Segoe UI" w:cs="Times New Roman"/>
          <w:i w:val="0"/>
          <w:iCs w:val="0"/>
          <w:color w:val="1D2125"/>
          <w:spacing w:val="0"/>
          <w:sz w:val="24"/>
          <w:szCs w:val="24"/>
          <w:shd w:val="clear" w:fill="FFFFFF"/>
        </w:rPr>
        <w:t>S</w:t>
      </w:r>
      <w:r>
        <w:rPr>
          <w:rFonts w:hint="default" w:ascii="Times New Roman" w:hAnsi="Times New Roman" w:eastAsia="Segoe UI" w:cs="Times New Roman"/>
          <w:i w:val="0"/>
          <w:iCs w:val="0"/>
          <w:caps w:val="0"/>
          <w:color w:val="1D2125"/>
          <w:spacing w:val="0"/>
          <w:sz w:val="24"/>
          <w:szCs w:val="24"/>
          <w:shd w:val="clear" w:fill="FFFFFF"/>
        </w:rPr>
        <w:t>tudent</w:t>
      </w:r>
      <w:r>
        <w:rPr>
          <w:rFonts w:hint="eastAsia" w:eastAsia="宋体" w:cs="Times New Roman"/>
          <w:i w:val="0"/>
          <w:iCs w:val="0"/>
          <w:caps w:val="0"/>
          <w:color w:val="1D2125"/>
          <w:spacing w:val="0"/>
          <w:sz w:val="24"/>
          <w:szCs w:val="24"/>
          <w:shd w:val="clear" w:fill="FFFFFF"/>
          <w:lang w:val="en-US" w:eastAsia="zh-CN"/>
        </w:rPr>
        <w:t xml:space="preserve"> </w:t>
      </w:r>
      <w:r>
        <w:rPr>
          <w:rFonts w:hint="eastAsia" w:eastAsia="宋体" w:cs="Times New Roman"/>
          <w:i w:val="0"/>
          <w:iCs w:val="0"/>
          <w:caps w:val="0"/>
          <w:color w:val="1D2125"/>
          <w:spacing w:val="0"/>
          <w:sz w:val="24"/>
          <w:szCs w:val="24"/>
          <w:shd w:val="clear" w:fill="FFFFFF"/>
          <w:lang w:val="en-US" w:eastAsia="zh-CN"/>
        </w:rPr>
        <w:t>I</w:t>
      </w:r>
      <w:r>
        <w:rPr>
          <w:rFonts w:hint="default" w:ascii="Times New Roman" w:hAnsi="Times New Roman" w:eastAsia="Segoe UI" w:cs="Times New Roman"/>
          <w:i w:val="0"/>
          <w:iCs w:val="0"/>
          <w:caps w:val="0"/>
          <w:color w:val="1D2125"/>
          <w:spacing w:val="0"/>
          <w:sz w:val="24"/>
          <w:szCs w:val="24"/>
          <w:shd w:val="clear" w:fill="FFFFFF"/>
        </w:rPr>
        <w:t>d</w:t>
      </w:r>
      <w:r>
        <w:rPr>
          <w:rFonts w:hint="eastAsia" w:eastAsia="宋体" w:cs="Times New Roman"/>
          <w:i w:val="0"/>
          <w:iCs w:val="0"/>
          <w:caps w:val="0"/>
          <w:color w:val="1D2125"/>
          <w:spacing w:val="0"/>
          <w:sz w:val="24"/>
          <w:szCs w:val="24"/>
          <w:shd w:val="clear" w:fill="FFFFFF"/>
          <w:lang w:val="en-US" w:eastAsia="zh-CN"/>
        </w:rPr>
        <w:t>:</w:t>
      </w:r>
      <w:r>
        <w:rPr>
          <w:rFonts w:hint="default" w:ascii="Times New Roman" w:hAnsi="Times New Roman" w:eastAsia="Segoe UI" w:cs="Times New Roman"/>
          <w:i w:val="0"/>
          <w:iCs w:val="0"/>
          <w:caps w:val="0"/>
          <w:color w:val="1D2125"/>
          <w:spacing w:val="0"/>
          <w:sz w:val="24"/>
          <w:szCs w:val="24"/>
          <w:shd w:val="clear" w:fill="FFFFFF"/>
        </w:rPr>
        <w:t xml:space="preserve"> </w:t>
      </w:r>
      <w:r>
        <w:rPr>
          <w:rFonts w:hint="eastAsia" w:eastAsia="宋体" w:cs="Times New Roman"/>
          <w:i w:val="0"/>
          <w:iCs w:val="0"/>
          <w:caps w:val="0"/>
          <w:color w:val="1D2125"/>
          <w:spacing w:val="0"/>
          <w:sz w:val="24"/>
          <w:szCs w:val="24"/>
          <w:shd w:val="clear" w:fill="FFFFFF"/>
          <w:lang w:val="en-US" w:eastAsia="zh-CN"/>
        </w:rPr>
        <w:t>2405456</w:t>
      </w:r>
    </w:p>
    <w:p w14:paraId="28E0D703">
      <w:pPr>
        <w:pStyle w:val="14"/>
        <w:bidi w:val="0"/>
        <w:rPr>
          <w:rFonts w:hint="eastAsia"/>
        </w:rPr>
      </w:pPr>
    </w:p>
    <w:p w14:paraId="3A35D232">
      <w:pPr>
        <w:pStyle w:val="14"/>
        <w:bidi w:val="0"/>
        <w:rPr>
          <w:rFonts w:hint="eastAsia"/>
        </w:rPr>
      </w:pPr>
    </w:p>
    <w:p w14:paraId="2C2759AD">
      <w:pPr>
        <w:pStyle w:val="14"/>
        <w:bidi w:val="0"/>
        <w:rPr>
          <w:rFonts w:hint="eastAsia"/>
        </w:rPr>
      </w:pPr>
    </w:p>
    <w:p w14:paraId="3FCFC4A5">
      <w:pPr>
        <w:pStyle w:val="14"/>
        <w:bidi w:val="0"/>
        <w:rPr>
          <w:rFonts w:hint="eastAsia"/>
        </w:rPr>
      </w:pPr>
    </w:p>
    <w:p w14:paraId="75832F5E">
      <w:pPr>
        <w:pStyle w:val="14"/>
        <w:bidi w:val="0"/>
        <w:rPr>
          <w:rFonts w:hint="eastAsia"/>
        </w:rPr>
      </w:pPr>
    </w:p>
    <w:p w14:paraId="2860E676">
      <w:pPr>
        <w:pStyle w:val="14"/>
        <w:bidi w:val="0"/>
        <w:rPr>
          <w:rFonts w:hint="eastAsia"/>
        </w:rPr>
      </w:pPr>
    </w:p>
    <w:p w14:paraId="5C962F1B">
      <w:pPr>
        <w:pStyle w:val="14"/>
        <w:bidi w:val="0"/>
        <w:rPr>
          <w:rFonts w:hint="eastAsia"/>
        </w:rPr>
      </w:pPr>
    </w:p>
    <w:p w14:paraId="7FF4FAF7">
      <w:pPr>
        <w:pStyle w:val="14"/>
        <w:bidi w:val="0"/>
        <w:rPr>
          <w:rFonts w:hint="eastAsia"/>
        </w:rPr>
      </w:pPr>
    </w:p>
    <w:p w14:paraId="260D8F14">
      <w:pPr>
        <w:pStyle w:val="14"/>
        <w:bidi w:val="0"/>
        <w:rPr>
          <w:rFonts w:hint="eastAsia"/>
        </w:rPr>
      </w:pPr>
    </w:p>
    <w:p w14:paraId="7D5EA818">
      <w:pPr>
        <w:pStyle w:val="14"/>
        <w:bidi w:val="0"/>
        <w:rPr>
          <w:rFonts w:hint="eastAsia"/>
        </w:rPr>
      </w:pPr>
    </w:p>
    <w:p w14:paraId="027C8380">
      <w:pPr>
        <w:pStyle w:val="14"/>
        <w:bidi w:val="0"/>
        <w:rPr>
          <w:rFonts w:hint="eastAsia"/>
        </w:rPr>
      </w:pPr>
    </w:p>
    <w:p w14:paraId="2AF739E8">
      <w:pPr>
        <w:pStyle w:val="14"/>
        <w:bidi w:val="0"/>
        <w:rPr>
          <w:rFonts w:hint="eastAsia"/>
        </w:rPr>
      </w:pPr>
    </w:p>
    <w:p w14:paraId="5A83E977">
      <w:pPr>
        <w:pStyle w:val="14"/>
        <w:bidi w:val="0"/>
        <w:rPr>
          <w:rFonts w:hint="eastAsia"/>
        </w:rPr>
      </w:pPr>
    </w:p>
    <w:p w14:paraId="01AB8267">
      <w:pPr>
        <w:pStyle w:val="14"/>
        <w:bidi w:val="0"/>
        <w:rPr>
          <w:rFonts w:hint="eastAsia"/>
        </w:rPr>
      </w:pPr>
    </w:p>
    <w:p w14:paraId="3E7889E1">
      <w:pPr>
        <w:bidi w:val="0"/>
        <w:rPr>
          <w:rFonts w:hint="default" w:ascii="Times New Roman" w:hAnsi="Times New Roman" w:cs="Times New Roman"/>
          <w:b/>
          <w:bCs/>
          <w:sz w:val="24"/>
          <w:szCs w:val="24"/>
        </w:rPr>
      </w:pPr>
      <w:r>
        <w:rPr>
          <w:rFonts w:hint="default" w:ascii="Times New Roman" w:hAnsi="Times New Roman" w:cs="Times New Roman"/>
          <w:b/>
          <w:bCs/>
          <w:sz w:val="24"/>
          <w:szCs w:val="24"/>
        </w:rPr>
        <w:t>Executive Summary</w:t>
      </w:r>
    </w:p>
    <w:p w14:paraId="33665899">
      <w:pPr>
        <w:bidi w:val="0"/>
        <w:jc w:val="center"/>
        <w:rPr>
          <w:rFonts w:hint="default" w:ascii="Times New Roman" w:hAnsi="Times New Roman" w:cs="Times New Roman"/>
          <w:b/>
          <w:bCs/>
          <w:sz w:val="24"/>
          <w:szCs w:val="24"/>
        </w:rPr>
      </w:pPr>
    </w:p>
    <w:p w14:paraId="63F876DC">
      <w:pPr>
        <w:pStyle w:val="13"/>
        <w:bidi w:val="0"/>
        <w:rPr>
          <w:rFonts w:hint="default"/>
        </w:rPr>
      </w:pPr>
      <w:r>
        <w:rPr>
          <w:rFonts w:hint="default"/>
        </w:rPr>
        <w:t>This report critically reflects on the communication challenges faced by British companies operating in Japan, using Rolfe et al.'s (2001) reflective model to analyze cross-cultural misunderstandings and their impact on organizations. This report draws on Hofstede's cultural dimension and Trompenaars' seven dimensional model to identify key barriers in the Japanese business environment, including high context communication, consensus driven decision-making, hierarchical structure, conflict avoidance, and long-term relationship expectations. Through reflective analysis, it emphasizes that the UK's assumptions about directness, efficiency, and individual autonomy may conflict with Japan's norms of subtlety, harmony, and collective responsibility. The report proposes actionable strategies such as adapting to high context clues, aligning with the nemawashi process, prioritizing trust building, and adopting structured cross-cultural training to improve communication efficiency and organizational collaboration. The conclusion drawn from reflection is that successful cross-cultural business communication requires cultural humility, explanatory sensitivity, and intentional behavioral adaptation.</w:t>
      </w:r>
    </w:p>
    <w:p w14:paraId="70225F03">
      <w:pPr>
        <w:bidi w:val="0"/>
        <w:jc w:val="center"/>
        <w:rPr>
          <w:rFonts w:hint="default" w:ascii="Times New Roman" w:hAnsi="Times New Roman" w:cs="Times New Roman"/>
          <w:b/>
          <w:bCs/>
          <w:sz w:val="24"/>
          <w:szCs w:val="24"/>
        </w:rPr>
      </w:pPr>
    </w:p>
    <w:p w14:paraId="2F5FB2CE">
      <w:pPr>
        <w:bidi w:val="0"/>
        <w:jc w:val="center"/>
        <w:rPr>
          <w:rFonts w:hint="default" w:ascii="Times New Roman" w:hAnsi="Times New Roman" w:cs="Times New Roman"/>
          <w:b/>
          <w:bCs/>
          <w:sz w:val="24"/>
          <w:szCs w:val="24"/>
        </w:rPr>
      </w:pPr>
    </w:p>
    <w:p w14:paraId="39ACDC3C">
      <w:pPr>
        <w:bidi w:val="0"/>
        <w:jc w:val="center"/>
        <w:rPr>
          <w:rFonts w:hint="default" w:ascii="Times New Roman" w:hAnsi="Times New Roman" w:cs="Times New Roman"/>
          <w:b/>
          <w:bCs/>
          <w:sz w:val="24"/>
          <w:szCs w:val="24"/>
        </w:rPr>
      </w:pPr>
    </w:p>
    <w:p w14:paraId="10014042">
      <w:pPr>
        <w:bidi w:val="0"/>
        <w:jc w:val="center"/>
        <w:rPr>
          <w:rFonts w:hint="default" w:ascii="Times New Roman" w:hAnsi="Times New Roman" w:cs="Times New Roman"/>
          <w:b/>
          <w:bCs/>
          <w:sz w:val="24"/>
          <w:szCs w:val="24"/>
        </w:rPr>
      </w:pPr>
    </w:p>
    <w:p w14:paraId="0C0F6A4E">
      <w:pPr>
        <w:bidi w:val="0"/>
        <w:jc w:val="center"/>
        <w:rPr>
          <w:rFonts w:hint="default" w:ascii="Times New Roman" w:hAnsi="Times New Roman" w:cs="Times New Roman"/>
          <w:b/>
          <w:bCs/>
          <w:sz w:val="24"/>
          <w:szCs w:val="24"/>
        </w:rPr>
      </w:pPr>
    </w:p>
    <w:p w14:paraId="3DBC8AC8">
      <w:pPr>
        <w:bidi w:val="0"/>
        <w:jc w:val="center"/>
        <w:rPr>
          <w:rFonts w:hint="default" w:ascii="Times New Roman" w:hAnsi="Times New Roman" w:cs="Times New Roman"/>
          <w:b/>
          <w:bCs/>
          <w:sz w:val="24"/>
          <w:szCs w:val="24"/>
        </w:rPr>
      </w:pPr>
    </w:p>
    <w:p w14:paraId="18A72A25">
      <w:pPr>
        <w:bidi w:val="0"/>
        <w:jc w:val="center"/>
        <w:rPr>
          <w:rFonts w:hint="default" w:ascii="Times New Roman" w:hAnsi="Times New Roman" w:cs="Times New Roman"/>
          <w:b/>
          <w:bCs/>
          <w:sz w:val="24"/>
          <w:szCs w:val="24"/>
        </w:rPr>
      </w:pPr>
    </w:p>
    <w:p w14:paraId="30C61726">
      <w:pPr>
        <w:bidi w:val="0"/>
        <w:jc w:val="center"/>
        <w:rPr>
          <w:rFonts w:hint="default" w:ascii="Times New Roman" w:hAnsi="Times New Roman" w:cs="Times New Roman"/>
          <w:b/>
          <w:bCs/>
          <w:sz w:val="24"/>
          <w:szCs w:val="24"/>
        </w:rPr>
      </w:pPr>
    </w:p>
    <w:p w14:paraId="3C427967">
      <w:pPr>
        <w:bidi w:val="0"/>
        <w:jc w:val="center"/>
        <w:rPr>
          <w:rFonts w:hint="default" w:ascii="Times New Roman" w:hAnsi="Times New Roman" w:cs="Times New Roman"/>
          <w:b/>
          <w:bCs/>
          <w:sz w:val="24"/>
          <w:szCs w:val="24"/>
        </w:rPr>
      </w:pPr>
    </w:p>
    <w:p w14:paraId="6154BD81">
      <w:pPr>
        <w:bidi w:val="0"/>
        <w:jc w:val="center"/>
        <w:rPr>
          <w:rFonts w:hint="default" w:ascii="Times New Roman" w:hAnsi="Times New Roman" w:cs="Times New Roman"/>
          <w:b/>
          <w:bCs/>
          <w:sz w:val="24"/>
          <w:szCs w:val="24"/>
        </w:rPr>
      </w:pPr>
    </w:p>
    <w:p w14:paraId="12A29FC8">
      <w:pPr>
        <w:bidi w:val="0"/>
        <w:jc w:val="center"/>
        <w:rPr>
          <w:rFonts w:hint="default" w:ascii="Times New Roman" w:hAnsi="Times New Roman" w:cs="Times New Roman"/>
          <w:b/>
          <w:bCs/>
          <w:sz w:val="24"/>
          <w:szCs w:val="24"/>
        </w:rPr>
      </w:pPr>
    </w:p>
    <w:p w14:paraId="5CC5F6D1">
      <w:pPr>
        <w:bidi w:val="0"/>
        <w:jc w:val="both"/>
        <w:rPr>
          <w:rFonts w:hint="default" w:ascii="Times New Roman" w:hAnsi="Times New Roman" w:cs="Times New Roman"/>
          <w:b/>
          <w:bCs/>
          <w:sz w:val="24"/>
          <w:szCs w:val="24"/>
        </w:rPr>
      </w:pPr>
    </w:p>
    <w:p w14:paraId="21DEC8F3">
      <w:pPr>
        <w:bidi w:val="0"/>
        <w:jc w:val="center"/>
        <w:rPr>
          <w:rFonts w:hint="default" w:ascii="Times New Roman" w:hAnsi="Times New Roman" w:cs="Times New Roman"/>
          <w:b/>
          <w:bCs/>
          <w:sz w:val="24"/>
          <w:szCs w:val="24"/>
        </w:rPr>
      </w:pPr>
      <w:r>
        <w:rPr>
          <w:rFonts w:hint="default" w:ascii="Times New Roman" w:hAnsi="Times New Roman" w:cs="Times New Roman"/>
          <w:b/>
          <w:bCs/>
          <w:sz w:val="24"/>
          <w:szCs w:val="24"/>
        </w:rPr>
        <w:t>content</w:t>
      </w:r>
    </w:p>
    <w:p w14:paraId="5FA29576">
      <w:pPr>
        <w:pStyle w:val="5"/>
        <w:tabs>
          <w:tab w:val="right" w:leader="dot" w:pos="8306"/>
        </w:tabs>
      </w:pPr>
      <w:r>
        <w:rPr>
          <w:rFonts w:hint="eastAsia"/>
        </w:rPr>
        <w:fldChar w:fldCharType="begin"/>
      </w:r>
      <w:r>
        <w:rPr>
          <w:rFonts w:hint="eastAsia"/>
        </w:rPr>
        <w:instrText xml:space="preserve">TOC \t "1,1,2,2" \h</w:instrText>
      </w:r>
      <w:r>
        <w:rPr>
          <w:rFonts w:hint="eastAsia"/>
        </w:rPr>
        <w:fldChar w:fldCharType="separate"/>
      </w:r>
      <w:r>
        <w:rPr>
          <w:rFonts w:hint="eastAsia"/>
        </w:rPr>
        <w:fldChar w:fldCharType="begin"/>
      </w:r>
      <w:r>
        <w:rPr>
          <w:rFonts w:hint="eastAsia"/>
        </w:rPr>
        <w:instrText xml:space="preserve"> HYPERLINK \l _Toc21220 </w:instrText>
      </w:r>
      <w:r>
        <w:rPr>
          <w:rFonts w:hint="eastAsia"/>
        </w:rPr>
        <w:fldChar w:fldCharType="separate"/>
      </w:r>
      <w:r>
        <w:rPr>
          <w:rFonts w:hint="eastAsia"/>
        </w:rPr>
        <w:t>1.Introduction</w:t>
      </w:r>
      <w:r>
        <w:tab/>
      </w:r>
      <w:r>
        <w:fldChar w:fldCharType="begin"/>
      </w:r>
      <w:r>
        <w:instrText xml:space="preserve"> PAGEREF _Toc21220 \h </w:instrText>
      </w:r>
      <w:r>
        <w:fldChar w:fldCharType="separate"/>
      </w:r>
      <w:r>
        <w:t>1</w:t>
      </w:r>
      <w:r>
        <w:fldChar w:fldCharType="end"/>
      </w:r>
      <w:r>
        <w:rPr>
          <w:rFonts w:hint="eastAsia"/>
        </w:rPr>
        <w:fldChar w:fldCharType="end"/>
      </w:r>
    </w:p>
    <w:p w14:paraId="344D58BF">
      <w:pPr>
        <w:pStyle w:val="5"/>
        <w:tabs>
          <w:tab w:val="right" w:leader="dot" w:pos="8306"/>
        </w:tabs>
      </w:pPr>
      <w:r>
        <w:rPr>
          <w:rFonts w:hint="eastAsia"/>
        </w:rPr>
        <w:fldChar w:fldCharType="begin"/>
      </w:r>
      <w:r>
        <w:rPr>
          <w:rFonts w:hint="eastAsia"/>
        </w:rPr>
        <w:instrText xml:space="preserve"> HYPERLINK \l _Toc29653 </w:instrText>
      </w:r>
      <w:r>
        <w:rPr>
          <w:rFonts w:hint="eastAsia"/>
        </w:rPr>
        <w:fldChar w:fldCharType="separate"/>
      </w:r>
      <w:r>
        <w:rPr>
          <w:rFonts w:hint="eastAsia"/>
          <w:lang w:val="en-US" w:eastAsia="zh-CN"/>
        </w:rPr>
        <w:t>2.What is a critical reflection model</w:t>
      </w:r>
      <w:r>
        <w:tab/>
      </w:r>
      <w:r>
        <w:fldChar w:fldCharType="begin"/>
      </w:r>
      <w:r>
        <w:instrText xml:space="preserve"> PAGEREF _Toc29653 \h </w:instrText>
      </w:r>
      <w:r>
        <w:fldChar w:fldCharType="separate"/>
      </w:r>
      <w:r>
        <w:t>2</w:t>
      </w:r>
      <w:r>
        <w:fldChar w:fldCharType="end"/>
      </w:r>
      <w:r>
        <w:rPr>
          <w:rFonts w:hint="eastAsia"/>
        </w:rPr>
        <w:fldChar w:fldCharType="end"/>
      </w:r>
    </w:p>
    <w:p w14:paraId="0544DF30">
      <w:pPr>
        <w:pStyle w:val="5"/>
        <w:tabs>
          <w:tab w:val="right" w:leader="dot" w:pos="8306"/>
        </w:tabs>
      </w:pPr>
      <w:r>
        <w:rPr>
          <w:rFonts w:hint="eastAsia"/>
        </w:rPr>
        <w:fldChar w:fldCharType="begin"/>
      </w:r>
      <w:r>
        <w:rPr>
          <w:rFonts w:hint="eastAsia"/>
        </w:rPr>
        <w:instrText xml:space="preserve"> HYPERLINK \l _Toc12791 </w:instrText>
      </w:r>
      <w:r>
        <w:rPr>
          <w:rFonts w:hint="eastAsia"/>
        </w:rPr>
        <w:fldChar w:fldCharType="separate"/>
      </w:r>
      <w:r>
        <w:rPr>
          <w:rFonts w:hint="eastAsia"/>
          <w:lang w:val="en-US" w:eastAsia="zh-CN"/>
        </w:rPr>
        <w:t>3. What? – Situational Analysis of UK–Japan Business Communication</w:t>
      </w:r>
      <w:r>
        <w:tab/>
      </w:r>
      <w:r>
        <w:fldChar w:fldCharType="begin"/>
      </w:r>
      <w:r>
        <w:instrText xml:space="preserve"> PAGEREF _Toc12791 \h </w:instrText>
      </w:r>
      <w:r>
        <w:fldChar w:fldCharType="separate"/>
      </w:r>
      <w:r>
        <w:t>3</w:t>
      </w:r>
      <w:r>
        <w:fldChar w:fldCharType="end"/>
      </w:r>
      <w:r>
        <w:rPr>
          <w:rFonts w:hint="eastAsia"/>
        </w:rPr>
        <w:fldChar w:fldCharType="end"/>
      </w:r>
    </w:p>
    <w:p w14:paraId="20B6FCE9">
      <w:pPr>
        <w:pStyle w:val="5"/>
        <w:tabs>
          <w:tab w:val="right" w:leader="dot" w:pos="8306"/>
        </w:tabs>
      </w:pPr>
      <w:r>
        <w:rPr>
          <w:rFonts w:hint="eastAsia"/>
        </w:rPr>
        <w:fldChar w:fldCharType="begin"/>
      </w:r>
      <w:r>
        <w:rPr>
          <w:rFonts w:hint="eastAsia"/>
        </w:rPr>
        <w:instrText xml:space="preserve"> HYPERLINK \l _Toc28453 </w:instrText>
      </w:r>
      <w:r>
        <w:rPr>
          <w:rFonts w:hint="eastAsia"/>
        </w:rPr>
        <w:fldChar w:fldCharType="separate"/>
      </w:r>
      <w:r>
        <w:rPr>
          <w:rFonts w:hint="eastAsia"/>
          <w:lang w:val="en-US" w:eastAsia="zh-CN"/>
        </w:rPr>
        <w:t>4.So what? - Critical reflection</w:t>
      </w:r>
      <w:r>
        <w:tab/>
      </w:r>
      <w:r>
        <w:fldChar w:fldCharType="begin"/>
      </w:r>
      <w:r>
        <w:instrText xml:space="preserve"> PAGEREF _Toc28453 \h </w:instrText>
      </w:r>
      <w:r>
        <w:fldChar w:fldCharType="separate"/>
      </w:r>
      <w:r>
        <w:t>6</w:t>
      </w:r>
      <w:r>
        <w:fldChar w:fldCharType="end"/>
      </w:r>
      <w:r>
        <w:rPr>
          <w:rFonts w:hint="eastAsia"/>
        </w:rPr>
        <w:fldChar w:fldCharType="end"/>
      </w:r>
    </w:p>
    <w:p w14:paraId="0BFD9190">
      <w:pPr>
        <w:pStyle w:val="5"/>
        <w:tabs>
          <w:tab w:val="right" w:leader="dot" w:pos="8306"/>
        </w:tabs>
      </w:pPr>
      <w:r>
        <w:rPr>
          <w:rFonts w:hint="eastAsia"/>
        </w:rPr>
        <w:fldChar w:fldCharType="begin"/>
      </w:r>
      <w:r>
        <w:rPr>
          <w:rFonts w:hint="eastAsia"/>
        </w:rPr>
        <w:instrText xml:space="preserve"> HYPERLINK \l _Toc397 </w:instrText>
      </w:r>
      <w:r>
        <w:rPr>
          <w:rFonts w:hint="eastAsia"/>
        </w:rPr>
        <w:fldChar w:fldCharType="separate"/>
      </w:r>
      <w:r>
        <w:rPr>
          <w:rFonts w:hint="eastAsia"/>
          <w:lang w:val="en-US" w:eastAsia="zh-CN"/>
        </w:rPr>
        <w:t>5.What now? - Strategy and Suggestions</w:t>
      </w:r>
      <w:r>
        <w:tab/>
      </w:r>
      <w:r>
        <w:fldChar w:fldCharType="begin"/>
      </w:r>
      <w:r>
        <w:instrText xml:space="preserve"> PAGEREF _Toc397 \h </w:instrText>
      </w:r>
      <w:r>
        <w:fldChar w:fldCharType="separate"/>
      </w:r>
      <w:r>
        <w:t>8</w:t>
      </w:r>
      <w:r>
        <w:fldChar w:fldCharType="end"/>
      </w:r>
      <w:r>
        <w:rPr>
          <w:rFonts w:hint="eastAsia"/>
        </w:rPr>
        <w:fldChar w:fldCharType="end"/>
      </w:r>
    </w:p>
    <w:p w14:paraId="2ACA6F7D">
      <w:pPr>
        <w:pStyle w:val="6"/>
        <w:tabs>
          <w:tab w:val="right" w:leader="dot" w:pos="8306"/>
        </w:tabs>
      </w:pPr>
      <w:r>
        <w:rPr>
          <w:rFonts w:hint="eastAsia"/>
        </w:rPr>
        <w:fldChar w:fldCharType="begin"/>
      </w:r>
      <w:r>
        <w:rPr>
          <w:rFonts w:hint="eastAsia"/>
        </w:rPr>
        <w:instrText xml:space="preserve"> HYPERLINK \l _Toc6763 </w:instrText>
      </w:r>
      <w:r>
        <w:rPr>
          <w:rFonts w:hint="eastAsia"/>
        </w:rPr>
        <w:fldChar w:fldCharType="separate"/>
      </w:r>
      <w:r>
        <w:rPr>
          <w:rFonts w:hint="eastAsia"/>
          <w:lang w:val="en-US" w:eastAsia="zh-CN"/>
        </w:rPr>
        <w:t>5.1 Adapt communication style to high contextual norms</w:t>
      </w:r>
      <w:r>
        <w:tab/>
      </w:r>
      <w:r>
        <w:fldChar w:fldCharType="begin"/>
      </w:r>
      <w:r>
        <w:instrText xml:space="preserve"> PAGEREF _Toc6763 \h </w:instrText>
      </w:r>
      <w:r>
        <w:fldChar w:fldCharType="separate"/>
      </w:r>
      <w:r>
        <w:t>8</w:t>
      </w:r>
      <w:r>
        <w:fldChar w:fldCharType="end"/>
      </w:r>
      <w:r>
        <w:rPr>
          <w:rFonts w:hint="eastAsia"/>
        </w:rPr>
        <w:fldChar w:fldCharType="end"/>
      </w:r>
    </w:p>
    <w:p w14:paraId="71E6162F">
      <w:pPr>
        <w:pStyle w:val="6"/>
        <w:tabs>
          <w:tab w:val="right" w:leader="dot" w:pos="8306"/>
        </w:tabs>
      </w:pPr>
      <w:r>
        <w:rPr>
          <w:rFonts w:hint="eastAsia"/>
        </w:rPr>
        <w:fldChar w:fldCharType="begin"/>
      </w:r>
      <w:r>
        <w:rPr>
          <w:rFonts w:hint="eastAsia"/>
        </w:rPr>
        <w:instrText xml:space="preserve"> HYPERLINK \l _Toc5563 </w:instrText>
      </w:r>
      <w:r>
        <w:rPr>
          <w:rFonts w:hint="eastAsia"/>
        </w:rPr>
        <w:fldChar w:fldCharType="separate"/>
      </w:r>
      <w:r>
        <w:rPr>
          <w:rFonts w:hint="eastAsia"/>
          <w:lang w:val="en-US" w:eastAsia="zh-CN"/>
        </w:rPr>
        <w:t>5.2 Consistency with Consensus Based Decisions</w:t>
      </w:r>
      <w:r>
        <w:tab/>
      </w:r>
      <w:r>
        <w:fldChar w:fldCharType="begin"/>
      </w:r>
      <w:r>
        <w:instrText xml:space="preserve"> PAGEREF _Toc5563 \h </w:instrText>
      </w:r>
      <w:r>
        <w:fldChar w:fldCharType="separate"/>
      </w:r>
      <w:r>
        <w:t>9</w:t>
      </w:r>
      <w:r>
        <w:fldChar w:fldCharType="end"/>
      </w:r>
      <w:r>
        <w:rPr>
          <w:rFonts w:hint="eastAsia"/>
        </w:rPr>
        <w:fldChar w:fldCharType="end"/>
      </w:r>
    </w:p>
    <w:p w14:paraId="189AE781">
      <w:pPr>
        <w:pStyle w:val="6"/>
        <w:tabs>
          <w:tab w:val="right" w:leader="dot" w:pos="8306"/>
        </w:tabs>
      </w:pPr>
      <w:r>
        <w:rPr>
          <w:rFonts w:hint="eastAsia"/>
        </w:rPr>
        <w:fldChar w:fldCharType="begin"/>
      </w:r>
      <w:r>
        <w:rPr>
          <w:rFonts w:hint="eastAsia"/>
        </w:rPr>
        <w:instrText xml:space="preserve"> HYPERLINK \l _Toc28547 </w:instrText>
      </w:r>
      <w:r>
        <w:rPr>
          <w:rFonts w:hint="eastAsia"/>
        </w:rPr>
        <w:fldChar w:fldCharType="separate"/>
      </w:r>
      <w:r>
        <w:rPr>
          <w:rFonts w:hint="eastAsia"/>
          <w:lang w:val="en-US" w:eastAsia="zh-CN"/>
        </w:rPr>
        <w:t>5.3 Prioritize establishing long-term relationships</w:t>
      </w:r>
      <w:r>
        <w:tab/>
      </w:r>
      <w:r>
        <w:fldChar w:fldCharType="begin"/>
      </w:r>
      <w:r>
        <w:instrText xml:space="preserve"> PAGEREF _Toc28547 \h </w:instrText>
      </w:r>
      <w:r>
        <w:fldChar w:fldCharType="separate"/>
      </w:r>
      <w:r>
        <w:t>9</w:t>
      </w:r>
      <w:r>
        <w:fldChar w:fldCharType="end"/>
      </w:r>
      <w:r>
        <w:rPr>
          <w:rFonts w:hint="eastAsia"/>
        </w:rPr>
        <w:fldChar w:fldCharType="end"/>
      </w:r>
    </w:p>
    <w:p w14:paraId="43A8C914">
      <w:pPr>
        <w:pStyle w:val="6"/>
        <w:tabs>
          <w:tab w:val="right" w:leader="dot" w:pos="8306"/>
        </w:tabs>
      </w:pPr>
      <w:r>
        <w:rPr>
          <w:rFonts w:hint="eastAsia"/>
        </w:rPr>
        <w:fldChar w:fldCharType="begin"/>
      </w:r>
      <w:r>
        <w:rPr>
          <w:rFonts w:hint="eastAsia"/>
        </w:rPr>
        <w:instrText xml:space="preserve"> HYPERLINK \l _Toc26295 </w:instrText>
      </w:r>
      <w:r>
        <w:rPr>
          <w:rFonts w:hint="eastAsia"/>
        </w:rPr>
        <w:fldChar w:fldCharType="separate"/>
      </w:r>
      <w:r>
        <w:rPr>
          <w:rFonts w:hint="eastAsia"/>
          <w:lang w:val="en-US" w:eastAsia="zh-CN"/>
        </w:rPr>
        <w:t>5.4 Implementing Cross Cultural Training</w:t>
      </w:r>
      <w:r>
        <w:tab/>
      </w:r>
      <w:r>
        <w:fldChar w:fldCharType="begin"/>
      </w:r>
      <w:r>
        <w:instrText xml:space="preserve"> PAGEREF _Toc26295 \h </w:instrText>
      </w:r>
      <w:r>
        <w:fldChar w:fldCharType="separate"/>
      </w:r>
      <w:r>
        <w:t>10</w:t>
      </w:r>
      <w:r>
        <w:fldChar w:fldCharType="end"/>
      </w:r>
      <w:r>
        <w:rPr>
          <w:rFonts w:hint="eastAsia"/>
        </w:rPr>
        <w:fldChar w:fldCharType="end"/>
      </w:r>
    </w:p>
    <w:p w14:paraId="6CAA9354">
      <w:pPr>
        <w:pStyle w:val="5"/>
        <w:tabs>
          <w:tab w:val="right" w:leader="dot" w:pos="8306"/>
        </w:tabs>
      </w:pPr>
      <w:r>
        <w:rPr>
          <w:rFonts w:hint="eastAsia"/>
        </w:rPr>
        <w:fldChar w:fldCharType="begin"/>
      </w:r>
      <w:r>
        <w:rPr>
          <w:rFonts w:hint="eastAsia"/>
        </w:rPr>
        <w:instrText xml:space="preserve"> HYPERLINK \l _Toc31842 </w:instrText>
      </w:r>
      <w:r>
        <w:rPr>
          <w:rFonts w:hint="eastAsia"/>
        </w:rPr>
        <w:fldChar w:fldCharType="separate"/>
      </w:r>
      <w:r>
        <w:rPr>
          <w:rFonts w:hint="eastAsia"/>
          <w:lang w:val="en-US" w:eastAsia="zh-CN"/>
        </w:rPr>
        <w:t>6.Conclusion</w:t>
      </w:r>
      <w:r>
        <w:tab/>
      </w:r>
      <w:r>
        <w:fldChar w:fldCharType="begin"/>
      </w:r>
      <w:r>
        <w:instrText xml:space="preserve"> PAGEREF _Toc31842 \h </w:instrText>
      </w:r>
      <w:r>
        <w:fldChar w:fldCharType="separate"/>
      </w:r>
      <w:r>
        <w:t>11</w:t>
      </w:r>
      <w:r>
        <w:fldChar w:fldCharType="end"/>
      </w:r>
      <w:r>
        <w:rPr>
          <w:rFonts w:hint="eastAsia"/>
        </w:rPr>
        <w:fldChar w:fldCharType="end"/>
      </w:r>
    </w:p>
    <w:p w14:paraId="37B9939F">
      <w:pPr>
        <w:pStyle w:val="5"/>
        <w:tabs>
          <w:tab w:val="right" w:leader="dot" w:pos="8306"/>
        </w:tabs>
      </w:pPr>
      <w:r>
        <w:rPr>
          <w:rFonts w:hint="eastAsia"/>
        </w:rPr>
        <w:fldChar w:fldCharType="begin"/>
      </w:r>
      <w:r>
        <w:rPr>
          <w:rFonts w:hint="eastAsia"/>
        </w:rPr>
        <w:instrText xml:space="preserve"> HYPERLINK \l _Toc28347 </w:instrText>
      </w:r>
      <w:r>
        <w:rPr>
          <w:rFonts w:hint="eastAsia"/>
        </w:rPr>
        <w:fldChar w:fldCharType="separate"/>
      </w:r>
      <w:r>
        <w:rPr>
          <w:rFonts w:hint="default"/>
          <w:lang w:val="en-US" w:eastAsia="zh-CN"/>
        </w:rPr>
        <w:t>References</w:t>
      </w:r>
      <w:r>
        <w:tab/>
      </w:r>
      <w:r>
        <w:fldChar w:fldCharType="begin"/>
      </w:r>
      <w:r>
        <w:instrText xml:space="preserve"> PAGEREF _Toc28347 \h </w:instrText>
      </w:r>
      <w:r>
        <w:fldChar w:fldCharType="separate"/>
      </w:r>
      <w:r>
        <w:t>13</w:t>
      </w:r>
      <w:r>
        <w:fldChar w:fldCharType="end"/>
      </w:r>
      <w:r>
        <w:rPr>
          <w:rFonts w:hint="eastAsia"/>
        </w:rPr>
        <w:fldChar w:fldCharType="end"/>
      </w:r>
    </w:p>
    <w:p w14:paraId="1D007326">
      <w:pPr>
        <w:pStyle w:val="13"/>
        <w:bidi w:val="0"/>
        <w:rPr>
          <w:rFonts w:hint="eastAsia"/>
        </w:rPr>
      </w:pPr>
      <w:r>
        <w:rPr>
          <w:rFonts w:hint="eastAsia"/>
        </w:rPr>
        <w:fldChar w:fldCharType="end"/>
      </w:r>
    </w:p>
    <w:p w14:paraId="487EAD73">
      <w:pPr>
        <w:pStyle w:val="14"/>
        <w:bidi w:val="0"/>
        <w:rPr>
          <w:rFonts w:hint="eastAsia"/>
        </w:rPr>
      </w:pPr>
    </w:p>
    <w:p w14:paraId="7AA1FAA9">
      <w:pPr>
        <w:pStyle w:val="14"/>
        <w:bidi w:val="0"/>
        <w:rPr>
          <w:rFonts w:hint="eastAsia"/>
        </w:rPr>
      </w:pPr>
    </w:p>
    <w:p w14:paraId="2C7AB626">
      <w:pPr>
        <w:pStyle w:val="14"/>
        <w:bidi w:val="0"/>
        <w:rPr>
          <w:rFonts w:hint="eastAsia"/>
        </w:rPr>
      </w:pPr>
    </w:p>
    <w:p w14:paraId="612025E9">
      <w:pPr>
        <w:pStyle w:val="14"/>
        <w:bidi w:val="0"/>
        <w:rPr>
          <w:rFonts w:hint="eastAsia"/>
        </w:rPr>
      </w:pPr>
    </w:p>
    <w:p w14:paraId="74E46548">
      <w:pPr>
        <w:pStyle w:val="14"/>
        <w:bidi w:val="0"/>
        <w:rPr>
          <w:rFonts w:hint="eastAsia"/>
        </w:rPr>
      </w:pPr>
    </w:p>
    <w:p w14:paraId="0D99AFA5">
      <w:pPr>
        <w:pStyle w:val="14"/>
        <w:bidi w:val="0"/>
        <w:rPr>
          <w:rFonts w:hint="eastAsia"/>
        </w:rPr>
      </w:pPr>
      <w:bookmarkStart w:id="11" w:name="_GoBack"/>
      <w:bookmarkEnd w:id="11"/>
    </w:p>
    <w:p w14:paraId="26B35793">
      <w:pPr>
        <w:pStyle w:val="14"/>
        <w:bidi w:val="0"/>
        <w:rPr>
          <w:rFonts w:hint="eastAsia"/>
        </w:rPr>
      </w:pPr>
    </w:p>
    <w:p w14:paraId="75E58D86">
      <w:pPr>
        <w:pStyle w:val="14"/>
        <w:bidi w:val="0"/>
        <w:rPr>
          <w:rFonts w:hint="eastAsia"/>
        </w:rPr>
      </w:pPr>
    </w:p>
    <w:p w14:paraId="18A71E65">
      <w:pPr>
        <w:pStyle w:val="14"/>
        <w:bidi w:val="0"/>
        <w:rPr>
          <w:rFonts w:hint="eastAsia"/>
        </w:rPr>
      </w:pPr>
    </w:p>
    <w:p w14:paraId="769DE0D2">
      <w:pPr>
        <w:pStyle w:val="14"/>
        <w:bidi w:val="0"/>
        <w:rPr>
          <w:rFonts w:hint="eastAsia"/>
        </w:rPr>
      </w:pPr>
    </w:p>
    <w:p w14:paraId="173DF378">
      <w:pPr>
        <w:pStyle w:val="14"/>
        <w:bidi w:val="0"/>
        <w:rPr>
          <w:rFonts w:hint="eastAsia"/>
        </w:rPr>
      </w:pPr>
    </w:p>
    <w:p w14:paraId="4C25004A">
      <w:pPr>
        <w:pStyle w:val="14"/>
        <w:bidi w:val="0"/>
        <w:rPr>
          <w:rFonts w:hint="eastAsia"/>
        </w:rPr>
      </w:pPr>
    </w:p>
    <w:p w14:paraId="6B3C935F">
      <w:pPr>
        <w:pStyle w:val="14"/>
        <w:bidi w:val="0"/>
        <w:rPr>
          <w:rFonts w:hint="eastAsia"/>
        </w:rPr>
      </w:pPr>
    </w:p>
    <w:p w14:paraId="551A9305">
      <w:pPr>
        <w:pStyle w:val="14"/>
        <w:bidi w:val="0"/>
        <w:rPr>
          <w:rFonts w:hint="eastAsia"/>
        </w:rPr>
      </w:pPr>
    </w:p>
    <w:p w14:paraId="059FA884">
      <w:pPr>
        <w:pStyle w:val="14"/>
        <w:bidi w:val="0"/>
        <w:rPr>
          <w:rFonts w:hint="eastAsia"/>
        </w:rPr>
      </w:pPr>
    </w:p>
    <w:p w14:paraId="6DDCAED5">
      <w:pPr>
        <w:pStyle w:val="14"/>
        <w:bidi w:val="0"/>
        <w:rPr>
          <w:rFonts w:hint="eastAsia"/>
        </w:rPr>
      </w:pPr>
    </w:p>
    <w:p w14:paraId="6A2D11D4">
      <w:pPr>
        <w:pStyle w:val="14"/>
        <w:bidi w:val="0"/>
        <w:rPr>
          <w:rFonts w:hint="eastAsia"/>
        </w:rPr>
      </w:pPr>
    </w:p>
    <w:p w14:paraId="1596E315">
      <w:pPr>
        <w:pStyle w:val="14"/>
        <w:bidi w:val="0"/>
        <w:rPr>
          <w:rFonts w:hint="eastAsia"/>
        </w:rPr>
      </w:pPr>
    </w:p>
    <w:p w14:paraId="18665BF8">
      <w:pPr>
        <w:pStyle w:val="14"/>
        <w:bidi w:val="0"/>
        <w:rPr>
          <w:rFonts w:hint="eastAsia"/>
        </w:rPr>
      </w:pPr>
    </w:p>
    <w:p w14:paraId="6A050E7C">
      <w:pPr>
        <w:pStyle w:val="14"/>
        <w:bidi w:val="0"/>
        <w:rPr>
          <w:rFonts w:hint="eastAsia"/>
        </w:rPr>
      </w:pPr>
    </w:p>
    <w:p w14:paraId="2A7D247B">
      <w:pPr>
        <w:pStyle w:val="14"/>
        <w:bidi w:val="0"/>
        <w:rPr>
          <w:rFonts w:hint="eastAsia"/>
        </w:rPr>
      </w:pPr>
    </w:p>
    <w:p w14:paraId="053092AE">
      <w:pPr>
        <w:pStyle w:val="14"/>
        <w:bidi w:val="0"/>
        <w:rPr>
          <w:rFonts w:hint="eastAsia"/>
        </w:rPr>
      </w:pPr>
    </w:p>
    <w:p w14:paraId="23681E6E">
      <w:pPr>
        <w:pStyle w:val="14"/>
        <w:bidi w:val="0"/>
        <w:rPr>
          <w:rFonts w:hint="eastAsia"/>
        </w:rPr>
      </w:pPr>
    </w:p>
    <w:p w14:paraId="32A903E5">
      <w:pPr>
        <w:pStyle w:val="14"/>
        <w:bidi w:val="0"/>
        <w:rPr>
          <w:rFonts w:hint="eastAsia"/>
        </w:rPr>
      </w:pPr>
    </w:p>
    <w:p w14:paraId="24DEF849">
      <w:pPr>
        <w:pStyle w:val="14"/>
        <w:bidi w:val="0"/>
        <w:rPr>
          <w:rFonts w:hint="eastAsia"/>
        </w:rPr>
      </w:pPr>
    </w:p>
    <w:p w14:paraId="066BF5ED">
      <w:pPr>
        <w:pStyle w:val="14"/>
        <w:bidi w:val="0"/>
        <w:rPr>
          <w:rFonts w:hint="eastAsia"/>
        </w:rPr>
      </w:pPr>
    </w:p>
    <w:p w14:paraId="18E0D7D5">
      <w:pPr>
        <w:pStyle w:val="14"/>
        <w:bidi w:val="0"/>
        <w:rPr>
          <w:rFonts w:hint="eastAsia"/>
        </w:rPr>
      </w:pPr>
    </w:p>
    <w:p w14:paraId="731D2416">
      <w:pPr>
        <w:pStyle w:val="14"/>
        <w:bidi w:val="0"/>
        <w:rPr>
          <w:rFonts w:hint="eastAsia"/>
        </w:rPr>
      </w:pPr>
    </w:p>
    <w:p w14:paraId="10FCA310">
      <w:pPr>
        <w:pStyle w:val="14"/>
        <w:bidi w:val="0"/>
        <w:rPr>
          <w:rFonts w:hint="eastAsia"/>
        </w:rPr>
      </w:pPr>
    </w:p>
    <w:p w14:paraId="6FDBE4E1">
      <w:pPr>
        <w:pStyle w:val="14"/>
        <w:bidi w:val="0"/>
        <w:rPr>
          <w:rFonts w:hint="eastAsia"/>
        </w:rPr>
      </w:pPr>
    </w:p>
    <w:p w14:paraId="760F770E">
      <w:pPr>
        <w:pStyle w:val="14"/>
        <w:bidi w:val="0"/>
        <w:rPr>
          <w:rFonts w:hint="eastAsia"/>
        </w:rPr>
        <w:sectPr>
          <w:pgSz w:w="11906" w:h="16838"/>
          <w:pgMar w:top="1440" w:right="1800" w:bottom="1440" w:left="1800" w:header="851" w:footer="992" w:gutter="0"/>
          <w:cols w:space="0" w:num="1"/>
          <w:rtlGutter w:val="0"/>
          <w:docGrid w:type="lines" w:linePitch="312" w:charSpace="0"/>
        </w:sectPr>
      </w:pPr>
      <w:bookmarkStart w:id="0" w:name="_Toc21220"/>
    </w:p>
    <w:p w14:paraId="6C146A95">
      <w:pPr>
        <w:pStyle w:val="14"/>
        <w:bidi w:val="0"/>
        <w:rPr>
          <w:rFonts w:hint="eastAsia"/>
        </w:rPr>
      </w:pPr>
      <w:r>
        <w:rPr>
          <w:rFonts w:hint="eastAsia"/>
        </w:rPr>
        <w:t>1.Introduction</w:t>
      </w:r>
      <w:bookmarkEnd w:id="0"/>
    </w:p>
    <w:p w14:paraId="614654D4">
      <w:pPr>
        <w:pStyle w:val="13"/>
        <w:bidi w:val="0"/>
        <w:rPr>
          <w:rFonts w:hint="eastAsia"/>
        </w:rPr>
      </w:pPr>
      <w:r>
        <w:rPr>
          <w:rFonts w:hint="eastAsia"/>
        </w:rPr>
        <w:t>As a student studying international business communication, I deeply realized that effective cross-cultural communication has become a part of a company's strategic ability in the context of globalization when exploring the cross-cultural communication challenges faced by British companies entering the Japanese market (Lauring&amp;Selmer, 2021). The differences between communication styles, cultural values, relationship management methods, and organizational levels often have a more profound impact on business cooperation than language itself. As a highly contextualized, ceremonial, and hierarchical business culture, Japan has set clear communication barriers for British companies entering the Japanese market for the first time; In contrast, British business culture is generally direct, low context, and emphasizes personal expression (Hall&amp;Hall, 2019). These differences pose challenges for British businesses in business negotiations, relationship building, conflict resolution, and team collaboration (Okazaki&amp;Taylor, 2023). In order to systematically reflect on the business communication context between the UK and Japan, I will use Rolfe et al.'s (2001) model as the theoretical structure of the paper to describe the context, assess challenges, analyze cultural roots, and propose coping strategies. At the same time, I combine Hofstede Insights (2020), the Trompenaars model (Trompenaars&amp;Hampden Turner, 2019), and the latest research on international business communication to ensure that the analysis has academic depth and theoretical support. So next, I will gradually analyze the typical communication scenarios and cultural conflicts that British companies may experience when operating in Japan based on a reflective model.</w:t>
      </w:r>
    </w:p>
    <w:p w14:paraId="4532E435">
      <w:pPr>
        <w:pStyle w:val="14"/>
        <w:bidi w:val="0"/>
        <w:rPr>
          <w:rFonts w:hint="eastAsia" w:eastAsia="宋体"/>
          <w:lang w:val="en-US" w:eastAsia="zh-CN"/>
        </w:rPr>
      </w:pPr>
      <w:bookmarkStart w:id="1" w:name="_Toc29653"/>
      <w:r>
        <w:rPr>
          <w:rFonts w:hint="eastAsia"/>
          <w:lang w:val="en-US" w:eastAsia="zh-CN"/>
        </w:rPr>
        <w:t>2.What is a critical reflection model</w:t>
      </w:r>
      <w:bookmarkEnd w:id="1"/>
    </w:p>
    <w:p w14:paraId="73FFD3E9">
      <w:pPr>
        <w:pStyle w:val="13"/>
        <w:bidi w:val="0"/>
        <w:rPr>
          <w:rFonts w:hint="eastAsia"/>
          <w:lang w:val="en-US" w:eastAsia="zh-CN"/>
        </w:rPr>
      </w:pPr>
      <w:r>
        <w:rPr>
          <w:rFonts w:hint="eastAsia"/>
          <w:lang w:val="en-US" w:eastAsia="zh-CN"/>
        </w:rPr>
        <w:t xml:space="preserve">The critical reflection model has been widely applied in multiple fields. It helps practitioners and learners critically evaluate their experiences to achieve continuous improvement and wise decision-making. The simplicity and practicality of this model make it applicable to different disciplines and career development stages. Critical reflection is an important process in professional learning that enables individuals to reinterpret experiences, challenge assumptions, and change future practices. Among various existing models, the reflection framework developed by Rolfe, Freshwater, and Jasper (2001) is one of the most widely used models in higher education and professional training.  </w:t>
      </w:r>
    </w:p>
    <w:p w14:paraId="41FC7FDD">
      <w:pPr>
        <w:pStyle w:val="13"/>
        <w:bidi w:val="0"/>
        <w:rPr>
          <w:rFonts w:hint="eastAsia"/>
          <w:lang w:val="en-US" w:eastAsia="zh-CN"/>
        </w:rPr>
      </w:pPr>
      <w:r>
        <w:rPr>
          <w:rFonts w:hint="eastAsia"/>
          <w:lang w:val="en-US" w:eastAsia="zh-CN"/>
        </w:rPr>
        <w:t xml:space="preserve">Their model is based on experiential learning theory and organizes the reflection process around three core questions: What? So what now? The first stage (what?) involves descriptive analysis of experiences or events, enabling practitioners to identify key elements without judgment. The second stage (so what?) involves examining potential hypotheses, emotional reactions, and theoretical insights to elucidate the reasons behind the event, thereby triggering deeper explanations. The final stage (now what) encourages practitioners to develop wise strategies for future actions, combining theory with practical improvements.  </w:t>
      </w:r>
    </w:p>
    <w:p w14:paraId="5EB6B0E7">
      <w:pPr>
        <w:pStyle w:val="13"/>
        <w:bidi w:val="0"/>
        <w:rPr>
          <w:rFonts w:hint="eastAsia"/>
          <w:lang w:val="en-US" w:eastAsia="zh-CN"/>
        </w:rPr>
      </w:pPr>
      <w:r>
        <w:rPr>
          <w:rFonts w:hint="eastAsia"/>
          <w:lang w:val="en-US" w:eastAsia="zh-CN"/>
        </w:rPr>
        <w:t>The advantage of this model lies in its clarity and adaptability, making it suitable for analyzing cross-cultural business exchanges where experience, culture, and interpretation intersect. By guiding learners from surface descriptions to critical evaluations and actionable suggestions, the Rolfe model supports the cultivation of reflective abilities in complex international environments. By regularly participating in this reflection process, individuals can identify areas that need improvement, deepen their understanding of their own practices, and make wiser choices for future improvements.</w:t>
      </w:r>
    </w:p>
    <w:p w14:paraId="08BFE164">
      <w:pPr>
        <w:pStyle w:val="13"/>
        <w:bidi w:val="0"/>
        <w:rPr>
          <w:rFonts w:hint="eastAsia"/>
          <w:lang w:val="en-US" w:eastAsia="zh-CN"/>
        </w:rPr>
      </w:pPr>
    </w:p>
    <w:p w14:paraId="77C49BD4">
      <w:pPr>
        <w:pStyle w:val="14"/>
        <w:bidi w:val="0"/>
        <w:rPr>
          <w:rFonts w:hint="eastAsia"/>
          <w:lang w:val="en-US" w:eastAsia="zh-CN"/>
        </w:rPr>
      </w:pPr>
      <w:bookmarkStart w:id="2" w:name="_Toc12791"/>
      <w:r>
        <w:rPr>
          <w:rFonts w:hint="eastAsia"/>
          <w:lang w:val="en-US" w:eastAsia="zh-CN"/>
        </w:rPr>
        <w:t>3. What? – Situational Analysis of UK–Japan Business Communication</w:t>
      </w:r>
      <w:bookmarkEnd w:id="2"/>
    </w:p>
    <w:p w14:paraId="1C62749D">
      <w:pPr>
        <w:pStyle w:val="13"/>
        <w:bidi w:val="0"/>
        <w:rPr>
          <w:rFonts w:hint="eastAsia"/>
          <w:lang w:val="en-US" w:eastAsia="zh-CN"/>
        </w:rPr>
      </w:pPr>
      <w:r>
        <w:rPr>
          <w:rFonts w:hint="eastAsia"/>
          <w:lang w:val="en-US" w:eastAsia="zh-CN"/>
        </w:rPr>
        <w:t>Understanding the cultural foundation of business interactions between the UK and Japan is crucial for reflecting on cross-cultural communication challenges. The organizational behavior in Japan is influenced by high uncertainty avoidance, collectivism, long-term orientation, and moderate power distance (Hofstede Insights, 2020), which is particularly evident in practices such as nemawashi, consensus building, and avoiding direct confrontation. Nemawashi, as an informal communication method, is an important link in driving significant changes in the Japanese business environment by communicating with relevant personnel before formal announcements, collecting support and feedback, and laying the foundation for proposed changes or projects. Its literal meaning is "to root" or "to rotate something", emphasizing the importance of pre preparation and ensuring the consent and trust of all parties involved. Trompenaars and Hampden Turner (2019) further pointed out that Japanese culture exhibits characteristics of particularism (relationship oriented decision-making), decentralization (interweaving of individual and professional domains), belongingness (based on age, role, and group status), and neutrality (emphasizing emotional restraint). In contrast, UK organizations place greater emphasis on individual autonomy, direct communication, and efficiency, which often create structural friction in cross-cultural interactions.</w:t>
      </w:r>
    </w:p>
    <w:p w14:paraId="1B90300A">
      <w:pPr>
        <w:pStyle w:val="13"/>
        <w:bidi w:val="0"/>
        <w:rPr>
          <w:rFonts w:hint="eastAsia"/>
          <w:lang w:val="en-US" w:eastAsia="zh-CN"/>
        </w:rPr>
      </w:pPr>
    </w:p>
    <w:p w14:paraId="28A6D6CF">
      <w:pPr>
        <w:pStyle w:val="13"/>
        <w:bidi w:val="0"/>
        <w:rPr>
          <w:rFonts w:hint="eastAsia"/>
          <w:lang w:val="en-US" w:eastAsia="zh-CN"/>
        </w:rPr>
      </w:pPr>
      <w:r>
        <w:rPr>
          <w:rFonts w:hint="eastAsia"/>
          <w:lang w:val="en-US" w:eastAsia="zh-CN"/>
        </w:rPr>
        <w:t>From a broader cultural perspective, the differences between the UK and Japan go beyond commercial conventions. British values emphasize individual freedom and independence, while Japanese culture prioritizes collective welfare and team cohesion. Social etiquette is different: the UK emphasizes politeness, while Japan emphasizes humility and respect. The communication style has formed a sharp contrast - communication in the UK is direct and verbal, while communication in Japan is indirect, relying on subtle differences and contextual clues. Even lifestyle factors, such as dietary habits and religious traditions, reflect different cultural frameworks that can affect attitudes, behaviors, and the effectiveness of cross-border communication.</w:t>
      </w:r>
    </w:p>
    <w:p w14:paraId="5BA62DA7">
      <w:pPr>
        <w:pStyle w:val="13"/>
        <w:bidi w:val="0"/>
        <w:rPr>
          <w:rFonts w:hint="eastAsia"/>
          <w:lang w:val="en-US" w:eastAsia="zh-CN"/>
        </w:rPr>
      </w:pPr>
    </w:p>
    <w:p w14:paraId="4071DC5C">
      <w:pPr>
        <w:pStyle w:val="13"/>
        <w:bidi w:val="0"/>
        <w:rPr>
          <w:rFonts w:hint="eastAsia"/>
          <w:lang w:val="en-US" w:eastAsia="zh-CN"/>
        </w:rPr>
      </w:pPr>
      <w:r>
        <w:rPr>
          <w:rFonts w:hint="eastAsia"/>
          <w:lang w:val="en-US" w:eastAsia="zh-CN"/>
        </w:rPr>
        <w:t>High context communication is particularly challenging for the British team. In Japan, meaning is usually conveyed through pauses, tone, and hints, rather than through explicit statements (Hall, 1976). For example, an employee of a British company interpreted a Japanese client's response of "we will consider" as a positive agreement, but this often implies polite hesitation or refusal in Japanese etiquette (Okazaki&amp;Mueller, 2023). These patterns are influenced by collectivism, which does not encourage the destruction of harmony; Avoiding uncertainty and promoting non commitment reactions; Spread relationships and embed information into broader contextual meanings. Without cultural awareness, UK managers may misunderstand leads, resulting in repeated misplacements and project delays.</w:t>
      </w:r>
    </w:p>
    <w:p w14:paraId="4F7DCFFD">
      <w:pPr>
        <w:pStyle w:val="13"/>
        <w:bidi w:val="0"/>
        <w:rPr>
          <w:rFonts w:hint="eastAsia"/>
          <w:lang w:val="en-US" w:eastAsia="zh-CN"/>
        </w:rPr>
      </w:pPr>
    </w:p>
    <w:p w14:paraId="2657A74F">
      <w:pPr>
        <w:pStyle w:val="13"/>
        <w:bidi w:val="0"/>
        <w:rPr>
          <w:rFonts w:hint="eastAsia"/>
          <w:lang w:val="en-US" w:eastAsia="zh-CN"/>
        </w:rPr>
      </w:pPr>
      <w:r>
        <w:rPr>
          <w:rFonts w:hint="eastAsia"/>
          <w:lang w:val="en-US" w:eastAsia="zh-CN"/>
        </w:rPr>
        <w:t>The decision-making method further illustrates cultural differences. Japanese organizations rely on nemawashi and ringi and require cross level negotiations before making a final decision (Nakane, 2020). The UK team expecting quick approval may consider procrastination as hesitation, while Japanese partners may see pressure from the UK as disrespectful. Hofstede's high degree of uncertainty avoidance explains the necessity of extensive pre discussion, while Trompenaars' attribution orientation elucidates the central position of senior leaders in final decision-making, highlighting the conflict between the logic of speed in the UK and thoroughness in Japan.</w:t>
      </w:r>
    </w:p>
    <w:p w14:paraId="11B91791">
      <w:pPr>
        <w:pStyle w:val="13"/>
        <w:bidi w:val="0"/>
        <w:rPr>
          <w:rFonts w:hint="eastAsia"/>
          <w:lang w:val="en-US" w:eastAsia="zh-CN"/>
        </w:rPr>
      </w:pPr>
    </w:p>
    <w:p w14:paraId="694D5CA6">
      <w:pPr>
        <w:pStyle w:val="13"/>
        <w:bidi w:val="0"/>
        <w:rPr>
          <w:rFonts w:hint="eastAsia"/>
          <w:lang w:val="en-US" w:eastAsia="zh-CN"/>
        </w:rPr>
      </w:pPr>
      <w:r>
        <w:rPr>
          <w:rFonts w:hint="eastAsia"/>
          <w:lang w:val="en-US" w:eastAsia="zh-CN"/>
        </w:rPr>
        <w:t>Building relationships is another key difference. Japan's long-term strategy encourages the cultivation of trust through repeated informal interactions before formal negotiations (Fang, 2021). In practice, Japanese teams often emphasize building harmonious relationships in meetings before discussing specific project issues, while British teams may prefer to directly shift towards business goals. Hofstede's long-term orientation and Trompenaars' particularism explain why trust and personal relationships often come before formal agreements in Japan. If British companies are not prepared, they may underestimate the strategic importance of establishing such relationships in the context of East Asia.</w:t>
      </w:r>
    </w:p>
    <w:p w14:paraId="2A04B82A">
      <w:pPr>
        <w:pStyle w:val="13"/>
        <w:bidi w:val="0"/>
        <w:rPr>
          <w:rFonts w:hint="eastAsia"/>
          <w:lang w:val="en-US" w:eastAsia="zh-CN"/>
        </w:rPr>
      </w:pPr>
    </w:p>
    <w:p w14:paraId="4D698248">
      <w:pPr>
        <w:pStyle w:val="13"/>
        <w:bidi w:val="0"/>
        <w:rPr>
          <w:rFonts w:hint="eastAsia"/>
          <w:lang w:val="en-US" w:eastAsia="zh-CN"/>
        </w:rPr>
      </w:pPr>
      <w:r>
        <w:rPr>
          <w:rFonts w:hint="eastAsia"/>
          <w:lang w:val="en-US" w:eastAsia="zh-CN"/>
        </w:rPr>
        <w:t>Finally, Japanese people will avoid conflicts, shape face, and shape Japanese communication. Usually avoid direct disagreements and prefer silence, subtle hints, or post meeting clarification (Ishii, 2022). Therefore, Britain's frankness may be seen as aggressive. These behaviors are influenced by high uncertainty avoidance, collectivist group prioritization, and neutral emotional orientation. Recognizing these issues, UK managers can develop culturally sensitive strategies, adjust communication styles and expectations to avoid misunderstandings, and establish effective long-term partnerships.</w:t>
      </w:r>
    </w:p>
    <w:p w14:paraId="3B072FCC">
      <w:pPr>
        <w:pStyle w:val="13"/>
        <w:bidi w:val="0"/>
        <w:rPr>
          <w:rFonts w:hint="eastAsia"/>
          <w:lang w:val="en-US" w:eastAsia="zh-CN"/>
        </w:rPr>
      </w:pPr>
    </w:p>
    <w:p w14:paraId="677B251F">
      <w:pPr>
        <w:pStyle w:val="14"/>
        <w:bidi w:val="0"/>
        <w:rPr>
          <w:rFonts w:hint="eastAsia"/>
          <w:lang w:val="en-US" w:eastAsia="zh-CN"/>
        </w:rPr>
      </w:pPr>
      <w:bookmarkStart w:id="3" w:name="_Toc28453"/>
      <w:r>
        <w:rPr>
          <w:rFonts w:hint="eastAsia"/>
          <w:lang w:val="en-US" w:eastAsia="zh-CN"/>
        </w:rPr>
        <w:t>4.So what? - Critical reflection</w:t>
      </w:r>
      <w:bookmarkEnd w:id="3"/>
    </w:p>
    <w:p w14:paraId="3AF04603">
      <w:pPr>
        <w:pStyle w:val="13"/>
        <w:bidi w:val="0"/>
        <w:rPr>
          <w:rFonts w:hint="eastAsia"/>
          <w:lang w:val="en-US" w:eastAsia="zh-CN"/>
        </w:rPr>
      </w:pPr>
      <w:r>
        <w:rPr>
          <w:rFonts w:hint="eastAsia"/>
          <w:lang w:val="en-US" w:eastAsia="zh-CN"/>
        </w:rPr>
        <w:t>Looking back and reflecting on my experience in business communication between the UK and Japan, many of my assumptions stem from implicit British cultural norms. I previously believed that clarity and efficiency were universal business values, assuming that indirect communication meant hesitation or lack of commitment. However, looking at communication through Hofstede and Trompenaars' framework helped me realize that indirectness can also express politeness, respect, and group consistency. Then I also believe that delayed decision-making indicates weak leadership or flawed processes. In contrast, Nemawashi demonstrated a strong sense of collective responsibility and reduced implementation risks. Recognizing these differences challenged my hypothesis of 'effective communication' (Hofstede Insights, 2020; Trompenaars and Hampden Turner, 2019).</w:t>
      </w:r>
    </w:p>
    <w:p w14:paraId="0990C1ED">
      <w:pPr>
        <w:pStyle w:val="13"/>
        <w:bidi w:val="0"/>
        <w:rPr>
          <w:rFonts w:hint="eastAsia"/>
          <w:lang w:val="en-US" w:eastAsia="zh-CN"/>
        </w:rPr>
      </w:pPr>
    </w:p>
    <w:p w14:paraId="0EDA9FA7">
      <w:pPr>
        <w:pStyle w:val="13"/>
        <w:bidi w:val="0"/>
        <w:rPr>
          <w:rFonts w:hint="eastAsia"/>
          <w:lang w:val="en-US" w:eastAsia="zh-CN"/>
        </w:rPr>
      </w:pPr>
      <w:r>
        <w:rPr>
          <w:rFonts w:hint="eastAsia"/>
          <w:lang w:val="en-US" w:eastAsia="zh-CN"/>
        </w:rPr>
        <w:t>I mistakenly applied British standards to a high context, hierarchical culture where junior employees obey senior colleagues and silence often makes sense. Recognizing these cultural logics has encouraged the development of cultural humility and enhanced my cross-cultural awareness (B ü cker&amp;Outsma, 2020). Emotional regulation has become equally important, and emotional reactions play a crucial role in cross-cultural tension. Cross cultural emotion regulation refers to the process by which individuals effectively manage and adjust their emotions when facing different cultural backgrounds. This regulation is crucial for promoting global communication, resolving international conflicts, and enhancing the harmony of cross-cultural exchange. Cross cultural emotion regulation involves psychological mechanisms at three levels: cognition, emotion, and behavior. On a cognitive level, individuals need to identify and understand differences in emotional expression across different cultural backgrounds; On an emotional level, it is necessary to cultivate empathy towards different cultures; On the behavioral level, it manifests as adapting to social norms and communication styles in different cultural environments.; Effectively managing cognitive, emotional, and behavioral responses to unfamiliar communication norms can help build relationships and reduce cross-cultural tension.</w:t>
      </w:r>
    </w:p>
    <w:p w14:paraId="741B4B4F">
      <w:pPr>
        <w:pStyle w:val="13"/>
        <w:bidi w:val="0"/>
        <w:rPr>
          <w:rFonts w:hint="eastAsia"/>
          <w:lang w:val="en-US" w:eastAsia="zh-CN"/>
        </w:rPr>
      </w:pPr>
    </w:p>
    <w:p w14:paraId="384ECC1C">
      <w:pPr>
        <w:pStyle w:val="13"/>
        <w:bidi w:val="0"/>
        <w:rPr>
          <w:rFonts w:hint="eastAsia"/>
          <w:lang w:val="en-US" w:eastAsia="zh-CN"/>
        </w:rPr>
      </w:pPr>
      <w:r>
        <w:rPr>
          <w:rFonts w:hint="eastAsia"/>
          <w:lang w:val="en-US" w:eastAsia="zh-CN"/>
        </w:rPr>
        <w:t>Reflecting on these insights has reshaped my understanding of effective international communication. In Japan, effective communication requires interpreting meanings beyond the literal meaning, respecting hierarchical systems, and appreciating subtle relationship clues. These insights directly provide information for practical strategies for international business interaction, including focused listening, situational interpretation, and adaptive communication methods.</w:t>
      </w:r>
    </w:p>
    <w:p w14:paraId="03C145EA">
      <w:pPr>
        <w:pStyle w:val="13"/>
        <w:bidi w:val="0"/>
        <w:rPr>
          <w:rFonts w:hint="eastAsia"/>
          <w:lang w:val="en-US" w:eastAsia="zh-CN"/>
        </w:rPr>
      </w:pPr>
    </w:p>
    <w:p w14:paraId="5BC1E088">
      <w:pPr>
        <w:pStyle w:val="14"/>
        <w:bidi w:val="0"/>
        <w:rPr>
          <w:rFonts w:hint="eastAsia"/>
          <w:lang w:val="en-US" w:eastAsia="zh-CN"/>
        </w:rPr>
      </w:pPr>
      <w:bookmarkStart w:id="4" w:name="_Toc397"/>
      <w:r>
        <w:rPr>
          <w:rFonts w:hint="eastAsia"/>
          <w:lang w:val="en-US" w:eastAsia="zh-CN"/>
        </w:rPr>
        <w:t>5.What now? - Strategy and Suggestions</w:t>
      </w:r>
      <w:bookmarkEnd w:id="4"/>
    </w:p>
    <w:p w14:paraId="2D550707">
      <w:pPr>
        <w:pStyle w:val="15"/>
        <w:bidi w:val="0"/>
        <w:rPr>
          <w:rFonts w:hint="eastAsia"/>
          <w:lang w:val="en-US" w:eastAsia="zh-CN"/>
        </w:rPr>
      </w:pPr>
      <w:bookmarkStart w:id="5" w:name="_Toc6763"/>
      <w:r>
        <w:rPr>
          <w:rFonts w:hint="eastAsia"/>
          <w:lang w:val="en-US" w:eastAsia="zh-CN"/>
        </w:rPr>
        <w:t>5.1 Adapt communication style to high contextual norms</w:t>
      </w:r>
      <w:bookmarkEnd w:id="5"/>
    </w:p>
    <w:p w14:paraId="3108D1CB">
      <w:pPr>
        <w:pStyle w:val="13"/>
        <w:bidi w:val="0"/>
        <w:rPr>
          <w:rFonts w:hint="eastAsia"/>
          <w:lang w:val="en-US" w:eastAsia="zh-CN"/>
        </w:rPr>
      </w:pPr>
      <w:r>
        <w:rPr>
          <w:rFonts w:hint="eastAsia"/>
          <w:lang w:val="en-US" w:eastAsia="zh-CN"/>
        </w:rPr>
        <w:t>In order to communicate effectively in Japan, UK managers must intentionally adjust their methods to comply with high context communication norms. As Hall (1976) pointed out, high context culture largely relies on implicit meaning, nonverbal cues, and shared understanding. Therefore, British professionals should cultivate sensitivity to pauses, hesitations, and tone, provide definitions to confirm meaning, avoid public confrontation, and allow for stress free silence.</w:t>
      </w:r>
    </w:p>
    <w:p w14:paraId="5797BADA">
      <w:pPr>
        <w:pStyle w:val="13"/>
        <w:bidi w:val="0"/>
        <w:rPr>
          <w:rFonts w:hint="eastAsia"/>
          <w:lang w:val="en-US" w:eastAsia="zh-CN"/>
        </w:rPr>
      </w:pPr>
    </w:p>
    <w:p w14:paraId="4A5E6035">
      <w:pPr>
        <w:pStyle w:val="13"/>
        <w:bidi w:val="0"/>
        <w:rPr>
          <w:rFonts w:hint="eastAsia"/>
          <w:lang w:val="en-US" w:eastAsia="zh-CN"/>
        </w:rPr>
      </w:pPr>
      <w:r>
        <w:rPr>
          <w:rFonts w:hint="eastAsia"/>
          <w:lang w:val="en-US" w:eastAsia="zh-CN"/>
        </w:rPr>
        <w:t>In addition to these behavioral skills, deeper adaptation also includes cultivating respect for cultural assumptions that shape Japanese communication. This includes recognizing that all parties have different values and communication habits, improving skills in decoding indirect information, and establishing a shared background through continuous cooperation and mutual learning. Timely feedback helps clarify intentions, while using multimodal communication (such as written notes, video conferencing) can reduce ambiguity when cultural expectations diverge.</w:t>
      </w:r>
    </w:p>
    <w:p w14:paraId="70CC4F2C">
      <w:pPr>
        <w:pStyle w:val="13"/>
        <w:bidi w:val="0"/>
        <w:rPr>
          <w:rFonts w:hint="eastAsia"/>
          <w:lang w:val="en-US" w:eastAsia="zh-CN"/>
        </w:rPr>
      </w:pPr>
    </w:p>
    <w:p w14:paraId="61D1DD25">
      <w:pPr>
        <w:pStyle w:val="13"/>
        <w:bidi w:val="0"/>
        <w:rPr>
          <w:rFonts w:hint="eastAsia"/>
          <w:lang w:val="en-US" w:eastAsia="zh-CN"/>
        </w:rPr>
      </w:pPr>
      <w:r>
        <w:rPr>
          <w:rFonts w:hint="eastAsia"/>
          <w:lang w:val="en-US" w:eastAsia="zh-CN"/>
        </w:rPr>
        <w:t>Organizations can support this adaptation through structured education and training programs that introduce employees to high context norms and provide practical skills to guide them. Leadership also plays a crucial role: managers should set an example of openness, cultural humility, and respect for differences. Encouraging diversity within the team further expands explanatory power and enhances overall communication efficiency. Overall, these methods ensure that British managers can operate in a way that strengthens their relationships with Japanese stakeholders in accordance with the principles outlined by Hall (1976).</w:t>
      </w:r>
    </w:p>
    <w:p w14:paraId="458441A9">
      <w:pPr>
        <w:pStyle w:val="13"/>
        <w:bidi w:val="0"/>
        <w:rPr>
          <w:rFonts w:hint="eastAsia"/>
          <w:lang w:val="en-US" w:eastAsia="zh-CN"/>
        </w:rPr>
      </w:pPr>
    </w:p>
    <w:p w14:paraId="12CFAED4">
      <w:pPr>
        <w:pStyle w:val="15"/>
        <w:bidi w:val="0"/>
        <w:rPr>
          <w:rFonts w:hint="eastAsia"/>
          <w:lang w:val="en-US" w:eastAsia="zh-CN"/>
        </w:rPr>
      </w:pPr>
      <w:bookmarkStart w:id="6" w:name="_Toc5563"/>
      <w:r>
        <w:rPr>
          <w:rFonts w:hint="eastAsia"/>
          <w:lang w:val="en-US" w:eastAsia="zh-CN"/>
        </w:rPr>
        <w:t>5.2 Consistency with Consensus Based Decisions</w:t>
      </w:r>
      <w:bookmarkEnd w:id="6"/>
    </w:p>
    <w:p w14:paraId="0580471B">
      <w:pPr>
        <w:pStyle w:val="13"/>
        <w:bidi w:val="0"/>
        <w:rPr>
          <w:rFonts w:hint="eastAsia"/>
          <w:lang w:val="en-US" w:eastAsia="zh-CN"/>
        </w:rPr>
      </w:pPr>
      <w:r>
        <w:rPr>
          <w:rFonts w:hint="eastAsia"/>
          <w:lang w:val="en-US" w:eastAsia="zh-CN"/>
        </w:rPr>
        <w:t>Building consensus remains the core of organizational life in Japan, and the UK team must remain aligned with this process to avoid unnecessary friction. Consensus decision-making involves proposing options, testing them based on goals and constraints, improving alternative solutions, and iterating until no members express strong and reasonable objections. This method emphasizes practical results rather than theoretical consistency, requiring clear scope, open discussion of trade-offs, and careful problem-solving.</w:t>
      </w:r>
    </w:p>
    <w:p w14:paraId="503945FF">
      <w:pPr>
        <w:pStyle w:val="13"/>
        <w:bidi w:val="0"/>
        <w:rPr>
          <w:rFonts w:hint="eastAsia"/>
          <w:lang w:val="en-US" w:eastAsia="zh-CN"/>
        </w:rPr>
      </w:pPr>
    </w:p>
    <w:p w14:paraId="0BD89DDA">
      <w:pPr>
        <w:pStyle w:val="13"/>
        <w:bidi w:val="0"/>
        <w:rPr>
          <w:rFonts w:hint="eastAsia"/>
          <w:lang w:val="en-US" w:eastAsia="zh-CN"/>
        </w:rPr>
      </w:pPr>
      <w:r>
        <w:rPr>
          <w:rFonts w:hint="eastAsia"/>
          <w:lang w:val="en-US" w:eastAsia="zh-CN"/>
        </w:rPr>
        <w:t>The actual consistency of UK managers includes initiating nemawashi as early as possible by distributing draft proposals, sharing structured written materials, and avoiding potentially mandatory deadlines. In addition, it is crucial to recognize and respect the hierarchical approval structure, as decisions often go through continuous layers of endorsement. These practices have improved collaboration and reduced cross-cultural misunderstandings (Nakane, 2020), especially in cross functional or high impact projects that require widespread acceptance.</w:t>
      </w:r>
    </w:p>
    <w:p w14:paraId="7A66A63C">
      <w:pPr>
        <w:pStyle w:val="13"/>
        <w:bidi w:val="0"/>
        <w:rPr>
          <w:rFonts w:hint="eastAsia"/>
          <w:lang w:val="en-US" w:eastAsia="zh-CN"/>
        </w:rPr>
      </w:pPr>
    </w:p>
    <w:p w14:paraId="4F0C6F4C">
      <w:pPr>
        <w:pStyle w:val="15"/>
        <w:bidi w:val="0"/>
        <w:rPr>
          <w:rFonts w:hint="eastAsia"/>
          <w:lang w:val="en-US" w:eastAsia="zh-CN"/>
        </w:rPr>
      </w:pPr>
      <w:bookmarkStart w:id="7" w:name="_Toc28547"/>
      <w:r>
        <w:rPr>
          <w:rFonts w:hint="eastAsia"/>
          <w:lang w:val="en-US" w:eastAsia="zh-CN"/>
        </w:rPr>
        <w:t>5.3 Prioritize establishing long-term relationships</w:t>
      </w:r>
      <w:bookmarkEnd w:id="7"/>
    </w:p>
    <w:p w14:paraId="724A5232">
      <w:pPr>
        <w:pStyle w:val="13"/>
        <w:bidi w:val="0"/>
        <w:rPr>
          <w:rFonts w:hint="eastAsia"/>
          <w:lang w:val="en-US" w:eastAsia="zh-CN"/>
        </w:rPr>
      </w:pPr>
      <w:r>
        <w:rPr>
          <w:rFonts w:hint="eastAsia"/>
          <w:lang w:val="en-US" w:eastAsia="zh-CN"/>
        </w:rPr>
        <w:t>Given Japan's long-term positioning, UK organizations should not view building relationships as peripheral activities, but rather as a strategic priority (Fang, 2021). Successful cooperation requires mutual respect, cultural sensitivity, and identification of common core values that can integrate different cultural expectations. Cross cultural communication plays a crucial role in this process, helping employees understand, respect, and reconcile differences. In order to cultivate a lasting partnership, the UK team should arrange informal communication, demonstrate reliability through continuous follow-up, and respect etiquette and agreements. Treating building rapport as an important component of the project timeline, rather than an optional activity, can help build trust and long-term commitment. These practices have laid the foundation for deeper cooperation and smoother negotiations, strengthening the overall business relationship.</w:t>
      </w:r>
    </w:p>
    <w:p w14:paraId="6513F26F">
      <w:pPr>
        <w:pStyle w:val="13"/>
        <w:bidi w:val="0"/>
        <w:rPr>
          <w:rFonts w:hint="eastAsia"/>
          <w:lang w:val="en-US" w:eastAsia="zh-CN"/>
        </w:rPr>
      </w:pPr>
    </w:p>
    <w:p w14:paraId="54EB9250">
      <w:pPr>
        <w:pStyle w:val="15"/>
        <w:bidi w:val="0"/>
        <w:rPr>
          <w:rFonts w:hint="eastAsia"/>
          <w:lang w:val="en-US" w:eastAsia="zh-CN"/>
        </w:rPr>
      </w:pPr>
      <w:bookmarkStart w:id="8" w:name="_Toc26295"/>
      <w:r>
        <w:rPr>
          <w:rFonts w:hint="eastAsia"/>
          <w:lang w:val="en-US" w:eastAsia="zh-CN"/>
        </w:rPr>
        <w:t>5.4 Implementing Cross Cultural Training</w:t>
      </w:r>
      <w:bookmarkEnd w:id="8"/>
    </w:p>
    <w:p w14:paraId="1C33651E">
      <w:pPr>
        <w:pStyle w:val="13"/>
        <w:bidi w:val="0"/>
        <w:rPr>
          <w:rFonts w:hint="eastAsia"/>
          <w:lang w:val="en-US" w:eastAsia="zh-CN"/>
        </w:rPr>
      </w:pPr>
      <w:r>
        <w:rPr>
          <w:rFonts w:hint="eastAsia"/>
          <w:lang w:val="en-US" w:eastAsia="zh-CN"/>
        </w:rPr>
        <w:t>Effective cross-cultural training enables teams to transform cultural differences into collaborative advantages. High quality courses start with cultivating cultural awareness, helping employees understand the existence, characteristics, and impacts of cultural differences, and avoiding misunderstandings caused by cultural blind spots. The communication module should cover the interpretation of contrasting styles, language barriers, and nonverbal cues, enabling employees to adjust their information transmission across cultural boundaries. Training should further address the dynamics of cross-cultural teamwork, including conflict resolution, leadership expectations, and coordination between different work styles. Case studies, role-playing, and simulation exercises have enhanced the practical value of training, while digital tools such as virtual reality and online learning provide immersive and flexible learning experiences. The core training content should include Hofstede's cultural dimension, Trompenaars' seven dimensional model, and real-life examples of communication failures between the UK and Japan. There is evidence to suggest that this structured training significantly improves the performance of international teams (B ü cker&amp;Outsma, 2020), enhancing collaboration quality and organizational competitiveness in the global market.</w:t>
      </w:r>
    </w:p>
    <w:p w14:paraId="19D336B2">
      <w:pPr>
        <w:pStyle w:val="13"/>
        <w:bidi w:val="0"/>
        <w:rPr>
          <w:rFonts w:hint="eastAsia"/>
          <w:lang w:val="en-US" w:eastAsia="zh-CN"/>
        </w:rPr>
      </w:pPr>
    </w:p>
    <w:p w14:paraId="54791CB0">
      <w:pPr>
        <w:pStyle w:val="14"/>
        <w:bidi w:val="0"/>
        <w:rPr>
          <w:rFonts w:hint="eastAsia"/>
          <w:lang w:val="en-US" w:eastAsia="zh-CN"/>
        </w:rPr>
      </w:pPr>
      <w:bookmarkStart w:id="9" w:name="_Toc31842"/>
      <w:r>
        <w:rPr>
          <w:rFonts w:hint="eastAsia"/>
          <w:lang w:val="en-US" w:eastAsia="zh-CN"/>
        </w:rPr>
        <w:t>6.Conclusion</w:t>
      </w:r>
      <w:bookmarkEnd w:id="9"/>
    </w:p>
    <w:p w14:paraId="6AAA4526">
      <w:pPr>
        <w:pStyle w:val="13"/>
        <w:bidi w:val="0"/>
        <w:rPr>
          <w:rFonts w:hint="eastAsia"/>
          <w:lang w:val="en-US" w:eastAsia="zh-CN"/>
        </w:rPr>
      </w:pPr>
      <w:r>
        <w:rPr>
          <w:rFonts w:hint="eastAsia"/>
          <w:lang w:val="en-US" w:eastAsia="zh-CN"/>
        </w:rPr>
        <w:t>This report uses a critical reflection model to examine business communication between the UK and Japan. Through Hofstede and Trompenaars' framework, I analyzed the underlying cultural logic that shapes Japanese communication patterns - high context interaction, consensus based decision-making, long-term orientation, and conflict avoidance. From the reflective analysis, it can be seen that many challenges stem from the UK's assumptions about clarity, efficiency, and direct communication.</w:t>
      </w:r>
    </w:p>
    <w:p w14:paraId="5F9385D3">
      <w:pPr>
        <w:pStyle w:val="13"/>
        <w:bidi w:val="0"/>
        <w:rPr>
          <w:rFonts w:hint="eastAsia"/>
          <w:lang w:val="en-US" w:eastAsia="zh-CN"/>
        </w:rPr>
      </w:pPr>
    </w:p>
    <w:p w14:paraId="6F965761">
      <w:pPr>
        <w:pStyle w:val="13"/>
        <w:bidi w:val="0"/>
        <w:rPr>
          <w:rFonts w:hint="eastAsia"/>
          <w:lang w:val="en-US" w:eastAsia="zh-CN"/>
        </w:rPr>
      </w:pPr>
      <w:r>
        <w:rPr>
          <w:rFonts w:hint="eastAsia"/>
          <w:lang w:val="en-US" w:eastAsia="zh-CN"/>
        </w:rPr>
        <w:t>After completing the report, I realized that effective international communication goes far beyond language exchange and is built on cultural humility, adaptability, and a sensitive understanding of different communication logics. When reflecting on my past experiences of communication between the UK and Japan, I deeply understand that cross-cultural awareness helps me avoid misunderstandings caused by differences in values or etiquette; My attention to verbal and nonverbal signals enables me to more accurately interpret the other person's intentions; My understanding and tolerance of cultural differences enable me to maintain flexibility in unfamiliar situations; Establishing trust requires continuous transparent communication and consistent behavior. In addition, the use of technological tools has improved the efficiency of cross-border cooperation. Based on these experiences, I have gradually developed more mature cross-cultural communication strategies, laying the foundation for more effective participation and interaction in cross-cultural business environments in the future.</w:t>
      </w:r>
    </w:p>
    <w:p w14:paraId="059B56D5">
      <w:pPr>
        <w:pStyle w:val="13"/>
        <w:bidi w:val="0"/>
        <w:rPr>
          <w:rFonts w:hint="eastAsia"/>
          <w:lang w:val="en-US" w:eastAsia="zh-CN"/>
        </w:rPr>
      </w:pPr>
    </w:p>
    <w:p w14:paraId="6D46C00F">
      <w:pPr>
        <w:pStyle w:val="13"/>
        <w:bidi w:val="0"/>
        <w:rPr>
          <w:rFonts w:hint="eastAsia"/>
          <w:lang w:val="en-US" w:eastAsia="zh-CN"/>
        </w:rPr>
      </w:pPr>
    </w:p>
    <w:p w14:paraId="2AD23D41">
      <w:pPr>
        <w:pStyle w:val="13"/>
        <w:bidi w:val="0"/>
        <w:rPr>
          <w:rFonts w:hint="eastAsia"/>
          <w:lang w:val="en-US" w:eastAsia="zh-CN"/>
        </w:rPr>
      </w:pPr>
    </w:p>
    <w:p w14:paraId="2EF49F86">
      <w:pPr>
        <w:pStyle w:val="13"/>
        <w:bidi w:val="0"/>
        <w:rPr>
          <w:rFonts w:hint="eastAsia"/>
          <w:lang w:val="en-US" w:eastAsia="zh-CN"/>
        </w:rPr>
      </w:pPr>
    </w:p>
    <w:p w14:paraId="36CE5B6D">
      <w:pPr>
        <w:pStyle w:val="13"/>
        <w:bidi w:val="0"/>
        <w:rPr>
          <w:rFonts w:hint="eastAsia"/>
          <w:lang w:val="en-US" w:eastAsia="zh-CN"/>
        </w:rPr>
      </w:pPr>
    </w:p>
    <w:p w14:paraId="568044A3">
      <w:pPr>
        <w:pStyle w:val="13"/>
        <w:bidi w:val="0"/>
        <w:rPr>
          <w:rFonts w:hint="eastAsia"/>
          <w:lang w:val="en-US" w:eastAsia="zh-CN"/>
        </w:rPr>
      </w:pPr>
    </w:p>
    <w:p w14:paraId="047A2E1E">
      <w:pPr>
        <w:pStyle w:val="13"/>
        <w:bidi w:val="0"/>
        <w:rPr>
          <w:rFonts w:hint="eastAsia"/>
          <w:lang w:val="en-US" w:eastAsia="zh-CN"/>
        </w:rPr>
      </w:pPr>
    </w:p>
    <w:p w14:paraId="74137FE1">
      <w:pPr>
        <w:pStyle w:val="13"/>
        <w:bidi w:val="0"/>
        <w:rPr>
          <w:rFonts w:hint="eastAsia"/>
          <w:lang w:val="en-US" w:eastAsia="zh-CN"/>
        </w:rPr>
      </w:pPr>
    </w:p>
    <w:p w14:paraId="4922BD69">
      <w:pPr>
        <w:pStyle w:val="13"/>
        <w:bidi w:val="0"/>
        <w:rPr>
          <w:rFonts w:hint="eastAsia"/>
          <w:lang w:val="en-US" w:eastAsia="zh-CN"/>
        </w:rPr>
      </w:pPr>
    </w:p>
    <w:p w14:paraId="7082C41B">
      <w:pPr>
        <w:pStyle w:val="13"/>
        <w:bidi w:val="0"/>
        <w:rPr>
          <w:rFonts w:hint="eastAsia"/>
          <w:lang w:val="en-US" w:eastAsia="zh-CN"/>
        </w:rPr>
      </w:pPr>
    </w:p>
    <w:p w14:paraId="6BF6D3C8">
      <w:pPr>
        <w:pStyle w:val="13"/>
        <w:bidi w:val="0"/>
        <w:rPr>
          <w:rFonts w:hint="eastAsia"/>
          <w:lang w:val="en-US" w:eastAsia="zh-CN"/>
        </w:rPr>
      </w:pPr>
    </w:p>
    <w:p w14:paraId="791752F0">
      <w:pPr>
        <w:pStyle w:val="13"/>
        <w:bidi w:val="0"/>
        <w:rPr>
          <w:rFonts w:hint="eastAsia"/>
          <w:lang w:val="en-US" w:eastAsia="zh-CN"/>
        </w:rPr>
      </w:pPr>
    </w:p>
    <w:p w14:paraId="72889F3B">
      <w:pPr>
        <w:pStyle w:val="13"/>
        <w:bidi w:val="0"/>
        <w:rPr>
          <w:rFonts w:hint="eastAsia"/>
          <w:lang w:val="en-US" w:eastAsia="zh-CN"/>
        </w:rPr>
      </w:pPr>
    </w:p>
    <w:p w14:paraId="63AC31F4">
      <w:pPr>
        <w:pStyle w:val="13"/>
        <w:bidi w:val="0"/>
        <w:rPr>
          <w:rFonts w:hint="eastAsia"/>
          <w:lang w:val="en-US" w:eastAsia="zh-CN"/>
        </w:rPr>
      </w:pPr>
    </w:p>
    <w:p w14:paraId="36E9E011">
      <w:pPr>
        <w:pStyle w:val="13"/>
        <w:bidi w:val="0"/>
        <w:rPr>
          <w:rFonts w:hint="eastAsia"/>
          <w:lang w:val="en-US" w:eastAsia="zh-CN"/>
        </w:rPr>
      </w:pPr>
    </w:p>
    <w:p w14:paraId="5298CE89">
      <w:pPr>
        <w:pStyle w:val="13"/>
        <w:bidi w:val="0"/>
        <w:rPr>
          <w:rFonts w:hint="eastAsia"/>
          <w:lang w:val="en-US" w:eastAsia="zh-CN"/>
        </w:rPr>
      </w:pPr>
    </w:p>
    <w:p w14:paraId="11AB1C81">
      <w:pPr>
        <w:pStyle w:val="14"/>
        <w:bidi w:val="0"/>
        <w:rPr>
          <w:rFonts w:hint="default"/>
          <w:lang w:val="en-US" w:eastAsia="zh-CN"/>
        </w:rPr>
      </w:pPr>
      <w:bookmarkStart w:id="10" w:name="_Toc28347"/>
      <w:r>
        <w:rPr>
          <w:rFonts w:hint="default"/>
          <w:lang w:val="en-US" w:eastAsia="zh-CN"/>
        </w:rPr>
        <w:t>References</w:t>
      </w:r>
      <w:bookmarkEnd w:id="10"/>
    </w:p>
    <w:p w14:paraId="7FEF4BA0">
      <w:pPr>
        <w:pStyle w:val="7"/>
        <w:keepNext w:val="0"/>
        <w:keepLines w:val="0"/>
        <w:widowControl/>
        <w:suppressLineNumbers w:val="0"/>
        <w:rPr>
          <w:rFonts w:hint="default" w:ascii="Times New Roman" w:hAnsi="Times New Roman" w:cs="Times New Roman"/>
          <w:sz w:val="24"/>
          <w:szCs w:val="24"/>
        </w:rPr>
      </w:pPr>
      <w:r>
        <w:rPr>
          <w:rFonts w:hint="default" w:ascii="Times New Roman" w:hAnsi="Times New Roman" w:cs="Times New Roman"/>
          <w:sz w:val="24"/>
          <w:szCs w:val="24"/>
        </w:rPr>
        <w:t xml:space="preserve">Rolfe, G., Freshwater, D. &amp; Jasper, M., 2001. </w:t>
      </w:r>
      <w:r>
        <w:rPr>
          <w:rStyle w:val="11"/>
          <w:rFonts w:hint="default" w:ascii="Times New Roman" w:hAnsi="Times New Roman" w:cs="Times New Roman"/>
          <w:sz w:val="24"/>
          <w:szCs w:val="24"/>
        </w:rPr>
        <w:t>Critical Reflection for Nursing and the Helping Professions: A User’s Guide</w:t>
      </w:r>
      <w:r>
        <w:rPr>
          <w:rFonts w:hint="default" w:ascii="Times New Roman" w:hAnsi="Times New Roman" w:cs="Times New Roman"/>
          <w:sz w:val="24"/>
          <w:szCs w:val="24"/>
        </w:rPr>
        <w:t>. Basingstoke: Palgrave Macmillan.</w:t>
      </w:r>
    </w:p>
    <w:p w14:paraId="2B3BAC43">
      <w:pPr>
        <w:pStyle w:val="7"/>
        <w:keepNext w:val="0"/>
        <w:keepLines w:val="0"/>
        <w:widowControl/>
        <w:suppressLineNumbers w:val="0"/>
        <w:rPr>
          <w:rFonts w:hint="default" w:ascii="Times New Roman" w:hAnsi="Times New Roman" w:cs="Times New Roman"/>
          <w:sz w:val="24"/>
          <w:szCs w:val="24"/>
        </w:rPr>
      </w:pPr>
      <w:r>
        <w:rPr>
          <w:rFonts w:hint="default" w:ascii="Times New Roman" w:hAnsi="Times New Roman" w:cs="Times New Roman"/>
          <w:sz w:val="24"/>
          <w:szCs w:val="24"/>
        </w:rPr>
        <w:t xml:space="preserve">Schön, D., 1983. </w:t>
      </w:r>
      <w:r>
        <w:rPr>
          <w:rStyle w:val="11"/>
          <w:rFonts w:hint="default" w:ascii="Times New Roman" w:hAnsi="Times New Roman" w:cs="Times New Roman"/>
          <w:sz w:val="24"/>
          <w:szCs w:val="24"/>
        </w:rPr>
        <w:t>The Reflective Practitioner: How Professionals Think in Action</w:t>
      </w:r>
      <w:r>
        <w:rPr>
          <w:rFonts w:hint="default" w:ascii="Times New Roman" w:hAnsi="Times New Roman" w:cs="Times New Roman"/>
          <w:sz w:val="24"/>
          <w:szCs w:val="24"/>
        </w:rPr>
        <w:t>. New York: Basic Books.</w:t>
      </w:r>
    </w:p>
    <w:p w14:paraId="50700E17">
      <w:pPr>
        <w:pStyle w:val="7"/>
        <w:keepNext w:val="0"/>
        <w:keepLines w:val="0"/>
        <w:widowControl/>
        <w:suppressLineNumbers w:val="0"/>
        <w:rPr>
          <w:rFonts w:hint="default" w:ascii="Times New Roman" w:hAnsi="Times New Roman" w:cs="Times New Roman"/>
          <w:sz w:val="24"/>
          <w:szCs w:val="24"/>
        </w:rPr>
      </w:pPr>
      <w:r>
        <w:rPr>
          <w:rFonts w:hint="default" w:ascii="Times New Roman" w:hAnsi="Times New Roman" w:cs="Times New Roman"/>
          <w:sz w:val="24"/>
          <w:szCs w:val="24"/>
        </w:rPr>
        <w:t xml:space="preserve">Finlay, L., 2008. Reflecting on reflective practice. </w:t>
      </w:r>
      <w:r>
        <w:rPr>
          <w:rStyle w:val="11"/>
          <w:rFonts w:hint="default" w:ascii="Times New Roman" w:hAnsi="Times New Roman" w:cs="Times New Roman"/>
          <w:sz w:val="24"/>
          <w:szCs w:val="24"/>
        </w:rPr>
        <w:t>PBPL Practice-Based Professional Learning Paper</w:t>
      </w:r>
      <w:r>
        <w:rPr>
          <w:rFonts w:hint="default" w:ascii="Times New Roman" w:hAnsi="Times New Roman" w:cs="Times New Roman"/>
          <w:sz w:val="24"/>
          <w:szCs w:val="24"/>
        </w:rPr>
        <w:t>, 52, pp.1–27.</w:t>
      </w:r>
    </w:p>
    <w:p w14:paraId="7528BC9C">
      <w:pPr>
        <w:pStyle w:val="7"/>
        <w:bidi w:val="0"/>
        <w:rPr>
          <w:rFonts w:hint="default" w:ascii="Times New Roman" w:hAnsi="Times New Roman" w:cs="Times New Roman"/>
          <w:sz w:val="24"/>
          <w:szCs w:val="24"/>
        </w:rPr>
      </w:pPr>
      <w:r>
        <w:rPr>
          <w:rFonts w:hint="default" w:ascii="Times New Roman" w:hAnsi="Times New Roman" w:cs="Times New Roman"/>
          <w:sz w:val="24"/>
          <w:szCs w:val="24"/>
        </w:rPr>
        <w:t xml:space="preserve">Moon, J., 2013. </w:t>
      </w:r>
      <w:r>
        <w:rPr>
          <w:rStyle w:val="11"/>
          <w:rFonts w:hint="default" w:ascii="Times New Roman" w:hAnsi="Times New Roman" w:cs="Times New Roman"/>
          <w:sz w:val="24"/>
          <w:szCs w:val="24"/>
        </w:rPr>
        <w:t>Reflection and Employability: Reflection on Learning and Employability</w:t>
      </w:r>
      <w:r>
        <w:rPr>
          <w:rFonts w:hint="default" w:ascii="Times New Roman" w:hAnsi="Times New Roman" w:cs="Times New Roman"/>
          <w:sz w:val="24"/>
          <w:szCs w:val="24"/>
        </w:rPr>
        <w:t>. York: Higher Education Academy.</w:t>
      </w:r>
    </w:p>
    <w:p w14:paraId="0210100A">
      <w:pPr>
        <w:pStyle w:val="7"/>
        <w:bidi w:val="0"/>
        <w:rPr>
          <w:rFonts w:hint="default" w:ascii="Times New Roman" w:hAnsi="Times New Roman" w:eastAsia="宋体" w:cs="Times New Roman"/>
          <w:sz w:val="24"/>
          <w:szCs w:val="24"/>
        </w:rPr>
      </w:pPr>
      <w:r>
        <w:rPr>
          <w:rFonts w:hint="default" w:ascii="Times New Roman" w:hAnsi="Times New Roman" w:eastAsia="宋体" w:cs="Times New Roman"/>
          <w:sz w:val="24"/>
          <w:szCs w:val="24"/>
        </w:rPr>
        <w:t xml:space="preserve">Bücker, J. &amp; Poutsma, E., 2020. How global is global leadership? A literature review. </w:t>
      </w:r>
      <w:r>
        <w:rPr>
          <w:rStyle w:val="11"/>
          <w:rFonts w:hint="default" w:ascii="Times New Roman" w:hAnsi="Times New Roman" w:eastAsia="宋体" w:cs="Times New Roman"/>
          <w:sz w:val="24"/>
          <w:szCs w:val="24"/>
        </w:rPr>
        <w:t>Journal of World Business</w:t>
      </w:r>
      <w:r>
        <w:rPr>
          <w:rFonts w:hint="default" w:ascii="Times New Roman" w:hAnsi="Times New Roman" w:eastAsia="宋体" w:cs="Times New Roman"/>
          <w:sz w:val="24"/>
          <w:szCs w:val="24"/>
        </w:rPr>
        <w:t>, 55(1), pp. 1–15.</w:t>
      </w:r>
    </w:p>
    <w:p w14:paraId="4E01D27F">
      <w:pPr>
        <w:pStyle w:val="7"/>
        <w:bidi w:val="0"/>
        <w:rPr>
          <w:rFonts w:hint="default" w:ascii="Times New Roman" w:hAnsi="Times New Roman" w:eastAsia="宋体" w:cs="Times New Roman"/>
          <w:sz w:val="24"/>
          <w:szCs w:val="24"/>
        </w:rPr>
      </w:pPr>
      <w:r>
        <w:rPr>
          <w:rFonts w:hint="default" w:ascii="Times New Roman" w:hAnsi="Times New Roman" w:eastAsia="宋体" w:cs="Times New Roman"/>
          <w:sz w:val="24"/>
          <w:szCs w:val="24"/>
        </w:rPr>
        <w:br w:type="textWrapping"/>
      </w:r>
      <w:r>
        <w:rPr>
          <w:rFonts w:hint="default" w:ascii="Times New Roman" w:hAnsi="Times New Roman" w:eastAsia="宋体" w:cs="Times New Roman"/>
          <w:sz w:val="24"/>
          <w:szCs w:val="24"/>
        </w:rPr>
        <w:t xml:space="preserve">Earley, P.C. &amp; Ang, S., 2003. </w:t>
      </w:r>
      <w:r>
        <w:rPr>
          <w:rStyle w:val="11"/>
          <w:rFonts w:hint="default" w:ascii="Times New Roman" w:hAnsi="Times New Roman" w:eastAsia="宋体" w:cs="Times New Roman"/>
          <w:sz w:val="24"/>
          <w:szCs w:val="24"/>
        </w:rPr>
        <w:t>Cultural Intelligence: Individual Interactions Across Cultures</w:t>
      </w:r>
      <w:r>
        <w:rPr>
          <w:rFonts w:hint="default" w:ascii="Times New Roman" w:hAnsi="Times New Roman" w:eastAsia="宋体" w:cs="Times New Roman"/>
          <w:sz w:val="24"/>
          <w:szCs w:val="24"/>
        </w:rPr>
        <w:t>. Stanford University Press.</w:t>
      </w:r>
    </w:p>
    <w:p w14:paraId="06F047AE">
      <w:pPr>
        <w:pStyle w:val="7"/>
        <w:bidi w:val="0"/>
        <w:rPr>
          <w:rFonts w:hint="default" w:ascii="Times New Roman" w:hAnsi="Times New Roman" w:eastAsia="宋体" w:cs="Times New Roman"/>
          <w:sz w:val="24"/>
          <w:szCs w:val="24"/>
        </w:rPr>
      </w:pPr>
      <w:r>
        <w:rPr>
          <w:rFonts w:hint="default" w:ascii="Times New Roman" w:hAnsi="Times New Roman" w:eastAsia="宋体" w:cs="Times New Roman"/>
          <w:sz w:val="24"/>
          <w:szCs w:val="24"/>
        </w:rPr>
        <w:br w:type="textWrapping"/>
      </w:r>
      <w:r>
        <w:rPr>
          <w:rFonts w:hint="default" w:ascii="Times New Roman" w:hAnsi="Times New Roman" w:eastAsia="宋体" w:cs="Times New Roman"/>
          <w:sz w:val="24"/>
          <w:szCs w:val="24"/>
        </w:rPr>
        <w:t xml:space="preserve">Fang, T., 2021. Yin Yang: A new perspective on culture. </w:t>
      </w:r>
      <w:r>
        <w:rPr>
          <w:rStyle w:val="11"/>
          <w:rFonts w:hint="default" w:ascii="Times New Roman" w:hAnsi="Times New Roman" w:eastAsia="宋体" w:cs="Times New Roman"/>
          <w:sz w:val="24"/>
          <w:szCs w:val="24"/>
        </w:rPr>
        <w:t>International Business Review</w:t>
      </w:r>
      <w:r>
        <w:rPr>
          <w:rFonts w:hint="default" w:ascii="Times New Roman" w:hAnsi="Times New Roman" w:eastAsia="宋体" w:cs="Times New Roman"/>
          <w:sz w:val="24"/>
          <w:szCs w:val="24"/>
        </w:rPr>
        <w:t>, 30(4), pp. 1–12.</w:t>
      </w:r>
    </w:p>
    <w:p w14:paraId="511B6E1C">
      <w:pPr>
        <w:pStyle w:val="7"/>
        <w:bidi w:val="0"/>
        <w:rPr>
          <w:rFonts w:hint="default" w:ascii="Times New Roman" w:hAnsi="Times New Roman" w:eastAsia="宋体" w:cs="Times New Roman"/>
          <w:sz w:val="24"/>
          <w:szCs w:val="24"/>
        </w:rPr>
      </w:pPr>
      <w:r>
        <w:rPr>
          <w:rFonts w:hint="default" w:ascii="Times New Roman" w:hAnsi="Times New Roman" w:eastAsia="宋体" w:cs="Times New Roman"/>
          <w:sz w:val="24"/>
          <w:szCs w:val="24"/>
        </w:rPr>
        <w:br w:type="textWrapping"/>
      </w:r>
      <w:r>
        <w:rPr>
          <w:rFonts w:hint="default" w:ascii="Times New Roman" w:hAnsi="Times New Roman" w:eastAsia="宋体" w:cs="Times New Roman"/>
          <w:sz w:val="24"/>
          <w:szCs w:val="24"/>
        </w:rPr>
        <w:t xml:space="preserve">Gesteland, R., 2017. </w:t>
      </w:r>
      <w:r>
        <w:rPr>
          <w:rStyle w:val="11"/>
          <w:rFonts w:hint="default" w:ascii="Times New Roman" w:hAnsi="Times New Roman" w:eastAsia="宋体" w:cs="Times New Roman"/>
          <w:sz w:val="24"/>
          <w:szCs w:val="24"/>
        </w:rPr>
        <w:t>Cross-Cultural Business Behavior</w:t>
      </w:r>
      <w:r>
        <w:rPr>
          <w:rFonts w:hint="default" w:ascii="Times New Roman" w:hAnsi="Times New Roman" w:eastAsia="宋体" w:cs="Times New Roman"/>
          <w:sz w:val="24"/>
          <w:szCs w:val="24"/>
        </w:rPr>
        <w:t>. 6th ed. Copenhagen Business School Press.</w:t>
      </w:r>
    </w:p>
    <w:p w14:paraId="3ACF1D80">
      <w:pPr>
        <w:pStyle w:val="7"/>
        <w:bidi w:val="0"/>
        <w:rPr>
          <w:rFonts w:hint="default" w:ascii="Times New Roman" w:hAnsi="Times New Roman" w:eastAsia="宋体" w:cs="Times New Roman"/>
          <w:sz w:val="24"/>
          <w:szCs w:val="24"/>
        </w:rPr>
      </w:pPr>
      <w:r>
        <w:rPr>
          <w:rFonts w:hint="default" w:ascii="Times New Roman" w:hAnsi="Times New Roman" w:eastAsia="宋体" w:cs="Times New Roman"/>
          <w:sz w:val="24"/>
          <w:szCs w:val="24"/>
        </w:rPr>
        <w:br w:type="textWrapping"/>
      </w:r>
      <w:r>
        <w:rPr>
          <w:rFonts w:hint="default" w:ascii="Times New Roman" w:hAnsi="Times New Roman" w:eastAsia="宋体" w:cs="Times New Roman"/>
          <w:sz w:val="24"/>
          <w:szCs w:val="24"/>
        </w:rPr>
        <w:t xml:space="preserve">Hall, E.T., 1976. </w:t>
      </w:r>
      <w:r>
        <w:rPr>
          <w:rStyle w:val="11"/>
          <w:rFonts w:hint="default" w:ascii="Times New Roman" w:hAnsi="Times New Roman" w:eastAsia="宋体" w:cs="Times New Roman"/>
          <w:sz w:val="24"/>
          <w:szCs w:val="24"/>
        </w:rPr>
        <w:t>Beyond Culture</w:t>
      </w:r>
      <w:r>
        <w:rPr>
          <w:rFonts w:hint="default" w:ascii="Times New Roman" w:hAnsi="Times New Roman" w:eastAsia="宋体" w:cs="Times New Roman"/>
          <w:sz w:val="24"/>
          <w:szCs w:val="24"/>
        </w:rPr>
        <w:t>. Anchor Books.</w:t>
      </w:r>
    </w:p>
    <w:p w14:paraId="31C5E581">
      <w:pPr>
        <w:pStyle w:val="7"/>
        <w:bidi w:val="0"/>
        <w:rPr>
          <w:rFonts w:hint="default" w:ascii="Times New Roman" w:hAnsi="Times New Roman" w:eastAsia="宋体" w:cs="Times New Roman"/>
          <w:sz w:val="24"/>
          <w:szCs w:val="24"/>
        </w:rPr>
      </w:pPr>
      <w:r>
        <w:rPr>
          <w:rFonts w:hint="default" w:ascii="Times New Roman" w:hAnsi="Times New Roman" w:eastAsia="宋体" w:cs="Times New Roman"/>
          <w:sz w:val="24"/>
          <w:szCs w:val="24"/>
        </w:rPr>
        <w:br w:type="textWrapping"/>
      </w:r>
      <w:r>
        <w:rPr>
          <w:rFonts w:hint="default" w:ascii="Times New Roman" w:hAnsi="Times New Roman" w:eastAsia="宋体" w:cs="Times New Roman"/>
          <w:sz w:val="24"/>
          <w:szCs w:val="24"/>
        </w:rPr>
        <w:t xml:space="preserve">Hofstede Insights., 2020. </w:t>
      </w:r>
      <w:r>
        <w:rPr>
          <w:rStyle w:val="11"/>
          <w:rFonts w:hint="default" w:ascii="Times New Roman" w:hAnsi="Times New Roman" w:eastAsia="宋体" w:cs="Times New Roman"/>
          <w:sz w:val="24"/>
          <w:szCs w:val="24"/>
        </w:rPr>
        <w:t>Country Comparison: Japan and UK</w:t>
      </w:r>
      <w:r>
        <w:rPr>
          <w:rFonts w:hint="default" w:ascii="Times New Roman" w:hAnsi="Times New Roman" w:eastAsia="宋体" w:cs="Times New Roman"/>
          <w:sz w:val="24"/>
          <w:szCs w:val="24"/>
        </w:rPr>
        <w:t xml:space="preserve">. Available at: </w:t>
      </w:r>
      <w:r>
        <w:rPr>
          <w:rFonts w:hint="default" w:ascii="Times New Roman" w:hAnsi="Times New Roman" w:eastAsia="宋体" w:cs="Times New Roman"/>
          <w:sz w:val="24"/>
          <w:szCs w:val="24"/>
        </w:rPr>
        <w:fldChar w:fldCharType="begin"/>
      </w:r>
      <w:r>
        <w:rPr>
          <w:rFonts w:hint="default" w:ascii="Times New Roman" w:hAnsi="Times New Roman" w:eastAsia="宋体" w:cs="Times New Roman"/>
          <w:sz w:val="24"/>
          <w:szCs w:val="24"/>
        </w:rPr>
        <w:instrText xml:space="preserve"> HYPERLINK "http://www.hofstede-insights.com" </w:instrText>
      </w:r>
      <w:r>
        <w:rPr>
          <w:rFonts w:hint="default" w:ascii="Times New Roman" w:hAnsi="Times New Roman" w:eastAsia="宋体" w:cs="Times New Roman"/>
          <w:sz w:val="24"/>
          <w:szCs w:val="24"/>
        </w:rPr>
        <w:fldChar w:fldCharType="separate"/>
      </w:r>
      <w:r>
        <w:rPr>
          <w:rStyle w:val="12"/>
          <w:rFonts w:hint="default" w:ascii="Times New Roman" w:hAnsi="Times New Roman" w:eastAsia="宋体" w:cs="Times New Roman"/>
          <w:sz w:val="24"/>
          <w:szCs w:val="24"/>
        </w:rPr>
        <w:t>www.hofstede-insights.com</w:t>
      </w:r>
      <w:r>
        <w:rPr>
          <w:rFonts w:hint="default" w:ascii="Times New Roman" w:hAnsi="Times New Roman" w:eastAsia="宋体" w:cs="Times New Roman"/>
          <w:sz w:val="24"/>
          <w:szCs w:val="24"/>
        </w:rPr>
        <w:fldChar w:fldCharType="end"/>
      </w:r>
    </w:p>
    <w:p w14:paraId="4D4EA4E3">
      <w:pPr>
        <w:pStyle w:val="7"/>
        <w:bidi w:val="0"/>
        <w:rPr>
          <w:rFonts w:hint="default" w:ascii="Times New Roman" w:hAnsi="Times New Roman" w:eastAsia="宋体" w:cs="Times New Roman"/>
          <w:sz w:val="24"/>
          <w:szCs w:val="24"/>
        </w:rPr>
      </w:pPr>
      <w:r>
        <w:rPr>
          <w:rFonts w:hint="default" w:ascii="Times New Roman" w:hAnsi="Times New Roman" w:eastAsia="宋体" w:cs="Times New Roman"/>
          <w:sz w:val="24"/>
          <w:szCs w:val="24"/>
        </w:rPr>
        <w:br w:type="textWrapping"/>
      </w:r>
      <w:r>
        <w:rPr>
          <w:rFonts w:hint="default" w:ascii="Times New Roman" w:hAnsi="Times New Roman" w:eastAsia="宋体" w:cs="Times New Roman"/>
          <w:sz w:val="24"/>
          <w:szCs w:val="24"/>
        </w:rPr>
        <w:t xml:space="preserve">Ishii, S., 2022. Silence in Japanese business communication. </w:t>
      </w:r>
      <w:r>
        <w:rPr>
          <w:rStyle w:val="11"/>
          <w:rFonts w:hint="default" w:ascii="Times New Roman" w:hAnsi="Times New Roman" w:eastAsia="宋体" w:cs="Times New Roman"/>
          <w:sz w:val="24"/>
          <w:szCs w:val="24"/>
        </w:rPr>
        <w:t>Journal of Pragmatics</w:t>
      </w:r>
      <w:r>
        <w:rPr>
          <w:rFonts w:hint="default" w:ascii="Times New Roman" w:hAnsi="Times New Roman" w:eastAsia="宋体" w:cs="Times New Roman"/>
          <w:sz w:val="24"/>
          <w:szCs w:val="24"/>
        </w:rPr>
        <w:t>, 194, pp. 123–135.</w:t>
      </w:r>
    </w:p>
    <w:p w14:paraId="3B0770B3">
      <w:pPr>
        <w:pStyle w:val="7"/>
        <w:bidi w:val="0"/>
        <w:rPr>
          <w:rFonts w:hint="default" w:ascii="Times New Roman" w:hAnsi="Times New Roman" w:eastAsia="宋体" w:cs="Times New Roman"/>
          <w:sz w:val="24"/>
          <w:szCs w:val="24"/>
        </w:rPr>
      </w:pPr>
      <w:r>
        <w:rPr>
          <w:rFonts w:hint="default" w:ascii="Times New Roman" w:hAnsi="Times New Roman" w:eastAsia="宋体" w:cs="Times New Roman"/>
          <w:sz w:val="24"/>
          <w:szCs w:val="24"/>
        </w:rPr>
        <w:br w:type="textWrapping"/>
      </w:r>
      <w:r>
        <w:rPr>
          <w:rFonts w:hint="default" w:ascii="Times New Roman" w:hAnsi="Times New Roman" w:eastAsia="宋体" w:cs="Times New Roman"/>
          <w:sz w:val="24"/>
          <w:szCs w:val="24"/>
        </w:rPr>
        <w:t xml:space="preserve">Meyer, E., 2014. </w:t>
      </w:r>
      <w:r>
        <w:rPr>
          <w:rStyle w:val="11"/>
          <w:rFonts w:hint="default" w:ascii="Times New Roman" w:hAnsi="Times New Roman" w:eastAsia="宋体" w:cs="Times New Roman"/>
          <w:sz w:val="24"/>
          <w:szCs w:val="24"/>
        </w:rPr>
        <w:t>The Culture Map</w:t>
      </w:r>
      <w:r>
        <w:rPr>
          <w:rFonts w:hint="default" w:ascii="Times New Roman" w:hAnsi="Times New Roman" w:eastAsia="宋体" w:cs="Times New Roman"/>
          <w:sz w:val="24"/>
          <w:szCs w:val="24"/>
        </w:rPr>
        <w:t>. PublicAffairs.</w:t>
      </w:r>
    </w:p>
    <w:p w14:paraId="634FAC7C">
      <w:pPr>
        <w:pStyle w:val="7"/>
        <w:bidi w:val="0"/>
        <w:rPr>
          <w:rFonts w:hint="default" w:ascii="Times New Roman" w:hAnsi="Times New Roman" w:eastAsia="宋体" w:cs="Times New Roman"/>
          <w:sz w:val="24"/>
          <w:szCs w:val="24"/>
        </w:rPr>
      </w:pPr>
      <w:r>
        <w:rPr>
          <w:rFonts w:hint="default" w:ascii="Times New Roman" w:hAnsi="Times New Roman" w:eastAsia="宋体" w:cs="Times New Roman"/>
          <w:sz w:val="24"/>
          <w:szCs w:val="24"/>
        </w:rPr>
        <w:br w:type="textWrapping"/>
      </w:r>
      <w:r>
        <w:rPr>
          <w:rFonts w:hint="default" w:ascii="Times New Roman" w:hAnsi="Times New Roman" w:eastAsia="宋体" w:cs="Times New Roman"/>
          <w:sz w:val="24"/>
          <w:szCs w:val="24"/>
        </w:rPr>
        <w:t xml:space="preserve">Minkov, M. &amp; Hofstede, G., 2020. A replication of Hofstede’s uncertainty avoidance index. </w:t>
      </w:r>
      <w:r>
        <w:rPr>
          <w:rStyle w:val="11"/>
          <w:rFonts w:hint="default" w:ascii="Times New Roman" w:hAnsi="Times New Roman" w:eastAsia="宋体" w:cs="Times New Roman"/>
          <w:sz w:val="24"/>
          <w:szCs w:val="24"/>
        </w:rPr>
        <w:t>Journal of International Business Studies</w:t>
      </w:r>
      <w:r>
        <w:rPr>
          <w:rFonts w:hint="default" w:ascii="Times New Roman" w:hAnsi="Times New Roman" w:eastAsia="宋体" w:cs="Times New Roman"/>
          <w:sz w:val="24"/>
          <w:szCs w:val="24"/>
        </w:rPr>
        <w:t>, 51, pp. 1–12.</w:t>
      </w:r>
      <w:r>
        <w:rPr>
          <w:rFonts w:hint="default" w:ascii="Times New Roman" w:hAnsi="Times New Roman" w:eastAsia="宋体" w:cs="Times New Roman"/>
          <w:sz w:val="24"/>
          <w:szCs w:val="24"/>
        </w:rPr>
        <w:br w:type="textWrapping"/>
      </w:r>
      <w:r>
        <w:rPr>
          <w:rFonts w:hint="default" w:ascii="Times New Roman" w:hAnsi="Times New Roman" w:eastAsia="宋体" w:cs="Times New Roman"/>
          <w:sz w:val="24"/>
          <w:szCs w:val="24"/>
        </w:rPr>
        <w:t xml:space="preserve">Nakane, C., 2020. </w:t>
      </w:r>
      <w:r>
        <w:rPr>
          <w:rStyle w:val="11"/>
          <w:rFonts w:hint="default" w:ascii="Times New Roman" w:hAnsi="Times New Roman" w:eastAsia="宋体" w:cs="Times New Roman"/>
          <w:sz w:val="24"/>
          <w:szCs w:val="24"/>
        </w:rPr>
        <w:t>Japanese Society</w:t>
      </w:r>
      <w:r>
        <w:rPr>
          <w:rFonts w:hint="default" w:ascii="Times New Roman" w:hAnsi="Times New Roman" w:eastAsia="宋体" w:cs="Times New Roman"/>
          <w:sz w:val="24"/>
          <w:szCs w:val="24"/>
        </w:rPr>
        <w:t>. University of California Press.</w:t>
      </w:r>
    </w:p>
    <w:p w14:paraId="2A8B16A9">
      <w:pPr>
        <w:pStyle w:val="7"/>
        <w:bidi w:val="0"/>
        <w:rPr>
          <w:rFonts w:hint="default" w:ascii="Times New Roman" w:hAnsi="Times New Roman" w:eastAsia="宋体" w:cs="Times New Roman"/>
          <w:sz w:val="24"/>
          <w:szCs w:val="24"/>
        </w:rPr>
      </w:pPr>
      <w:r>
        <w:rPr>
          <w:rFonts w:hint="default" w:ascii="Times New Roman" w:hAnsi="Times New Roman" w:eastAsia="宋体" w:cs="Times New Roman"/>
          <w:sz w:val="24"/>
          <w:szCs w:val="24"/>
        </w:rPr>
        <w:br w:type="textWrapping"/>
      </w:r>
      <w:r>
        <w:rPr>
          <w:rFonts w:hint="default" w:ascii="Times New Roman" w:hAnsi="Times New Roman" w:eastAsia="宋体" w:cs="Times New Roman"/>
          <w:sz w:val="24"/>
          <w:szCs w:val="24"/>
        </w:rPr>
        <w:t xml:space="preserve">Okazaki, S. &amp; Mueller, B., 2023. High-context communication revisited. </w:t>
      </w:r>
      <w:r>
        <w:rPr>
          <w:rStyle w:val="11"/>
          <w:rFonts w:hint="default" w:ascii="Times New Roman" w:hAnsi="Times New Roman" w:eastAsia="宋体" w:cs="Times New Roman"/>
          <w:sz w:val="24"/>
          <w:szCs w:val="24"/>
        </w:rPr>
        <w:t>International Journal of Advertising</w:t>
      </w:r>
      <w:r>
        <w:rPr>
          <w:rFonts w:hint="default" w:ascii="Times New Roman" w:hAnsi="Times New Roman" w:eastAsia="宋体" w:cs="Times New Roman"/>
          <w:sz w:val="24"/>
          <w:szCs w:val="24"/>
        </w:rPr>
        <w:t>, 42(2), pp. 1–18.</w:t>
      </w:r>
    </w:p>
    <w:p w14:paraId="39DB9B2E">
      <w:pPr>
        <w:pStyle w:val="7"/>
        <w:bidi w:val="0"/>
        <w:rPr>
          <w:rFonts w:hint="default" w:ascii="Times New Roman" w:hAnsi="Times New Roman" w:eastAsia="宋体" w:cs="Times New Roman"/>
          <w:sz w:val="24"/>
          <w:szCs w:val="24"/>
        </w:rPr>
      </w:pPr>
      <w:r>
        <w:rPr>
          <w:rFonts w:hint="default" w:ascii="Times New Roman" w:hAnsi="Times New Roman" w:eastAsia="宋体" w:cs="Times New Roman"/>
          <w:sz w:val="24"/>
          <w:szCs w:val="24"/>
        </w:rPr>
        <w:br w:type="textWrapping"/>
      </w:r>
      <w:r>
        <w:rPr>
          <w:rFonts w:hint="default" w:ascii="Times New Roman" w:hAnsi="Times New Roman" w:eastAsia="宋体" w:cs="Times New Roman"/>
          <w:sz w:val="24"/>
          <w:szCs w:val="24"/>
        </w:rPr>
        <w:t xml:space="preserve">Rarick, C.A. et al., 2019. Japanese managerial values. </w:t>
      </w:r>
      <w:r>
        <w:rPr>
          <w:rStyle w:val="11"/>
          <w:rFonts w:hint="default" w:ascii="Times New Roman" w:hAnsi="Times New Roman" w:eastAsia="宋体" w:cs="Times New Roman"/>
          <w:sz w:val="24"/>
          <w:szCs w:val="24"/>
        </w:rPr>
        <w:t>Journal of Asia Business Studies</w:t>
      </w:r>
      <w:r>
        <w:rPr>
          <w:rFonts w:hint="default" w:ascii="Times New Roman" w:hAnsi="Times New Roman" w:eastAsia="宋体" w:cs="Times New Roman"/>
          <w:sz w:val="24"/>
          <w:szCs w:val="24"/>
        </w:rPr>
        <w:t>, 13(1), pp. 33–44.</w:t>
      </w:r>
    </w:p>
    <w:p w14:paraId="7F2869B9">
      <w:pPr>
        <w:pStyle w:val="7"/>
        <w:bidi w:val="0"/>
        <w:rPr>
          <w:rFonts w:hint="default" w:ascii="Times New Roman" w:hAnsi="Times New Roman" w:eastAsia="宋体" w:cs="Times New Roman"/>
          <w:sz w:val="24"/>
          <w:szCs w:val="24"/>
        </w:rPr>
      </w:pPr>
      <w:r>
        <w:rPr>
          <w:rFonts w:hint="default" w:ascii="Times New Roman" w:hAnsi="Times New Roman" w:eastAsia="宋体" w:cs="Times New Roman"/>
          <w:sz w:val="24"/>
          <w:szCs w:val="24"/>
        </w:rPr>
        <w:br w:type="textWrapping"/>
      </w:r>
      <w:r>
        <w:rPr>
          <w:rFonts w:hint="default" w:ascii="Times New Roman" w:hAnsi="Times New Roman" w:eastAsia="宋体" w:cs="Times New Roman"/>
          <w:sz w:val="24"/>
          <w:szCs w:val="24"/>
        </w:rPr>
        <w:t xml:space="preserve">Thomas, D. &amp; Peterson, M., 2018. </w:t>
      </w:r>
      <w:r>
        <w:rPr>
          <w:rStyle w:val="11"/>
          <w:rFonts w:hint="default" w:ascii="Times New Roman" w:hAnsi="Times New Roman" w:eastAsia="宋体" w:cs="Times New Roman"/>
          <w:sz w:val="24"/>
          <w:szCs w:val="24"/>
        </w:rPr>
        <w:t>Cross-Cultural Management</w:t>
      </w:r>
      <w:r>
        <w:rPr>
          <w:rFonts w:hint="default" w:ascii="Times New Roman" w:hAnsi="Times New Roman" w:eastAsia="宋体" w:cs="Times New Roman"/>
          <w:sz w:val="24"/>
          <w:szCs w:val="24"/>
        </w:rPr>
        <w:t>. 4th ed. Sage.</w:t>
      </w:r>
    </w:p>
    <w:p w14:paraId="50C63A69">
      <w:pPr>
        <w:pStyle w:val="7"/>
        <w:bidi w:val="0"/>
        <w:rPr>
          <w:rFonts w:hint="default" w:ascii="Times New Roman" w:hAnsi="Times New Roman" w:eastAsia="宋体" w:cs="Times New Roman"/>
          <w:sz w:val="24"/>
          <w:szCs w:val="24"/>
        </w:rPr>
      </w:pPr>
      <w:r>
        <w:rPr>
          <w:rFonts w:hint="default" w:ascii="Times New Roman" w:hAnsi="Times New Roman" w:eastAsia="宋体" w:cs="Times New Roman"/>
          <w:sz w:val="24"/>
          <w:szCs w:val="24"/>
        </w:rPr>
        <w:br w:type="textWrapping"/>
      </w:r>
      <w:r>
        <w:rPr>
          <w:rFonts w:hint="default" w:ascii="Times New Roman" w:hAnsi="Times New Roman" w:eastAsia="宋体" w:cs="Times New Roman"/>
          <w:sz w:val="24"/>
          <w:szCs w:val="24"/>
        </w:rPr>
        <w:t xml:space="preserve">Trompenaars, F. &amp; Hampden-Turner, C., 2019. </w:t>
      </w:r>
      <w:r>
        <w:rPr>
          <w:rStyle w:val="11"/>
          <w:rFonts w:hint="default" w:ascii="Times New Roman" w:hAnsi="Times New Roman" w:eastAsia="宋体" w:cs="Times New Roman"/>
          <w:sz w:val="24"/>
          <w:szCs w:val="24"/>
        </w:rPr>
        <w:t>Riding the Waves of Culture</w:t>
      </w:r>
      <w:r>
        <w:rPr>
          <w:rFonts w:hint="default" w:ascii="Times New Roman" w:hAnsi="Times New Roman" w:eastAsia="宋体" w:cs="Times New Roman"/>
          <w:sz w:val="24"/>
          <w:szCs w:val="24"/>
        </w:rPr>
        <w:t>. 4th ed. Nicholas Brealey.</w:t>
      </w:r>
    </w:p>
    <w:p w14:paraId="28DB775F">
      <w:pPr>
        <w:pStyle w:val="7"/>
        <w:bidi w:val="0"/>
        <w:rPr>
          <w:rFonts w:hint="default" w:ascii="Times New Roman" w:hAnsi="Times New Roman" w:eastAsia="宋体" w:cs="Times New Roman"/>
          <w:sz w:val="24"/>
          <w:szCs w:val="24"/>
        </w:rPr>
      </w:pPr>
      <w:r>
        <w:rPr>
          <w:rFonts w:hint="default" w:ascii="Times New Roman" w:hAnsi="Times New Roman" w:eastAsia="宋体" w:cs="Times New Roman"/>
          <w:sz w:val="24"/>
          <w:szCs w:val="24"/>
        </w:rPr>
        <w:br w:type="textWrapping"/>
      </w:r>
      <w:r>
        <w:rPr>
          <w:rFonts w:hint="default" w:ascii="Times New Roman" w:hAnsi="Times New Roman" w:eastAsia="宋体" w:cs="Times New Roman"/>
          <w:sz w:val="24"/>
          <w:szCs w:val="24"/>
        </w:rPr>
        <w:t xml:space="preserve">Adler, N., 2022. </w:t>
      </w:r>
      <w:r>
        <w:rPr>
          <w:rStyle w:val="11"/>
          <w:rFonts w:hint="default" w:ascii="Times New Roman" w:hAnsi="Times New Roman" w:eastAsia="宋体" w:cs="Times New Roman"/>
          <w:sz w:val="24"/>
          <w:szCs w:val="24"/>
        </w:rPr>
        <w:t>International Dimensions of Organizational Behavior</w:t>
      </w:r>
      <w:r>
        <w:rPr>
          <w:rFonts w:hint="default" w:ascii="Times New Roman" w:hAnsi="Times New Roman" w:eastAsia="宋体" w:cs="Times New Roman"/>
          <w:sz w:val="24"/>
          <w:szCs w:val="24"/>
        </w:rPr>
        <w:t>. Cengage.</w:t>
      </w:r>
    </w:p>
    <w:p w14:paraId="1A765B4C">
      <w:pPr>
        <w:pStyle w:val="7"/>
        <w:bidi w:val="0"/>
        <w:rPr>
          <w:rFonts w:hint="default" w:ascii="Times New Roman" w:hAnsi="Times New Roman" w:eastAsia="宋体" w:cs="Times New Roman"/>
          <w:sz w:val="24"/>
          <w:szCs w:val="24"/>
        </w:rPr>
      </w:pPr>
      <w:r>
        <w:rPr>
          <w:rFonts w:hint="default" w:ascii="Times New Roman" w:hAnsi="Times New Roman" w:eastAsia="宋体" w:cs="Times New Roman"/>
          <w:sz w:val="24"/>
          <w:szCs w:val="24"/>
        </w:rPr>
        <w:br w:type="textWrapping"/>
      </w:r>
      <w:r>
        <w:rPr>
          <w:rFonts w:hint="default" w:ascii="Times New Roman" w:hAnsi="Times New Roman" w:eastAsia="宋体" w:cs="Times New Roman"/>
          <w:sz w:val="24"/>
          <w:szCs w:val="24"/>
        </w:rPr>
        <w:t xml:space="preserve">Beugelsdijk, S. &amp; Welzel, C., 2018. Dimensions of culture: Evidence from cross-national data. </w:t>
      </w:r>
      <w:r>
        <w:rPr>
          <w:rStyle w:val="11"/>
          <w:rFonts w:hint="default" w:ascii="Times New Roman" w:hAnsi="Times New Roman" w:eastAsia="宋体" w:cs="Times New Roman"/>
          <w:sz w:val="24"/>
          <w:szCs w:val="24"/>
        </w:rPr>
        <w:t>Journal of Cross-Cultural Psychology</w:t>
      </w:r>
      <w:r>
        <w:rPr>
          <w:rFonts w:hint="default" w:ascii="Times New Roman" w:hAnsi="Times New Roman" w:eastAsia="宋体" w:cs="Times New Roman"/>
          <w:sz w:val="24"/>
          <w:szCs w:val="24"/>
        </w:rPr>
        <w:t>, 49(4), pp. 549–568.</w:t>
      </w:r>
    </w:p>
    <w:p w14:paraId="2AE0BC4D">
      <w:pPr>
        <w:pStyle w:val="7"/>
        <w:bidi w:val="0"/>
        <w:rPr>
          <w:rFonts w:hint="default" w:ascii="Times New Roman" w:hAnsi="Times New Roman" w:eastAsia="宋体" w:cs="Times New Roman"/>
          <w:sz w:val="24"/>
          <w:szCs w:val="24"/>
        </w:rPr>
      </w:pPr>
      <w:r>
        <w:rPr>
          <w:rFonts w:hint="default" w:ascii="Times New Roman" w:hAnsi="Times New Roman" w:eastAsia="宋体" w:cs="Times New Roman"/>
          <w:sz w:val="24"/>
          <w:szCs w:val="24"/>
        </w:rPr>
        <w:br w:type="textWrapping"/>
      </w:r>
      <w:r>
        <w:rPr>
          <w:rFonts w:hint="default" w:ascii="Times New Roman" w:hAnsi="Times New Roman" w:eastAsia="宋体" w:cs="Times New Roman"/>
          <w:sz w:val="24"/>
          <w:szCs w:val="24"/>
        </w:rPr>
        <w:t xml:space="preserve">Chen, G., 2021. Contextual dynamics in East Asian communication. </w:t>
      </w:r>
      <w:r>
        <w:rPr>
          <w:rStyle w:val="11"/>
          <w:rFonts w:hint="default" w:ascii="Times New Roman" w:hAnsi="Times New Roman" w:eastAsia="宋体" w:cs="Times New Roman"/>
          <w:sz w:val="24"/>
          <w:szCs w:val="24"/>
        </w:rPr>
        <w:t>Asian Journal of Communication</w:t>
      </w:r>
      <w:r>
        <w:rPr>
          <w:rFonts w:hint="default" w:ascii="Times New Roman" w:hAnsi="Times New Roman" w:eastAsia="宋体" w:cs="Times New Roman"/>
          <w:sz w:val="24"/>
          <w:szCs w:val="24"/>
        </w:rPr>
        <w:t>, 31(3), pp. 215–231.</w:t>
      </w:r>
    </w:p>
    <w:p w14:paraId="130AF84B">
      <w:pPr>
        <w:pStyle w:val="7"/>
        <w:bidi w:val="0"/>
        <w:rPr>
          <w:rFonts w:hint="default" w:ascii="Times New Roman" w:hAnsi="Times New Roman" w:eastAsia="宋体" w:cs="Times New Roman"/>
          <w:sz w:val="24"/>
          <w:szCs w:val="24"/>
        </w:rPr>
      </w:pPr>
      <w:r>
        <w:rPr>
          <w:rFonts w:hint="default" w:ascii="Times New Roman" w:hAnsi="Times New Roman" w:eastAsia="宋体" w:cs="Times New Roman"/>
          <w:sz w:val="24"/>
          <w:szCs w:val="24"/>
        </w:rPr>
        <w:br w:type="textWrapping"/>
      </w:r>
      <w:r>
        <w:rPr>
          <w:rFonts w:hint="default" w:ascii="Times New Roman" w:hAnsi="Times New Roman" w:eastAsia="宋体" w:cs="Times New Roman"/>
          <w:sz w:val="24"/>
          <w:szCs w:val="24"/>
        </w:rPr>
        <w:t xml:space="preserve">Hara, N., 2020. Group harmony in Japanese organisations. </w:t>
      </w:r>
      <w:r>
        <w:rPr>
          <w:rStyle w:val="11"/>
          <w:rFonts w:hint="default" w:ascii="Times New Roman" w:hAnsi="Times New Roman" w:eastAsia="宋体" w:cs="Times New Roman"/>
          <w:sz w:val="24"/>
          <w:szCs w:val="24"/>
        </w:rPr>
        <w:t>Asian Business &amp; Management</w:t>
      </w:r>
      <w:r>
        <w:rPr>
          <w:rFonts w:hint="default" w:ascii="Times New Roman" w:hAnsi="Times New Roman" w:eastAsia="宋体" w:cs="Times New Roman"/>
          <w:sz w:val="24"/>
          <w:szCs w:val="24"/>
        </w:rPr>
        <w:t>, 19(2), pp. 145–160.</w:t>
      </w:r>
    </w:p>
    <w:p w14:paraId="6BE5370D">
      <w:pPr>
        <w:pStyle w:val="7"/>
        <w:bidi w:val="0"/>
        <w:rPr>
          <w:rFonts w:hint="default" w:ascii="Times New Roman" w:hAnsi="Times New Roman" w:eastAsia="宋体" w:cs="Times New Roman"/>
          <w:sz w:val="24"/>
          <w:szCs w:val="24"/>
        </w:rPr>
      </w:pPr>
      <w:r>
        <w:rPr>
          <w:rFonts w:hint="default" w:ascii="Times New Roman" w:hAnsi="Times New Roman" w:eastAsia="宋体" w:cs="Times New Roman"/>
          <w:sz w:val="24"/>
          <w:szCs w:val="24"/>
        </w:rPr>
        <w:br w:type="textWrapping"/>
      </w:r>
      <w:r>
        <w:rPr>
          <w:rFonts w:hint="default" w:ascii="Times New Roman" w:hAnsi="Times New Roman" w:eastAsia="宋体" w:cs="Times New Roman"/>
          <w:sz w:val="24"/>
          <w:szCs w:val="24"/>
        </w:rPr>
        <w:t>Hendry, J., 2019. Understanding Japanese society. Routledge.</w:t>
      </w:r>
    </w:p>
    <w:p w14:paraId="2302C200">
      <w:pPr>
        <w:pStyle w:val="7"/>
        <w:bidi w:val="0"/>
        <w:rPr>
          <w:rFonts w:hint="default" w:ascii="Times New Roman" w:hAnsi="Times New Roman" w:eastAsia="宋体" w:cs="Times New Roman"/>
          <w:sz w:val="24"/>
          <w:szCs w:val="24"/>
        </w:rPr>
      </w:pPr>
      <w:r>
        <w:rPr>
          <w:rFonts w:hint="default" w:ascii="Times New Roman" w:hAnsi="Times New Roman" w:eastAsia="宋体" w:cs="Times New Roman"/>
          <w:sz w:val="24"/>
          <w:szCs w:val="24"/>
        </w:rPr>
        <w:br w:type="textWrapping"/>
      </w:r>
      <w:r>
        <w:rPr>
          <w:rFonts w:hint="default" w:ascii="Times New Roman" w:hAnsi="Times New Roman" w:eastAsia="宋体" w:cs="Times New Roman"/>
          <w:sz w:val="24"/>
          <w:szCs w:val="24"/>
        </w:rPr>
        <w:t xml:space="preserve">Imai, L. &amp; Gelfand, M., 2019. Culture and negotiation. </w:t>
      </w:r>
      <w:r>
        <w:rPr>
          <w:rStyle w:val="11"/>
          <w:rFonts w:hint="default" w:ascii="Times New Roman" w:hAnsi="Times New Roman" w:eastAsia="宋体" w:cs="Times New Roman"/>
          <w:sz w:val="24"/>
          <w:szCs w:val="24"/>
        </w:rPr>
        <w:t>Annual Review of Psychology</w:t>
      </w:r>
      <w:r>
        <w:rPr>
          <w:rFonts w:hint="default" w:ascii="Times New Roman" w:hAnsi="Times New Roman" w:eastAsia="宋体" w:cs="Times New Roman"/>
          <w:sz w:val="24"/>
          <w:szCs w:val="24"/>
        </w:rPr>
        <w:t>, 70, pp. 221–247.</w:t>
      </w:r>
    </w:p>
    <w:p w14:paraId="54750C2F">
      <w:pPr>
        <w:pStyle w:val="7"/>
        <w:bidi w:val="0"/>
        <w:rPr>
          <w:rFonts w:hint="default" w:ascii="Times New Roman" w:hAnsi="Times New Roman" w:eastAsia="宋体" w:cs="Times New Roman"/>
          <w:sz w:val="24"/>
          <w:szCs w:val="24"/>
        </w:rPr>
      </w:pPr>
      <w:r>
        <w:rPr>
          <w:rFonts w:hint="default" w:ascii="Times New Roman" w:hAnsi="Times New Roman" w:eastAsia="宋体" w:cs="Times New Roman"/>
          <w:sz w:val="24"/>
          <w:szCs w:val="24"/>
        </w:rPr>
        <w:br w:type="textWrapping"/>
      </w:r>
      <w:r>
        <w:rPr>
          <w:rFonts w:hint="default" w:ascii="Times New Roman" w:hAnsi="Times New Roman" w:eastAsia="宋体" w:cs="Times New Roman"/>
          <w:sz w:val="24"/>
          <w:szCs w:val="24"/>
        </w:rPr>
        <w:t xml:space="preserve">Kim, Y., 2021. Face-negotiation theory and intercultural conflict. </w:t>
      </w:r>
      <w:r>
        <w:rPr>
          <w:rStyle w:val="11"/>
          <w:rFonts w:hint="default" w:ascii="Times New Roman" w:hAnsi="Times New Roman" w:eastAsia="宋体" w:cs="Times New Roman"/>
          <w:sz w:val="24"/>
          <w:szCs w:val="24"/>
        </w:rPr>
        <w:t>Communication Research</w:t>
      </w:r>
      <w:r>
        <w:rPr>
          <w:rFonts w:hint="default" w:ascii="Times New Roman" w:hAnsi="Times New Roman" w:eastAsia="宋体" w:cs="Times New Roman"/>
          <w:sz w:val="24"/>
          <w:szCs w:val="24"/>
        </w:rPr>
        <w:t>, 48(7), pp. 965–989.</w:t>
      </w:r>
    </w:p>
    <w:p w14:paraId="78F04234">
      <w:pPr>
        <w:pStyle w:val="7"/>
        <w:bidi w:val="0"/>
        <w:rPr>
          <w:rFonts w:hint="default" w:ascii="Times New Roman" w:hAnsi="Times New Roman" w:eastAsia="宋体" w:cs="Times New Roman"/>
          <w:sz w:val="24"/>
          <w:szCs w:val="24"/>
        </w:rPr>
      </w:pPr>
      <w:r>
        <w:rPr>
          <w:rFonts w:hint="default" w:ascii="Times New Roman" w:hAnsi="Times New Roman" w:eastAsia="宋体" w:cs="Times New Roman"/>
          <w:sz w:val="24"/>
          <w:szCs w:val="24"/>
        </w:rPr>
        <w:br w:type="textWrapping"/>
      </w:r>
      <w:r>
        <w:rPr>
          <w:rFonts w:hint="default" w:ascii="Times New Roman" w:hAnsi="Times New Roman" w:eastAsia="宋体" w:cs="Times New Roman"/>
          <w:sz w:val="24"/>
          <w:szCs w:val="24"/>
        </w:rPr>
        <w:t xml:space="preserve">Lewis, R., 2018. </w:t>
      </w:r>
      <w:r>
        <w:rPr>
          <w:rStyle w:val="11"/>
          <w:rFonts w:hint="default" w:ascii="Times New Roman" w:hAnsi="Times New Roman" w:eastAsia="宋体" w:cs="Times New Roman"/>
          <w:sz w:val="24"/>
          <w:szCs w:val="24"/>
        </w:rPr>
        <w:t>When Cultures Collide</w:t>
      </w:r>
      <w:r>
        <w:rPr>
          <w:rFonts w:hint="default" w:ascii="Times New Roman" w:hAnsi="Times New Roman" w:eastAsia="宋体" w:cs="Times New Roman"/>
          <w:sz w:val="24"/>
          <w:szCs w:val="24"/>
        </w:rPr>
        <w:t>. Nicholas Brealey.</w:t>
      </w:r>
    </w:p>
    <w:p w14:paraId="0166D12D">
      <w:pPr>
        <w:pStyle w:val="7"/>
        <w:bidi w:val="0"/>
        <w:rPr>
          <w:rFonts w:hint="default" w:ascii="Times New Roman" w:hAnsi="Times New Roman" w:eastAsia="宋体" w:cs="Times New Roman"/>
          <w:sz w:val="24"/>
          <w:szCs w:val="24"/>
        </w:rPr>
      </w:pPr>
      <w:r>
        <w:rPr>
          <w:rFonts w:hint="default" w:ascii="Times New Roman" w:hAnsi="Times New Roman" w:eastAsia="宋体" w:cs="Times New Roman"/>
          <w:sz w:val="24"/>
          <w:szCs w:val="24"/>
        </w:rPr>
        <w:br w:type="textWrapping"/>
      </w:r>
      <w:r>
        <w:rPr>
          <w:rFonts w:hint="default" w:ascii="Times New Roman" w:hAnsi="Times New Roman" w:eastAsia="宋体" w:cs="Times New Roman"/>
          <w:sz w:val="24"/>
          <w:szCs w:val="24"/>
        </w:rPr>
        <w:t xml:space="preserve">McSweeney, B., 2019. Critique of Hofstede. </w:t>
      </w:r>
      <w:r>
        <w:rPr>
          <w:rStyle w:val="11"/>
          <w:rFonts w:hint="default" w:ascii="Times New Roman" w:hAnsi="Times New Roman" w:eastAsia="宋体" w:cs="Times New Roman"/>
          <w:sz w:val="24"/>
          <w:szCs w:val="24"/>
        </w:rPr>
        <w:t>Human Relations</w:t>
      </w:r>
      <w:r>
        <w:rPr>
          <w:rFonts w:hint="default" w:ascii="Times New Roman" w:hAnsi="Times New Roman" w:eastAsia="宋体" w:cs="Times New Roman"/>
          <w:sz w:val="24"/>
          <w:szCs w:val="24"/>
        </w:rPr>
        <w:t>, 72(6), pp. 1–20.</w:t>
      </w:r>
    </w:p>
    <w:p w14:paraId="270E6BDB">
      <w:pPr>
        <w:pStyle w:val="7"/>
        <w:bidi w:val="0"/>
        <w:rPr>
          <w:rFonts w:hint="default" w:ascii="Times New Roman" w:hAnsi="Times New Roman" w:eastAsia="宋体" w:cs="Times New Roman"/>
          <w:sz w:val="24"/>
          <w:szCs w:val="24"/>
        </w:rPr>
      </w:pPr>
      <w:r>
        <w:rPr>
          <w:rFonts w:hint="default" w:ascii="Times New Roman" w:hAnsi="Times New Roman" w:eastAsia="宋体" w:cs="Times New Roman"/>
          <w:sz w:val="24"/>
          <w:szCs w:val="24"/>
        </w:rPr>
        <w:br w:type="textWrapping"/>
      </w:r>
      <w:r>
        <w:rPr>
          <w:rFonts w:hint="default" w:ascii="Times New Roman" w:hAnsi="Times New Roman" w:eastAsia="宋体" w:cs="Times New Roman"/>
          <w:sz w:val="24"/>
          <w:szCs w:val="24"/>
        </w:rPr>
        <w:t xml:space="preserve">Oshlyansky, L., 2020. Reassessing cultural dimensions. </w:t>
      </w:r>
      <w:r>
        <w:rPr>
          <w:rStyle w:val="11"/>
          <w:rFonts w:hint="default" w:ascii="Times New Roman" w:hAnsi="Times New Roman" w:eastAsia="宋体" w:cs="Times New Roman"/>
          <w:sz w:val="24"/>
          <w:szCs w:val="24"/>
        </w:rPr>
        <w:t>Journal of International Management</w:t>
      </w:r>
      <w:r>
        <w:rPr>
          <w:rFonts w:hint="default" w:ascii="Times New Roman" w:hAnsi="Times New Roman" w:eastAsia="宋体" w:cs="Times New Roman"/>
          <w:sz w:val="24"/>
          <w:szCs w:val="24"/>
        </w:rPr>
        <w:t>, 26(4), pp. 1–13.</w:t>
      </w:r>
    </w:p>
    <w:p w14:paraId="56C4B892">
      <w:pPr>
        <w:pStyle w:val="7"/>
        <w:bidi w:val="0"/>
        <w:rPr>
          <w:rFonts w:hint="default" w:ascii="Times New Roman" w:hAnsi="Times New Roman" w:eastAsia="宋体" w:cs="Times New Roman"/>
          <w:sz w:val="24"/>
          <w:szCs w:val="24"/>
        </w:rPr>
      </w:pPr>
      <w:r>
        <w:rPr>
          <w:rFonts w:hint="default" w:ascii="Times New Roman" w:hAnsi="Times New Roman" w:eastAsia="宋体" w:cs="Times New Roman"/>
          <w:sz w:val="24"/>
          <w:szCs w:val="24"/>
        </w:rPr>
        <w:br w:type="textWrapping"/>
      </w:r>
      <w:r>
        <w:rPr>
          <w:rFonts w:hint="default" w:ascii="Times New Roman" w:hAnsi="Times New Roman" w:eastAsia="宋体" w:cs="Times New Roman"/>
          <w:sz w:val="24"/>
          <w:szCs w:val="24"/>
        </w:rPr>
        <w:t xml:space="preserve">Selmer, J., 2019. Cultural training effectiveness. </w:t>
      </w:r>
      <w:r>
        <w:rPr>
          <w:rStyle w:val="11"/>
          <w:rFonts w:hint="default" w:ascii="Times New Roman" w:hAnsi="Times New Roman" w:eastAsia="宋体" w:cs="Times New Roman"/>
          <w:sz w:val="24"/>
          <w:szCs w:val="24"/>
        </w:rPr>
        <w:t>International Journal of Human Resource Management</w:t>
      </w:r>
      <w:r>
        <w:rPr>
          <w:rFonts w:hint="default" w:ascii="Times New Roman" w:hAnsi="Times New Roman" w:eastAsia="宋体" w:cs="Times New Roman"/>
          <w:sz w:val="24"/>
          <w:szCs w:val="24"/>
        </w:rPr>
        <w:t>, 30(10), pp. 1–20.</w:t>
      </w:r>
    </w:p>
    <w:p w14:paraId="5B383048">
      <w:pPr>
        <w:pStyle w:val="7"/>
        <w:bidi w:val="0"/>
        <w:rPr>
          <w:rFonts w:hint="default" w:ascii="Times New Roman" w:hAnsi="Times New Roman" w:eastAsia="宋体" w:cs="Times New Roman"/>
          <w:sz w:val="24"/>
          <w:szCs w:val="24"/>
        </w:rPr>
      </w:pPr>
      <w:r>
        <w:rPr>
          <w:rFonts w:hint="default" w:ascii="Times New Roman" w:hAnsi="Times New Roman" w:eastAsia="宋体" w:cs="Times New Roman"/>
          <w:sz w:val="24"/>
          <w:szCs w:val="24"/>
        </w:rPr>
        <w:br w:type="textWrapping"/>
      </w:r>
      <w:r>
        <w:rPr>
          <w:rFonts w:hint="default" w:ascii="Times New Roman" w:hAnsi="Times New Roman" w:eastAsia="宋体" w:cs="Times New Roman"/>
          <w:sz w:val="24"/>
          <w:szCs w:val="24"/>
        </w:rPr>
        <w:t xml:space="preserve">Spencer-Oatey, H., 2021. Rapport management theory. </w:t>
      </w:r>
      <w:r>
        <w:rPr>
          <w:rStyle w:val="11"/>
          <w:rFonts w:hint="default" w:ascii="Times New Roman" w:hAnsi="Times New Roman" w:eastAsia="宋体" w:cs="Times New Roman"/>
          <w:sz w:val="24"/>
          <w:szCs w:val="24"/>
        </w:rPr>
        <w:t>Journal of Pragmatics</w:t>
      </w:r>
      <w:r>
        <w:rPr>
          <w:rFonts w:hint="default" w:ascii="Times New Roman" w:hAnsi="Times New Roman" w:eastAsia="宋体" w:cs="Times New Roman"/>
          <w:sz w:val="24"/>
          <w:szCs w:val="24"/>
        </w:rPr>
        <w:t>, 178, pp. 190–205.</w:t>
      </w:r>
    </w:p>
    <w:p w14:paraId="25EEEBFF">
      <w:pPr>
        <w:pStyle w:val="7"/>
        <w:bidi w:val="0"/>
        <w:rPr>
          <w:rFonts w:hint="default" w:ascii="Times New Roman" w:hAnsi="Times New Roman" w:eastAsia="宋体" w:cs="Times New Roman"/>
          <w:sz w:val="24"/>
          <w:szCs w:val="24"/>
        </w:rPr>
      </w:pPr>
      <w:r>
        <w:rPr>
          <w:rFonts w:hint="default" w:ascii="Times New Roman" w:hAnsi="Times New Roman" w:eastAsia="宋体" w:cs="Times New Roman"/>
          <w:sz w:val="24"/>
          <w:szCs w:val="24"/>
        </w:rPr>
        <w:br w:type="textWrapping"/>
      </w:r>
      <w:r>
        <w:rPr>
          <w:rFonts w:hint="default" w:ascii="Times New Roman" w:hAnsi="Times New Roman" w:eastAsia="宋体" w:cs="Times New Roman"/>
          <w:sz w:val="24"/>
          <w:szCs w:val="24"/>
        </w:rPr>
        <w:t xml:space="preserve">Ting-Toomey, S., 2017. </w:t>
      </w:r>
      <w:r>
        <w:rPr>
          <w:rStyle w:val="11"/>
          <w:rFonts w:hint="default" w:ascii="Times New Roman" w:hAnsi="Times New Roman" w:eastAsia="宋体" w:cs="Times New Roman"/>
          <w:sz w:val="24"/>
          <w:szCs w:val="24"/>
        </w:rPr>
        <w:t>Understanding Intercultural Communication</w:t>
      </w:r>
      <w:r>
        <w:rPr>
          <w:rFonts w:hint="default" w:ascii="Times New Roman" w:hAnsi="Times New Roman" w:eastAsia="宋体" w:cs="Times New Roman"/>
          <w:sz w:val="24"/>
          <w:szCs w:val="24"/>
        </w:rPr>
        <w:t>. Oxford University Press.</w:t>
      </w:r>
    </w:p>
    <w:p w14:paraId="5B7EFEC4">
      <w:pPr>
        <w:pStyle w:val="7"/>
        <w:bidi w:val="0"/>
        <w:rPr>
          <w:rFonts w:hint="default" w:ascii="Times New Roman" w:hAnsi="Times New Roman" w:cs="Times New Roman"/>
          <w:sz w:val="24"/>
          <w:szCs w:val="24"/>
        </w:rPr>
      </w:pPr>
      <w:r>
        <w:rPr>
          <w:rFonts w:hint="default" w:ascii="Times New Roman" w:hAnsi="Times New Roman" w:eastAsia="宋体" w:cs="Times New Roman"/>
          <w:sz w:val="24"/>
          <w:szCs w:val="24"/>
        </w:rPr>
        <w:br w:type="textWrapping"/>
      </w:r>
      <w:r>
        <w:rPr>
          <w:rFonts w:hint="default" w:ascii="Times New Roman" w:hAnsi="Times New Roman" w:eastAsia="宋体" w:cs="Times New Roman"/>
          <w:sz w:val="24"/>
          <w:szCs w:val="24"/>
        </w:rPr>
        <w:t xml:space="preserve">Yamagishi, T., 2019. Trust and social networks in Japan. </w:t>
      </w:r>
      <w:r>
        <w:rPr>
          <w:rStyle w:val="11"/>
          <w:rFonts w:hint="default" w:ascii="Times New Roman" w:hAnsi="Times New Roman" w:eastAsia="宋体" w:cs="Times New Roman"/>
          <w:sz w:val="24"/>
          <w:szCs w:val="24"/>
        </w:rPr>
        <w:t>Social Science Japan Journal</w:t>
      </w:r>
      <w:r>
        <w:rPr>
          <w:rFonts w:hint="default" w:ascii="Times New Roman" w:hAnsi="Times New Roman" w:eastAsia="宋体" w:cs="Times New Roman"/>
          <w:sz w:val="24"/>
          <w:szCs w:val="24"/>
        </w:rPr>
        <w:t>, 22(2), pp. 189–208.</w:t>
      </w:r>
    </w:p>
    <w:p w14:paraId="5D566661">
      <w:pPr>
        <w:bidi w:val="0"/>
        <w:rPr>
          <w:rFonts w:hint="default"/>
          <w:lang w:val="en-US" w:eastAsia="zh-CN"/>
        </w:rPr>
      </w:pPr>
    </w:p>
    <w:sectPr>
      <w:footerReference r:id="rId3" w:type="default"/>
      <w:pgSz w:w="11906" w:h="16838"/>
      <w:pgMar w:top="1440" w:right="1800" w:bottom="1440" w:left="1800" w:header="851" w:footer="992" w:gutter="0"/>
      <w:pgNumType w:fmt="decimal" w:start="1"/>
      <w:cols w:space="0" w:num="1"/>
      <w:rtlGutter w:val="0"/>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Segoe UI">
    <w:panose1 w:val="020B0502040204020203"/>
    <w:charset w:val="00"/>
    <w:family w:val="auto"/>
    <w:pitch w:val="default"/>
    <w:sig w:usb0="E4002EFF" w:usb1="C000E47F" w:usb2="00000009" w:usb3="00000000" w:csb0="2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32203414">
    <w:pPr>
      <w:pStyle w:val="3"/>
    </w:pPr>
    <w:r>
      <w:rPr>
        <w:sz w:val="18"/>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1" name="文本框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a:extLst>
                        <a:ext uri="{909E8E84-426E-40DD-AFC4-6F175D3DCCD1}">
                          <a14:hiddenFill xmlns:a14="http://schemas.microsoft.com/office/drawing/2010/main">
                            <a:solidFill>
                              <a:schemeClr val="lt1"/>
                            </a:solidFill>
                          </a14:hiddenFill>
                        </a:ext>
                        <a:ext uri="{91240B29-F687-4F45-9708-019B960494DF}">
                          <a14:hiddenLine xmlns:a14="http://schemas.microsoft.com/office/drawing/2010/main" w="6350">
                            <a:solidFill>
                              <a:prstClr val="black"/>
                            </a:solidFill>
                          </a14:hiddenLine>
                        </a:ext>
                      </a:extLst>
                    </wps:spPr>
                    <wps:style>
                      <a:lnRef idx="0">
                        <a:schemeClr val="accent1"/>
                      </a:lnRef>
                      <a:fillRef idx="0">
                        <a:schemeClr val="accent1"/>
                      </a:fillRef>
                      <a:effectRef idx="0">
                        <a:schemeClr val="accent1"/>
                      </a:effectRef>
                      <a:fontRef idx="minor">
                        <a:schemeClr val="dk1"/>
                      </a:fontRef>
                    </wps:style>
                    <wps:txbx>
                      <w:txbxContent>
                        <w:p w14:paraId="64FF9A9A">
                          <w:pPr>
                            <w:pStyle w:val="3"/>
                          </w:pPr>
                          <w:r>
                            <w:fldChar w:fldCharType="begin"/>
                          </w:r>
                          <w:r>
                            <w:instrText xml:space="preserve"> PAGE  \* MERGEFORMAT </w:instrText>
                          </w:r>
                          <w:r>
                            <w:fldChar w:fldCharType="separate"/>
                          </w:r>
                          <w:r>
                            <w:t>4</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">
              <v:fill on="f" focussize="0,0"/>
              <v:stroke on="f" weight="0.5pt"/>
              <v:imagedata o:title=""/>
              <o:lock v:ext="edit" aspectratio="f"/>
              <v:textbox inset="0mm,0mm,0mm,0mm" style="mso-fit-shape-to-text:t;">
                <w:txbxContent>
                  <w:p w14:paraId="64FF9A9A">
                    <w:pPr>
                      <w:pStyle w:val="3"/>
                    </w:pPr>
                    <w:r>
                      <w:fldChar w:fldCharType="begin"/>
                    </w:r>
                    <w:r>
                      <w:instrText xml:space="preserve"> PAGE  \* MERGEFORMAT </w:instrText>
                    </w:r>
                    <w:r>
                      <w:fldChar w:fldCharType="separate"/>
                    </w:r>
                    <w:r>
                      <w:t>4</w:t>
                    </w:r>
                    <w:r>
                      <w:fldChar w:fldCharType="end"/>
                    </w:r>
                  </w:p>
                </w:txbxContent>
              </v:textbox>
            </v:shape>
          </w:pict>
        </mc:Fallback>
      </mc:AlternateContent>
    </w: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410054B0"/>
    <w:rsid w:val="052546EF"/>
    <w:rsid w:val="18CD4E3E"/>
    <w:rsid w:val="20CA274F"/>
    <w:rsid w:val="410054B0"/>
    <w:rsid w:val="6D7E30DF"/>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semiHidden="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semiHidden="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4"/>
    <w:basedOn w:val="1"/>
    <w:next w:val="1"/>
    <w:unhideWhenUsed/>
    <w:qFormat/>
    <w:uiPriority w:val="0"/>
    <w:pPr>
      <w:keepNext/>
      <w:keepLines/>
      <w:spacing w:before="280" w:beforeLines="0" w:beforeAutospacing="0" w:after="290" w:afterLines="0" w:afterAutospacing="0" w:line="372" w:lineRule="auto"/>
      <w:outlineLvl w:val="3"/>
    </w:pPr>
    <w:rPr>
      <w:rFonts w:ascii="Arial" w:hAnsi="Arial" w:eastAsia="黑体"/>
      <w:b/>
      <w:sz w:val="28"/>
    </w:rPr>
  </w:style>
  <w:style w:type="character" w:default="1" w:styleId="9">
    <w:name w:val="Default Paragraph Font"/>
    <w:qFormat/>
    <w:uiPriority w:val="0"/>
  </w:style>
  <w:style w:type="table" w:default="1" w:styleId="8">
    <w:name w:val="Normal Table"/>
    <w:semiHidden/>
    <w:qFormat/>
    <w:uiPriority w:val="0"/>
    <w:tblPr>
      <w:tblCellMar>
        <w:top w:w="0" w:type="dxa"/>
        <w:left w:w="108" w:type="dxa"/>
        <w:bottom w:w="0" w:type="dxa"/>
        <w:right w:w="108" w:type="dxa"/>
      </w:tblCellMar>
    </w:tblPr>
  </w:style>
  <w:style w:type="paragraph" w:styleId="3">
    <w:name w:val="footer"/>
    <w:basedOn w:val="1"/>
    <w:uiPriority w:val="0"/>
    <w:pPr>
      <w:tabs>
        <w:tab w:val="center" w:pos="4153"/>
        <w:tab w:val="right" w:pos="8306"/>
      </w:tabs>
      <w:snapToGrid w:val="0"/>
      <w:jc w:val="left"/>
    </w:pPr>
    <w:rPr>
      <w:sz w:val="18"/>
    </w:rPr>
  </w:style>
  <w:style w:type="paragraph" w:styleId="4">
    <w:name w:val="header"/>
    <w:basedOn w:val="1"/>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styleId="5">
    <w:name w:val="toc 1"/>
    <w:basedOn w:val="1"/>
    <w:next w:val="1"/>
    <w:uiPriority w:val="0"/>
  </w:style>
  <w:style w:type="paragraph" w:styleId="6">
    <w:name w:val="toc 2"/>
    <w:basedOn w:val="1"/>
    <w:next w:val="1"/>
    <w:uiPriority w:val="0"/>
    <w:pPr>
      <w:ind w:left="420" w:leftChars="200"/>
    </w:pPr>
  </w:style>
  <w:style w:type="paragraph" w:styleId="7">
    <w:name w:val="Normal (Web)"/>
    <w:basedOn w:val="1"/>
    <w:uiPriority w:val="0"/>
    <w:pPr>
      <w:spacing w:before="0" w:beforeAutospacing="1" w:after="0" w:afterAutospacing="1"/>
      <w:ind w:left="0" w:right="0"/>
      <w:jc w:val="left"/>
    </w:pPr>
    <w:rPr>
      <w:kern w:val="0"/>
      <w:sz w:val="24"/>
      <w:lang w:val="en-US" w:eastAsia="zh-CN" w:bidi="ar"/>
    </w:rPr>
  </w:style>
  <w:style w:type="character" w:styleId="10">
    <w:name w:val="Strong"/>
    <w:basedOn w:val="9"/>
    <w:qFormat/>
    <w:uiPriority w:val="0"/>
    <w:rPr>
      <w:b/>
    </w:rPr>
  </w:style>
  <w:style w:type="character" w:styleId="11">
    <w:name w:val="Emphasis"/>
    <w:basedOn w:val="9"/>
    <w:qFormat/>
    <w:uiPriority w:val="0"/>
    <w:rPr>
      <w:i/>
    </w:rPr>
  </w:style>
  <w:style w:type="character" w:styleId="12">
    <w:name w:val="Hyperlink"/>
    <w:basedOn w:val="9"/>
    <w:uiPriority w:val="0"/>
    <w:rPr>
      <w:color w:val="0000FF"/>
      <w:u w:val="single"/>
    </w:rPr>
  </w:style>
  <w:style w:type="paragraph" w:customStyle="1" w:styleId="13">
    <w:name w:val="内容"/>
    <w:basedOn w:val="1"/>
    <w:qFormat/>
    <w:uiPriority w:val="0"/>
    <w:pPr>
      <w:spacing w:line="480" w:lineRule="auto"/>
    </w:pPr>
    <w:rPr>
      <w:rFonts w:ascii="Times New Roman" w:hAnsi="Times New Roman" w:eastAsia="Times New Roman"/>
      <w:sz w:val="24"/>
    </w:rPr>
  </w:style>
  <w:style w:type="paragraph" w:customStyle="1" w:styleId="14">
    <w:name w:val="1"/>
    <w:basedOn w:val="1"/>
    <w:qFormat/>
    <w:uiPriority w:val="0"/>
    <w:pPr>
      <w:spacing w:line="240" w:lineRule="auto"/>
    </w:pPr>
    <w:rPr>
      <w:rFonts w:hint="default" w:ascii="Times New Roman" w:hAnsi="Times New Roman" w:eastAsia="Times New Roman"/>
      <w:b/>
      <w:sz w:val="24"/>
    </w:rPr>
  </w:style>
  <w:style w:type="paragraph" w:customStyle="1" w:styleId="15">
    <w:name w:val="2"/>
    <w:basedOn w:val="1"/>
    <w:qFormat/>
    <w:uiPriority w:val="0"/>
    <w:pPr>
      <w:spacing w:line="240" w:lineRule="auto"/>
    </w:pPr>
    <w:rPr>
      <w:rFonts w:hint="default" w:ascii="Times New Roman" w:hAnsi="Times New Roman" w:eastAsia="Times New Roman"/>
      <w:b/>
      <w:bCs/>
      <w:sz w:val="24"/>
    </w:rPr>
  </w:style>
</w:styles>
</file>

<file path=word/_rels/document.xml.rels><?xml version="1.0" encoding="UTF-8" standalone="yes"?>
<Relationships xmlns="http://schemas.openxmlformats.org/package/2006/relationships"><Relationship Id="rId6" Type="http://schemas.openxmlformats.org/officeDocument/2006/relationships/fontTable" Target="fontTable.xml"/><Relationship Id="rId5" Type="http://schemas.openxmlformats.org/officeDocument/2006/relationships/customXml" Target="../customXml/item1.xml"/><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18</Pages>
  <Words>2391</Words>
  <Characters>16025</Characters>
  <Lines>0</Lines>
  <Paragraphs>0</Paragraphs>
  <TotalTime>12</TotalTime>
  <ScaleCrop>false</ScaleCrop>
  <LinksUpToDate>false</LinksUpToDate>
  <CharactersWithSpaces>18385</CharactersWithSpaces>
  <Application>WPS Office_12.1.0.24034_F1E327BC-269C-435d-A152-05C5408002CA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2025-12-11T09:19:00Z</dcterms:created>
  <dc:creator>。。。</dc:creator>
  <cp:lastModifiedBy>。。。</cp:lastModifiedBy>
  <dcterms:modified xsi:type="dcterms:W3CDTF">2025-12-11T22:39:02Z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2052-12.1.0.24034</vt:lpwstr>
  </property>
  <property fmtid="{D5CDD505-2E9C-101B-9397-08002B2CF9AE}" pid="3" name="ICV">
    <vt:lpwstr>C0BB41053D504442AC8A140B9908D0F5_11</vt:lpwstr>
  </property>
  <property fmtid="{D5CDD505-2E9C-101B-9397-08002B2CF9AE}" pid="4" name="KSOTemplateDocerSaveRecord">
    <vt:lpwstr>eyJoZGlkIjoiNzM1NzU0MDllM2FjZWZjNWViNzk5YTZmYTA4MjQ0YjciLCJ1c2VySWQiOiI0MTIwMDU2NzQifQ==</vt:lpwstr>
  </property>
</Properties>
</file>