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AED7D8" w14:textId="4F131F1F" w:rsidR="005F0CE9" w:rsidRDefault="007E3380" w:rsidP="007E3380">
      <w:pPr>
        <w:jc w:val="center"/>
        <w:rPr>
          <w:rFonts w:ascii="Arial" w:hAnsi="Arial" w:cs="Arial"/>
          <w:b/>
          <w:bCs/>
          <w:sz w:val="36"/>
          <w:szCs w:val="36"/>
        </w:rPr>
      </w:pPr>
      <w:r w:rsidRPr="007E3380">
        <w:rPr>
          <w:rFonts w:ascii="Arial" w:hAnsi="Arial" w:cs="Arial"/>
          <w:b/>
          <w:bCs/>
          <w:sz w:val="36"/>
          <w:szCs w:val="36"/>
        </w:rPr>
        <w:t xml:space="preserve">Written Assignment </w:t>
      </w:r>
    </w:p>
    <w:p w14:paraId="3A2C82A9" w14:textId="77777777" w:rsidR="007E3380" w:rsidRDefault="007E3380" w:rsidP="007E3380">
      <w:pPr>
        <w:jc w:val="center"/>
        <w:rPr>
          <w:rFonts w:ascii="Arial" w:hAnsi="Arial" w:cs="Arial"/>
          <w:b/>
          <w:bCs/>
          <w:sz w:val="36"/>
          <w:szCs w:val="36"/>
        </w:rPr>
      </w:pPr>
    </w:p>
    <w:p w14:paraId="00BE871C" w14:textId="77777777" w:rsidR="007E3380" w:rsidRPr="00103F56" w:rsidRDefault="007E3380" w:rsidP="007E3380">
      <w:pPr>
        <w:jc w:val="center"/>
        <w:rPr>
          <w:rFonts w:ascii="Arial" w:hAnsi="Arial" w:cs="Arial"/>
          <w:sz w:val="30"/>
          <w:szCs w:val="30"/>
        </w:rPr>
      </w:pPr>
      <w:r w:rsidRPr="00103F56">
        <w:rPr>
          <w:rFonts w:ascii="Arial" w:hAnsi="Arial" w:cs="Arial"/>
          <w:sz w:val="30"/>
          <w:szCs w:val="30"/>
        </w:rPr>
        <w:t>Student Name: Keiry Rodriguez</w:t>
      </w:r>
    </w:p>
    <w:p w14:paraId="2851E2A3" w14:textId="77777777" w:rsidR="007E3380" w:rsidRPr="00103F56" w:rsidRDefault="007E3380" w:rsidP="007E3380">
      <w:pPr>
        <w:jc w:val="center"/>
        <w:rPr>
          <w:rFonts w:ascii="Arial" w:hAnsi="Arial" w:cs="Arial"/>
          <w:sz w:val="30"/>
          <w:szCs w:val="30"/>
        </w:rPr>
      </w:pPr>
      <w:r w:rsidRPr="00103F56">
        <w:rPr>
          <w:rFonts w:ascii="Arial" w:hAnsi="Arial" w:cs="Arial"/>
          <w:sz w:val="30"/>
          <w:szCs w:val="30"/>
        </w:rPr>
        <w:t>Student Number: 2520510</w:t>
      </w:r>
    </w:p>
    <w:p w14:paraId="68705A29" w14:textId="3F2DE9FD" w:rsidR="007E3380" w:rsidRPr="00103F56" w:rsidRDefault="007E3380" w:rsidP="007E3380">
      <w:pPr>
        <w:jc w:val="center"/>
        <w:rPr>
          <w:rFonts w:ascii="Arial" w:hAnsi="Arial" w:cs="Arial"/>
          <w:sz w:val="30"/>
          <w:szCs w:val="30"/>
        </w:rPr>
      </w:pPr>
      <w:r w:rsidRPr="00103F56">
        <w:rPr>
          <w:rFonts w:ascii="Arial" w:hAnsi="Arial" w:cs="Arial"/>
          <w:sz w:val="30"/>
          <w:szCs w:val="30"/>
        </w:rPr>
        <w:t xml:space="preserve">Module Code: </w:t>
      </w:r>
      <w:r>
        <w:rPr>
          <w:rFonts w:ascii="Arial" w:hAnsi="Arial" w:cs="Arial"/>
          <w:sz w:val="30"/>
          <w:szCs w:val="30"/>
        </w:rPr>
        <w:t>LCHS4003</w:t>
      </w:r>
    </w:p>
    <w:p w14:paraId="28A28513" w14:textId="12351B7A" w:rsidR="007E3380" w:rsidRDefault="007E3380" w:rsidP="007E3380">
      <w:pPr>
        <w:jc w:val="center"/>
        <w:rPr>
          <w:rFonts w:ascii="Arial" w:hAnsi="Arial" w:cs="Arial"/>
          <w:sz w:val="30"/>
          <w:szCs w:val="30"/>
        </w:rPr>
      </w:pPr>
      <w:r w:rsidRPr="00103F56">
        <w:rPr>
          <w:rFonts w:ascii="Arial" w:hAnsi="Arial" w:cs="Arial"/>
          <w:sz w:val="30"/>
          <w:szCs w:val="30"/>
        </w:rPr>
        <w:t>Lecture Name:</w:t>
      </w:r>
      <w:r>
        <w:rPr>
          <w:rFonts w:ascii="Arial" w:hAnsi="Arial" w:cs="Arial"/>
          <w:sz w:val="30"/>
          <w:szCs w:val="30"/>
        </w:rPr>
        <w:t xml:space="preserve"> Vivian </w:t>
      </w:r>
      <w:proofErr w:type="spellStart"/>
      <w:r>
        <w:rPr>
          <w:rFonts w:ascii="Arial" w:hAnsi="Arial" w:cs="Arial"/>
          <w:sz w:val="30"/>
          <w:szCs w:val="30"/>
        </w:rPr>
        <w:t>Osuchukwu</w:t>
      </w:r>
      <w:proofErr w:type="spellEnd"/>
      <w:r>
        <w:rPr>
          <w:rFonts w:ascii="Arial" w:hAnsi="Arial" w:cs="Arial"/>
          <w:sz w:val="30"/>
          <w:szCs w:val="30"/>
        </w:rPr>
        <w:t xml:space="preserve"> </w:t>
      </w:r>
    </w:p>
    <w:p w14:paraId="0E2886CB" w14:textId="4A14C59A" w:rsidR="007E3380" w:rsidRDefault="007E3380" w:rsidP="007E3380">
      <w:pPr>
        <w:jc w:val="center"/>
        <w:rPr>
          <w:rFonts w:ascii="Arial" w:hAnsi="Arial" w:cs="Arial"/>
          <w:sz w:val="30"/>
          <w:szCs w:val="30"/>
        </w:rPr>
      </w:pPr>
      <w:r>
        <w:rPr>
          <w:rFonts w:ascii="Arial" w:hAnsi="Arial" w:cs="Arial"/>
          <w:sz w:val="30"/>
          <w:szCs w:val="30"/>
        </w:rPr>
        <w:t>Date Of Submission: 24</w:t>
      </w:r>
      <w:r w:rsidRPr="007E3380">
        <w:rPr>
          <w:rFonts w:ascii="Arial" w:hAnsi="Arial" w:cs="Arial"/>
          <w:sz w:val="30"/>
          <w:szCs w:val="30"/>
          <w:vertAlign w:val="superscript"/>
        </w:rPr>
        <w:t>th</w:t>
      </w:r>
      <w:r>
        <w:rPr>
          <w:rFonts w:ascii="Arial" w:hAnsi="Arial" w:cs="Arial"/>
          <w:sz w:val="30"/>
          <w:szCs w:val="30"/>
        </w:rPr>
        <w:t xml:space="preserve"> of July</w:t>
      </w:r>
    </w:p>
    <w:p w14:paraId="4042F12E" w14:textId="77777777" w:rsidR="007E3380" w:rsidRDefault="007E3380" w:rsidP="007E3380">
      <w:pPr>
        <w:jc w:val="center"/>
        <w:rPr>
          <w:rFonts w:ascii="Arial" w:hAnsi="Arial" w:cs="Arial"/>
          <w:b/>
          <w:bCs/>
          <w:sz w:val="36"/>
          <w:szCs w:val="36"/>
        </w:rPr>
      </w:pPr>
    </w:p>
    <w:p w14:paraId="732FD089" w14:textId="77777777" w:rsidR="00850015" w:rsidRDefault="00850015" w:rsidP="007E3380">
      <w:pPr>
        <w:jc w:val="center"/>
        <w:rPr>
          <w:rFonts w:ascii="Arial" w:hAnsi="Arial" w:cs="Arial"/>
          <w:b/>
          <w:bCs/>
          <w:sz w:val="36"/>
          <w:szCs w:val="36"/>
        </w:rPr>
      </w:pPr>
    </w:p>
    <w:p w14:paraId="5E2855C1" w14:textId="77777777" w:rsidR="00850015" w:rsidRDefault="00850015" w:rsidP="007E3380">
      <w:pPr>
        <w:jc w:val="center"/>
        <w:rPr>
          <w:rFonts w:ascii="Arial" w:hAnsi="Arial" w:cs="Arial"/>
          <w:b/>
          <w:bCs/>
          <w:sz w:val="36"/>
          <w:szCs w:val="36"/>
        </w:rPr>
      </w:pPr>
    </w:p>
    <w:p w14:paraId="3FFE301B" w14:textId="77777777" w:rsidR="003F69C1" w:rsidRDefault="003F69C1" w:rsidP="007E3380">
      <w:pPr>
        <w:spacing w:line="360" w:lineRule="auto"/>
        <w:rPr>
          <w:rFonts w:ascii="Arial" w:hAnsi="Arial" w:cs="Arial"/>
          <w:sz w:val="22"/>
          <w:szCs w:val="22"/>
        </w:rPr>
      </w:pPr>
    </w:p>
    <w:p w14:paraId="6BDA982C" w14:textId="6A259CD3" w:rsidR="007E3380" w:rsidRDefault="00F543E8" w:rsidP="007E3380">
      <w:pPr>
        <w:spacing w:line="360" w:lineRule="auto"/>
        <w:rPr>
          <w:rFonts w:ascii="Arial" w:hAnsi="Arial" w:cs="Arial"/>
          <w:sz w:val="22"/>
          <w:szCs w:val="22"/>
        </w:rPr>
      </w:pPr>
      <w:r w:rsidRPr="00F543E8">
        <w:rPr>
          <w:rFonts w:ascii="Arial" w:hAnsi="Arial" w:cs="Arial"/>
          <w:sz w:val="22"/>
          <w:szCs w:val="22"/>
        </w:rPr>
        <w:t>Our case study concerns Mrs. Thompson, an 84-year-old woman recently discharged from the hospital following a bout of pneumonia. She lives alone and receives home care twice daily. Mrs. Thompson has mild dementia; consequently, she sometimes forgets to take her medication, which increases her confusion regarding her whereabouts or identity. A recent instance of missed medication triggered the service's incident protocols, resulting in a request for a medication review. Additionally, she was found wandering outside dressed inappropriately for the cold weather. The local council is currently reviewing Mrs. Thompson's case. In this assignment, we will explore how interactions between public services—such as the council and the GP—could be improved regarding communication, administration, and collaboration, for the benefit of Mrs. Thompson and other patients who might face similar situations.</w:t>
      </w:r>
    </w:p>
    <w:p w14:paraId="20C81684" w14:textId="77777777" w:rsidR="007B73ED" w:rsidRDefault="007B73ED" w:rsidP="007B73ED">
      <w:pPr>
        <w:spacing w:line="360" w:lineRule="auto"/>
        <w:rPr>
          <w:rFonts w:ascii="Arial" w:hAnsi="Arial" w:cs="Arial"/>
          <w:sz w:val="22"/>
          <w:szCs w:val="22"/>
        </w:rPr>
      </w:pPr>
      <w:r w:rsidRPr="001C6EAF">
        <w:t xml:space="preserve">Communication between care services is essential for optimal patient care, as it conveys vital information—such as medications, treatments, existing conditions, or long-term illnesses—that can significantly impact a patient's life, as seen in Mrs. Thompson's case. Patients often require input from multiple services to ensure the best possible care; Mrs. Thompson, for instance, needs doctors, nurses, a GP, and home care workers. Effective communication among these professionals can vastly improve an individual's quality of life. Furthermore, effective communication involving care </w:t>
      </w:r>
      <w:r w:rsidRPr="001C6EAF">
        <w:lastRenderedPageBreak/>
        <w:t>services, patients, and their families makes a significant difference; empowering patients is deeply rewarding, helping them maintain a positive sense of self. Performing simple tasks independently—such as making a cup of tea or choosing an outfit—boosts their confidence and self-esteem. However, challenges can arise; barriers related to language, culture, or religion may hinder care delivery. These obstacles can prevent patients from understanding information, expressing their feelings or needs, or describing symptoms and medical history—details that are often crucial. For immigrant patients, the lack of medical records from their home country means they must personally explain their medical background to the doctor. Additionally, as noted by Medscape (2025), certain religions prohibit blood transfusions, and some individuals may refuse medical treatment or even life-saving surgeries. According to Communication Theory (n.d.), which clearly explains Berlo’s (1960) SMCR communication model, the framework is effective for preventing misunderstandings; it was designed to ensure efficient communication and the accurate conveyance of necessary information. Regarding the "S" (Source)—the individual who possesses knowledge of the subject and communicates based on their familiarity with it—the source must speak clearly and be knowledgeable about the topic, while also remaining respectful of other religions, beliefs, ethnicities, and so forth. The "M" stands for Message; this component contains the information and spans "the beginning to the end" (Communication Theory, n.d.), potentially incorporating accompanying elements such as body language</w:t>
      </w:r>
      <w:r>
        <w:t xml:space="preserve">, </w:t>
      </w:r>
      <w:r w:rsidRPr="001C6EAF">
        <w:t>signs</w:t>
      </w:r>
      <w:r>
        <w:t xml:space="preserve"> or gestures, t</w:t>
      </w:r>
      <w:r w:rsidRPr="001C6EAF">
        <w:t>he way people are treated also plays a major role; poor treatment leads to a breakdown in communication, whereas good rapport is essential for building trust and ensuring they take the matter seriously.</w:t>
      </w:r>
      <w:r>
        <w:t xml:space="preserve"> </w:t>
      </w:r>
      <w:r w:rsidRPr="003A587F">
        <w:rPr>
          <w:rFonts w:ascii="Arial" w:hAnsi="Arial" w:cs="Arial"/>
          <w:sz w:val="22"/>
          <w:szCs w:val="22"/>
        </w:rPr>
        <w:t>The "channel" refers to the medium of communication; there are five types. First is *hearing*, which applies when a message is conveyed in person or via a phone call, requiring one to listen attentively. *Seeing* applies when the message is presented in a film or video. *Touching* involves conveying a message through actions like a hug or holding hands—perhaps as a sign of support. *Smelling* occurs when one detects a scent—such as smelling a perfume to see if the fragrance is pleasing, or sniffing milk to ensure it has not spoiled. Finally, *tasting* involves the tongue and taste buds; for instance, this sense might signal that spicy food is not to one's liking or is not what is needed.</w:t>
      </w:r>
      <w:r w:rsidRPr="001C6EAF">
        <w:t xml:space="preserve"> </w:t>
      </w:r>
      <w:r w:rsidRPr="001C6EAF">
        <w:rPr>
          <w:rFonts w:ascii="Arial" w:hAnsi="Arial" w:cs="Arial"/>
          <w:sz w:val="22"/>
          <w:szCs w:val="22"/>
        </w:rPr>
        <w:t xml:space="preserve">The Equality Act 2010 protects individuals against discrimination regardless of race, religion, age, sex, or other factors. Many people choose to forgo medical care out of fear of discrimination, a lack of dignity during doctor </w:t>
      </w:r>
      <w:r w:rsidRPr="001C6EAF">
        <w:rPr>
          <w:rFonts w:ascii="Arial" w:hAnsi="Arial" w:cs="Arial"/>
          <w:sz w:val="22"/>
          <w:szCs w:val="22"/>
        </w:rPr>
        <w:lastRenderedPageBreak/>
        <w:t>visits, or an inability to articulate their symptoms. Berlo’s 1960 communication models can be updated to make an even greater global impact—even when there is a language barrier—by utilizing the "hearing" channel to convey sounds like coughing, or the "visual" channel to display images that facilitate identification; such measures could encourage patients who face these challenges to visit their GP more frequently.</w:t>
      </w:r>
    </w:p>
    <w:p w14:paraId="17BCC4E9" w14:textId="77777777" w:rsidR="009D4E6F" w:rsidRDefault="009D4E6F" w:rsidP="009D4E6F">
      <w:r w:rsidRPr="001C6EAF">
        <w:t xml:space="preserve">Mrs. Thompson’s GP and other healthcare providers—as well as her own family—failed her; the entire system let her down, and she bore the terrible consequences of their highly inefficient or non-existent communication regarding her ongoing care. While communication between these parties can be challenging, there may well be many others in situations </w:t>
      </w:r>
      <w:proofErr w:type="gramStart"/>
      <w:r w:rsidRPr="001C6EAF">
        <w:t>similar to</w:t>
      </w:r>
      <w:proofErr w:type="gramEnd"/>
      <w:r w:rsidRPr="001C6EAF">
        <w:t xml:space="preserve"> Mrs. Thompson’s, putting their lives at risk. The Data Protection Act 2018 was enacted to safeguard patients' private data, preventing the disclosure of personal information to unauthorized individuals; under this law, access to Mrs. Thompson’s personal details is restricted to professionals who genuinely need the information to assist with her care—such as her assigned nurses, her daily home-care nurse, doctor, psychiatrist, or pharmacist. When she forgot her medication and went out, she risked having her personal data exposed to non-essential individuals. Care services must document these events, as keeping medical records up to date is crucial; they should also consult those close to her to see if they noticed any changes—such as physical alterations, confusion, or other unusual behaviour. Subsequently, authorities must apply the Data Protection Act 2018 and the Care Act 2014; given that Mrs. Thompson was found outdoors in clothing unsuitable for the cold and had missed two days of medication, </w:t>
      </w:r>
      <w:r>
        <w:rPr>
          <w:rFonts w:ascii="Arial" w:hAnsi="Arial" w:cs="Arial"/>
          <w:sz w:val="22"/>
          <w:szCs w:val="22"/>
        </w:rPr>
        <w:t xml:space="preserve">Torbay and Devon Safeguarding adults Care (N.D)  </w:t>
      </w:r>
      <w:r w:rsidRPr="001C6EAF">
        <w:t xml:space="preserve">local authorities would likely </w:t>
      </w:r>
      <w:r>
        <w:t>re</w:t>
      </w:r>
      <w:r w:rsidRPr="001C6EAF">
        <w:t>view her situation as a risk requiring safeguarding considerations</w:t>
      </w:r>
      <w:r>
        <w:t xml:space="preserve">, </w:t>
      </w:r>
      <w:r w:rsidRPr="001C6EAF">
        <w:t>Since there was a strong possibility of it happening again, it would be best to keep her under surveillance to ensure her safety.</w:t>
      </w:r>
    </w:p>
    <w:p w14:paraId="31C3F79A" w14:textId="0D4EA94E" w:rsidR="003A0778" w:rsidRDefault="00AF150B" w:rsidP="007E3380">
      <w:pPr>
        <w:spacing w:line="360" w:lineRule="auto"/>
      </w:pPr>
      <w:r w:rsidRPr="001C6EAF">
        <w:t xml:space="preserve">Collaborating on matters like this is vital for patients; our goal is to help those in need and do everything within our power to provide the best possible care, ensuring a good and fulfilling quality of life despite the daily challenges posed by their illnesses or conditions. Everyone involved in a case like Mrs. Thompson’s plays an important and necessary role within the team, contributing to safety and health. Establishing effective communication is crucial to ensuring everything is under control and to staying informed about any necessary changes, patient needs, or new developments. A person-centred care approach is essential for maintaining order and control in the patients' daily lives, helping them adapt smoothly to their routines while also allowing for enjoyable activities they appreciate. The most common challenge is poor team communication; this can lead team members to assume someone else is handling a </w:t>
      </w:r>
      <w:r w:rsidRPr="001C6EAF">
        <w:lastRenderedPageBreak/>
        <w:t>task, and individual priorities vary—sometimes team members must attend to more complex cases, inadvertently neglecting other patients who also require their care.</w:t>
      </w:r>
    </w:p>
    <w:p w14:paraId="16917EF6" w14:textId="77777777" w:rsidR="002C64F3" w:rsidRDefault="002C64F3" w:rsidP="002C64F3">
      <w:r w:rsidRPr="001C6EAF">
        <w:t xml:space="preserve">In conclusion, Mrs. Thompson's case highlights the importance of collaborative working within the health and social care sector, as this work has a profound impact on the </w:t>
      </w:r>
      <w:proofErr w:type="gramStart"/>
      <w:r w:rsidRPr="001C6EAF">
        <w:t>individuals</w:t>
      </w:r>
      <w:proofErr w:type="gramEnd"/>
      <w:r w:rsidRPr="001C6EAF">
        <w:t xml:space="preserve"> receiving services. It also demonstrates how quickly a situation can deteriorate; Mrs. Thompson is recovering from pneumonia, lives alone, and has mild dementia, meaning her care needs are complex and require regular monitoring to mitigate risks such as missed medication or safety hazards. Fortunately, Mrs. Thompson was ultimately safe, though she had faced a dangerous situation that could have led to serious illness or even a traffic accident. Her case underscores the vital importance of communication between care services, the local council, the patient's family, and the patient herself. Following the incident, all parties acted appropriately, adhering to the Data Protection Act 2018 to safeguard her personal information and the Care Act 2014 to protect her privacy while enabling the sharing of relevant data with those directly involved in her care. This illustrates how practices can be improved and demonstrates the effectiveness of teamwork—involving the GP, community nurse, domiciliary care workers, pharmacist, and local authority—in ensuring safety. Working in partnership not only enhances the quality and continuity of care but also facilitates early risk identification and the implementation of appropriate support. Ultimately, maintaining accurate records, complying with relevant legislation, respecting confidentiality, and working collaboratively help ensure that Mrs. Thompson and others can lead dignified, independent, and secure lives.</w:t>
      </w:r>
    </w:p>
    <w:p w14:paraId="79C874BD" w14:textId="77777777" w:rsidR="003A0778" w:rsidRDefault="003A0778" w:rsidP="007E3380">
      <w:pPr>
        <w:spacing w:line="360" w:lineRule="auto"/>
        <w:rPr>
          <w:rFonts w:ascii="Arial" w:hAnsi="Arial" w:cs="Arial"/>
          <w:sz w:val="22"/>
          <w:szCs w:val="22"/>
        </w:rPr>
      </w:pPr>
    </w:p>
    <w:p w14:paraId="749BD98C" w14:textId="77777777" w:rsidR="007B1D40" w:rsidRDefault="007B1D40" w:rsidP="007E3380">
      <w:pPr>
        <w:spacing w:line="360" w:lineRule="auto"/>
        <w:rPr>
          <w:rFonts w:ascii="Arial" w:hAnsi="Arial" w:cs="Arial"/>
          <w:sz w:val="22"/>
          <w:szCs w:val="22"/>
        </w:rPr>
      </w:pPr>
    </w:p>
    <w:p w14:paraId="04B1F935" w14:textId="77777777" w:rsidR="007B1D40" w:rsidRDefault="007B1D40" w:rsidP="007E3380">
      <w:pPr>
        <w:spacing w:line="360" w:lineRule="auto"/>
        <w:rPr>
          <w:rFonts w:ascii="Arial" w:hAnsi="Arial" w:cs="Arial"/>
          <w:sz w:val="22"/>
          <w:szCs w:val="22"/>
        </w:rPr>
      </w:pPr>
    </w:p>
    <w:p w14:paraId="5BDFE022" w14:textId="77777777" w:rsidR="007B1D40" w:rsidRDefault="007B1D40" w:rsidP="007E3380">
      <w:pPr>
        <w:spacing w:line="360" w:lineRule="auto"/>
        <w:rPr>
          <w:rFonts w:ascii="Arial" w:hAnsi="Arial" w:cs="Arial"/>
          <w:sz w:val="22"/>
          <w:szCs w:val="22"/>
        </w:rPr>
      </w:pPr>
    </w:p>
    <w:p w14:paraId="26DF85A3" w14:textId="77777777" w:rsidR="007B1D40" w:rsidRDefault="007B1D40" w:rsidP="007E3380">
      <w:pPr>
        <w:spacing w:line="360" w:lineRule="auto"/>
        <w:rPr>
          <w:rFonts w:ascii="Arial" w:hAnsi="Arial" w:cs="Arial"/>
          <w:sz w:val="22"/>
          <w:szCs w:val="22"/>
        </w:rPr>
      </w:pPr>
    </w:p>
    <w:p w14:paraId="42EBA441" w14:textId="77777777" w:rsidR="007B1D40" w:rsidRDefault="007B1D40" w:rsidP="007E3380">
      <w:pPr>
        <w:spacing w:line="360" w:lineRule="auto"/>
        <w:rPr>
          <w:rFonts w:ascii="Arial" w:hAnsi="Arial" w:cs="Arial"/>
          <w:sz w:val="22"/>
          <w:szCs w:val="22"/>
        </w:rPr>
      </w:pPr>
    </w:p>
    <w:p w14:paraId="2ABDFF5C" w14:textId="77777777" w:rsidR="007B1D40" w:rsidRDefault="007B1D40" w:rsidP="007E3380">
      <w:pPr>
        <w:spacing w:line="360" w:lineRule="auto"/>
        <w:rPr>
          <w:rFonts w:ascii="Arial" w:hAnsi="Arial" w:cs="Arial"/>
          <w:sz w:val="22"/>
          <w:szCs w:val="22"/>
        </w:rPr>
      </w:pPr>
    </w:p>
    <w:p w14:paraId="79FF5132" w14:textId="77777777" w:rsidR="007B1D40" w:rsidRDefault="007B1D40" w:rsidP="007E3380">
      <w:pPr>
        <w:spacing w:line="360" w:lineRule="auto"/>
        <w:rPr>
          <w:rFonts w:ascii="Arial" w:hAnsi="Arial" w:cs="Arial"/>
          <w:sz w:val="22"/>
          <w:szCs w:val="22"/>
        </w:rPr>
      </w:pPr>
    </w:p>
    <w:p w14:paraId="30DB0579" w14:textId="77777777" w:rsidR="007B1D40" w:rsidRDefault="007B1D40" w:rsidP="007E3380">
      <w:pPr>
        <w:spacing w:line="360" w:lineRule="auto"/>
        <w:rPr>
          <w:rFonts w:ascii="Arial" w:hAnsi="Arial" w:cs="Arial"/>
          <w:sz w:val="22"/>
          <w:szCs w:val="22"/>
        </w:rPr>
      </w:pPr>
    </w:p>
    <w:p w14:paraId="55290461" w14:textId="77777777" w:rsidR="007B1D40" w:rsidRDefault="007B1D40" w:rsidP="007E3380">
      <w:pPr>
        <w:spacing w:line="360" w:lineRule="auto"/>
        <w:rPr>
          <w:rFonts w:ascii="Arial" w:hAnsi="Arial" w:cs="Arial"/>
          <w:sz w:val="22"/>
          <w:szCs w:val="22"/>
        </w:rPr>
      </w:pPr>
    </w:p>
    <w:p w14:paraId="2818F234" w14:textId="77777777" w:rsidR="007B1D40" w:rsidRDefault="007B1D40" w:rsidP="007E3380">
      <w:pPr>
        <w:spacing w:line="360" w:lineRule="auto"/>
        <w:rPr>
          <w:rFonts w:ascii="Arial" w:hAnsi="Arial" w:cs="Arial"/>
          <w:sz w:val="22"/>
          <w:szCs w:val="22"/>
        </w:rPr>
      </w:pPr>
    </w:p>
    <w:p w14:paraId="74046757" w14:textId="77777777" w:rsidR="007B1D40" w:rsidRDefault="007B1D40" w:rsidP="007E3380">
      <w:pPr>
        <w:spacing w:line="360" w:lineRule="auto"/>
        <w:rPr>
          <w:rFonts w:ascii="Arial" w:hAnsi="Arial" w:cs="Arial"/>
          <w:sz w:val="22"/>
          <w:szCs w:val="22"/>
        </w:rPr>
      </w:pPr>
    </w:p>
    <w:p w14:paraId="7DD0C4E6" w14:textId="5C4D9034" w:rsidR="007B1D40" w:rsidRDefault="007B1D40" w:rsidP="007E3380">
      <w:pPr>
        <w:spacing w:line="360" w:lineRule="auto"/>
        <w:rPr>
          <w:rFonts w:ascii="Arial" w:hAnsi="Arial" w:cs="Arial"/>
          <w:sz w:val="22"/>
          <w:szCs w:val="22"/>
        </w:rPr>
      </w:pPr>
      <w:r>
        <w:rPr>
          <w:rFonts w:ascii="Arial" w:hAnsi="Arial" w:cs="Arial"/>
          <w:sz w:val="22"/>
          <w:szCs w:val="22"/>
        </w:rPr>
        <w:t xml:space="preserve">Communication Theory (N.D) Berlo’s SMCR Model </w:t>
      </w:r>
      <w:proofErr w:type="gramStart"/>
      <w:r>
        <w:rPr>
          <w:rFonts w:ascii="Arial" w:hAnsi="Arial" w:cs="Arial"/>
          <w:sz w:val="22"/>
          <w:szCs w:val="22"/>
        </w:rPr>
        <w:t>Of</w:t>
      </w:r>
      <w:proofErr w:type="gramEnd"/>
      <w:r>
        <w:rPr>
          <w:rFonts w:ascii="Arial" w:hAnsi="Arial" w:cs="Arial"/>
          <w:sz w:val="22"/>
          <w:szCs w:val="22"/>
        </w:rPr>
        <w:t xml:space="preserve"> Communication. Available at: </w:t>
      </w:r>
      <w:hyperlink r:id="rId4" w:history="1">
        <w:r w:rsidRPr="00586CBB">
          <w:rPr>
            <w:rStyle w:val="Hipervnculo"/>
            <w:rFonts w:ascii="Arial" w:hAnsi="Arial" w:cs="Arial"/>
            <w:sz w:val="22"/>
            <w:szCs w:val="22"/>
          </w:rPr>
          <w:t>https://www.communicationtheory.org/berlos-smcr-model-of-communication/</w:t>
        </w:r>
      </w:hyperlink>
      <w:r>
        <w:rPr>
          <w:rFonts w:ascii="Arial" w:hAnsi="Arial" w:cs="Arial"/>
          <w:sz w:val="22"/>
          <w:szCs w:val="22"/>
        </w:rPr>
        <w:t xml:space="preserve"> (Acceded at:21/7/26)</w:t>
      </w:r>
    </w:p>
    <w:p w14:paraId="78A4AEF7" w14:textId="77777777" w:rsidR="007B1D40" w:rsidRDefault="007B1D40" w:rsidP="007B1D40">
      <w:pPr>
        <w:spacing w:line="360" w:lineRule="auto"/>
        <w:rPr>
          <w:rFonts w:ascii="Arial" w:hAnsi="Arial" w:cs="Arial"/>
          <w:sz w:val="22"/>
          <w:szCs w:val="22"/>
        </w:rPr>
      </w:pPr>
      <w:proofErr w:type="spellStart"/>
      <w:r>
        <w:rPr>
          <w:rFonts w:ascii="Arial" w:hAnsi="Arial" w:cs="Arial"/>
          <w:sz w:val="22"/>
          <w:szCs w:val="22"/>
        </w:rPr>
        <w:t>Emedicine</w:t>
      </w:r>
      <w:proofErr w:type="spellEnd"/>
      <w:r>
        <w:rPr>
          <w:rFonts w:ascii="Arial" w:hAnsi="Arial" w:cs="Arial"/>
          <w:sz w:val="22"/>
          <w:szCs w:val="22"/>
        </w:rPr>
        <w:t xml:space="preserve"> (2025) Religions and the </w:t>
      </w:r>
      <w:proofErr w:type="spellStart"/>
      <w:r>
        <w:rPr>
          <w:rFonts w:ascii="Arial" w:hAnsi="Arial" w:cs="Arial"/>
          <w:sz w:val="22"/>
          <w:szCs w:val="22"/>
        </w:rPr>
        <w:t>Autops</w:t>
      </w:r>
      <w:proofErr w:type="spellEnd"/>
      <w:r>
        <w:rPr>
          <w:rFonts w:ascii="Arial" w:hAnsi="Arial" w:cs="Arial"/>
          <w:sz w:val="22"/>
          <w:szCs w:val="22"/>
        </w:rPr>
        <w:t xml:space="preserve">. Available at: </w:t>
      </w:r>
      <w:hyperlink r:id="rId5" w:history="1">
        <w:r w:rsidRPr="00586CBB">
          <w:rPr>
            <w:rStyle w:val="Hipervnculo"/>
            <w:rFonts w:ascii="Arial" w:hAnsi="Arial" w:cs="Arial"/>
            <w:sz w:val="22"/>
            <w:szCs w:val="22"/>
          </w:rPr>
          <w:t>https://emedicine.medscape.com/article/1705993-overview#a2</w:t>
        </w:r>
      </w:hyperlink>
      <w:r>
        <w:rPr>
          <w:rFonts w:ascii="Arial" w:hAnsi="Arial" w:cs="Arial"/>
          <w:sz w:val="22"/>
          <w:szCs w:val="22"/>
        </w:rPr>
        <w:t xml:space="preserve"> (Acceded at:18/7/26)</w:t>
      </w:r>
    </w:p>
    <w:p w14:paraId="3C8D87C3" w14:textId="0083D03A" w:rsidR="007B1D40" w:rsidRDefault="007B1D40" w:rsidP="007B1D40">
      <w:pPr>
        <w:spacing w:line="360" w:lineRule="auto"/>
        <w:rPr>
          <w:rFonts w:ascii="Arial" w:hAnsi="Arial" w:cs="Arial"/>
          <w:sz w:val="22"/>
          <w:szCs w:val="22"/>
        </w:rPr>
      </w:pPr>
      <w:r>
        <w:rPr>
          <w:rFonts w:ascii="Arial" w:hAnsi="Arial" w:cs="Arial"/>
          <w:sz w:val="22"/>
          <w:szCs w:val="22"/>
        </w:rPr>
        <w:t xml:space="preserve">Equality Human Rights (2018) Equality act. Available at: </w:t>
      </w:r>
      <w:hyperlink r:id="rId6" w:history="1">
        <w:r w:rsidRPr="00586CBB">
          <w:rPr>
            <w:rStyle w:val="Hipervnculo"/>
            <w:rFonts w:ascii="Arial" w:hAnsi="Arial" w:cs="Arial"/>
            <w:sz w:val="22"/>
            <w:szCs w:val="22"/>
          </w:rPr>
          <w:t>https://</w:t>
        </w:r>
        <w:r w:rsidRPr="00586CBB">
          <w:rPr>
            <w:rStyle w:val="Hipervnculo"/>
            <w:rFonts w:ascii="Arial" w:hAnsi="Arial" w:cs="Arial"/>
            <w:sz w:val="22"/>
            <w:szCs w:val="22"/>
          </w:rPr>
          <w:t>w</w:t>
        </w:r>
        <w:r w:rsidRPr="00586CBB">
          <w:rPr>
            <w:rStyle w:val="Hipervnculo"/>
            <w:rFonts w:ascii="Arial" w:hAnsi="Arial" w:cs="Arial"/>
            <w:sz w:val="22"/>
            <w:szCs w:val="22"/>
          </w:rPr>
          <w:t>ww.equalityhumanrights.com/equality-act-2010</w:t>
        </w:r>
      </w:hyperlink>
      <w:r>
        <w:rPr>
          <w:rFonts w:ascii="Arial" w:hAnsi="Arial" w:cs="Arial"/>
          <w:sz w:val="22"/>
          <w:szCs w:val="22"/>
        </w:rPr>
        <w:t xml:space="preserve"> (Acceded at:13/7/26)</w:t>
      </w:r>
    </w:p>
    <w:p w14:paraId="4F1D5376" w14:textId="77777777" w:rsidR="007B1D40" w:rsidRDefault="007B1D40" w:rsidP="007B1D40">
      <w:pPr>
        <w:spacing w:line="360" w:lineRule="auto"/>
        <w:rPr>
          <w:rFonts w:ascii="Arial" w:hAnsi="Arial" w:cs="Arial"/>
          <w:sz w:val="22"/>
          <w:szCs w:val="22"/>
        </w:rPr>
      </w:pPr>
      <w:r>
        <w:rPr>
          <w:rFonts w:ascii="Arial" w:hAnsi="Arial" w:cs="Arial"/>
          <w:sz w:val="22"/>
          <w:szCs w:val="22"/>
        </w:rPr>
        <w:t xml:space="preserve">Health care communication matters (N.D) The importance of good administration in </w:t>
      </w:r>
      <w:proofErr w:type="gramStart"/>
      <w:r>
        <w:rPr>
          <w:rFonts w:ascii="Arial" w:hAnsi="Arial" w:cs="Arial"/>
          <w:sz w:val="22"/>
          <w:szCs w:val="22"/>
        </w:rPr>
        <w:t>patient  and</w:t>
      </w:r>
      <w:proofErr w:type="gramEnd"/>
      <w:r>
        <w:rPr>
          <w:rFonts w:ascii="Arial" w:hAnsi="Arial" w:cs="Arial"/>
          <w:sz w:val="22"/>
          <w:szCs w:val="22"/>
        </w:rPr>
        <w:t xml:space="preserve"> wellbeing. Available at: </w:t>
      </w:r>
      <w:hyperlink r:id="rId7" w:history="1">
        <w:r w:rsidRPr="00586CBB">
          <w:rPr>
            <w:rStyle w:val="Hipervnculo"/>
            <w:rFonts w:ascii="Arial" w:hAnsi="Arial" w:cs="Arial"/>
            <w:sz w:val="22"/>
            <w:szCs w:val="22"/>
          </w:rPr>
          <w:t>https://</w:t>
        </w:r>
        <w:r w:rsidRPr="00586CBB">
          <w:rPr>
            <w:rStyle w:val="Hipervnculo"/>
            <w:rFonts w:ascii="Arial" w:hAnsi="Arial" w:cs="Arial"/>
            <w:sz w:val="22"/>
            <w:szCs w:val="22"/>
          </w:rPr>
          <w:t>h</w:t>
        </w:r>
        <w:r w:rsidRPr="00586CBB">
          <w:rPr>
            <w:rStyle w:val="Hipervnculo"/>
            <w:rFonts w:ascii="Arial" w:hAnsi="Arial" w:cs="Arial"/>
            <w:sz w:val="22"/>
            <w:szCs w:val="22"/>
          </w:rPr>
          <w:t>ealthcarecommunicationmatters.co.uk/administration/the-importance-of-good-adminis</w:t>
        </w:r>
        <w:r w:rsidRPr="00586CBB">
          <w:rPr>
            <w:rStyle w:val="Hipervnculo"/>
            <w:rFonts w:ascii="Arial" w:hAnsi="Arial" w:cs="Arial"/>
            <w:sz w:val="22"/>
            <w:szCs w:val="22"/>
          </w:rPr>
          <w:t>t</w:t>
        </w:r>
        <w:r w:rsidRPr="00586CBB">
          <w:rPr>
            <w:rStyle w:val="Hipervnculo"/>
            <w:rFonts w:ascii="Arial" w:hAnsi="Arial" w:cs="Arial"/>
            <w:sz w:val="22"/>
            <w:szCs w:val="22"/>
          </w:rPr>
          <w:t>ration-in-patient-care-and-wellbeing/</w:t>
        </w:r>
      </w:hyperlink>
      <w:r>
        <w:rPr>
          <w:rFonts w:ascii="Arial" w:hAnsi="Arial" w:cs="Arial"/>
          <w:sz w:val="22"/>
          <w:szCs w:val="22"/>
        </w:rPr>
        <w:t xml:space="preserve"> (Acceded at:21/7/26)</w:t>
      </w:r>
    </w:p>
    <w:p w14:paraId="4768347D" w14:textId="156F7DC2" w:rsidR="007B1D40" w:rsidRDefault="007B1D40" w:rsidP="007B1D40">
      <w:pPr>
        <w:spacing w:line="360" w:lineRule="auto"/>
        <w:rPr>
          <w:rFonts w:ascii="Arial" w:hAnsi="Arial" w:cs="Arial"/>
          <w:sz w:val="22"/>
          <w:szCs w:val="22"/>
        </w:rPr>
      </w:pPr>
      <w:r>
        <w:rPr>
          <w:rFonts w:ascii="Arial" w:hAnsi="Arial" w:cs="Arial"/>
          <w:sz w:val="22"/>
          <w:szCs w:val="22"/>
        </w:rPr>
        <w:t xml:space="preserve">GOV (N.D) Data Protection Act (2018). Available at: </w:t>
      </w:r>
      <w:hyperlink r:id="rId8" w:history="1">
        <w:r w:rsidRPr="00586CBB">
          <w:rPr>
            <w:rStyle w:val="Hipervnculo"/>
            <w:rFonts w:ascii="Arial" w:hAnsi="Arial" w:cs="Arial"/>
            <w:sz w:val="22"/>
            <w:szCs w:val="22"/>
          </w:rPr>
          <w:t>https://www.legislation.gov.uk/ukpga/2018/12/contents</w:t>
        </w:r>
      </w:hyperlink>
      <w:r>
        <w:rPr>
          <w:rFonts w:ascii="Arial" w:hAnsi="Arial" w:cs="Arial"/>
          <w:sz w:val="22"/>
          <w:szCs w:val="22"/>
        </w:rPr>
        <w:t xml:space="preserve"> (Acceded at:20/7/26</w:t>
      </w:r>
    </w:p>
    <w:p w14:paraId="414F1C8A" w14:textId="77777777" w:rsidR="007B1D40" w:rsidRDefault="007B1D40" w:rsidP="007B1D40">
      <w:pPr>
        <w:spacing w:line="360" w:lineRule="auto"/>
        <w:rPr>
          <w:rFonts w:ascii="Arial" w:hAnsi="Arial" w:cs="Arial"/>
          <w:sz w:val="22"/>
          <w:szCs w:val="22"/>
        </w:rPr>
      </w:pPr>
      <w:r>
        <w:rPr>
          <w:rFonts w:ascii="Arial" w:hAnsi="Arial" w:cs="Arial"/>
          <w:sz w:val="22"/>
          <w:szCs w:val="22"/>
        </w:rPr>
        <w:t xml:space="preserve">GOV (N.D) Equality Act 2010: guidance. Available at: </w:t>
      </w:r>
      <w:hyperlink r:id="rId9" w:history="1">
        <w:r w:rsidRPr="00586CBB">
          <w:rPr>
            <w:rStyle w:val="Hipervnculo"/>
            <w:rFonts w:ascii="Arial" w:hAnsi="Arial" w:cs="Arial"/>
            <w:sz w:val="22"/>
            <w:szCs w:val="22"/>
          </w:rPr>
          <w:t>https://www.gov.uk/guidance/equality-act-2010-guidance</w:t>
        </w:r>
      </w:hyperlink>
      <w:r>
        <w:rPr>
          <w:rFonts w:ascii="Arial" w:hAnsi="Arial" w:cs="Arial"/>
          <w:sz w:val="22"/>
          <w:szCs w:val="22"/>
        </w:rPr>
        <w:t xml:space="preserve"> (Acceded at:13/7/26)</w:t>
      </w:r>
    </w:p>
    <w:p w14:paraId="1306A7FD" w14:textId="77777777" w:rsidR="007B1D40" w:rsidRDefault="007B1D40" w:rsidP="007B1D40">
      <w:pPr>
        <w:spacing w:line="360" w:lineRule="auto"/>
        <w:rPr>
          <w:rFonts w:ascii="Arial" w:hAnsi="Arial" w:cs="Arial"/>
          <w:sz w:val="22"/>
          <w:szCs w:val="22"/>
        </w:rPr>
      </w:pPr>
      <w:r>
        <w:rPr>
          <w:rFonts w:ascii="Arial" w:hAnsi="Arial" w:cs="Arial"/>
          <w:sz w:val="22"/>
          <w:szCs w:val="22"/>
        </w:rPr>
        <w:t xml:space="preserve">Greater Manchester (2023) Why Is Communication Important </w:t>
      </w:r>
      <w:proofErr w:type="gramStart"/>
      <w:r>
        <w:rPr>
          <w:rFonts w:ascii="Arial" w:hAnsi="Arial" w:cs="Arial"/>
          <w:sz w:val="22"/>
          <w:szCs w:val="22"/>
        </w:rPr>
        <w:t>In</w:t>
      </w:r>
      <w:proofErr w:type="gramEnd"/>
      <w:r>
        <w:rPr>
          <w:rFonts w:ascii="Arial" w:hAnsi="Arial" w:cs="Arial"/>
          <w:sz w:val="22"/>
          <w:szCs w:val="22"/>
        </w:rPr>
        <w:t xml:space="preserve"> Health </w:t>
      </w:r>
      <w:proofErr w:type="gramStart"/>
      <w:r>
        <w:rPr>
          <w:rFonts w:ascii="Arial" w:hAnsi="Arial" w:cs="Arial"/>
          <w:sz w:val="22"/>
          <w:szCs w:val="22"/>
        </w:rPr>
        <w:t>And</w:t>
      </w:r>
      <w:proofErr w:type="gramEnd"/>
      <w:r>
        <w:rPr>
          <w:rFonts w:ascii="Arial" w:hAnsi="Arial" w:cs="Arial"/>
          <w:sz w:val="22"/>
          <w:szCs w:val="22"/>
        </w:rPr>
        <w:t xml:space="preserve"> Social Work. Available at: </w:t>
      </w:r>
      <w:hyperlink r:id="rId10" w:history="1">
        <w:r w:rsidRPr="00586CBB">
          <w:rPr>
            <w:rStyle w:val="Hipervnculo"/>
            <w:rFonts w:ascii="Arial" w:hAnsi="Arial" w:cs="Arial"/>
            <w:sz w:val="22"/>
            <w:szCs w:val="22"/>
          </w:rPr>
          <w:t>https://greatermanchester.ac.uk/blogs/why-is-communication-important-in-health-and-social-care</w:t>
        </w:r>
      </w:hyperlink>
      <w:r>
        <w:rPr>
          <w:rFonts w:ascii="Arial" w:hAnsi="Arial" w:cs="Arial"/>
          <w:sz w:val="22"/>
          <w:szCs w:val="22"/>
        </w:rPr>
        <w:t xml:space="preserve">  (Acceded at:15/7/26)</w:t>
      </w:r>
    </w:p>
    <w:p w14:paraId="05B27C39" w14:textId="6CEAB441" w:rsidR="007B1D40" w:rsidRDefault="007B1D40" w:rsidP="007B1D40">
      <w:pPr>
        <w:spacing w:line="360" w:lineRule="auto"/>
        <w:rPr>
          <w:rFonts w:ascii="Arial" w:hAnsi="Arial" w:cs="Arial"/>
          <w:sz w:val="22"/>
          <w:szCs w:val="22"/>
        </w:rPr>
      </w:pPr>
      <w:proofErr w:type="spellStart"/>
      <w:r>
        <w:rPr>
          <w:rFonts w:ascii="Arial" w:hAnsi="Arial" w:cs="Arial"/>
          <w:sz w:val="22"/>
          <w:szCs w:val="22"/>
        </w:rPr>
        <w:t>Nih</w:t>
      </w:r>
      <w:proofErr w:type="spellEnd"/>
      <w:r>
        <w:rPr>
          <w:rFonts w:ascii="Arial" w:hAnsi="Arial" w:cs="Arial"/>
          <w:sz w:val="22"/>
          <w:szCs w:val="22"/>
        </w:rPr>
        <w:t xml:space="preserve"> (N.D) Management of Patients Who Refuse Blood Transfusion. Available at: </w:t>
      </w:r>
      <w:hyperlink r:id="rId11" w:history="1">
        <w:r w:rsidRPr="00586CBB">
          <w:rPr>
            <w:rStyle w:val="Hipervnculo"/>
            <w:rFonts w:ascii="Arial" w:hAnsi="Arial" w:cs="Arial"/>
            <w:sz w:val="22"/>
            <w:szCs w:val="22"/>
          </w:rPr>
          <w:t>http</w:t>
        </w:r>
        <w:r w:rsidRPr="00586CBB">
          <w:rPr>
            <w:rStyle w:val="Hipervnculo"/>
            <w:rFonts w:ascii="Arial" w:hAnsi="Arial" w:cs="Arial"/>
            <w:sz w:val="22"/>
            <w:szCs w:val="22"/>
          </w:rPr>
          <w:t>s</w:t>
        </w:r>
        <w:r w:rsidRPr="00586CBB">
          <w:rPr>
            <w:rStyle w:val="Hipervnculo"/>
            <w:rFonts w:ascii="Arial" w:hAnsi="Arial" w:cs="Arial"/>
            <w:sz w:val="22"/>
            <w:szCs w:val="22"/>
          </w:rPr>
          <w:t>://pmc.ncbi.nlm.nih.gov/articles/PMC4260316/</w:t>
        </w:r>
      </w:hyperlink>
      <w:r>
        <w:rPr>
          <w:rFonts w:ascii="Arial" w:hAnsi="Arial" w:cs="Arial"/>
          <w:sz w:val="22"/>
          <w:szCs w:val="22"/>
        </w:rPr>
        <w:t xml:space="preserve"> (Acceded at:18/7/26)</w:t>
      </w:r>
    </w:p>
    <w:p w14:paraId="2B5438A7" w14:textId="77777777" w:rsidR="007B1D40" w:rsidRDefault="007B1D40" w:rsidP="007B1D40">
      <w:pPr>
        <w:spacing w:line="360" w:lineRule="auto"/>
        <w:rPr>
          <w:rFonts w:ascii="Arial" w:hAnsi="Arial" w:cs="Arial"/>
          <w:sz w:val="22"/>
          <w:szCs w:val="22"/>
        </w:rPr>
      </w:pPr>
      <w:r>
        <w:rPr>
          <w:rFonts w:ascii="Arial" w:hAnsi="Arial" w:cs="Arial"/>
          <w:sz w:val="22"/>
          <w:szCs w:val="22"/>
        </w:rPr>
        <w:t xml:space="preserve">Torbay and Devon Safeguarding adults Care (N.D) The Care Act (2014). Available at: </w:t>
      </w:r>
      <w:hyperlink r:id="rId12" w:history="1">
        <w:r w:rsidRPr="00586CBB">
          <w:rPr>
            <w:rStyle w:val="Hipervnculo"/>
            <w:rFonts w:ascii="Arial" w:hAnsi="Arial" w:cs="Arial"/>
            <w:sz w:val="22"/>
            <w:szCs w:val="22"/>
          </w:rPr>
          <w:t>https://www.devonsafeguardingadultspartnership.org.uk/training-and-resources/care-act/</w:t>
        </w:r>
      </w:hyperlink>
      <w:r>
        <w:rPr>
          <w:rFonts w:ascii="Arial" w:hAnsi="Arial" w:cs="Arial"/>
          <w:sz w:val="22"/>
          <w:szCs w:val="22"/>
        </w:rPr>
        <w:t xml:space="preserve"> (Acceded at:21/7/26)</w:t>
      </w:r>
    </w:p>
    <w:p w14:paraId="1B070DAF" w14:textId="77777777" w:rsidR="007B1D40" w:rsidRDefault="007B1D40" w:rsidP="007E3380">
      <w:pPr>
        <w:spacing w:line="360" w:lineRule="auto"/>
        <w:rPr>
          <w:rFonts w:ascii="Arial" w:hAnsi="Arial" w:cs="Arial"/>
          <w:sz w:val="22"/>
          <w:szCs w:val="22"/>
        </w:rPr>
      </w:pPr>
    </w:p>
    <w:p w14:paraId="55BD02B2" w14:textId="77777777" w:rsidR="007B1D40" w:rsidRDefault="007B1D40" w:rsidP="007E3380">
      <w:pPr>
        <w:spacing w:line="360" w:lineRule="auto"/>
        <w:rPr>
          <w:rFonts w:ascii="Arial" w:hAnsi="Arial" w:cs="Arial"/>
          <w:sz w:val="22"/>
          <w:szCs w:val="22"/>
        </w:rPr>
      </w:pPr>
    </w:p>
    <w:p w14:paraId="21ED6311" w14:textId="0434169F" w:rsidR="003A0778" w:rsidRDefault="003A0778" w:rsidP="007E3380">
      <w:pPr>
        <w:spacing w:line="360" w:lineRule="auto"/>
        <w:rPr>
          <w:rFonts w:ascii="Arial" w:hAnsi="Arial" w:cs="Arial"/>
          <w:sz w:val="22"/>
          <w:szCs w:val="22"/>
        </w:rPr>
      </w:pPr>
    </w:p>
    <w:p w14:paraId="6E095E23" w14:textId="77777777" w:rsidR="008B09A1" w:rsidRPr="007E3380" w:rsidRDefault="008B09A1" w:rsidP="007E3380">
      <w:pPr>
        <w:spacing w:line="360" w:lineRule="auto"/>
        <w:rPr>
          <w:rFonts w:ascii="Arial" w:hAnsi="Arial" w:cs="Arial"/>
          <w:sz w:val="22"/>
          <w:szCs w:val="22"/>
        </w:rPr>
      </w:pPr>
    </w:p>
    <w:sectPr w:rsidR="008B09A1" w:rsidRPr="007E33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380"/>
    <w:rsid w:val="00077CE9"/>
    <w:rsid w:val="00171CA7"/>
    <w:rsid w:val="00192531"/>
    <w:rsid w:val="001D5D92"/>
    <w:rsid w:val="001F53F3"/>
    <w:rsid w:val="002574FC"/>
    <w:rsid w:val="002C64F3"/>
    <w:rsid w:val="002D1F30"/>
    <w:rsid w:val="002E6D43"/>
    <w:rsid w:val="002F5272"/>
    <w:rsid w:val="00366C4D"/>
    <w:rsid w:val="003A0778"/>
    <w:rsid w:val="003A587F"/>
    <w:rsid w:val="003F69C1"/>
    <w:rsid w:val="00403568"/>
    <w:rsid w:val="0043268B"/>
    <w:rsid w:val="00487D60"/>
    <w:rsid w:val="004A2596"/>
    <w:rsid w:val="004A6F94"/>
    <w:rsid w:val="004F4524"/>
    <w:rsid w:val="004F7F05"/>
    <w:rsid w:val="00512E5B"/>
    <w:rsid w:val="005D23E8"/>
    <w:rsid w:val="005F0CE9"/>
    <w:rsid w:val="00645BEF"/>
    <w:rsid w:val="00672896"/>
    <w:rsid w:val="006B7155"/>
    <w:rsid w:val="006D3DA7"/>
    <w:rsid w:val="00740BAB"/>
    <w:rsid w:val="00770295"/>
    <w:rsid w:val="00775755"/>
    <w:rsid w:val="007B1D40"/>
    <w:rsid w:val="007B73ED"/>
    <w:rsid w:val="007E3380"/>
    <w:rsid w:val="00850015"/>
    <w:rsid w:val="00853240"/>
    <w:rsid w:val="00866A3D"/>
    <w:rsid w:val="00882267"/>
    <w:rsid w:val="008B09A1"/>
    <w:rsid w:val="008D2606"/>
    <w:rsid w:val="00900E2B"/>
    <w:rsid w:val="00905696"/>
    <w:rsid w:val="00912CCC"/>
    <w:rsid w:val="009668AF"/>
    <w:rsid w:val="00967079"/>
    <w:rsid w:val="009B1F8D"/>
    <w:rsid w:val="009B4DCB"/>
    <w:rsid w:val="009D4E6F"/>
    <w:rsid w:val="009F4868"/>
    <w:rsid w:val="00A83ACA"/>
    <w:rsid w:val="00A8438E"/>
    <w:rsid w:val="00AB45B2"/>
    <w:rsid w:val="00AD4332"/>
    <w:rsid w:val="00AF150B"/>
    <w:rsid w:val="00B333E8"/>
    <w:rsid w:val="00B47889"/>
    <w:rsid w:val="00BD0A3C"/>
    <w:rsid w:val="00BF5505"/>
    <w:rsid w:val="00CE3470"/>
    <w:rsid w:val="00D177A2"/>
    <w:rsid w:val="00D43FAE"/>
    <w:rsid w:val="00D65277"/>
    <w:rsid w:val="00D7537F"/>
    <w:rsid w:val="00DB2D75"/>
    <w:rsid w:val="00DC670D"/>
    <w:rsid w:val="00E85217"/>
    <w:rsid w:val="00EC20F4"/>
    <w:rsid w:val="00F25B2F"/>
    <w:rsid w:val="00F543E8"/>
    <w:rsid w:val="00F97709"/>
    <w:rsid w:val="00FB5877"/>
  </w:rsids>
  <m:mathPr>
    <m:mathFont m:val="Cambria Math"/>
    <m:brkBin m:val="before"/>
    <m:brkBinSub m:val="--"/>
    <m:smallFrac m:val="0"/>
    <m:dispDef/>
    <m:lMargin m:val="0"/>
    <m:rMargin m:val="0"/>
    <m:defJc m:val="centerGroup"/>
    <m:wrapIndent m:val="1440"/>
    <m:intLim m:val="subSup"/>
    <m:naryLim m:val="undOvr"/>
  </m:mathPr>
  <w:themeFontLang w:val="es-GB" w:eastAsia="ko-KR"/>
  <w:clrSchemeMapping w:bg1="light1" w:t1="dark1" w:bg2="light2" w:t2="dark2" w:accent1="accent1" w:accent2="accent2" w:accent3="accent3" w:accent4="accent4" w:accent5="accent5" w:accent6="accent6" w:hyperlink="hyperlink" w:followedHyperlink="followedHyperlink"/>
  <w:decimalSymbol w:val="."/>
  <w:listSeparator w:val=";"/>
  <w14:docId w14:val="0B375356"/>
  <w15:chartTrackingRefBased/>
  <w15:docId w15:val="{3AED1A50-406C-2C4E-A9EB-085F04983E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s-GB" w:eastAsia="ko-K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tulo1">
    <w:name w:val="heading 1"/>
    <w:basedOn w:val="Normal"/>
    <w:next w:val="Normal"/>
    <w:link w:val="Ttulo1Car"/>
    <w:uiPriority w:val="9"/>
    <w:qFormat/>
    <w:rsid w:val="007E33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semiHidden/>
    <w:unhideWhenUsed/>
    <w:qFormat/>
    <w:rsid w:val="007E33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7E3380"/>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7E3380"/>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7E3380"/>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7E3380"/>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7E3380"/>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7E3380"/>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7E3380"/>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7E3380"/>
    <w:rPr>
      <w:rFonts w:asciiTheme="majorHAnsi" w:eastAsiaTheme="majorEastAsia" w:hAnsiTheme="majorHAnsi" w:cstheme="majorBidi"/>
      <w:color w:val="0F4761" w:themeColor="accent1" w:themeShade="BF"/>
      <w:sz w:val="40"/>
      <w:szCs w:val="40"/>
      <w:lang w:val="en-GB"/>
    </w:rPr>
  </w:style>
  <w:style w:type="character" w:customStyle="1" w:styleId="Ttulo2Car">
    <w:name w:val="Título 2 Car"/>
    <w:basedOn w:val="Fuentedeprrafopredeter"/>
    <w:link w:val="Ttulo2"/>
    <w:uiPriority w:val="9"/>
    <w:semiHidden/>
    <w:rsid w:val="007E3380"/>
    <w:rPr>
      <w:rFonts w:asciiTheme="majorHAnsi" w:eastAsiaTheme="majorEastAsia" w:hAnsiTheme="majorHAnsi" w:cstheme="majorBidi"/>
      <w:color w:val="0F4761" w:themeColor="accent1" w:themeShade="BF"/>
      <w:sz w:val="32"/>
      <w:szCs w:val="32"/>
      <w:lang w:val="en-GB"/>
    </w:rPr>
  </w:style>
  <w:style w:type="character" w:customStyle="1" w:styleId="Ttulo3Car">
    <w:name w:val="Título 3 Car"/>
    <w:basedOn w:val="Fuentedeprrafopredeter"/>
    <w:link w:val="Ttulo3"/>
    <w:uiPriority w:val="9"/>
    <w:semiHidden/>
    <w:rsid w:val="007E3380"/>
    <w:rPr>
      <w:rFonts w:eastAsiaTheme="majorEastAsia" w:cstheme="majorBidi"/>
      <w:color w:val="0F4761" w:themeColor="accent1" w:themeShade="BF"/>
      <w:sz w:val="28"/>
      <w:szCs w:val="28"/>
      <w:lang w:val="en-GB"/>
    </w:rPr>
  </w:style>
  <w:style w:type="character" w:customStyle="1" w:styleId="Ttulo4Car">
    <w:name w:val="Título 4 Car"/>
    <w:basedOn w:val="Fuentedeprrafopredeter"/>
    <w:link w:val="Ttulo4"/>
    <w:uiPriority w:val="9"/>
    <w:semiHidden/>
    <w:rsid w:val="007E3380"/>
    <w:rPr>
      <w:rFonts w:eastAsiaTheme="majorEastAsia" w:cstheme="majorBidi"/>
      <w:i/>
      <w:iCs/>
      <w:color w:val="0F4761" w:themeColor="accent1" w:themeShade="BF"/>
      <w:lang w:val="en-GB"/>
    </w:rPr>
  </w:style>
  <w:style w:type="character" w:customStyle="1" w:styleId="Ttulo5Car">
    <w:name w:val="Título 5 Car"/>
    <w:basedOn w:val="Fuentedeprrafopredeter"/>
    <w:link w:val="Ttulo5"/>
    <w:uiPriority w:val="9"/>
    <w:semiHidden/>
    <w:rsid w:val="007E3380"/>
    <w:rPr>
      <w:rFonts w:eastAsiaTheme="majorEastAsia" w:cstheme="majorBidi"/>
      <w:color w:val="0F4761" w:themeColor="accent1" w:themeShade="BF"/>
      <w:lang w:val="en-GB"/>
    </w:rPr>
  </w:style>
  <w:style w:type="character" w:customStyle="1" w:styleId="Ttulo6Car">
    <w:name w:val="Título 6 Car"/>
    <w:basedOn w:val="Fuentedeprrafopredeter"/>
    <w:link w:val="Ttulo6"/>
    <w:uiPriority w:val="9"/>
    <w:semiHidden/>
    <w:rsid w:val="007E3380"/>
    <w:rPr>
      <w:rFonts w:eastAsiaTheme="majorEastAsia" w:cstheme="majorBidi"/>
      <w:i/>
      <w:iCs/>
      <w:color w:val="595959" w:themeColor="text1" w:themeTint="A6"/>
      <w:lang w:val="en-GB"/>
    </w:rPr>
  </w:style>
  <w:style w:type="character" w:customStyle="1" w:styleId="Ttulo7Car">
    <w:name w:val="Título 7 Car"/>
    <w:basedOn w:val="Fuentedeprrafopredeter"/>
    <w:link w:val="Ttulo7"/>
    <w:uiPriority w:val="9"/>
    <w:semiHidden/>
    <w:rsid w:val="007E3380"/>
    <w:rPr>
      <w:rFonts w:eastAsiaTheme="majorEastAsia" w:cstheme="majorBidi"/>
      <w:color w:val="595959" w:themeColor="text1" w:themeTint="A6"/>
      <w:lang w:val="en-GB"/>
    </w:rPr>
  </w:style>
  <w:style w:type="character" w:customStyle="1" w:styleId="Ttulo8Car">
    <w:name w:val="Título 8 Car"/>
    <w:basedOn w:val="Fuentedeprrafopredeter"/>
    <w:link w:val="Ttulo8"/>
    <w:uiPriority w:val="9"/>
    <w:semiHidden/>
    <w:rsid w:val="007E3380"/>
    <w:rPr>
      <w:rFonts w:eastAsiaTheme="majorEastAsia" w:cstheme="majorBidi"/>
      <w:i/>
      <w:iCs/>
      <w:color w:val="272727" w:themeColor="text1" w:themeTint="D8"/>
      <w:lang w:val="en-GB"/>
    </w:rPr>
  </w:style>
  <w:style w:type="character" w:customStyle="1" w:styleId="Ttulo9Car">
    <w:name w:val="Título 9 Car"/>
    <w:basedOn w:val="Fuentedeprrafopredeter"/>
    <w:link w:val="Ttulo9"/>
    <w:uiPriority w:val="9"/>
    <w:semiHidden/>
    <w:rsid w:val="007E3380"/>
    <w:rPr>
      <w:rFonts w:eastAsiaTheme="majorEastAsia" w:cstheme="majorBidi"/>
      <w:color w:val="272727" w:themeColor="text1" w:themeTint="D8"/>
      <w:lang w:val="en-GB"/>
    </w:rPr>
  </w:style>
  <w:style w:type="paragraph" w:styleId="Ttulo">
    <w:name w:val="Title"/>
    <w:basedOn w:val="Normal"/>
    <w:next w:val="Normal"/>
    <w:link w:val="TtuloCar"/>
    <w:uiPriority w:val="10"/>
    <w:qFormat/>
    <w:rsid w:val="007E33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7E3380"/>
    <w:rPr>
      <w:rFonts w:asciiTheme="majorHAnsi" w:eastAsiaTheme="majorEastAsia" w:hAnsiTheme="majorHAnsi" w:cstheme="majorBidi"/>
      <w:spacing w:val="-10"/>
      <w:kern w:val="28"/>
      <w:sz w:val="56"/>
      <w:szCs w:val="56"/>
      <w:lang w:val="en-GB"/>
    </w:rPr>
  </w:style>
  <w:style w:type="paragraph" w:styleId="Subttulo">
    <w:name w:val="Subtitle"/>
    <w:basedOn w:val="Normal"/>
    <w:next w:val="Normal"/>
    <w:link w:val="SubttuloCar"/>
    <w:uiPriority w:val="11"/>
    <w:qFormat/>
    <w:rsid w:val="007E3380"/>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7E3380"/>
    <w:rPr>
      <w:rFonts w:eastAsiaTheme="majorEastAsia" w:cstheme="majorBidi"/>
      <w:color w:val="595959" w:themeColor="text1" w:themeTint="A6"/>
      <w:spacing w:val="15"/>
      <w:sz w:val="28"/>
      <w:szCs w:val="28"/>
      <w:lang w:val="en-GB"/>
    </w:rPr>
  </w:style>
  <w:style w:type="paragraph" w:styleId="Cita">
    <w:name w:val="Quote"/>
    <w:basedOn w:val="Normal"/>
    <w:next w:val="Normal"/>
    <w:link w:val="CitaCar"/>
    <w:uiPriority w:val="29"/>
    <w:qFormat/>
    <w:rsid w:val="007E3380"/>
    <w:pPr>
      <w:spacing w:before="160"/>
      <w:jc w:val="center"/>
    </w:pPr>
    <w:rPr>
      <w:i/>
      <w:iCs/>
      <w:color w:val="404040" w:themeColor="text1" w:themeTint="BF"/>
    </w:rPr>
  </w:style>
  <w:style w:type="character" w:customStyle="1" w:styleId="CitaCar">
    <w:name w:val="Cita Car"/>
    <w:basedOn w:val="Fuentedeprrafopredeter"/>
    <w:link w:val="Cita"/>
    <w:uiPriority w:val="29"/>
    <w:rsid w:val="007E3380"/>
    <w:rPr>
      <w:i/>
      <w:iCs/>
      <w:color w:val="404040" w:themeColor="text1" w:themeTint="BF"/>
      <w:lang w:val="en-GB"/>
    </w:rPr>
  </w:style>
  <w:style w:type="paragraph" w:styleId="Prrafodelista">
    <w:name w:val="List Paragraph"/>
    <w:basedOn w:val="Normal"/>
    <w:uiPriority w:val="34"/>
    <w:qFormat/>
    <w:rsid w:val="007E3380"/>
    <w:pPr>
      <w:ind w:left="720"/>
      <w:contextualSpacing/>
    </w:pPr>
  </w:style>
  <w:style w:type="character" w:styleId="nfasisintenso">
    <w:name w:val="Intense Emphasis"/>
    <w:basedOn w:val="Fuentedeprrafopredeter"/>
    <w:uiPriority w:val="21"/>
    <w:qFormat/>
    <w:rsid w:val="007E3380"/>
    <w:rPr>
      <w:i/>
      <w:iCs/>
      <w:color w:val="0F4761" w:themeColor="accent1" w:themeShade="BF"/>
    </w:rPr>
  </w:style>
  <w:style w:type="paragraph" w:styleId="Citadestacada">
    <w:name w:val="Intense Quote"/>
    <w:basedOn w:val="Normal"/>
    <w:next w:val="Normal"/>
    <w:link w:val="CitadestacadaCar"/>
    <w:uiPriority w:val="30"/>
    <w:qFormat/>
    <w:rsid w:val="007E33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7E3380"/>
    <w:rPr>
      <w:i/>
      <w:iCs/>
      <w:color w:val="0F4761" w:themeColor="accent1" w:themeShade="BF"/>
      <w:lang w:val="en-GB"/>
    </w:rPr>
  </w:style>
  <w:style w:type="character" w:styleId="Referenciaintensa">
    <w:name w:val="Intense Reference"/>
    <w:basedOn w:val="Fuentedeprrafopredeter"/>
    <w:uiPriority w:val="32"/>
    <w:qFormat/>
    <w:rsid w:val="007E3380"/>
    <w:rPr>
      <w:b/>
      <w:bCs/>
      <w:smallCaps/>
      <w:color w:val="0F4761" w:themeColor="accent1" w:themeShade="BF"/>
      <w:spacing w:val="5"/>
    </w:rPr>
  </w:style>
  <w:style w:type="character" w:styleId="Hipervnculo">
    <w:name w:val="Hyperlink"/>
    <w:basedOn w:val="Fuentedeprrafopredeter"/>
    <w:uiPriority w:val="99"/>
    <w:unhideWhenUsed/>
    <w:rsid w:val="003A0778"/>
    <w:rPr>
      <w:color w:val="467886" w:themeColor="hyperlink"/>
      <w:u w:val="single"/>
    </w:rPr>
  </w:style>
  <w:style w:type="character" w:styleId="Mencinsinresolver">
    <w:name w:val="Unresolved Mention"/>
    <w:basedOn w:val="Fuentedeprrafopredeter"/>
    <w:uiPriority w:val="99"/>
    <w:semiHidden/>
    <w:unhideWhenUsed/>
    <w:rsid w:val="003A0778"/>
    <w:rPr>
      <w:color w:val="605E5C"/>
      <w:shd w:val="clear" w:color="auto" w:fill="E1DFDD"/>
    </w:rPr>
  </w:style>
  <w:style w:type="character" w:styleId="Hipervnculovisitado">
    <w:name w:val="FollowedHyperlink"/>
    <w:basedOn w:val="Fuentedeprrafopredeter"/>
    <w:uiPriority w:val="99"/>
    <w:semiHidden/>
    <w:unhideWhenUsed/>
    <w:rsid w:val="0096707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8/12/content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healthcarecommunicationmatters.co.uk/administration/the-importance-of-good-administration-in-patient-care-and-wellbeing/" TargetMode="External"/><Relationship Id="rId12" Type="http://schemas.openxmlformats.org/officeDocument/2006/relationships/hyperlink" Target="https://www.devonsafeguardingadultspartnership.org.uk/training-and-resources/care-ac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qualityhumanrights.com/equality-act-2010" TargetMode="External"/><Relationship Id="rId11" Type="http://schemas.openxmlformats.org/officeDocument/2006/relationships/hyperlink" Target="https://pmc.ncbi.nlm.nih.gov/articles/PMC4260316/" TargetMode="External"/><Relationship Id="rId5" Type="http://schemas.openxmlformats.org/officeDocument/2006/relationships/hyperlink" Target="https://emedicine.medscape.com/article/1705993-overview#a2" TargetMode="External"/><Relationship Id="rId10" Type="http://schemas.openxmlformats.org/officeDocument/2006/relationships/hyperlink" Target="https://greatermanchester.ac.uk/blogs/why-is-communication-important-in-health-and-social-care" TargetMode="External"/><Relationship Id="rId4" Type="http://schemas.openxmlformats.org/officeDocument/2006/relationships/hyperlink" Target="https://www.communicationtheory.org/berlos-smcr-model-of-communication/" TargetMode="External"/><Relationship Id="rId9" Type="http://schemas.openxmlformats.org/officeDocument/2006/relationships/hyperlink" Target="https://www.gov.uk/guidance/equality-act-2010-guidance" TargetMode="External"/><Relationship Id="rId14" Type="http://schemas.openxmlformats.org/officeDocument/2006/relationships/theme" Target="theme/theme1.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47</TotalTime>
  <Pages>5</Pages>
  <Words>1784</Words>
  <Characters>9816</Characters>
  <Application>Microsoft Office Word</Application>
  <DocSecurity>0</DocSecurity>
  <Lines>148</Lines>
  <Paragraphs>15</Paragraphs>
  <ScaleCrop>false</ScaleCrop>
  <Company/>
  <LinksUpToDate>false</LinksUpToDate>
  <CharactersWithSpaces>11585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Keiry Alessandra Romero Rodriguez (2520510)</dc:creator>
  <cp:keywords/>
  <dc:description/>
  <cp:lastModifiedBy>Keiry Alessandra Romero Rodriguez (2520510)</cp:lastModifiedBy>
  <cp:revision>67</cp:revision>
  <dcterms:created xsi:type="dcterms:W3CDTF">2026-07-11T10:01:00Z</dcterms:created>
  <dcterms:modified xsi:type="dcterms:W3CDTF">2026-07-24T07:25:00Z</dcterms:modified>
</cp:coreProperties>
</file>