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both"/>
        <w:rPr>
          <w:rFonts w:ascii="Times New Roman" w:cs="Times New Roman" w:hAnsi="Times New Roman" w:eastAsia="Times New Roman"/>
          <w:sz w:val="24"/>
          <w:szCs w:val="24"/>
          <w:u w:val="none"/>
          <w:lang w:val="en-US"/>
        </w:rPr>
      </w:pPr>
      <w:r>
        <w:rPr>
          <w:rFonts w:ascii="Times New Roman"/>
          <w:sz w:val="24"/>
          <w:szCs w:val="24"/>
          <w:u w:val="none"/>
          <w:rtl w:val="0"/>
          <w:lang w:val="en-US"/>
        </w:rPr>
        <w:t xml:space="preserve">The purpose of this assignment is to demonstrate a critical understanding of how the health and well-being of children in poverty may not be secured with protective legislation. Protective legislation is laws which are there in order to protect groups with protected characteristics or who are vulnerable (GOV, 2015). Protective legislation falls under a category of different acts that are in place or were in place which </w:t>
      </w:r>
      <w:r>
        <w:rPr>
          <w:rFonts w:hAnsi="Times New Roman" w:hint="default"/>
          <w:sz w:val="24"/>
          <w:szCs w:val="24"/>
          <w:u w:val="none"/>
          <w:rtl w:val="0"/>
          <w:lang w:val="en-US"/>
        </w:rPr>
        <w:t>‘</w:t>
      </w:r>
      <w:r>
        <w:rPr>
          <w:rFonts w:ascii="Times New Roman"/>
          <w:sz w:val="24"/>
          <w:szCs w:val="24"/>
          <w:u w:val="none"/>
          <w:rtl w:val="0"/>
          <w:lang w:val="en-US"/>
        </w:rPr>
        <w:t>protect</w:t>
      </w:r>
      <w:r>
        <w:rPr>
          <w:rFonts w:hAnsi="Times New Roman" w:hint="default"/>
          <w:sz w:val="24"/>
          <w:szCs w:val="24"/>
          <w:u w:val="none"/>
          <w:rtl w:val="0"/>
          <w:lang w:val="en-US"/>
        </w:rPr>
        <w:t xml:space="preserve">’ </w:t>
      </w:r>
      <w:r>
        <w:rPr>
          <w:rFonts w:ascii="Times New Roman"/>
          <w:sz w:val="24"/>
          <w:szCs w:val="24"/>
          <w:u w:val="none"/>
          <w:rtl w:val="0"/>
          <w:lang w:val="en-US"/>
        </w:rPr>
        <w:t>individuals such as Equality Act (GOV, 2015), Child Poverty Act (Legislation, 2010) and the Convention on the rights of the Child (Equality and Human Rights Commission, 2018). Firstly, this assignment will address these different acts. This assignment will explain what the Act is meant to do, how it protects children in poverty and how it does not protect them. Secondly, this assignment will discuss the problems of childcare and the problems with working parents and non-working parents in relation to child poverty. Thirdly and lastly, this assignment will involve the problems of Capitalism.</w:t>
      </w:r>
    </w:p>
    <w:p>
      <w:pPr>
        <w:pStyle w:val="Body"/>
        <w:jc w:val="both"/>
        <w:rPr>
          <w:rFonts w:ascii="Times New Roman" w:cs="Times New Roman" w:hAnsi="Times New Roman" w:eastAsia="Times New Roman"/>
          <w:sz w:val="24"/>
          <w:szCs w:val="24"/>
          <w:u w:val="none"/>
          <w:lang w:val="en-US"/>
        </w:rPr>
      </w:pPr>
      <w:r>
        <w:rPr>
          <w:rFonts w:ascii="Times New Roman"/>
          <w:sz w:val="24"/>
          <w:szCs w:val="24"/>
          <w:rtl w:val="0"/>
          <w:lang w:val="en-US"/>
        </w:rPr>
        <w:t>According to (McDermott, 2010) health and well-being can be thought about it in different ways. McDermott (2010) suggests that health and well-being can be negatively described as an individual having no physical illness, disease or mental distress</w:t>
      </w:r>
      <w:r>
        <w:rPr>
          <w:rFonts w:ascii="Times New Roman"/>
          <w:b w:val="1"/>
          <w:bCs w:val="1"/>
          <w:sz w:val="24"/>
          <w:szCs w:val="24"/>
          <w:u w:val="none"/>
          <w:rtl w:val="0"/>
          <w:lang w:val="en-US"/>
        </w:rPr>
        <w:t xml:space="preserve">. </w:t>
      </w:r>
      <w:r>
        <w:rPr>
          <w:rFonts w:ascii="Times New Roman"/>
          <w:sz w:val="24"/>
          <w:szCs w:val="24"/>
          <w:u w:val="none"/>
          <w:rtl w:val="0"/>
          <w:lang w:val="en-US"/>
        </w:rPr>
        <w:t>However, health and well-being can be positively described as an individual achieving and maintaining mental stability and physical fitness (McDermott, 2010). Maslow's Hierarchy of needs which is a five-stage model which can be divided into deficiency needs and growth needs (Maslow, 2013). According to Maslow (2013) the first four levels are described as deficiency needs which include basic needs such as food, water, safety needs and psychological needs such as belongingness, love and esteem needs. The final level is described as growth needs which is self-fulfilment needs such as self-actualisation (Maslow, 2013).</w:t>
      </w:r>
      <w:r>
        <w:rPr>
          <w:rFonts w:ascii="Times New Roman"/>
          <w:b w:val="1"/>
          <w:bCs w:val="1"/>
          <w:sz w:val="24"/>
          <w:szCs w:val="24"/>
          <w:u w:val="none"/>
          <w:rtl w:val="0"/>
          <w:lang w:val="en-US"/>
        </w:rPr>
        <w:t xml:space="preserve"> </w:t>
      </w:r>
      <w:r>
        <w:rPr>
          <w:rFonts w:ascii="Times New Roman"/>
          <w:sz w:val="24"/>
          <w:szCs w:val="24"/>
          <w:u w:val="none"/>
          <w:rtl w:val="0"/>
          <w:lang w:val="en-US"/>
        </w:rPr>
        <w:t>Deficiency needs emerge due to deprivation and lead to motivation when they are unmet, the motivation to fulfil the needs will be greater the longer the duration that they are denied their needs (Maslow, 2013). Once a deficient need has been met and the individual is satisfied the initial need will become less important and the individual will focus on the next step of needs (Maslow, 2013)</w:t>
      </w:r>
      <w:r>
        <w:rPr>
          <w:rFonts w:ascii="Times New Roman"/>
          <w:b w:val="1"/>
          <w:bCs w:val="1"/>
          <w:sz w:val="24"/>
          <w:szCs w:val="24"/>
          <w:u w:val="none"/>
          <w:rtl w:val="0"/>
          <w:lang w:val="en-US"/>
        </w:rPr>
        <w:t xml:space="preserve">. </w:t>
      </w:r>
      <w:r>
        <w:rPr>
          <w:rFonts w:ascii="Times New Roman"/>
          <w:sz w:val="24"/>
          <w:szCs w:val="24"/>
          <w:u w:val="none"/>
          <w:rtl w:val="0"/>
          <w:lang w:val="en-US"/>
        </w:rPr>
        <w:t>These will be growth needs although they will need continue to be felt, they will become a stronger need. Unlike deficiency needs, growth needs do not arise from the absence of the need but rather desire of personal growth (Maslow, 2013). Every individual has the desire to move up the hierarchy toward a level of self-actualisation. Despite the desire that every individual has unfortunately progress is often disrupted by a failure to meet lower level needs. Therefore, health and well-being can be defined as being the result of a combination of physical social, intellectual and emotional factors (McDermott, 2010). This assignment will be focusing on children in poverty. In 2016-2017 within the UK there were 4.1 million children living in poverty (GOV, 2018). Poverty is often described in relation to the standards of living within society (Jefferson, 2018). Jefferson (2018) explains that people who live in poverty are denied an income enough for material needs and are often excluded from taking part in activities which are a part of daily life within society. Children who are in poverty are sometimes cold, hungry and not being able to join in activities with friends (GOV, 2018).  According to (GOV, 2015) child poverty has long lasting effects. For example, by GCSE there is a 28 percent gap between children who have free school meals and wealthier children and achieving at least five A*- C grades (GOV, 2015).</w:t>
      </w:r>
    </w:p>
    <w:p>
      <w:pPr>
        <w:pStyle w:val="Body"/>
        <w:jc w:val="both"/>
        <w:rPr>
          <w:rFonts w:ascii="Times New Roman" w:cs="Times New Roman" w:hAnsi="Times New Roman" w:eastAsia="Times New Roman"/>
          <w:sz w:val="24"/>
          <w:szCs w:val="24"/>
          <w:u w:val="none"/>
          <w:lang w:val="en-US"/>
        </w:rPr>
      </w:pPr>
      <w:r>
        <w:rPr>
          <w:rFonts w:ascii="Times New Roman"/>
          <w:sz w:val="24"/>
          <w:szCs w:val="24"/>
          <w:u w:val="none"/>
          <w:rtl w:val="0"/>
          <w:lang w:val="en-US"/>
        </w:rPr>
        <w:t>In the UK there are different Acts which are in place in order to protect children. One the acts in place is called Equality Act (GOV, 2015). According to GOV (2015) the Equality Act works as legislation which protects different individuals such as children, young people and adults from discrimination, harassment and victimisation in the housing, education, clubs and the provision of services and work. The Equality Act has replaced previous anti-discrimination laws with one single act which makes the law easier to understand and strengthens protections against discrimination, it also helps set out what is an unacceptable way of treating an individual (GOV, 2015). There are good and bad things about the Equality Act in relation to protecting children. The Equality Act is partially a great development because before the Equality Act existed there were different levels of protection for different groups of individuals. For example, there were greater laws relating to sex, disability and race discrimination but weaker laws in relation to sex, orientation religion and belief (GOV, 2015). According to GOV (2015) the Equality Act aims to give individuals within different groups the same level of protection from discrimination. However, Fredman (2011) suggests that the Equality Act does not give children and young people the same amount of protection from age discrimination as adults. The Equality Act protects children and young people from discrimination, harassment and victimisation within employment and not in schools (Fredman, 2011). Fredman (2011) also illustrates that children and young people who are below the age of 17 can be paid lower amounts than adult workers based on the minimum wage for young people. Children within poverty may work part time in order to help their parents or care provider maintain a living and therefore by discrimination against children within employment pay can impact a family. People under the age of 18 who have left school may rely on employment to support themselves financially if family is unable to afford to do so which means that by underpaying children and young people it could be preventing them from doing activities which their peers may be able to do (Fredman, 2011). Therefore, the Equality Act does not protect children from being underpaid and so there are flaws within the Equality act against age discrimination which can impact a child</w:t>
      </w:r>
      <w:r>
        <w:rPr>
          <w:rFonts w:hAnsi="Times New Roman" w:hint="default"/>
          <w:sz w:val="24"/>
          <w:szCs w:val="24"/>
          <w:u w:val="none"/>
          <w:rtl w:val="0"/>
          <w:lang w:val="en-US"/>
        </w:rPr>
        <w:t>’</w:t>
      </w:r>
      <w:r>
        <w:rPr>
          <w:rFonts w:ascii="Times New Roman"/>
          <w:sz w:val="24"/>
          <w:szCs w:val="24"/>
          <w:u w:val="none"/>
          <w:rtl w:val="0"/>
          <w:lang w:val="en-US"/>
        </w:rPr>
        <w:t xml:space="preserve">s health and well-being due to the fact they may not be able to support themselves to fulfil all their needs (Fredman, 2011). </w:t>
      </w:r>
    </w:p>
    <w:p>
      <w:pPr>
        <w:pStyle w:val="Body"/>
        <w:jc w:val="both"/>
        <w:rPr>
          <w:rFonts w:ascii="Times New Roman" w:cs="Times New Roman" w:hAnsi="Times New Roman" w:eastAsia="Times New Roman"/>
          <w:sz w:val="24"/>
          <w:szCs w:val="24"/>
          <w:u w:val="none"/>
          <w:lang w:val="en-US"/>
        </w:rPr>
      </w:pPr>
      <w:r>
        <w:rPr>
          <w:rFonts w:ascii="Times New Roman"/>
          <w:sz w:val="24"/>
          <w:szCs w:val="24"/>
          <w:u w:val="none"/>
          <w:rtl w:val="0"/>
          <w:lang w:val="en-US"/>
        </w:rPr>
        <w:t>Previously, there has been an act in place which primarily worked to protect children from poverty which was called the Child Poverty Act (Legislation, 2010).  In 2016 the Child Poverty Act was abolished by the Welfare Reform and Work Act (Parliament, 2016) including the targets to reduce poverty and the measure of poverty based on family income.  Formerly, the Child Poverty Act urged governments to report under four targets by 2020. This included relative poverty which means that less than 10 percent of children to live in relative low-income families, combined low-income and material deprivation which means that less than 5 percent of children to live in material deprivation and low-income families, absolute poverty which means less than 5 percent of children to live in absolute low-income families and persistent poverty which means for less children to live in relative poverty for long periods of time (Legislation, 2010. However, under the Welfare Reform and Work Act (Parliament, 2016) the government is only required to report to parliament on the number of children living in workless households and GCSE outcomes within Education. The Child Poverty Act was meant to produce a Child Poverty Strategy however it was delayed under the Welfare Reform and Work Act the government is not required to produce a Child Poverty Strategy (Parliament, 2016). However, under the Welfare Reform and Work Act the government will provide a Life Chances Strategy which includes schooling, health and well-being, mental health and housing (Parliament, 2016). According to (Legislation, 2010) the benefits that the Child Poverty Act had on children</w:t>
      </w:r>
      <w:r>
        <w:rPr>
          <w:rFonts w:hAnsi="Times New Roman" w:hint="default"/>
          <w:sz w:val="24"/>
          <w:szCs w:val="24"/>
          <w:u w:val="none"/>
          <w:rtl w:val="0"/>
          <w:lang w:val="en-US"/>
        </w:rPr>
        <w:t>’</w:t>
      </w:r>
      <w:r>
        <w:rPr>
          <w:rFonts w:ascii="Times New Roman"/>
          <w:sz w:val="24"/>
          <w:szCs w:val="24"/>
          <w:u w:val="none"/>
          <w:rtl w:val="0"/>
          <w:lang w:val="en-US"/>
        </w:rPr>
        <w:t>s health and well-being were that the act was primarily in place to protect children against poverty and aimed to abolish poverty. However, the Welfare Reform and Work Act abolished this act and brought about other issues which may negatively impact children</w:t>
      </w:r>
      <w:r>
        <w:rPr>
          <w:rFonts w:hAnsi="Times New Roman" w:hint="default"/>
          <w:sz w:val="24"/>
          <w:szCs w:val="24"/>
          <w:u w:val="none"/>
          <w:rtl w:val="0"/>
          <w:lang w:val="en-US"/>
        </w:rPr>
        <w:t>’</w:t>
      </w:r>
      <w:r>
        <w:rPr>
          <w:rFonts w:ascii="Times New Roman"/>
          <w:sz w:val="24"/>
          <w:szCs w:val="24"/>
          <w:u w:val="none"/>
          <w:rtl w:val="0"/>
          <w:lang w:val="en-US"/>
        </w:rPr>
        <w:t xml:space="preserve">s health and well-being. This includes, benefit cap reduction, benefit freeze, two child limit and conditionality for responsible carers claiming universal credit (Parliament, 2016). </w:t>
      </w:r>
    </w:p>
    <w:p>
      <w:pPr>
        <w:pStyle w:val="Body"/>
        <w:jc w:val="both"/>
        <w:rPr>
          <w:rFonts w:ascii="Times New Roman" w:cs="Times New Roman" w:hAnsi="Times New Roman" w:eastAsia="Times New Roman"/>
          <w:sz w:val="24"/>
          <w:szCs w:val="24"/>
          <w:u w:val="none"/>
          <w:lang w:val="en-US"/>
        </w:rPr>
      </w:pPr>
      <w:r>
        <w:rPr>
          <w:rFonts w:ascii="Times New Roman"/>
          <w:sz w:val="24"/>
          <w:szCs w:val="24"/>
          <w:u w:val="none"/>
          <w:rtl w:val="0"/>
          <w:lang w:val="en-US"/>
        </w:rPr>
        <w:t>The Convention on the Rights of the Child or can be referred to as CRC is one of the core UN human rights treaties which sets out the civil, political, economic, social and cultural rights of all children in order to benefit their health and well-being (Equality and Human Rights Commission, 2018). The Equality and Human Rights Commission (2018) suggests that the Convention on the Rights of the Child considers the best interests of the child when doing anything which may or may not affect children. The Convention on the Rights of the Child protects the rights of children in all areas of their life including privacy and family life, freedom from violence, abuse and neglect, health, education, social security, freedom from economic exploitation and an adequate standard of living (OHCHR, 2018). In 2016 the UN Committee on the Rights of the Child made observations of issues that they addressed in their report which included the standard of living, child poverty and homelessness (Equality and Human Rights Commission, 2018). The UN Committee on the Rights of the Child had concerns about the rate of child poverty remaining high and saw that children were affected in Wales and Northern Ireland most (Equality and Human Rights Commission, 2018). The Equality and Human Rights Commission (2018) concluded that there were issues regarding the Welfare Reform and Work Act (Parliament, 2016) because of the amendments that the government made to the Child Poverty Act (Legislation, 2010) it meant that it abolished the targets on the eradication of child poverty by 2020 and the obligation of the government to produce child poverty strategies. The Equality and Human Rights Commission (2018) also indicated that the Welfare Reform and Work Act (Parliament, 2016) limits the entitlement to child tax credits and social benefits regardless of the household needs. The Convention on the Rights of the Child is beneficial to children who are within poverties health and well-being as observe progress made by each nation within the UN to meet the standards set (Equality and Human Rights Commission, 2018). The Equality and Human Rights Commission (2018) suggested that in the states party's poverty reduction strategies to include the implementation of child poverty reductions which means that they are trying to take measures in order to reduce child poverty and benefit the children</w:t>
      </w:r>
      <w:r>
        <w:rPr>
          <w:rFonts w:hAnsi="Times New Roman" w:hint="default"/>
          <w:sz w:val="24"/>
          <w:szCs w:val="24"/>
          <w:u w:val="none"/>
          <w:rtl w:val="0"/>
          <w:lang w:val="en-US"/>
        </w:rPr>
        <w:t>’</w:t>
      </w:r>
      <w:r>
        <w:rPr>
          <w:rFonts w:ascii="Times New Roman"/>
          <w:sz w:val="24"/>
          <w:szCs w:val="24"/>
          <w:u w:val="none"/>
          <w:rtl w:val="0"/>
          <w:lang w:val="en-US"/>
        </w:rPr>
        <w:t xml:space="preserve">s health and well-being. </w:t>
      </w:r>
    </w:p>
    <w:p>
      <w:pPr>
        <w:pStyle w:val="Body"/>
        <w:jc w:val="both"/>
        <w:rPr>
          <w:rFonts w:ascii="Times New Roman" w:cs="Times New Roman" w:hAnsi="Times New Roman" w:eastAsia="Times New Roman"/>
          <w:sz w:val="24"/>
          <w:szCs w:val="24"/>
          <w:u w:val="none"/>
          <w:lang w:val="en-US"/>
        </w:rPr>
      </w:pPr>
      <w:r>
        <w:rPr>
          <w:rFonts w:ascii="Times New Roman"/>
          <w:sz w:val="24"/>
          <w:szCs w:val="24"/>
          <w:u w:val="none"/>
          <w:rtl w:val="0"/>
          <w:lang w:val="en-US"/>
        </w:rPr>
        <w:t>Poverty can affect any family structure including single working parents, single non-working parents, two working parent households, non-working parent households, one working parent households (Spodek and Saracho, 1992). A factor that impacts majority of family households is childcare and working. (Mayes and Thomson, 2012) references that in England the cost of childcare for young children had increased faster than wages. The difference in rate of increase impacted London the greatest because childcare costs rose the quickest in comparison to pay rates (Mayes and Thomson, 2012). Majority of working parents with children at the age of one years old do not get any state help which means that the cost of childcare is coming out of their family budgets. This means that money that can be used to support their families are going towards childcare, but the working parents are not being paid enough to be able to afford to pay childcare amongst other spending costs (Mayes and Thomson, 2012). A single working full-time parent with a one-year old child in Nursery is spending 21 percent of their wages on childcare and one parent working full-time and another working part-time was also spending 14 percent on childcare whereas two full-time working parents were spending 11 percent of their wages on childcare (Mayes and Thomson, 2012)</w:t>
      </w:r>
      <w:r>
        <w:rPr>
          <w:rFonts w:ascii="Times New Roman"/>
          <w:b w:val="1"/>
          <w:bCs w:val="1"/>
          <w:sz w:val="24"/>
          <w:szCs w:val="24"/>
          <w:u w:val="none"/>
          <w:rtl w:val="0"/>
          <w:lang w:val="en-US"/>
        </w:rPr>
        <w:t xml:space="preserve">. </w:t>
      </w:r>
      <w:r>
        <w:rPr>
          <w:rFonts w:ascii="Times New Roman"/>
          <w:sz w:val="24"/>
          <w:szCs w:val="24"/>
          <w:u w:val="none"/>
          <w:rtl w:val="0"/>
          <w:lang w:val="en-US"/>
        </w:rPr>
        <w:t xml:space="preserve"> Therefore, the cost of childcare may be contributing to children living in poverty (Mayes and Thomson, 2012). According to predictions made by (Blau, 2001) there were fears that the further costing of childcare may cause parents to not work since they would not be able to afford childcare services when participating in work if the wages would not also rise along with the costings of the services. Mayes and Thomson (2012) suggested that parents who did not want to rely on state help or were not receiving enough were suffering while working leading to children missing out on participating within society by doing activities as they were not able to afford to do so and money spent on childcare meant that spending costs on food, bills and other occurrences were harder to achieve with the spending cost on childcare. </w:t>
      </w:r>
    </w:p>
    <w:p>
      <w:pPr>
        <w:pStyle w:val="Body"/>
        <w:jc w:val="both"/>
        <w:rPr>
          <w:rFonts w:ascii="Times New Roman" w:cs="Times New Roman" w:hAnsi="Times New Roman" w:eastAsia="Times New Roman"/>
          <w:sz w:val="24"/>
          <w:szCs w:val="24"/>
          <w:u w:val="none"/>
          <w:lang w:val="en-US"/>
        </w:rPr>
      </w:pPr>
      <w:r>
        <w:rPr>
          <w:rFonts w:ascii="Times New Roman"/>
          <w:sz w:val="24"/>
          <w:szCs w:val="24"/>
          <w:u w:val="none"/>
          <w:rtl w:val="0"/>
          <w:lang w:val="en-US"/>
        </w:rPr>
        <w:t>The health and well-being of children in poverty may be impacted by the problems with the benefits and tax system with working and non-working families. The tax system overtime has become increasingly complicated this is due to different changing factors within the system (Brough, 2017). Brough (2017) suggests that tax credits and the withdrawal of child benefits means that taxpayers often face different marginal rates of personal tax which can negatively increase tax rates as they become very high. According to Brough (2017) while considering benefit withdrawal, a married couple would face marginal rates of 60 percent of income ranges. This suggests that the high rates would discourage career progression within training and work effort leading to parents not progressing further to increase wages which leads to the possibility of suffering children within the family when considering the opportunities missed. (Brough, 2017).  In turn, families who receive benefits often face issues with changes in circumstance on their entitlements to benefits (Welfare Benefits and Tax Credits Handbook 2018/2019: 20</w:t>
      </w:r>
      <w:r>
        <w:rPr>
          <w:rFonts w:ascii="Times New Roman"/>
          <w:sz w:val="24"/>
          <w:szCs w:val="24"/>
          <w:u w:val="none"/>
          <w:vertAlign w:val="superscript"/>
          <w:rtl w:val="0"/>
          <w:lang w:val="en-US"/>
        </w:rPr>
        <w:t>th</w:t>
      </w:r>
      <w:r>
        <w:rPr>
          <w:rFonts w:ascii="Times New Roman"/>
          <w:sz w:val="24"/>
          <w:szCs w:val="24"/>
          <w:u w:val="none"/>
          <w:rtl w:val="0"/>
          <w:lang w:val="en-US"/>
        </w:rPr>
        <w:t xml:space="preserve"> Edition, 2018). The Welfare Benefits and Tax Credit Handbook (2018) includes the difficulties of circumstances that families face which include incorrect information from benefit advisors or incorrect assessments and long periods of time waiting for money to come through along with hostility by benefit advisors. The Welfare Benefits and Tax Credit Handbook (2018) suggests that the difficult circumstance which impacts families the most is the time period it takes for money to come through because they are then living on low incomes which impacts children the most. This impacts children the most as they may not be able to maintain a stable diet on low income or be able to participate within activities (Welfare Benefits and Tax Credits Handbook 2018/2019: 20</w:t>
      </w:r>
      <w:r>
        <w:rPr>
          <w:rFonts w:ascii="Times New Roman"/>
          <w:sz w:val="24"/>
          <w:szCs w:val="24"/>
          <w:u w:val="none"/>
          <w:vertAlign w:val="superscript"/>
          <w:rtl w:val="0"/>
          <w:lang w:val="en-US"/>
        </w:rPr>
        <w:t>th</w:t>
      </w:r>
      <w:r>
        <w:rPr>
          <w:rFonts w:ascii="Times New Roman"/>
          <w:sz w:val="24"/>
          <w:szCs w:val="24"/>
          <w:u w:val="none"/>
          <w:rtl w:val="0"/>
          <w:lang w:val="en-US"/>
        </w:rPr>
        <w:t xml:space="preserve"> Edition, 2018). The waiting period that families face often leads to families going into debt in some cases more debt, going into savings which could affect children's futures, leads to families having to use food banks although some families may be too ashamed to turn for help with food bank (Welfare Benefits and Tax Credits Handbook 2018/2019: 20</w:t>
      </w:r>
      <w:r>
        <w:rPr>
          <w:rFonts w:ascii="Times New Roman"/>
          <w:sz w:val="24"/>
          <w:szCs w:val="24"/>
          <w:u w:val="none"/>
          <w:vertAlign w:val="superscript"/>
          <w:rtl w:val="0"/>
          <w:lang w:val="en-US"/>
        </w:rPr>
        <w:t>th</w:t>
      </w:r>
      <w:r>
        <w:rPr>
          <w:rFonts w:ascii="Times New Roman"/>
          <w:sz w:val="24"/>
          <w:szCs w:val="24"/>
          <w:u w:val="none"/>
          <w:rtl w:val="0"/>
          <w:lang w:val="en-US"/>
        </w:rPr>
        <w:t xml:space="preserve"> Edition, 2018).  The mental health of the parents can impact their children so if families are in bad debt or relying on food banks they may be stressed, this can lead to stress on the children as they may openly see their parents struggle and blame themselves (Harley, 2012). There are also problems with the universal credit system which impact families leading to an impact on children</w:t>
      </w:r>
      <w:r>
        <w:rPr>
          <w:rFonts w:hAnsi="Times New Roman" w:hint="default"/>
          <w:sz w:val="24"/>
          <w:szCs w:val="24"/>
          <w:u w:val="none"/>
          <w:rtl w:val="0"/>
          <w:lang w:val="en-US"/>
        </w:rPr>
        <w:t>’</w:t>
      </w:r>
      <w:r>
        <w:rPr>
          <w:rFonts w:ascii="Times New Roman"/>
          <w:sz w:val="24"/>
          <w:szCs w:val="24"/>
          <w:u w:val="none"/>
          <w:rtl w:val="0"/>
          <w:lang w:val="en-US"/>
        </w:rPr>
        <w:t xml:space="preserve">s health and well-being. The universal credit system is a benefit for working-age people and it replaces multiple benefits and merges them into one payment, it was designed to make claiming benefits easier as it allowed a single payment directly into a claimant's bank account to cover benefits (Universal Credit: What You Need to Know, 2012). In the book Universal Credit: What You Need to Know book (2012) it is suggested that the problem with the universal credit is that when a person or family make a claim it takes up six weeks for their first payment to come into their bank due to processing. During the waiting time period the government expects claimants to live off their savings or they could apply for advance payments which is a loan of 50 percent of the monthly payment they would receive which leads to families and people not receiving the full amount of benefits and so they would be living off less than they are owed or their children and themselves future savings are impacted which could affect Christmases, birthdays, education for their children (Universal Credit: What You Need to Know, 2012). </w:t>
      </w:r>
    </w:p>
    <w:p>
      <w:pPr>
        <w:pStyle w:val="Body"/>
        <w:jc w:val="both"/>
        <w:rPr>
          <w:rFonts w:ascii="Times New Roman" w:cs="Times New Roman" w:hAnsi="Times New Roman" w:eastAsia="Times New Roman"/>
          <w:sz w:val="24"/>
          <w:szCs w:val="24"/>
          <w:u w:val="none"/>
          <w:lang w:val="en-US"/>
        </w:rPr>
      </w:pPr>
      <w:r>
        <w:rPr>
          <w:rFonts w:ascii="Times New Roman"/>
          <w:sz w:val="24"/>
          <w:szCs w:val="24"/>
          <w:u w:val="none"/>
          <w:rtl w:val="0"/>
          <w:lang w:val="en-US"/>
        </w:rPr>
        <w:t xml:space="preserve">The problem with poverty is linked into Capitalism. According to (Butler, 2018) Capitalism is where free enterprise is a financial framework where private elements possess the variables of generations. The four components are enterprise, capital products, characteristic assets, and work (Butler, 2018). The main exemption is subjugation, where another person claims a man's work (Butler, 2018). Albeit unlawful all through the whole world, subjection is still broadly rehearsed and the proprietors of capital merchandise, characteristic assets, and business enterprise practice control through organisations (Butler, 2018). According to (Fulcher, 2015) free enterprise possession implies two things. Fulcher (2015) firstly suggest that the proprietors control the components of creation. Fulcher (2015) then suggests that the second is that they get their pay from their proprietorship this enables individuals to work within their organisations productively. Additionally, Fulcher (2015) adds that it furnishes individuals with the motivation to boost benefit. In enterprises, the investors are the proprietors meaning that their level of control relies upon what number of offers which individuals claim (Fulcher, 2015). Fulcher (2015) suggests that private enterprise requires a free market economy to succeed and conveys merchandise and enterprises as indicated by the laws of free market activity. Therefore, Capitalism is linked into poverty because Capitalism does not accommodate the individuals who need aggressive aptitudes. According to (Pettinger, 2015) these individuals include the elderly, the poor and children among the individuals who need aggressive aptitudes and in order to keep society working within Capitalism private enterprises requires government policies which in turn esteem the nuclear family. Pettinger (2015) presents that Capitalism does not promote equality of opportunity as those without money, support and education may not ever be as successful as those with money, support and education. Furthermore, Pettinger (2015) adds that the inequality of opportunity which Capitalism presents often affects the outcomes of children whose parents are at the lower end of the opportunity spectrum. The increasing inequality of opportunities within families affects children because often parents who are at the lower end of the opportunity spectrum means that their children will also be at the lower end of the opportunity spectrum as opportunity is a cycle (Collier, 2018).  Collier (2018) suggests that there is a cycle because those who are not born into money are not given the opportunity due to changes in employment. Collier (2018) expresses that the cause of economic inequality of opportunity arises from the ability to access well paid employment due to economic recessions and the lack of experience which employers aspire for there is a rise in unemployment and more people dependent on benefits therefore, inequality had widened between those with well paid jobs and those without. </w:t>
      </w:r>
    </w:p>
    <w:p>
      <w:pPr>
        <w:pStyle w:val="Body"/>
        <w:jc w:val="both"/>
        <w:rPr>
          <w:rFonts w:ascii="Times New Roman" w:cs="Times New Roman" w:hAnsi="Times New Roman" w:eastAsia="Times New Roman"/>
          <w:sz w:val="24"/>
          <w:szCs w:val="24"/>
          <w:u w:val="none"/>
          <w:lang w:val="en-US"/>
        </w:rPr>
      </w:pPr>
      <w:r>
        <w:rPr>
          <w:rFonts w:ascii="Times New Roman"/>
          <w:sz w:val="24"/>
          <w:szCs w:val="24"/>
          <w:u w:val="none"/>
          <w:rtl w:val="0"/>
          <w:lang w:val="en-US"/>
        </w:rPr>
        <w:t>Marxism is an alternative to Capitalism and is often debated whether it would be better for closing the gaps between the wealthy and not wealthy (Hands, 2015). Hands (2015) presents Marxism as an economic and social system where the government controls all resources and means of production and not by the wealth which means that there would be no classes. Hands (2015) discusses Marxism as an idea that individuals own their labour and in turn possess equal amounts of product, value and resources which means that individuals are not paid less than they produce so that others can profit off their labour as their products, value and resources are redistributed back to the labourers in equal value to how they have worked so they cannot exploit labourers. Hands (2015) demonstrates that Marxism is an idealistic economic philosophy which the philosophy concludes that all people in different classes of wealth want to work and so will work in order to achieve what they need for stability, safety and health. Marxism does not allow for corruption, individuals who live on benefits, crime as it is pro-equality and that it assumes all humans are honest and earnest because by equalising every individual no person will possess the power of class wealth which is corrupt as claimed by Hands (2015). Marxism can be compared to Capitalism in three different ways individualism, private property and profit (Heller, 2018). Individualism places the rights of the individual above the rights of a community as a collective is a part of Capitalism and results in a rational self-interest in a market free from regulation resulting in economic and social well-being according to Heller (2018). Although (Marx, 2014) believes that Marxism is adopted by the righteousness of individual freedom meaning that it is suggested that Capitalism dehumanises individuals who are working and that equality within the community as a collective would mean that the individual would be free from the subjections of economic suffering with classes of wealth gaps. Heller (2018) suggests that in Capitalist theory ownership of the means of productions implies the ownership of what is produced meaning that in Capitalism individuals have a right to own what they produce from their own labour. Marx (2014) concludes that in Marxism there would be an abolishment of the concept of private property and the denial of private property to other individuals and therefore have a collective ownership. Marx (2014) adds that a collective ownership production will result in the release of restrictions from private property and then in turn given freedom to purely be human. Heller (2018) indicates that Capitalism allows the individual to determine profit margins that have come about from private property within the free market. Whereas Marx (2014) suggests the theory of value is the foundation of economics and the basis of criticism of Capitalism and therefore profit could only come about by Capitalists exploiting lower classes as Marxism all profits from production are distributed equally.</w:t>
      </w:r>
    </w:p>
    <w:p>
      <w:pPr>
        <w:pStyle w:val="Body"/>
        <w:jc w:val="both"/>
        <w:rPr>
          <w:rFonts w:ascii="Times New Roman" w:cs="Times New Roman" w:hAnsi="Times New Roman" w:eastAsia="Times New Roman"/>
          <w:sz w:val="24"/>
          <w:szCs w:val="24"/>
          <w:u w:val="none"/>
          <w:lang w:val="en-US"/>
        </w:rPr>
      </w:pPr>
      <w:r>
        <w:rPr>
          <w:rFonts w:ascii="Times New Roman"/>
          <w:sz w:val="24"/>
          <w:szCs w:val="24"/>
          <w:u w:val="none"/>
          <w:rtl w:val="0"/>
          <w:lang w:val="en-US"/>
        </w:rPr>
        <w:t>To conclude, the reason for this assignment was to show a comprehension of how the prosperity and well-being of children who are living in neediness may not be anchored with defensive enactment from legislation. Defensive enactment is laws which are there with the end goal to secure gatherings with ensured qualities or who are powerless (Gov, 2015). This assignment discussed the problems with different legislation that is in place such as the Equality Act (Gov, 2015), Child Poverty Act (Legislation, 2010) and the Convention on the rights of the child (Equality and Human Rights Commission, 2018). Regarding the Equality Act (Gov, 2015) Fredman (2011) proposes that the Equality Act (2015) does not shield youngsters from being come up short on thus there are imperfections inside the Equality demonstration against age segregation which can affect a childs wellbeing and prosperity because of the reality they will most likely be unable to help themselves to satisfy every one of their needs (Fredman, 2011). Regarding the Child Poverty Act (Legislation, 2010) the advantages of the act had on children</w:t>
      </w:r>
      <w:r>
        <w:rPr>
          <w:rFonts w:hAnsi="Times New Roman" w:hint="default"/>
          <w:sz w:val="24"/>
          <w:szCs w:val="24"/>
          <w:u w:val="none"/>
          <w:rtl w:val="0"/>
          <w:lang w:val="en-US"/>
        </w:rPr>
        <w:t>’</w:t>
      </w:r>
      <w:r>
        <w:rPr>
          <w:rFonts w:ascii="Times New Roman"/>
          <w:sz w:val="24"/>
          <w:szCs w:val="24"/>
          <w:u w:val="none"/>
          <w:rtl w:val="0"/>
          <w:lang w:val="en-US"/>
        </w:rPr>
        <w:t>s well-being and prosperity were that the demonstration was fundamentally set up to secure children against neediness and intended to abrogate destitution. Notwithstanding, the Welfare Reform and Work Act (Parliament, 2016) annulled this demonstration and achieved different issues which may adversely affect children</w:t>
      </w:r>
      <w:r>
        <w:rPr>
          <w:rFonts w:hAnsi="Times New Roman" w:hint="default"/>
          <w:sz w:val="24"/>
          <w:szCs w:val="24"/>
          <w:u w:val="none"/>
          <w:rtl w:val="0"/>
          <w:lang w:val="en-US"/>
        </w:rPr>
        <w:t>’</w:t>
      </w:r>
      <w:r>
        <w:rPr>
          <w:rFonts w:ascii="Times New Roman"/>
          <w:sz w:val="24"/>
          <w:szCs w:val="24"/>
          <w:u w:val="none"/>
          <w:rtl w:val="0"/>
          <w:lang w:val="en-US"/>
        </w:rPr>
        <w:t>s well-being and prosperity. The Convention on the Rights of the Child (Equality and Human Rights Commision, 2018) is advantageous to children who are inside poverties well-being and prosperity as watch advance made by every country inside the UK to meet the norms set. The Equality and Human Rights Commission (2018) proposed that in the states gatherings neediness decrease systems to incorporate the usage of children destitution decreases which implies that they are attempting to take measures with the end goal to lessen children destitution and advantage the children</w:t>
      </w:r>
      <w:r>
        <w:rPr>
          <w:rFonts w:hAnsi="Times New Roman" w:hint="default"/>
          <w:sz w:val="24"/>
          <w:szCs w:val="24"/>
          <w:u w:val="none"/>
          <w:rtl w:val="0"/>
          <w:lang w:val="en-US"/>
        </w:rPr>
        <w:t>’</w:t>
      </w:r>
      <w:r>
        <w:rPr>
          <w:rFonts w:ascii="Times New Roman"/>
          <w:sz w:val="24"/>
          <w:szCs w:val="24"/>
          <w:u w:val="none"/>
          <w:rtl w:val="0"/>
          <w:lang w:val="en-US"/>
        </w:rPr>
        <w:t>s well-being and prosperity. This assignment also discussed the issues of childcare and the issues of working guardians and non-working guardians in connection to child destitution. The expense of childcare might contribute to children living in neediness (Mayes and Thomson, 2012). As indicated by expectations made by (Blau, 2001) there were fears that the further costing of childcare may make guardians not work since they would not have the capacity to manage the cost of childcare administrations while taking an interest in work if wages would not likewise ascent alongside the costings of the administrations. The problems with benefits and tax system including universal credit also contributes to negative impacts on children</w:t>
      </w:r>
      <w:r>
        <w:rPr>
          <w:rFonts w:hAnsi="Times New Roman" w:hint="default"/>
          <w:sz w:val="24"/>
          <w:szCs w:val="24"/>
          <w:u w:val="none"/>
          <w:rtl w:val="0"/>
          <w:lang w:val="en-US"/>
        </w:rPr>
        <w:t>’</w:t>
      </w:r>
      <w:r>
        <w:rPr>
          <w:rFonts w:ascii="Times New Roman"/>
          <w:sz w:val="24"/>
          <w:szCs w:val="24"/>
          <w:u w:val="none"/>
          <w:rtl w:val="0"/>
          <w:lang w:val="en-US"/>
        </w:rPr>
        <w:t>s prosperity and well-being who are living in neediness. The Welfare Benefits and Tax Credit Handbook (2018) proposes that the troublesome situation which impacts families the most is the day and age it takes for money to come through on the grounds that they are then living on low wages which impacts children the most. This effects children the most as they will be unable to keep up a steady eating regimen on low wage or have the capacity to take an interest inside exercises (Welfare Benefits and Tax Credits Handbook 2018/2019: twentieth Edition, 2018). The holding up period that families confront frequently prompts families more obligation, going into reserve funds which could influence children's fates, prompts families utilising nourishment banks albeit a few families might be excessively embarrassed, making it impossible to turn for help (Welfare Benefits and Tax Credits Handbook 2018/2019: twentieth Edition, 2018). Capitalism also contributes to negative impacts on children</w:t>
      </w:r>
      <w:r>
        <w:rPr>
          <w:rFonts w:hAnsi="Times New Roman" w:hint="default"/>
          <w:sz w:val="24"/>
          <w:szCs w:val="24"/>
          <w:u w:val="none"/>
          <w:rtl w:val="0"/>
          <w:lang w:val="en-US"/>
        </w:rPr>
        <w:t>’</w:t>
      </w:r>
      <w:r>
        <w:rPr>
          <w:rFonts w:ascii="Times New Roman"/>
          <w:sz w:val="24"/>
          <w:szCs w:val="24"/>
          <w:u w:val="none"/>
          <w:rtl w:val="0"/>
          <w:lang w:val="en-US"/>
        </w:rPr>
        <w:t xml:space="preserve">s well-being and prosperity as the expanding imbalance of chances inside families influences kids because regularly guardians who are at the lower end of class range implies that their children will likewise be at the lower end of the class range as happenstance is a cycle (Collier, 2018).  Collier (2018) proposes that there is a cycle on the grounds that the individuals who are not naturally introduced to cash are not given the open door because of changes in work. Collier (2018) communicates that the reason for monetary imbalance of chance emerges from the capacity to get to generously compensated work because of financial subsidence's and the absence of experience which bosses yearn for there is an ascent in joblessness and more individuals reliant on advantages thusly, disparity had broadened between those with generously compensated employments and those without. </w:t>
      </w: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color w:val="333333"/>
          <w:sz w:val="24"/>
          <w:szCs w:val="24"/>
          <w:u w:color="333333"/>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r>
        <w:rPr>
          <w:rFonts w:ascii="Times New Roman"/>
          <w:sz w:val="24"/>
          <w:szCs w:val="24"/>
          <w:u w:val="single"/>
          <w:rtl w:val="0"/>
          <w:lang w:val="en-US"/>
        </w:rPr>
        <w:t>Reference List</w:t>
      </w:r>
    </w:p>
    <w:p>
      <w:pPr>
        <w:pStyle w:val="Body"/>
        <w:jc w:val="both"/>
        <w:rPr>
          <w:rFonts w:ascii="Times New Roman" w:cs="Times New Roman" w:hAnsi="Times New Roman" w:eastAsia="Times New Roman"/>
          <w:sz w:val="24"/>
          <w:szCs w:val="24"/>
          <w:lang w:val="en-US"/>
        </w:rPr>
      </w:pP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Blau, D. (2001). The Child Care Problem: An Economic Analysis. Russell Sage Foundation.</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Brough, M. (2017). Welfare Benefits and Tax Credits Handbook 2017/2018: 19th Edition. 19th ed. CPAG.</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Butler, E. (2018). Capitalism: An Introduction. Institute of Economic Affairs.</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 xml:space="preserve">Equality and Human Rights Commission. (2018). Convention on the Rights of the Child | Equality and Human Rights Commission. [online] Available at: </w:t>
      </w:r>
      <w:hyperlink r:id="rId4" w:history="1">
        <w:r>
          <w:rPr>
            <w:rStyle w:val="Hyperlink.0"/>
            <w:rFonts w:ascii="Times New Roman"/>
            <w:sz w:val="24"/>
            <w:szCs w:val="24"/>
            <w:rtl w:val="0"/>
            <w:lang w:val="en-US"/>
          </w:rPr>
          <w:t>https://www.equalityhumanrights.com/en/our-human-rights-work/monitoring-and-promoting-un-treaties/convention-rights-child</w:t>
        </w:r>
      </w:hyperlink>
      <w:r>
        <w:rPr>
          <w:rFonts w:ascii="Times New Roman"/>
          <w:sz w:val="24"/>
          <w:szCs w:val="24"/>
          <w:rtl w:val="0"/>
          <w:lang w:val="en-US"/>
        </w:rPr>
        <w:t xml:space="preserve"> [Accessed 15 Oct. 2018].</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Collier, P. (2018). The Future of Capitalism: Facing the New Anxieties. Penguin Books Limited.</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Fredman, S. (2011). Discrimination Law. 2nd ed. OUP Oxford.</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Fulcher, J. (2015). Capitalism: A Very Short Introduction. Oxford University Press.</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 xml:space="preserve">GOV. (2015). Equality Act 2010: guidance. [online] Available at: </w:t>
      </w:r>
      <w:hyperlink r:id="rId5" w:history="1">
        <w:r>
          <w:rPr>
            <w:rStyle w:val="Hyperlink.0"/>
            <w:rFonts w:ascii="Times New Roman"/>
            <w:sz w:val="24"/>
            <w:szCs w:val="24"/>
            <w:rtl w:val="0"/>
            <w:lang w:val="en-US"/>
          </w:rPr>
          <w:t>https://www.gov.uk/guidance/equality-act-2010-guidance</w:t>
        </w:r>
      </w:hyperlink>
      <w:r>
        <w:rPr>
          <w:rFonts w:ascii="Times New Roman"/>
          <w:sz w:val="24"/>
          <w:szCs w:val="24"/>
          <w:rtl w:val="0"/>
          <w:lang w:val="en-US"/>
        </w:rPr>
        <w:t xml:space="preserve"> [Accessed 15 Oct. 2018].</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 xml:space="preserve">GOV. (2015). GCSE and equivalent attainment by pupil characteristics: 2014. [online] Available at: </w:t>
      </w:r>
      <w:hyperlink r:id="rId6" w:history="1">
        <w:r>
          <w:rPr>
            <w:rStyle w:val="Hyperlink.0"/>
            <w:rFonts w:ascii="Times New Roman"/>
            <w:sz w:val="24"/>
            <w:szCs w:val="24"/>
            <w:rtl w:val="0"/>
            <w:lang w:val="en-US"/>
          </w:rPr>
          <w:t>https://www.gov.uk/government/statistics/gcse-and-equivalent-attainment-by-pupil-characteristics-2014</w:t>
        </w:r>
      </w:hyperlink>
      <w:r>
        <w:rPr>
          <w:rFonts w:ascii="Times New Roman"/>
          <w:sz w:val="24"/>
          <w:szCs w:val="24"/>
          <w:rtl w:val="0"/>
          <w:lang w:val="en-US"/>
        </w:rPr>
        <w:t xml:space="preserve"> [Accessed 15 Oct. 2018].</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 xml:space="preserve">GOV. (2018). Households below average income: 1994/95 to 2016/17. [online] Available at: </w:t>
      </w:r>
      <w:hyperlink r:id="rId7" w:history="1">
        <w:r>
          <w:rPr>
            <w:rStyle w:val="Hyperlink.0"/>
            <w:rFonts w:ascii="Times New Roman"/>
            <w:sz w:val="24"/>
            <w:szCs w:val="24"/>
            <w:rtl w:val="0"/>
            <w:lang w:val="en-US"/>
          </w:rPr>
          <w:t>https://www.gov.uk/government/statistics/households-below-average-income-199495-to-201617</w:t>
        </w:r>
      </w:hyperlink>
      <w:r>
        <w:rPr>
          <w:rFonts w:ascii="Times New Roman"/>
          <w:sz w:val="24"/>
          <w:szCs w:val="24"/>
          <w:rtl w:val="0"/>
          <w:lang w:val="en-US"/>
        </w:rPr>
        <w:t xml:space="preserve"> [Accessed 15 Oct. 2018].</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Hands, G. (2015). Marx: A Complete Introduction. Hodder &amp; Stoughton.</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Harley, M. (2012). The Ripple Effect Process : An Introduction to Psycho-Emotional-Education. Balboa Press.</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Heller, H. (2018). A Marxist History of Capitalism. Taylor and Francis.</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Jefferson, P. (2018). Poverty: a Very Short Introduction. Oxford University Press.</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 xml:space="preserve">Legislation. (2010). Child Poverty Act (2010). [online] Available at: </w:t>
      </w:r>
      <w:hyperlink r:id="rId8" w:history="1">
        <w:r>
          <w:rPr>
            <w:rStyle w:val="Hyperlink.0"/>
            <w:rFonts w:ascii="Times New Roman"/>
            <w:sz w:val="24"/>
            <w:szCs w:val="24"/>
            <w:rtl w:val="0"/>
            <w:lang w:val="en-US"/>
          </w:rPr>
          <w:t>https://www.legislation.gov.uk/ukpga/2010/9/contents</w:t>
        </w:r>
      </w:hyperlink>
      <w:r>
        <w:rPr>
          <w:rFonts w:ascii="Times New Roman"/>
          <w:sz w:val="24"/>
          <w:szCs w:val="24"/>
          <w:rtl w:val="0"/>
          <w:lang w:val="en-US"/>
        </w:rPr>
        <w:t xml:space="preserve"> [Accessed 15 Oct. 2018].</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Marx, K. (2014). The Poverty of Philosophy. Martino Fine Books.</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Maslow, A. (2013). A Theory of Human Motivation. Wilder Publications.</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Mayes, D. and Thomson, M. (2012). The Costs of Children: Parenting and Democracy in Contemporary Europe. Edward Elgar.</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McDermott, I. (2010). NLP: Health and Well-Being. HarperCollins Publishers.</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 xml:space="preserve">OHCHR. (2018). OHCHR | Convention on the Rights of the Child. [online] Available at: </w:t>
      </w:r>
      <w:hyperlink r:id="rId9" w:history="1">
        <w:r>
          <w:rPr>
            <w:rStyle w:val="Hyperlink.0"/>
            <w:rFonts w:ascii="Times New Roman"/>
            <w:sz w:val="24"/>
            <w:szCs w:val="24"/>
            <w:rtl w:val="0"/>
            <w:lang w:val="en-US"/>
          </w:rPr>
          <w:t>https://www.ohchr.org/EN/ProfessionalInterest/Pages/CRC.aspx</w:t>
        </w:r>
      </w:hyperlink>
      <w:r>
        <w:rPr>
          <w:rFonts w:ascii="Times New Roman"/>
          <w:sz w:val="24"/>
          <w:szCs w:val="24"/>
          <w:rtl w:val="0"/>
          <w:lang w:val="en-US"/>
        </w:rPr>
        <w:t xml:space="preserve"> [Accessed 15 Oct. 2018].</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 xml:space="preserve">Parliament. (2016). Welfare Reform and Work Act 2016 </w:t>
      </w:r>
      <w:r>
        <w:rPr>
          <w:rFonts w:hAnsi="Times New Roman" w:hint="default"/>
          <w:sz w:val="24"/>
          <w:szCs w:val="24"/>
          <w:rtl w:val="0"/>
          <w:lang w:val="en-US"/>
        </w:rPr>
        <w:t xml:space="preserve">— </w:t>
      </w:r>
      <w:r>
        <w:rPr>
          <w:rFonts w:ascii="Times New Roman"/>
          <w:sz w:val="24"/>
          <w:szCs w:val="24"/>
          <w:rtl w:val="0"/>
          <w:lang w:val="en-US"/>
        </w:rPr>
        <w:t xml:space="preserve">UK Parliament. [online] Available at: </w:t>
      </w:r>
      <w:hyperlink r:id="rId10" w:history="1">
        <w:r>
          <w:rPr>
            <w:rStyle w:val="Hyperlink.0"/>
            <w:rFonts w:ascii="Times New Roman"/>
            <w:sz w:val="24"/>
            <w:szCs w:val="24"/>
            <w:rtl w:val="0"/>
            <w:lang w:val="en-US"/>
          </w:rPr>
          <w:t>https://services.parliament.uk/bills/2015-16/welfarereformandwork.html</w:t>
        </w:r>
      </w:hyperlink>
      <w:r>
        <w:rPr>
          <w:rFonts w:ascii="Times New Roman"/>
          <w:sz w:val="24"/>
          <w:szCs w:val="24"/>
          <w:rtl w:val="0"/>
          <w:lang w:val="en-US"/>
        </w:rPr>
        <w:t xml:space="preserve"> [Accessed 15 Oct. 2018].</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Pettinger, L. (2015). Work, Consumption and Capitalism. Palgrave Macmillan.</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Spodek, B. and Saracho, O. (1992). Issues in Child Care. Teachers College Press.</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Universal Credit: What You Need to Know. (2012). Child Poverty Action Group.</w:t>
      </w:r>
    </w:p>
    <w:p>
      <w:pPr>
        <w:pStyle w:val="Body"/>
        <w:jc w:val="both"/>
        <w:rPr>
          <w:rFonts w:ascii="Times New Roman" w:cs="Times New Roman" w:hAnsi="Times New Roman" w:eastAsia="Times New Roman"/>
          <w:sz w:val="24"/>
          <w:szCs w:val="24"/>
          <w:rtl w:val="0"/>
          <w:lang w:val="en-US"/>
        </w:rPr>
      </w:pPr>
      <w:r>
        <w:rPr>
          <w:rFonts w:ascii="Times New Roman"/>
          <w:sz w:val="24"/>
          <w:szCs w:val="24"/>
          <w:rtl w:val="0"/>
          <w:lang w:val="en-US"/>
        </w:rPr>
        <w:t>Welfare Benefits and Tax Credits Handbook 2018/2019: 20th Edition. (2018). 20th ed. CPAG.</w:t>
      </w:r>
    </w:p>
    <w:p>
      <w:pPr>
        <w:pStyle w:val="Body"/>
        <w:jc w:val="both"/>
        <w:rPr>
          <w:rtl w:val="0"/>
        </w:rPr>
      </w:pPr>
      <w:r>
        <w:rPr>
          <w:rtl w:val="0"/>
        </w:rPr>
        <w:br w:type="textWrapping"/>
      </w:r>
    </w:p>
    <w:p>
      <w:pPr>
        <w:pStyle w:val="Body"/>
        <w:jc w:val="both"/>
        <w:rPr>
          <w:rFonts w:ascii="Times New Roman" w:cs="Times New Roman" w:hAnsi="Times New Roman" w:eastAsia="Times New Roman"/>
          <w:color w:val="4a4a4a"/>
          <w:sz w:val="24"/>
          <w:szCs w:val="24"/>
          <w:u w:color="4a4a4a"/>
          <w:lang w:val="en-US"/>
        </w:rPr>
      </w:pPr>
    </w:p>
    <w:p>
      <w:pPr>
        <w:pStyle w:val="Body"/>
        <w:jc w:val="both"/>
        <w:rPr>
          <w:rFonts w:ascii="Times New Roman" w:cs="Times New Roman" w:hAnsi="Times New Roman" w:eastAsia="Times New Roman"/>
          <w:color w:val="333333"/>
          <w:sz w:val="24"/>
          <w:szCs w:val="24"/>
          <w:u w:color="333333"/>
          <w:lang w:val="en-US"/>
        </w:rPr>
      </w:pPr>
    </w:p>
    <w:p>
      <w:pPr>
        <w:pStyle w:val="Body"/>
        <w:jc w:val="both"/>
        <w:rPr>
          <w:rFonts w:ascii="Times New Roman" w:cs="Times New Roman" w:hAnsi="Times New Roman" w:eastAsia="Times New Roman"/>
          <w:sz w:val="19"/>
          <w:szCs w:val="19"/>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r>
        <w:rPr>
          <w:rFonts w:ascii="Times New Roman"/>
          <w:sz w:val="24"/>
          <w:szCs w:val="24"/>
          <w:u w:val="none"/>
          <w:rtl w:val="0"/>
          <w:lang w:val="en-US"/>
        </w:rPr>
        <w:t xml:space="preserve"> </w:t>
      </w:r>
    </w:p>
    <w:p>
      <w:pPr>
        <w:pStyle w:val="Body"/>
        <w:jc w:val="both"/>
        <w:rPr>
          <w:rFonts w:ascii="Arial" w:cs="Arial" w:hAnsi="Arial" w:eastAsia="Arial"/>
          <w:color w:val="595959"/>
          <w:sz w:val="21"/>
          <w:szCs w:val="21"/>
          <w:u w:color="595959"/>
          <w:lang w:val="en-US"/>
        </w:rPr>
      </w:pPr>
    </w:p>
    <w:p>
      <w:pPr>
        <w:pStyle w:val="Body"/>
        <w:jc w:val="both"/>
        <w:rPr>
          <w:rFonts w:ascii="Times New Roman" w:cs="Times New Roman" w:hAnsi="Times New Roman" w:eastAsia="Times New Roman"/>
          <w:sz w:val="19"/>
          <w:szCs w:val="19"/>
          <w:lang w:val="en-US"/>
        </w:rPr>
      </w:pPr>
    </w:p>
    <w:p>
      <w:pPr>
        <w:pStyle w:val="Body"/>
        <w:jc w:val="both"/>
        <w:rPr>
          <w:rFonts w:ascii="Times New Roman" w:cs="Times New Roman" w:hAnsi="Times New Roman" w:eastAsia="Times New Roman"/>
          <w:b w:val="1"/>
          <w:bCs w:val="1"/>
          <w:color w:val="000000"/>
          <w:sz w:val="24"/>
          <w:szCs w:val="24"/>
          <w:u w:val="none" w:color="000000"/>
          <w:lang w:val="en-US"/>
        </w:rPr>
      </w:pPr>
    </w:p>
    <w:p>
      <w:pPr>
        <w:pStyle w:val="Body"/>
        <w:jc w:val="both"/>
        <w:rPr>
          <w:rFonts w:ascii="Times New Roman" w:cs="Times New Roman" w:hAnsi="Times New Roman" w:eastAsia="Times New Roman"/>
          <w:color w:val="000000"/>
          <w:sz w:val="24"/>
          <w:szCs w:val="24"/>
          <w:u w:val="none" w:color="000000"/>
          <w:lang w:val="en-US"/>
        </w:rPr>
      </w:pPr>
    </w:p>
    <w:p>
      <w:pPr>
        <w:pStyle w:val="Body"/>
        <w:jc w:val="both"/>
        <w:rPr>
          <w:rFonts w:ascii="Times New Roman" w:cs="Times New Roman" w:hAnsi="Times New Roman" w:eastAsia="Times New Roman"/>
          <w:color w:val="000000"/>
          <w:sz w:val="24"/>
          <w:szCs w:val="24"/>
          <w:u w:val="none" w:color="000000"/>
          <w:lang w:val="en-US"/>
        </w:rPr>
      </w:pPr>
    </w:p>
    <w:p>
      <w:pPr>
        <w:pStyle w:val="Body"/>
        <w:jc w:val="both"/>
        <w:rPr>
          <w:rFonts w:ascii="Times New Roman" w:cs="Times New Roman" w:hAnsi="Times New Roman" w:eastAsia="Times New Roman"/>
          <w:color w:val="000000"/>
          <w:sz w:val="24"/>
          <w:szCs w:val="24"/>
          <w:u w:val="none" w:color="000000"/>
          <w:lang w:val="en-US"/>
        </w:rPr>
      </w:pPr>
    </w:p>
    <w:p>
      <w:pPr>
        <w:pStyle w:val="Body"/>
        <w:ind w:left="360" w:firstLine="0"/>
        <w:jc w:val="both"/>
        <w:rPr>
          <w:rFonts w:ascii="Times New Roman" w:cs="Times New Roman" w:hAnsi="Times New Roman" w:eastAsia="Times New Roman"/>
          <w:color w:val="000000"/>
          <w:sz w:val="24"/>
          <w:szCs w:val="24"/>
          <w:u w:val="none" w:color="000000"/>
          <w:lang w:val="en-US"/>
        </w:rPr>
      </w:pPr>
    </w:p>
    <w:p>
      <w:pPr>
        <w:pStyle w:val="Body"/>
        <w:jc w:val="both"/>
        <w:rPr>
          <w:rFonts w:ascii="Times New Roman" w:cs="Times New Roman" w:hAnsi="Times New Roman" w:eastAsia="Times New Roman"/>
          <w:sz w:val="22"/>
          <w:szCs w:val="22"/>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19"/>
          <w:szCs w:val="19"/>
          <w:lang w:val="en-US"/>
        </w:rPr>
      </w:pPr>
    </w:p>
    <w:p>
      <w:pPr>
        <w:pStyle w:val="Body"/>
        <w:jc w:val="both"/>
        <w:rPr>
          <w:rFonts w:ascii="Times New Roman" w:cs="Times New Roman" w:hAnsi="Times New Roman" w:eastAsia="Times New Roman"/>
          <w:b w:val="1"/>
          <w:bCs w:val="1"/>
          <w:sz w:val="24"/>
          <w:szCs w:val="24"/>
          <w:u w:val="none"/>
          <w:lang w:val="en-US"/>
        </w:rPr>
      </w:pPr>
    </w:p>
    <w:p>
      <w:pPr>
        <w:pStyle w:val="Body"/>
        <w:jc w:val="both"/>
        <w:rPr>
          <w:rFonts w:ascii="Times New Roman" w:cs="Times New Roman" w:hAnsi="Times New Roman" w:eastAsia="Times New Roman"/>
          <w:b w:val="1"/>
          <w:bCs w:val="1"/>
          <w:sz w:val="24"/>
          <w:szCs w:val="24"/>
          <w:u w:val="none"/>
          <w:lang w:val="en-US"/>
        </w:rPr>
      </w:pPr>
    </w:p>
    <w:p>
      <w:pPr>
        <w:pStyle w:val="Body"/>
        <w:jc w:val="both"/>
        <w:rPr>
          <w:rFonts w:ascii="Times New Roman" w:cs="Times New Roman" w:hAnsi="Times New Roman" w:eastAsia="Times New Roman"/>
          <w:sz w:val="24"/>
          <w:szCs w:val="24"/>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color w:val="121212"/>
          <w:sz w:val="25"/>
          <w:szCs w:val="25"/>
          <w:u w:color="121212"/>
          <w:lang w:val="en-US"/>
        </w:rPr>
      </w:pPr>
    </w:p>
    <w:p>
      <w:pPr>
        <w:pStyle w:val="Body"/>
        <w:jc w:val="both"/>
        <w:rPr>
          <w:rFonts w:ascii="Times New Roman" w:cs="Times New Roman" w:hAnsi="Times New Roman" w:eastAsia="Times New Roman"/>
          <w:color w:val="121212"/>
          <w:sz w:val="25"/>
          <w:szCs w:val="25"/>
          <w:u w:color="121212"/>
          <w:lang w:val="en-US"/>
        </w:rPr>
      </w:pPr>
    </w:p>
    <w:p>
      <w:pPr>
        <w:pStyle w:val="Body"/>
        <w:jc w:val="both"/>
        <w:rPr>
          <w:rFonts w:ascii="Times New Roman" w:cs="Times New Roman" w:hAnsi="Times New Roman" w:eastAsia="Times New Roman"/>
          <w:color w:val="121212"/>
          <w:sz w:val="25"/>
          <w:szCs w:val="25"/>
          <w:u w:color="121212"/>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lang w:val="en-US"/>
        </w:rPr>
      </w:pPr>
    </w:p>
    <w:p>
      <w:pPr>
        <w:pStyle w:val="Body"/>
        <w:jc w:val="both"/>
        <w:rPr>
          <w:rFonts w:ascii="Times New Roman" w:cs="Times New Roman" w:hAnsi="Times New Roman" w:eastAsia="Times New Roman"/>
          <w:sz w:val="24"/>
          <w:szCs w:val="24"/>
          <w:lang w:val="en-US"/>
        </w:rPr>
      </w:pPr>
    </w:p>
    <w:p>
      <w:pPr>
        <w:pStyle w:val="Body"/>
        <w:jc w:val="both"/>
        <w:rPr>
          <w:rFonts w:ascii="Times New Roman" w:cs="Times New Roman" w:hAnsi="Times New Roman" w:eastAsia="Times New Roman"/>
          <w:sz w:val="24"/>
          <w:szCs w:val="24"/>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Arial" w:cs="Arial" w:hAnsi="Arial" w:eastAsia="Arial"/>
          <w:color w:val="3d3a3b"/>
          <w:sz w:val="24"/>
          <w:szCs w:val="24"/>
          <w:u w:color="3d3a3b"/>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ind w:left="360" w:firstLine="0"/>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Arial" w:cs="Arial" w:hAnsi="Arial" w:eastAsia="Arial"/>
          <w:color w:val="eb0089"/>
          <w:sz w:val="21"/>
          <w:szCs w:val="21"/>
          <w:u w:color="eb0089"/>
          <w:lang w:val="en-US"/>
        </w:rPr>
      </w:pPr>
    </w:p>
    <w:p>
      <w:pPr>
        <w:pStyle w:val="Body"/>
        <w:jc w:val="both"/>
        <w:rPr>
          <w:rFonts w:ascii="Arial" w:cs="Arial" w:hAnsi="Arial" w:eastAsia="Arial"/>
          <w:color w:val="595959"/>
          <w:sz w:val="21"/>
          <w:szCs w:val="21"/>
          <w:u w:color="595959"/>
          <w:lang w:val="en-US"/>
        </w:rPr>
      </w:pPr>
    </w:p>
    <w:p>
      <w:pPr>
        <w:pStyle w:val="Body"/>
        <w:jc w:val="both"/>
        <w:rPr>
          <w:rFonts w:ascii="Arial" w:cs="Arial" w:hAnsi="Arial" w:eastAsia="Arial"/>
          <w:color w:val="595959"/>
          <w:sz w:val="21"/>
          <w:szCs w:val="21"/>
          <w:u w:color="595959"/>
          <w:lang w:val="en-US"/>
        </w:rPr>
      </w:pPr>
    </w:p>
    <w:p>
      <w:pPr>
        <w:pStyle w:val="Body"/>
        <w:jc w:val="both"/>
        <w:rPr>
          <w:rFonts w:ascii="Arial" w:cs="Arial" w:hAnsi="Arial" w:eastAsia="Arial"/>
          <w:color w:val="595959"/>
          <w:sz w:val="21"/>
          <w:szCs w:val="21"/>
          <w:u w:color="595959"/>
          <w:lang w:val="en-US"/>
        </w:rPr>
      </w:pPr>
    </w:p>
    <w:p>
      <w:pPr>
        <w:pStyle w:val="Body"/>
        <w:jc w:val="both"/>
        <w:rPr>
          <w:rFonts w:ascii="Arial" w:cs="Arial" w:hAnsi="Arial" w:eastAsia="Arial"/>
          <w:color w:val="eb0089"/>
          <w:sz w:val="21"/>
          <w:szCs w:val="21"/>
          <w:u w:color="eb0089"/>
          <w:lang w:val="en-US"/>
        </w:rPr>
      </w:pPr>
    </w:p>
    <w:p>
      <w:pPr>
        <w:pStyle w:val="Body"/>
        <w:jc w:val="both"/>
        <w:rPr>
          <w:rFonts w:ascii="Times New Roman" w:cs="Times New Roman" w:hAnsi="Times New Roman" w:eastAsia="Times New Roman"/>
          <w:sz w:val="24"/>
          <w:szCs w:val="24"/>
          <w:u w:val="none"/>
          <w:lang w:val="en-US"/>
        </w:rPr>
      </w:pPr>
    </w:p>
    <w:p>
      <w:pPr>
        <w:pStyle w:val="Body"/>
        <w:jc w:val="both"/>
        <w:rPr>
          <w:rFonts w:ascii="Times New Roman" w:cs="Times New Roman" w:hAnsi="Times New Roman" w:eastAsia="Times New Roman"/>
          <w:sz w:val="24"/>
          <w:szCs w:val="24"/>
          <w:u w:val="none"/>
          <w:lang w:val="en-US"/>
        </w:rPr>
      </w:pPr>
    </w:p>
    <w:p>
      <w:pPr>
        <w:pStyle w:val="Body"/>
        <w:rPr>
          <w:rFonts w:ascii="Times New Roman" w:cs="Times New Roman" w:hAnsi="Times New Roman" w:eastAsia="Times New Roman"/>
          <w:sz w:val="24"/>
          <w:szCs w:val="24"/>
          <w:u w:val="none"/>
          <w:lang w:val="en-US"/>
        </w:rPr>
      </w:pPr>
    </w:p>
    <w:p>
      <w:pPr>
        <w:pStyle w:val="Body"/>
        <w:rPr>
          <w:rFonts w:ascii="Times New Roman" w:cs="Times New Roman" w:hAnsi="Times New Roman" w:eastAsia="Times New Roman"/>
          <w:sz w:val="24"/>
          <w:szCs w:val="24"/>
          <w:u w:val="none"/>
          <w:lang w:val="en-US"/>
        </w:rPr>
      </w:pPr>
    </w:p>
    <w:p>
      <w:pPr>
        <w:pStyle w:val="Body"/>
        <w:rPr>
          <w:rFonts w:ascii="Times New Roman" w:cs="Times New Roman" w:hAnsi="Times New Roman" w:eastAsia="Times New Roman"/>
          <w:sz w:val="24"/>
          <w:szCs w:val="24"/>
          <w:u w:val="none"/>
          <w:lang w:val="en-US"/>
        </w:rPr>
      </w:pPr>
    </w:p>
    <w:p>
      <w:pPr>
        <w:pStyle w:val="Body"/>
        <w:rPr>
          <w:rFonts w:ascii="Times New Roman" w:cs="Times New Roman" w:hAnsi="Times New Roman" w:eastAsia="Times New Roman"/>
          <w:sz w:val="24"/>
          <w:szCs w:val="24"/>
          <w:u w:val="none"/>
          <w:lang w:val="en-US"/>
        </w:rPr>
      </w:pPr>
    </w:p>
    <w:p>
      <w:pPr>
        <w:pStyle w:val="Body"/>
        <w:rPr>
          <w:rFonts w:ascii="Times New Roman" w:cs="Times New Roman" w:hAnsi="Times New Roman" w:eastAsia="Times New Roman"/>
          <w:sz w:val="24"/>
          <w:szCs w:val="24"/>
          <w:u w:val="none"/>
          <w:lang w:val="en-US"/>
        </w:rPr>
      </w:pPr>
    </w:p>
    <w:p>
      <w:pPr>
        <w:pStyle w:val="Body"/>
        <w:rPr>
          <w:rFonts w:ascii="Times New Roman" w:cs="Times New Roman" w:hAnsi="Times New Roman" w:eastAsia="Times New Roman"/>
          <w:sz w:val="24"/>
          <w:szCs w:val="24"/>
          <w:u w:val="none"/>
          <w:lang w:val="en-US"/>
        </w:rPr>
      </w:pPr>
    </w:p>
    <w:p>
      <w:pPr>
        <w:pStyle w:val="Body"/>
        <w:rPr>
          <w:rFonts w:ascii="Times New Roman" w:cs="Times New Roman" w:hAnsi="Times New Roman" w:eastAsia="Times New Roman"/>
          <w:sz w:val="24"/>
          <w:szCs w:val="24"/>
          <w:u w:val="none"/>
          <w:lang w:val="en-US"/>
        </w:rPr>
      </w:pPr>
    </w:p>
    <w:p>
      <w:pPr>
        <w:pStyle w:val="Body"/>
        <w:rPr>
          <w:rFonts w:ascii="Georgia" w:cs="Georgia" w:hAnsi="Georgia" w:eastAsia="Georgia"/>
          <w:sz w:val="26"/>
          <w:szCs w:val="26"/>
          <w:lang w:val="en-US"/>
        </w:rPr>
      </w:pPr>
    </w:p>
    <w:p>
      <w:pPr>
        <w:pStyle w:val="Body"/>
        <w:rPr>
          <w:rFonts w:ascii="Georgia" w:cs="Georgia" w:hAnsi="Georgia" w:eastAsia="Georgia"/>
          <w:sz w:val="26"/>
          <w:szCs w:val="26"/>
          <w:lang w:val="en-US"/>
        </w:rPr>
      </w:pPr>
    </w:p>
    <w:p>
      <w:pPr>
        <w:pStyle w:val="Body"/>
        <w:rPr>
          <w:rFonts w:ascii="Georgia" w:cs="Georgia" w:hAnsi="Georgia" w:eastAsia="Georgia"/>
          <w:sz w:val="26"/>
          <w:szCs w:val="26"/>
          <w:lang w:val="en-US"/>
        </w:rPr>
      </w:pPr>
    </w:p>
    <w:p>
      <w:pPr>
        <w:pStyle w:val="Body"/>
      </w:pPr>
      <w:r>
        <w:rPr>
          <w:rFonts w:ascii="Times New Roman" w:cs="Times New Roman" w:hAnsi="Times New Roman" w:eastAsia="Times New Roman"/>
          <w:sz w:val="24"/>
          <w:szCs w:val="24"/>
          <w:u w:val="none"/>
          <w:lang w:val="en-US"/>
        </w:rPr>
      </w:r>
    </w:p>
    <w:sectPr>
      <w:headerReference w:type="default" r:id="rId11"/>
      <w:footerReference w:type="default" r:id="rId12"/>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Georg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widowControl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widowControl w:val="0"/>
    </w:pPr>
    <w:r>
      <mc:AlternateContent>
        <mc:Choice Requires="wps">
          <w:drawing>
            <wp:anchor distT="152400" distB="152400" distL="152400" distR="152400" simplePos="0" relativeHeight="251658240" behindDoc="1" locked="0" layoutInCell="1" allowOverlap="1">
              <wp:simplePos x="0" y="0"/>
              <wp:positionH relativeFrom="page">
                <wp:posOffset>914400</wp:posOffset>
              </wp:positionH>
              <wp:positionV relativeFrom="page">
                <wp:posOffset>457200</wp:posOffset>
              </wp:positionV>
              <wp:extent cx="5943600" cy="228600"/>
              <wp:effectExtent l="0" t="0" r="0" b="0"/>
              <wp:wrapNone/>
              <wp:docPr id="1073741825" name="officeArt object"/>
              <wp:cNvGraphicFramePr/>
              <a:graphic xmlns:a="http://schemas.openxmlformats.org/drawingml/2006/main">
                <a:graphicData uri="http://schemas.microsoft.com/office/word/2010/wordprocessingShape">
                  <wps:wsp>
                    <wps:cNvSpPr/>
                    <wps:spPr>
                      <a:xfrm>
                        <a:off x="0" y="0"/>
                        <a:ext cx="5943600" cy="228600"/>
                      </a:xfrm>
                      <a:prstGeom prst="rect">
                        <a:avLst/>
                      </a:prstGeom>
                    </wps:spPr>
                    <wps:txbx>
                      <w:txbxContent>
                        <w:tbl>
                          <w:tblPr>
                            <w:tblW w:w="9360" w:type="dxa"/>
                            <w:tblInd w:w="10"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20"/>
                            <w:gridCol w:w="3120"/>
                            <w:gridCol w:w="3120"/>
                          </w:tblGrid>
                          <w:tr>
                            <w:tblPrEx>
                              <w:shd w:val="clear" w:color="auto" w:fill="auto"/>
                            </w:tblPrEx>
                            <w:trPr>
                              <w:trHeight w:val="240" w:hRule="atLeast"/>
                            </w:trPr>
                            <w:tc>
                              <w:tcPr>
                                <w:tcW w:type="dxa" w:w="3120"/>
                                <w:tcBorders>
                                  <w:top w:val="nil"/>
                                  <w:left w:val="nil"/>
                                  <w:bottom w:val="nil"/>
                                  <w:right w:val="nil"/>
                                </w:tcBorders>
                                <w:shd w:val="clear" w:color="auto" w:fill="auto"/>
                                <w:tcMar>
                                  <w:top w:type="dxa" w:w="80"/>
                                  <w:left w:type="dxa" w:w="80"/>
                                  <w:bottom w:type="dxa" w:w="80"/>
                                  <w:right w:type="dxa" w:w="80"/>
                                </w:tcMar>
                                <w:vAlign w:val="top"/>
                              </w:tcPr>
                              <w:p>
                                <w:pPr>
                                  <w:pStyle w:val="header"/>
                                  <w:tabs>
                                    <w:tab w:val="right" w:pos="9340"/>
                                    <w:tab w:val="clear" w:pos="9360"/>
                                  </w:tabs>
                                </w:pP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1500968</w:t>
                                </w:r>
                              </w:p>
                            </w:tc>
                            <w:tc>
                              <w:tcPr>
                                <w:tcW w:type="dxa" w:w="3120"/>
                                <w:tcBorders>
                                  <w:top w:val="nil"/>
                                  <w:left w:val="nil"/>
                                  <w:bottom w:val="nil"/>
                                  <w:right w:val="nil"/>
                                </w:tcBorders>
                                <w:shd w:val="clear" w:color="auto" w:fill="auto"/>
                                <w:tcMar>
                                  <w:top w:type="dxa" w:w="80"/>
                                  <w:left w:type="dxa" w:w="80"/>
                                  <w:bottom w:type="dxa" w:w="80"/>
                                  <w:right w:type="dxa" w:w="80"/>
                                </w:tcMar>
                                <w:vAlign w:val="top"/>
                              </w:tcPr>
                              <w:p>
                                <w:pPr>
                                  <w:pStyle w:val="header"/>
                                  <w:tabs>
                                    <w:tab w:val="right" w:pos="9340"/>
                                    <w:tab w:val="clear" w:pos="9360"/>
                                  </w:tabs>
                                  <w:jc w:val="center"/>
                                </w:pP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SJSS6002</w:t>
                                </w:r>
                              </w:p>
                            </w:tc>
                            <w:tc>
                              <w:tcPr>
                                <w:tcW w:type="dxa" w:w="3120"/>
                                <w:tcBorders>
                                  <w:top w:val="nil"/>
                                  <w:left w:val="nil"/>
                                  <w:bottom w:val="nil"/>
                                  <w:right w:val="nil"/>
                                </w:tcBorders>
                                <w:shd w:val="clear" w:color="auto" w:fill="auto"/>
                                <w:tcMar>
                                  <w:top w:type="dxa" w:w="80"/>
                                  <w:left w:type="dxa" w:w="80"/>
                                  <w:bottom w:type="dxa" w:w="80"/>
                                  <w:right w:type="dxa" w:w="80"/>
                                </w:tcMar>
                                <w:vAlign w:val="top"/>
                              </w:tcPr>
                              <w:p>
                                <w:pPr>
                                  <w:pStyle w:val="header"/>
                                  <w:tabs>
                                    <w:tab w:val="right" w:pos="9340"/>
                                    <w:tab w:val="clear" w:pos="9360"/>
                                  </w:tabs>
                                  <w:jc w:val="right"/>
                                </w:pP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Ass 1</w:t>
                                </w:r>
                              </w:p>
                            </w:tc>
                          </w:tr>
                        </w:tbl>
                      </w:txbxContent>
                    </wps:txbx>
                    <wps:bodyPr lIns="0" tIns="0" rIns="0" bIns="0">
                      <a:spAutoFit/>
                    </wps:bodyPr>
                  </wps:wsp>
                </a:graphicData>
              </a:graphic>
            </wp:anchor>
          </w:drawing>
        </mc:Choice>
        <mc:Fallback>
          <w:pict>
            <v:shape id="_x0000_s1026" type="#_x0000_t202" style="visibility:visible;position:absolute;margin-left:72.0pt;margin-top:36.0pt;width:468.0pt;height:18.0pt;z-index:-251658240;mso-position-horizontal:absolute;mso-position-horizontal-relative:page;mso-position-vertical:absolute;mso-position-vertical-relative:page;mso-wrap-distance-left:12.0pt;mso-wrap-distance-top:12.0pt;mso-wrap-distance-right:12.0pt;mso-wrap-distance-bottom:12.0pt;">
              <v:fill on="f"/>
              <v:stroke on="f" weight="0.8pt" dashstyle="solid" endcap="flat" joinstyle="bevel" linestyle="single" startarrow="none" startarrowwidth="medium" startarrowlength="medium" endarrow="none" endarrowwidth="medium" endarrowlength="medium"/>
              <v:textbox>
                <w:txbxContent>
                  <w:tbl>
                    <w:tblPr>
                      <w:tblW w:w="9360" w:type="dxa"/>
                      <w:tblInd w:w="10"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20"/>
                      <w:gridCol w:w="3120"/>
                      <w:gridCol w:w="3120"/>
                    </w:tblGrid>
                    <w:tr>
                      <w:tblPrEx>
                        <w:shd w:val="clear" w:color="auto" w:fill="auto"/>
                      </w:tblPrEx>
                      <w:trPr>
                        <w:trHeight w:val="240" w:hRule="atLeast"/>
                      </w:trPr>
                      <w:tc>
                        <w:tcPr>
                          <w:tcW w:type="dxa" w:w="3120"/>
                          <w:tcBorders>
                            <w:top w:val="nil"/>
                            <w:left w:val="nil"/>
                            <w:bottom w:val="nil"/>
                            <w:right w:val="nil"/>
                          </w:tcBorders>
                          <w:shd w:val="clear" w:color="auto" w:fill="auto"/>
                          <w:tcMar>
                            <w:top w:type="dxa" w:w="80"/>
                            <w:left w:type="dxa" w:w="80"/>
                            <w:bottom w:type="dxa" w:w="80"/>
                            <w:right w:type="dxa" w:w="80"/>
                          </w:tcMar>
                          <w:vAlign w:val="top"/>
                        </w:tcPr>
                        <w:p>
                          <w:pPr>
                            <w:pStyle w:val="header"/>
                            <w:tabs>
                              <w:tab w:val="right" w:pos="9340"/>
                              <w:tab w:val="clear" w:pos="9360"/>
                            </w:tabs>
                          </w:pP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1500968</w:t>
                          </w:r>
                        </w:p>
                      </w:tc>
                      <w:tc>
                        <w:tcPr>
                          <w:tcW w:type="dxa" w:w="3120"/>
                          <w:tcBorders>
                            <w:top w:val="nil"/>
                            <w:left w:val="nil"/>
                            <w:bottom w:val="nil"/>
                            <w:right w:val="nil"/>
                          </w:tcBorders>
                          <w:shd w:val="clear" w:color="auto" w:fill="auto"/>
                          <w:tcMar>
                            <w:top w:type="dxa" w:w="80"/>
                            <w:left w:type="dxa" w:w="80"/>
                            <w:bottom w:type="dxa" w:w="80"/>
                            <w:right w:type="dxa" w:w="80"/>
                          </w:tcMar>
                          <w:vAlign w:val="top"/>
                        </w:tcPr>
                        <w:p>
                          <w:pPr>
                            <w:pStyle w:val="header"/>
                            <w:tabs>
                              <w:tab w:val="right" w:pos="9340"/>
                              <w:tab w:val="clear" w:pos="9360"/>
                            </w:tabs>
                            <w:jc w:val="center"/>
                          </w:pP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SJSS6002</w:t>
                          </w:r>
                        </w:p>
                      </w:tc>
                      <w:tc>
                        <w:tcPr>
                          <w:tcW w:type="dxa" w:w="3120"/>
                          <w:tcBorders>
                            <w:top w:val="nil"/>
                            <w:left w:val="nil"/>
                            <w:bottom w:val="nil"/>
                            <w:right w:val="nil"/>
                          </w:tcBorders>
                          <w:shd w:val="clear" w:color="auto" w:fill="auto"/>
                          <w:tcMar>
                            <w:top w:type="dxa" w:w="80"/>
                            <w:left w:type="dxa" w:w="80"/>
                            <w:bottom w:type="dxa" w:w="80"/>
                            <w:right w:type="dxa" w:w="80"/>
                          </w:tcMar>
                          <w:vAlign w:val="top"/>
                        </w:tcPr>
                        <w:p>
                          <w:pPr>
                            <w:pStyle w:val="header"/>
                            <w:tabs>
                              <w:tab w:val="right" w:pos="9340"/>
                              <w:tab w:val="clear" w:pos="9360"/>
                            </w:tabs>
                            <w:jc w:val="right"/>
                          </w:pP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Ass 1</w:t>
                          </w:r>
                        </w:p>
                      </w:tc>
                    </w:tr>
                  </w:tbl>
                </w:txbxContent>
              </v:textbox>
              <w10:wrap type="none" side="bothSides" anchorx="page" anchory="page"/>
            </v:shape>
          </w:pict>
        </mc:Fallback>
      </mc:AlternateContent>
    </w:r>
    <w:r>
      <mc:AlternateContent>
        <mc:Choice Requires="wps">
          <w:drawing>
            <wp:anchor distT="152400" distB="152400" distL="152400" distR="152400" simplePos="0" relativeHeight="251659264" behindDoc="1" locked="0" layoutInCell="1" allowOverlap="1">
              <wp:simplePos x="0" y="0"/>
              <wp:positionH relativeFrom="page">
                <wp:posOffset>914400</wp:posOffset>
              </wp:positionH>
              <wp:positionV relativeFrom="page">
                <wp:posOffset>8458200</wp:posOffset>
              </wp:positionV>
              <wp:extent cx="5943600" cy="228600"/>
              <wp:effectExtent l="0" t="0" r="0" b="0"/>
              <wp:wrapNone/>
              <wp:docPr id="1073741826" name="officeArt object"/>
              <wp:cNvGraphicFramePr/>
              <a:graphic xmlns:a="http://schemas.openxmlformats.org/drawingml/2006/main">
                <a:graphicData uri="http://schemas.microsoft.com/office/word/2010/wordprocessingShape">
                  <wps:wsp>
                    <wps:cNvSpPr/>
                    <wps:spPr>
                      <a:xfrm>
                        <a:off x="0" y="0"/>
                        <a:ext cx="5943600" cy="228600"/>
                      </a:xfrm>
                      <a:prstGeom prst="rect">
                        <a:avLst/>
                      </a:prstGeom>
                    </wps:spPr>
                    <wps:txbx>
                      <w:txbxContent>
                        <w:tbl>
                          <w:tblPr>
                            <w:tblW w:w="9360" w:type="dxa"/>
                            <w:tblInd w:w="10"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20"/>
                            <w:gridCol w:w="3120"/>
                            <w:gridCol w:w="3120"/>
                          </w:tblGrid>
                          <w:tr>
                            <w:tblPrEx>
                              <w:shd w:val="clear" w:color="auto" w:fill="auto"/>
                            </w:tblPrEx>
                            <w:trPr>
                              <w:trHeight w:val="240" w:hRule="atLeast"/>
                            </w:trPr>
                            <w:tc>
                              <w:tcPr>
                                <w:tcW w:type="dxa" w:w="3120"/>
                                <w:tcBorders>
                                  <w:top w:val="nil"/>
                                  <w:left w:val="nil"/>
                                  <w:bottom w:val="nil"/>
                                  <w:right w:val="nil"/>
                                </w:tcBorders>
                                <w:shd w:val="clear" w:color="auto" w:fill="auto"/>
                                <w:tcMar>
                                  <w:top w:type="dxa" w:w="80"/>
                                  <w:left w:type="dxa" w:w="80"/>
                                  <w:bottom w:type="dxa" w:w="80"/>
                                  <w:right w:type="dxa" w:w="80"/>
                                </w:tcMar>
                                <w:vAlign w:val="top"/>
                              </w:tcPr>
                              <w:p/>
                            </w:tc>
                            <w:tc>
                              <w:tcPr>
                                <w:tcW w:type="dxa" w:w="3120"/>
                                <w:tcBorders>
                                  <w:top w:val="nil"/>
                                  <w:left w:val="nil"/>
                                  <w:bottom w:val="nil"/>
                                  <w:right w:val="nil"/>
                                </w:tcBorders>
                                <w:shd w:val="clear" w:color="auto" w:fill="auto"/>
                                <w:tcMar>
                                  <w:top w:type="dxa" w:w="80"/>
                                  <w:left w:type="dxa" w:w="80"/>
                                  <w:bottom w:type="dxa" w:w="80"/>
                                  <w:right w:type="dxa" w:w="80"/>
                                </w:tcMar>
                                <w:vAlign w:val="top"/>
                              </w:tcPr>
                              <w:p/>
                            </w:tc>
                            <w:tc>
                              <w:tcPr>
                                <w:tcW w:type="dxa" w:w="3120"/>
                                <w:tcBorders>
                                  <w:top w:val="nil"/>
                                  <w:left w:val="nil"/>
                                  <w:bottom w:val="nil"/>
                                  <w:right w:val="nil"/>
                                </w:tcBorders>
                                <w:shd w:val="clear" w:color="auto" w:fill="auto"/>
                                <w:tcMar>
                                  <w:top w:type="dxa" w:w="80"/>
                                  <w:left w:type="dxa" w:w="80"/>
                                  <w:bottom w:type="dxa" w:w="80"/>
                                  <w:right w:type="dxa" w:w="80"/>
                                </w:tcMar>
                                <w:vAlign w:val="top"/>
                              </w:tcPr>
                              <w:p/>
                            </w:tc>
                          </w:tr>
                        </w:tbl>
                      </w:txbxContent>
                    </wps:txbx>
                    <wps:bodyPr lIns="0" tIns="0" rIns="0" bIns="0">
                      <a:spAutoFit/>
                    </wps:bodyPr>
                  </wps:wsp>
                </a:graphicData>
              </a:graphic>
            </wp:anchor>
          </w:drawing>
        </mc:Choice>
        <mc:Fallback>
          <w:pict>
            <v:shape id="_x0000_s1027" type="#_x0000_t202" style="visibility:visible;position:absolute;margin-left:72.0pt;margin-top:666.0pt;width:468.0pt;height:18.0pt;z-index:-251657216;mso-position-horizontal:absolute;mso-position-horizontal-relative:page;mso-position-vertical:absolute;mso-position-vertical-relative:page;mso-wrap-distance-left:12.0pt;mso-wrap-distance-top:12.0pt;mso-wrap-distance-right:12.0pt;mso-wrap-distance-bottom:12.0pt;">
              <v:fill on="f"/>
              <v:stroke on="f" weight="0.8pt" dashstyle="solid" endcap="flat" joinstyle="bevel" linestyle="single" startarrow="none" startarrowwidth="medium" startarrowlength="medium" endarrow="none" endarrowwidth="medium" endarrowlength="medium"/>
              <v:textbox>
                <w:txbxContent>
                  <w:tbl>
                    <w:tblPr>
                      <w:tblW w:w="9360" w:type="dxa"/>
                      <w:tblInd w:w="10"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20"/>
                      <w:gridCol w:w="3120"/>
                      <w:gridCol w:w="3120"/>
                    </w:tblGrid>
                    <w:tr>
                      <w:tblPrEx>
                        <w:shd w:val="clear" w:color="auto" w:fill="auto"/>
                      </w:tblPrEx>
                      <w:trPr>
                        <w:trHeight w:val="240" w:hRule="atLeast"/>
                      </w:trPr>
                      <w:tc>
                        <w:tcPr>
                          <w:tcW w:type="dxa" w:w="3120"/>
                          <w:tcBorders>
                            <w:top w:val="nil"/>
                            <w:left w:val="nil"/>
                            <w:bottom w:val="nil"/>
                            <w:right w:val="nil"/>
                          </w:tcBorders>
                          <w:shd w:val="clear" w:color="auto" w:fill="auto"/>
                          <w:tcMar>
                            <w:top w:type="dxa" w:w="80"/>
                            <w:left w:type="dxa" w:w="80"/>
                            <w:bottom w:type="dxa" w:w="80"/>
                            <w:right w:type="dxa" w:w="80"/>
                          </w:tcMar>
                          <w:vAlign w:val="top"/>
                        </w:tcPr>
                        <w:p/>
                      </w:tc>
                      <w:tc>
                        <w:tcPr>
                          <w:tcW w:type="dxa" w:w="3120"/>
                          <w:tcBorders>
                            <w:top w:val="nil"/>
                            <w:left w:val="nil"/>
                            <w:bottom w:val="nil"/>
                            <w:right w:val="nil"/>
                          </w:tcBorders>
                          <w:shd w:val="clear" w:color="auto" w:fill="auto"/>
                          <w:tcMar>
                            <w:top w:type="dxa" w:w="80"/>
                            <w:left w:type="dxa" w:w="80"/>
                            <w:bottom w:type="dxa" w:w="80"/>
                            <w:right w:type="dxa" w:w="80"/>
                          </w:tcMar>
                          <w:vAlign w:val="top"/>
                        </w:tcPr>
                        <w:p/>
                      </w:tc>
                      <w:tc>
                        <w:tcPr>
                          <w:tcW w:type="dxa" w:w="3120"/>
                          <w:tcBorders>
                            <w:top w:val="nil"/>
                            <w:left w:val="nil"/>
                            <w:bottom w:val="nil"/>
                            <w:right w:val="nil"/>
                          </w:tcBorders>
                          <w:shd w:val="clear" w:color="auto" w:fill="auto"/>
                          <w:tcMar>
                            <w:top w:type="dxa" w:w="80"/>
                            <w:left w:type="dxa" w:w="80"/>
                            <w:bottom w:type="dxa" w:w="80"/>
                            <w:right w:type="dxa" w:w="80"/>
                          </w:tcMar>
                          <w:vAlign w:val="top"/>
                        </w:tcPr>
                        <w:p/>
                      </w:tc>
                    </w:tr>
                  </w:tbl>
                </w:txbxContent>
              </v:textbox>
              <w10:wrap type="none" side="bothSides" anchorx="page" anchory="page"/>
            </v:shape>
          </w:pict>
        </mc:Fallback>
      </mc:AlternateContent>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Link">
    <w:name w:val="Link"/>
    <w:rPr>
      <w:color w:val="0563c1"/>
      <w:u w:val="single" w:color="0563c1"/>
    </w:rPr>
  </w:style>
  <w:style w:type="character" w:styleId="Hyperlink.0">
    <w:name w:val="Hyperlink.0"/>
    <w:basedOn w:val="Link"/>
    <w:next w:val="Hyperlink.0"/>
    <w:rPr>
      <w:sz w:val="24"/>
      <w:szCs w:val="24"/>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s://www.equalityhumanrights.com/en/our-human-rights-work/monitoring-and-promoting-un-treaties/convention-rights-child" TargetMode="External"/><Relationship Id="rId5" Type="http://schemas.openxmlformats.org/officeDocument/2006/relationships/hyperlink" Target="https://www.gov.uk/guidance/equality-act-2010-guidance" TargetMode="External"/><Relationship Id="rId6" Type="http://schemas.openxmlformats.org/officeDocument/2006/relationships/hyperlink" Target="https://www.gov.uk/government/statistics/gcse-and-equivalent-attainment-by-pupil-characteristics-2014" TargetMode="External"/><Relationship Id="rId7" Type="http://schemas.openxmlformats.org/officeDocument/2006/relationships/hyperlink" Target="https://www.gov.uk/government/statistics/households-below-average-income-199495-to-201617" TargetMode="External"/><Relationship Id="rId8" Type="http://schemas.openxmlformats.org/officeDocument/2006/relationships/hyperlink" Target="https://www.legislation.gov.uk/ukpga/2010/9/contents" TargetMode="External"/><Relationship Id="rId9" Type="http://schemas.openxmlformats.org/officeDocument/2006/relationships/hyperlink" Target="https://www.ohchr.org/EN/ProfessionalInterest/Pages/CRC.aspx" TargetMode="External"/><Relationship Id="rId10" Type="http://schemas.openxmlformats.org/officeDocument/2006/relationships/hyperlink" Target="https://services.parliament.uk/bills/2015-16/welfarereformandwork.html"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7916"/>
          </a:lnSpc>
          <a:spcBef>
            <a:spcPts val="8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