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37757" w14:textId="4966E9F7" w:rsidR="00155597" w:rsidRDefault="00A5448D" w:rsidP="007A7F64">
      <w:pPr>
        <w:jc w:val="center"/>
        <w:rPr>
          <w:rFonts w:asciiTheme="majorHAnsi" w:eastAsiaTheme="majorEastAsia" w:hAnsiTheme="majorHAnsi" w:cstheme="majorBidi"/>
          <w:color w:val="auto"/>
          <w:spacing w:val="-10"/>
          <w:kern w:val="28"/>
          <w:sz w:val="56"/>
          <w:szCs w:val="56"/>
        </w:rPr>
      </w:pPr>
      <w:r>
        <w:rPr>
          <w:rFonts w:asciiTheme="majorHAnsi" w:eastAsiaTheme="majorEastAsia" w:hAnsiTheme="majorHAnsi" w:cstheme="majorBidi"/>
          <w:noProof/>
          <w:color w:val="auto"/>
          <w:spacing w:val="-10"/>
          <w:kern w:val="28"/>
          <w:sz w:val="56"/>
          <w:szCs w:val="56"/>
        </w:rPr>
        <w:drawing>
          <wp:anchor distT="0" distB="0" distL="114300" distR="114300" simplePos="0" relativeHeight="251659264" behindDoc="0" locked="0" layoutInCell="1" allowOverlap="1" wp14:anchorId="0C2A741D" wp14:editId="659D3C28">
            <wp:simplePos x="0" y="0"/>
            <wp:positionH relativeFrom="column">
              <wp:posOffset>-548640</wp:posOffset>
            </wp:positionH>
            <wp:positionV relativeFrom="paragraph">
              <wp:posOffset>0</wp:posOffset>
            </wp:positionV>
            <wp:extent cx="2108200" cy="2108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108200" cy="2108200"/>
                    </a:xfrm>
                    <a:prstGeom prst="rect">
                      <a:avLst/>
                    </a:prstGeom>
                  </pic:spPr>
                </pic:pic>
              </a:graphicData>
            </a:graphic>
            <wp14:sizeRelH relativeFrom="margin">
              <wp14:pctWidth>0</wp14:pctWidth>
            </wp14:sizeRelH>
            <wp14:sizeRelV relativeFrom="margin">
              <wp14:pctHeight>0</wp14:pctHeight>
            </wp14:sizeRelV>
          </wp:anchor>
        </w:drawing>
      </w:r>
      <w:r w:rsidR="00155597" w:rsidRPr="00155597">
        <w:rPr>
          <w:rFonts w:asciiTheme="majorHAnsi" w:eastAsiaTheme="majorEastAsia" w:hAnsiTheme="majorHAnsi" w:cstheme="majorBidi"/>
          <w:color w:val="auto"/>
          <w:spacing w:val="-10"/>
          <w:kern w:val="28"/>
          <w:sz w:val="56"/>
          <w:szCs w:val="56"/>
        </w:rPr>
        <w:t>BA Business Management</w:t>
      </w:r>
    </w:p>
    <w:p w14:paraId="57E2CD9E" w14:textId="4C88207F" w:rsidR="001834FC" w:rsidRDefault="00116B60" w:rsidP="007A7F64">
      <w:pPr>
        <w:jc w:val="center"/>
        <w:rPr>
          <w:rFonts w:asciiTheme="majorHAnsi" w:eastAsiaTheme="majorEastAsia" w:hAnsiTheme="majorHAnsi" w:cstheme="majorBidi"/>
          <w:color w:val="auto"/>
          <w:spacing w:val="-10"/>
          <w:kern w:val="28"/>
          <w:sz w:val="56"/>
          <w:szCs w:val="56"/>
        </w:rPr>
      </w:pPr>
      <w:r w:rsidRPr="009D5748">
        <w:rPr>
          <w:rFonts w:asciiTheme="majorHAnsi" w:eastAsiaTheme="majorEastAsia" w:hAnsiTheme="majorHAnsi" w:cstheme="majorBidi"/>
          <w:color w:val="auto"/>
          <w:spacing w:val="-10"/>
          <w:kern w:val="28"/>
          <w:sz w:val="56"/>
          <w:szCs w:val="56"/>
        </w:rPr>
        <w:t>LCBB4002</w:t>
      </w:r>
      <w:r w:rsidR="00437EE3">
        <w:rPr>
          <w:rFonts w:asciiTheme="majorHAnsi" w:eastAsiaTheme="majorEastAsia" w:hAnsiTheme="majorHAnsi" w:cstheme="majorBidi"/>
          <w:color w:val="auto"/>
          <w:spacing w:val="-10"/>
          <w:kern w:val="28"/>
          <w:sz w:val="56"/>
          <w:szCs w:val="56"/>
        </w:rPr>
        <w:t xml:space="preserve"> </w:t>
      </w:r>
      <w:r w:rsidRPr="009D5748">
        <w:rPr>
          <w:rFonts w:asciiTheme="majorHAnsi" w:eastAsiaTheme="majorEastAsia" w:hAnsiTheme="majorHAnsi" w:cstheme="majorBidi"/>
          <w:color w:val="auto"/>
          <w:spacing w:val="-10"/>
          <w:kern w:val="28"/>
          <w:sz w:val="56"/>
          <w:szCs w:val="56"/>
        </w:rPr>
        <w:t>Community Engagement</w:t>
      </w:r>
    </w:p>
    <w:p w14:paraId="795F438E" w14:textId="77777777" w:rsidR="00437EE3" w:rsidRDefault="00437EE3" w:rsidP="007A7F64">
      <w:pPr>
        <w:jc w:val="center"/>
        <w:rPr>
          <w:rFonts w:asciiTheme="majorHAnsi" w:eastAsiaTheme="majorEastAsia" w:hAnsiTheme="majorHAnsi" w:cstheme="majorBidi"/>
          <w:color w:val="auto"/>
          <w:spacing w:val="-10"/>
          <w:kern w:val="28"/>
          <w:sz w:val="56"/>
          <w:szCs w:val="56"/>
        </w:rPr>
      </w:pPr>
    </w:p>
    <w:p w14:paraId="7540B958" w14:textId="77777777" w:rsidR="00437EE3" w:rsidRDefault="00437EE3" w:rsidP="007A7F64">
      <w:pPr>
        <w:jc w:val="center"/>
        <w:rPr>
          <w:rFonts w:asciiTheme="majorHAnsi" w:eastAsiaTheme="majorEastAsia" w:hAnsiTheme="majorHAnsi" w:cstheme="majorBidi"/>
          <w:color w:val="auto"/>
          <w:spacing w:val="-10"/>
          <w:kern w:val="28"/>
          <w:sz w:val="56"/>
          <w:szCs w:val="56"/>
        </w:rPr>
      </w:pPr>
    </w:p>
    <w:p w14:paraId="6258B1DD" w14:textId="77777777" w:rsidR="000B7658" w:rsidRDefault="00116B60" w:rsidP="007A7F64">
      <w:pPr>
        <w:jc w:val="center"/>
        <w:rPr>
          <w:rFonts w:asciiTheme="majorHAnsi" w:eastAsiaTheme="majorEastAsia" w:hAnsiTheme="majorHAnsi" w:cstheme="majorBidi"/>
          <w:color w:val="auto"/>
          <w:spacing w:val="-10"/>
          <w:kern w:val="28"/>
          <w:sz w:val="44"/>
          <w:szCs w:val="56"/>
        </w:rPr>
      </w:pPr>
      <w:r>
        <w:rPr>
          <w:rFonts w:asciiTheme="majorHAnsi" w:eastAsiaTheme="majorEastAsia" w:hAnsiTheme="majorHAnsi" w:cstheme="majorBidi"/>
          <w:color w:val="auto"/>
          <w:spacing w:val="-10"/>
          <w:kern w:val="28"/>
          <w:sz w:val="44"/>
          <w:szCs w:val="56"/>
        </w:rPr>
        <w:t xml:space="preserve">Part A: </w:t>
      </w:r>
      <w:r w:rsidRPr="009D5748">
        <w:rPr>
          <w:rFonts w:asciiTheme="majorHAnsi" w:eastAsiaTheme="majorEastAsia" w:hAnsiTheme="majorHAnsi" w:cstheme="majorBidi"/>
          <w:color w:val="auto"/>
          <w:spacing w:val="-10"/>
          <w:kern w:val="28"/>
          <w:sz w:val="44"/>
          <w:szCs w:val="56"/>
        </w:rPr>
        <w:t>Community Engagement Process in Projects</w:t>
      </w:r>
    </w:p>
    <w:p w14:paraId="12E06B62" w14:textId="77777777" w:rsidR="000B7658" w:rsidRDefault="000B7658" w:rsidP="007A7F64">
      <w:pPr>
        <w:jc w:val="center"/>
        <w:rPr>
          <w:rFonts w:asciiTheme="majorHAnsi" w:eastAsiaTheme="majorEastAsia" w:hAnsiTheme="majorHAnsi" w:cstheme="majorBidi"/>
          <w:color w:val="auto"/>
          <w:spacing w:val="-10"/>
          <w:kern w:val="28"/>
          <w:sz w:val="44"/>
          <w:szCs w:val="56"/>
        </w:rPr>
      </w:pPr>
    </w:p>
    <w:p w14:paraId="1FA60058" w14:textId="6E637D59" w:rsidR="000B7658" w:rsidRDefault="00BC65B7" w:rsidP="007A7F64">
      <w:r>
        <w:t>Student Name: Andzhelo Markov</w:t>
      </w:r>
    </w:p>
    <w:p w14:paraId="081C2CA5" w14:textId="77777777" w:rsidR="000B7658" w:rsidRDefault="000B7658" w:rsidP="007A7F64"/>
    <w:p w14:paraId="7D6F44FA" w14:textId="77777777" w:rsidR="00ED26DF" w:rsidRDefault="000B7658" w:rsidP="007A7F64">
      <w:r>
        <w:t>Student ID:</w:t>
      </w:r>
      <w:r w:rsidR="00BC65B7">
        <w:t>2235333</w:t>
      </w:r>
    </w:p>
    <w:p w14:paraId="30E84A81" w14:textId="660C358D" w:rsidR="001834FC" w:rsidRDefault="00116B60" w:rsidP="007A7F64">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rFonts w:ascii="Arial" w:hAnsi="Arial"/>
          <w:b/>
          <w:bCs/>
          <w:noProof/>
        </w:rPr>
      </w:sdtEndPr>
      <w:sdtContent>
        <w:p w14:paraId="5358D54C" w14:textId="28855B5F" w:rsidR="001834FC" w:rsidRPr="00AC786C" w:rsidRDefault="00116B60" w:rsidP="007A7F64">
          <w:pPr>
            <w:pStyle w:val="TOCHeading"/>
            <w:spacing w:line="360" w:lineRule="auto"/>
            <w:rPr>
              <w:b/>
              <w:bCs/>
            </w:rPr>
          </w:pPr>
          <w:r w:rsidRPr="00AC786C">
            <w:rPr>
              <w:b/>
              <w:bCs/>
            </w:rPr>
            <w:t>Table of Contents</w:t>
          </w:r>
        </w:p>
        <w:p w14:paraId="3ADC0BF1" w14:textId="20C45EEF" w:rsidR="00F20149" w:rsidRDefault="00116B60" w:rsidP="007A7F64">
          <w:pPr>
            <w:pStyle w:val="TOC1"/>
            <w:tabs>
              <w:tab w:val="right" w:leader="dot" w:pos="9350"/>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142169490" w:history="1">
            <w:r w:rsidR="00F20149" w:rsidRPr="001942D4">
              <w:rPr>
                <w:rStyle w:val="Hyperlink"/>
                <w:noProof/>
              </w:rPr>
              <w:t>Introduction</w:t>
            </w:r>
            <w:r w:rsidR="00F20149">
              <w:rPr>
                <w:noProof/>
                <w:webHidden/>
              </w:rPr>
              <w:tab/>
            </w:r>
            <w:r w:rsidR="00F20149">
              <w:rPr>
                <w:noProof/>
                <w:webHidden/>
              </w:rPr>
              <w:fldChar w:fldCharType="begin"/>
            </w:r>
            <w:r w:rsidR="00F20149">
              <w:rPr>
                <w:noProof/>
                <w:webHidden/>
              </w:rPr>
              <w:instrText xml:space="preserve"> PAGEREF _Toc142169490 \h </w:instrText>
            </w:r>
            <w:r w:rsidR="00F20149">
              <w:rPr>
                <w:noProof/>
                <w:webHidden/>
              </w:rPr>
            </w:r>
            <w:r w:rsidR="00F20149">
              <w:rPr>
                <w:noProof/>
                <w:webHidden/>
              </w:rPr>
              <w:fldChar w:fldCharType="separate"/>
            </w:r>
            <w:r w:rsidR="00F20149">
              <w:rPr>
                <w:noProof/>
                <w:webHidden/>
              </w:rPr>
              <w:t>1</w:t>
            </w:r>
            <w:r w:rsidR="00F20149">
              <w:rPr>
                <w:noProof/>
                <w:webHidden/>
              </w:rPr>
              <w:fldChar w:fldCharType="end"/>
            </w:r>
          </w:hyperlink>
        </w:p>
        <w:p w14:paraId="26C2EC0D" w14:textId="652A9956" w:rsidR="00F20149" w:rsidRDefault="00000000" w:rsidP="007A7F64">
          <w:pPr>
            <w:pStyle w:val="TOC1"/>
            <w:tabs>
              <w:tab w:val="right" w:leader="dot" w:pos="9350"/>
            </w:tabs>
            <w:rPr>
              <w:rFonts w:asciiTheme="minorHAnsi" w:eastAsiaTheme="minorEastAsia" w:hAnsiTheme="minorHAnsi"/>
              <w:noProof/>
              <w:color w:val="auto"/>
              <w:sz w:val="22"/>
              <w:lang w:eastAsia="en-GB"/>
            </w:rPr>
          </w:pPr>
          <w:hyperlink w:anchor="_Toc142169491" w:history="1">
            <w:r w:rsidR="00F20149" w:rsidRPr="001942D4">
              <w:rPr>
                <w:rStyle w:val="Hyperlink"/>
                <w:noProof/>
              </w:rPr>
              <w:t>Identifying appropriate stakeholders and developing methods to effectively engage them</w:t>
            </w:r>
            <w:r w:rsidR="00F20149">
              <w:rPr>
                <w:noProof/>
                <w:webHidden/>
              </w:rPr>
              <w:tab/>
            </w:r>
            <w:r w:rsidR="00F20149">
              <w:rPr>
                <w:noProof/>
                <w:webHidden/>
              </w:rPr>
              <w:fldChar w:fldCharType="begin"/>
            </w:r>
            <w:r w:rsidR="00F20149">
              <w:rPr>
                <w:noProof/>
                <w:webHidden/>
              </w:rPr>
              <w:instrText xml:space="preserve"> PAGEREF _Toc142169491 \h </w:instrText>
            </w:r>
            <w:r w:rsidR="00F20149">
              <w:rPr>
                <w:noProof/>
                <w:webHidden/>
              </w:rPr>
            </w:r>
            <w:r w:rsidR="00F20149">
              <w:rPr>
                <w:noProof/>
                <w:webHidden/>
              </w:rPr>
              <w:fldChar w:fldCharType="separate"/>
            </w:r>
            <w:r w:rsidR="00F20149">
              <w:rPr>
                <w:noProof/>
                <w:webHidden/>
              </w:rPr>
              <w:t>5</w:t>
            </w:r>
            <w:r w:rsidR="00F20149">
              <w:rPr>
                <w:noProof/>
                <w:webHidden/>
              </w:rPr>
              <w:fldChar w:fldCharType="end"/>
            </w:r>
          </w:hyperlink>
        </w:p>
        <w:p w14:paraId="1EE67DD9" w14:textId="12793C74" w:rsidR="00F20149" w:rsidRDefault="00000000" w:rsidP="007A7F64">
          <w:pPr>
            <w:pStyle w:val="TOC1"/>
            <w:tabs>
              <w:tab w:val="right" w:leader="dot" w:pos="9350"/>
            </w:tabs>
            <w:rPr>
              <w:rFonts w:asciiTheme="minorHAnsi" w:eastAsiaTheme="minorEastAsia" w:hAnsiTheme="minorHAnsi"/>
              <w:noProof/>
              <w:color w:val="auto"/>
              <w:sz w:val="22"/>
              <w:lang w:eastAsia="en-GB"/>
            </w:rPr>
          </w:pPr>
          <w:hyperlink w:anchor="_Toc142169492" w:history="1">
            <w:r w:rsidR="00F20149" w:rsidRPr="001942D4">
              <w:rPr>
                <w:rStyle w:val="Hyperlink"/>
                <w:noProof/>
              </w:rPr>
              <w:t>Use of various social media outlets to spread the word about the initiative</w:t>
            </w:r>
            <w:r w:rsidR="00F20149">
              <w:rPr>
                <w:noProof/>
                <w:webHidden/>
              </w:rPr>
              <w:tab/>
            </w:r>
            <w:r w:rsidR="00F20149">
              <w:rPr>
                <w:noProof/>
                <w:webHidden/>
              </w:rPr>
              <w:fldChar w:fldCharType="begin"/>
            </w:r>
            <w:r w:rsidR="00F20149">
              <w:rPr>
                <w:noProof/>
                <w:webHidden/>
              </w:rPr>
              <w:instrText xml:space="preserve"> PAGEREF _Toc142169492 \h </w:instrText>
            </w:r>
            <w:r w:rsidR="00F20149">
              <w:rPr>
                <w:noProof/>
                <w:webHidden/>
              </w:rPr>
            </w:r>
            <w:r w:rsidR="00F20149">
              <w:rPr>
                <w:noProof/>
                <w:webHidden/>
              </w:rPr>
              <w:fldChar w:fldCharType="separate"/>
            </w:r>
            <w:r w:rsidR="00F20149">
              <w:rPr>
                <w:noProof/>
                <w:webHidden/>
              </w:rPr>
              <w:t>6</w:t>
            </w:r>
            <w:r w:rsidR="00F20149">
              <w:rPr>
                <w:noProof/>
                <w:webHidden/>
              </w:rPr>
              <w:fldChar w:fldCharType="end"/>
            </w:r>
          </w:hyperlink>
        </w:p>
        <w:p w14:paraId="0B76C07B" w14:textId="1F0578E3" w:rsidR="00F20149" w:rsidRDefault="00000000" w:rsidP="007A7F64">
          <w:pPr>
            <w:pStyle w:val="TOC1"/>
            <w:tabs>
              <w:tab w:val="right" w:leader="dot" w:pos="9350"/>
            </w:tabs>
            <w:rPr>
              <w:rFonts w:asciiTheme="minorHAnsi" w:eastAsiaTheme="minorEastAsia" w:hAnsiTheme="minorHAnsi"/>
              <w:noProof/>
              <w:color w:val="auto"/>
              <w:sz w:val="22"/>
              <w:lang w:eastAsia="en-GB"/>
            </w:rPr>
          </w:pPr>
          <w:hyperlink w:anchor="_Toc142169493" w:history="1">
            <w:r w:rsidR="00F20149" w:rsidRPr="001942D4">
              <w:rPr>
                <w:rStyle w:val="Hyperlink"/>
                <w:noProof/>
              </w:rPr>
              <w:t>Providing Barnsley Metropolitan Borough Council with potential strategies for fostering citizen participation.</w:t>
            </w:r>
            <w:r w:rsidR="00F20149">
              <w:rPr>
                <w:noProof/>
                <w:webHidden/>
              </w:rPr>
              <w:tab/>
            </w:r>
            <w:r w:rsidR="00F20149">
              <w:rPr>
                <w:noProof/>
                <w:webHidden/>
              </w:rPr>
              <w:fldChar w:fldCharType="begin"/>
            </w:r>
            <w:r w:rsidR="00F20149">
              <w:rPr>
                <w:noProof/>
                <w:webHidden/>
              </w:rPr>
              <w:instrText xml:space="preserve"> PAGEREF _Toc142169493 \h </w:instrText>
            </w:r>
            <w:r w:rsidR="00F20149">
              <w:rPr>
                <w:noProof/>
                <w:webHidden/>
              </w:rPr>
            </w:r>
            <w:r w:rsidR="00F20149">
              <w:rPr>
                <w:noProof/>
                <w:webHidden/>
              </w:rPr>
              <w:fldChar w:fldCharType="separate"/>
            </w:r>
            <w:r w:rsidR="00F20149">
              <w:rPr>
                <w:noProof/>
                <w:webHidden/>
              </w:rPr>
              <w:t>7</w:t>
            </w:r>
            <w:r w:rsidR="00F20149">
              <w:rPr>
                <w:noProof/>
                <w:webHidden/>
              </w:rPr>
              <w:fldChar w:fldCharType="end"/>
            </w:r>
          </w:hyperlink>
        </w:p>
        <w:p w14:paraId="65C2EF92" w14:textId="25F2CB41" w:rsidR="00F20149" w:rsidRDefault="00000000" w:rsidP="007A7F64">
          <w:pPr>
            <w:pStyle w:val="TOC1"/>
            <w:tabs>
              <w:tab w:val="right" w:leader="dot" w:pos="9350"/>
            </w:tabs>
            <w:rPr>
              <w:rFonts w:asciiTheme="minorHAnsi" w:eastAsiaTheme="minorEastAsia" w:hAnsiTheme="minorHAnsi"/>
              <w:noProof/>
              <w:color w:val="auto"/>
              <w:sz w:val="22"/>
              <w:lang w:eastAsia="en-GB"/>
            </w:rPr>
          </w:pPr>
          <w:hyperlink w:anchor="_Toc142169494" w:history="1">
            <w:r w:rsidR="00F20149" w:rsidRPr="001942D4">
              <w:rPr>
                <w:rStyle w:val="Hyperlink"/>
                <w:noProof/>
              </w:rPr>
              <w:t>A prospective method of teaching people about how internal and external elements affect community growth.</w:t>
            </w:r>
            <w:r w:rsidR="00F20149">
              <w:rPr>
                <w:noProof/>
                <w:webHidden/>
              </w:rPr>
              <w:tab/>
            </w:r>
            <w:r w:rsidR="00F20149">
              <w:rPr>
                <w:noProof/>
                <w:webHidden/>
              </w:rPr>
              <w:fldChar w:fldCharType="begin"/>
            </w:r>
            <w:r w:rsidR="00F20149">
              <w:rPr>
                <w:noProof/>
                <w:webHidden/>
              </w:rPr>
              <w:instrText xml:space="preserve"> PAGEREF _Toc142169494 \h </w:instrText>
            </w:r>
            <w:r w:rsidR="00F20149">
              <w:rPr>
                <w:noProof/>
                <w:webHidden/>
              </w:rPr>
            </w:r>
            <w:r w:rsidR="00F20149">
              <w:rPr>
                <w:noProof/>
                <w:webHidden/>
              </w:rPr>
              <w:fldChar w:fldCharType="separate"/>
            </w:r>
            <w:r w:rsidR="00F20149">
              <w:rPr>
                <w:noProof/>
                <w:webHidden/>
              </w:rPr>
              <w:t>9</w:t>
            </w:r>
            <w:r w:rsidR="00F20149">
              <w:rPr>
                <w:noProof/>
                <w:webHidden/>
              </w:rPr>
              <w:fldChar w:fldCharType="end"/>
            </w:r>
          </w:hyperlink>
        </w:p>
        <w:p w14:paraId="026D996C" w14:textId="52649E53" w:rsidR="00F20149" w:rsidRDefault="00000000" w:rsidP="007A7F64">
          <w:pPr>
            <w:pStyle w:val="TOC1"/>
            <w:tabs>
              <w:tab w:val="right" w:leader="dot" w:pos="9350"/>
            </w:tabs>
            <w:rPr>
              <w:rFonts w:asciiTheme="minorHAnsi" w:eastAsiaTheme="minorEastAsia" w:hAnsiTheme="minorHAnsi"/>
              <w:noProof/>
              <w:color w:val="auto"/>
              <w:sz w:val="22"/>
              <w:lang w:eastAsia="en-GB"/>
            </w:rPr>
          </w:pPr>
          <w:hyperlink w:anchor="_Toc142169495" w:history="1">
            <w:r w:rsidR="00F20149" w:rsidRPr="001942D4">
              <w:rPr>
                <w:rStyle w:val="Hyperlink"/>
                <w:noProof/>
              </w:rPr>
              <w:t>Conclusion</w:t>
            </w:r>
            <w:r w:rsidR="00F20149">
              <w:rPr>
                <w:noProof/>
                <w:webHidden/>
              </w:rPr>
              <w:tab/>
            </w:r>
            <w:r w:rsidR="00F20149">
              <w:rPr>
                <w:noProof/>
                <w:webHidden/>
              </w:rPr>
              <w:fldChar w:fldCharType="begin"/>
            </w:r>
            <w:r w:rsidR="00F20149">
              <w:rPr>
                <w:noProof/>
                <w:webHidden/>
              </w:rPr>
              <w:instrText xml:space="preserve"> PAGEREF _Toc142169495 \h </w:instrText>
            </w:r>
            <w:r w:rsidR="00F20149">
              <w:rPr>
                <w:noProof/>
                <w:webHidden/>
              </w:rPr>
            </w:r>
            <w:r w:rsidR="00F20149">
              <w:rPr>
                <w:noProof/>
                <w:webHidden/>
              </w:rPr>
              <w:fldChar w:fldCharType="separate"/>
            </w:r>
            <w:r w:rsidR="00F20149">
              <w:rPr>
                <w:noProof/>
                <w:webHidden/>
              </w:rPr>
              <w:t>10</w:t>
            </w:r>
            <w:r w:rsidR="00F20149">
              <w:rPr>
                <w:noProof/>
                <w:webHidden/>
              </w:rPr>
              <w:fldChar w:fldCharType="end"/>
            </w:r>
          </w:hyperlink>
        </w:p>
        <w:p w14:paraId="41A36E7F" w14:textId="5C60377D" w:rsidR="00F20149" w:rsidRDefault="00000000" w:rsidP="007A7F64">
          <w:pPr>
            <w:pStyle w:val="TOC1"/>
            <w:tabs>
              <w:tab w:val="right" w:leader="dot" w:pos="9350"/>
            </w:tabs>
            <w:rPr>
              <w:rFonts w:asciiTheme="minorHAnsi" w:eastAsiaTheme="minorEastAsia" w:hAnsiTheme="minorHAnsi"/>
              <w:noProof/>
              <w:color w:val="auto"/>
              <w:sz w:val="22"/>
              <w:lang w:eastAsia="en-GB"/>
            </w:rPr>
          </w:pPr>
          <w:hyperlink w:anchor="_Toc142169496" w:history="1">
            <w:r w:rsidR="00F20149" w:rsidRPr="001942D4">
              <w:rPr>
                <w:rStyle w:val="Hyperlink"/>
                <w:noProof/>
              </w:rPr>
              <w:t>Reference</w:t>
            </w:r>
            <w:r w:rsidR="00F20149">
              <w:rPr>
                <w:noProof/>
                <w:webHidden/>
              </w:rPr>
              <w:tab/>
            </w:r>
            <w:r w:rsidR="00F20149">
              <w:rPr>
                <w:noProof/>
                <w:webHidden/>
              </w:rPr>
              <w:fldChar w:fldCharType="begin"/>
            </w:r>
            <w:r w:rsidR="00F20149">
              <w:rPr>
                <w:noProof/>
                <w:webHidden/>
              </w:rPr>
              <w:instrText xml:space="preserve"> PAGEREF _Toc142169496 \h </w:instrText>
            </w:r>
            <w:r w:rsidR="00F20149">
              <w:rPr>
                <w:noProof/>
                <w:webHidden/>
              </w:rPr>
            </w:r>
            <w:r w:rsidR="00F20149">
              <w:rPr>
                <w:noProof/>
                <w:webHidden/>
              </w:rPr>
              <w:fldChar w:fldCharType="separate"/>
            </w:r>
            <w:r w:rsidR="00F20149">
              <w:rPr>
                <w:noProof/>
                <w:webHidden/>
              </w:rPr>
              <w:t>11</w:t>
            </w:r>
            <w:r w:rsidR="00F20149">
              <w:rPr>
                <w:noProof/>
                <w:webHidden/>
              </w:rPr>
              <w:fldChar w:fldCharType="end"/>
            </w:r>
          </w:hyperlink>
        </w:p>
        <w:p w14:paraId="11FB9FCD" w14:textId="4AA519D0" w:rsidR="001834FC" w:rsidRDefault="00116B60" w:rsidP="007A7F64">
          <w:r>
            <w:rPr>
              <w:b/>
              <w:bCs/>
              <w:noProof/>
            </w:rPr>
            <w:fldChar w:fldCharType="end"/>
          </w:r>
        </w:p>
      </w:sdtContent>
    </w:sdt>
    <w:p w14:paraId="0E64312A" w14:textId="73F329D3" w:rsidR="001834FC" w:rsidRDefault="001834FC" w:rsidP="007A7F64"/>
    <w:p w14:paraId="52988457" w14:textId="77777777" w:rsidR="001834FC" w:rsidRDefault="00116B60" w:rsidP="007A7F64">
      <w:r>
        <w:br w:type="page"/>
      </w:r>
    </w:p>
    <w:p w14:paraId="0BEB37EE" w14:textId="77777777" w:rsidR="001834FC" w:rsidRDefault="001834FC" w:rsidP="007A7F64">
      <w:pPr>
        <w:pStyle w:val="Heading1"/>
        <w:sectPr w:rsidR="001834FC" w:rsidSect="001834FC">
          <w:footerReference w:type="default" r:id="rId9"/>
          <w:pgSz w:w="12240" w:h="15840"/>
          <w:pgMar w:top="1440" w:right="1440" w:bottom="1440" w:left="1440" w:header="720" w:footer="720" w:gutter="0"/>
          <w:pgNumType w:fmt="lowerRoman"/>
          <w:cols w:space="720"/>
          <w:docGrid w:linePitch="360"/>
        </w:sectPr>
      </w:pPr>
    </w:p>
    <w:p w14:paraId="194129F4" w14:textId="756AA5DC" w:rsidR="001834FC" w:rsidRDefault="00116B60" w:rsidP="007A7F64">
      <w:pPr>
        <w:pStyle w:val="Heading1"/>
      </w:pPr>
      <w:bookmarkStart w:id="0" w:name="_Toc142169490"/>
      <w:r>
        <w:lastRenderedPageBreak/>
        <w:t>Introduction</w:t>
      </w:r>
      <w:bookmarkEnd w:id="0"/>
      <w:r>
        <w:t xml:space="preserve"> </w:t>
      </w:r>
    </w:p>
    <w:p w14:paraId="34E37DB6" w14:textId="13AED08F" w:rsidR="00E75FC6" w:rsidRDefault="00116B60" w:rsidP="007A7F64">
      <w:r w:rsidRPr="00C02F0C">
        <w:t>The term "Community Engagement" is used to describe any initiative that provides resources to local residents. Sustainable results and increased confidence between the government and citizens are its top priorities (Peterson, 2019). Following is a summary of the Barnsley Metropolitan Borough Council's current efforts in the areas of economic, social, and community development. The Barnsley 2030 strategy and the Levelling Up Plan are two such examples of extensive and ambitious plans for the borough's growth. The report will describe the project in detail and examine successful approaches to implementing principles and standards for community participation. In addition, the report will detail the connection between the various parties involved and the methods used to include them most productively. The council will also get suggestions on how to improve their community outreach from this report. The Barnsley Metropolitan Borough Council commissioned this research to find ways to increase community involvement and diversity within the borough. Finally, the paper will assess the logic behind community engagement professionals taking a preventative stance in educating residents on the effect of both internal and external</w:t>
      </w:r>
      <w:r>
        <w:t xml:space="preserve"> influences on community growth</w:t>
      </w:r>
      <w:r w:rsidR="00CE4E6F" w:rsidRPr="00CE4E6F">
        <w:t xml:space="preserve">. </w:t>
      </w:r>
      <w:r>
        <w:br w:type="page"/>
      </w:r>
    </w:p>
    <w:p w14:paraId="3541EC40" w14:textId="4B9111A8" w:rsidR="00CE4E6F" w:rsidRPr="00516172" w:rsidRDefault="00116B60" w:rsidP="007A7F64">
      <w:pPr>
        <w:rPr>
          <w:rFonts w:asciiTheme="majorHAnsi" w:eastAsiaTheme="majorEastAsia" w:hAnsiTheme="majorHAnsi" w:cstheme="majorBidi"/>
          <w:b/>
          <w:sz w:val="32"/>
          <w:szCs w:val="32"/>
        </w:rPr>
      </w:pPr>
      <w:r w:rsidRPr="00516172">
        <w:rPr>
          <w:rFonts w:asciiTheme="majorHAnsi" w:eastAsiaTheme="majorEastAsia" w:hAnsiTheme="majorHAnsi" w:cstheme="majorBidi"/>
          <w:b/>
          <w:sz w:val="32"/>
          <w:szCs w:val="32"/>
        </w:rPr>
        <w:lastRenderedPageBreak/>
        <w:t>Barnsley Metropolitan Borough Counci</w:t>
      </w:r>
      <w:r>
        <w:rPr>
          <w:rFonts w:asciiTheme="majorHAnsi" w:eastAsiaTheme="majorEastAsia" w:hAnsiTheme="majorHAnsi" w:cstheme="majorBidi"/>
          <w:b/>
          <w:sz w:val="32"/>
          <w:szCs w:val="32"/>
        </w:rPr>
        <w:t>l's Current Projects &amp; Programs</w:t>
      </w:r>
    </w:p>
    <w:p w14:paraId="02823C64" w14:textId="39702272" w:rsidR="00CE4E6F" w:rsidRPr="00CE4E6F" w:rsidRDefault="00116B60" w:rsidP="007A7F64">
      <w:r w:rsidRPr="00C857B0">
        <w:t>The Barnsley Metropolitan Borough Council is a local council in England that is currently participating in the Barnsley 2030 program. The vision of the Barnsley 2030 project is to ensure equitable access to high-quality local facilities, thereby enhancing the overall quality of life for all individuals</w:t>
      </w:r>
      <w:r w:rsidR="00156BB0">
        <w:t xml:space="preserve"> </w:t>
      </w:r>
      <w:r w:rsidR="00156BB0" w:rsidRPr="00156BB0">
        <w:t>(Adhikari et al., 2020)</w:t>
      </w:r>
      <w:r w:rsidRPr="00C857B0">
        <w:t xml:space="preserve">. </w:t>
      </w:r>
      <w:r w:rsidR="0005235B" w:rsidRPr="0005235B">
        <w:t>The council's task objectives are to beautify the social, financial, and network factors of Barnsley by way of 2030. To attain this, a hard and fast of dreams has been installed, inclusive of the creation of eight,000 new jobs in Barnsley with the aid of 2025 and 15,500 new jobs by way of 2030. Additionally, it is vital to put into effect measures aimed toward reducing carbon emissions by means of eighty% throughout the borough with the intention to efficaciously deal with environmental worries.</w:t>
      </w:r>
      <w:r w:rsidRPr="00C857B0">
        <w:t>The objective is to achieve equal pay for both genders by the year 2030, as a means of addressing the prevalent issue of discrimination within our community. The primary objective of the council is to promote social and economic development and to achieve this goal, they actively engage in various strategic areas. We have provided support to 850 new businesses, contributing to the growth of the annual football industry in both the town and urban centre</w:t>
      </w:r>
      <w:r w:rsidR="00156BB0">
        <w:t xml:space="preserve"> </w:t>
      </w:r>
      <w:r w:rsidR="00156BB0" w:rsidRPr="00156BB0">
        <w:t>(Adhikari et al., 2020)</w:t>
      </w:r>
      <w:r w:rsidRPr="00C857B0">
        <w:t>. Our efforts have resulted in a significant increase in revenue, with projections indicating growth from 3.5 million to 10 million by the year 2030. Additionally, the council is addressing the economic repercussions of the Covid-19 pandemic through the implementation of its newly developed Economic Renewal Action Plan. This plan serves as a long-term strategy to provide support for the Barnsley 2030 program. The council has diligently documented the monthly progress on project milestones and outputs, aligning them with the targets set forth in Barnsley 2030, the borough's comprehensive integrated strategy and Levelling Up Plan for the year 2022. The council is presently addressing or intends to mitigate the fundamental community challenges, including discrimination, pollution, crime, insecurity, inadequate recreational facilities, and social deprivation, throu</w:t>
      </w:r>
      <w:r>
        <w:t>gh its Barnsley 2030 initiative</w:t>
      </w:r>
      <w:r w:rsidRPr="00CE4E6F">
        <w:t xml:space="preserve">. </w:t>
      </w:r>
    </w:p>
    <w:p w14:paraId="4D3EADC9" w14:textId="77777777" w:rsidR="00E75FC6" w:rsidRDefault="00116B60" w:rsidP="007A7F64">
      <w:pPr>
        <w:jc w:val="left"/>
      </w:pPr>
      <w:r>
        <w:br w:type="page"/>
      </w:r>
    </w:p>
    <w:p w14:paraId="407B5E26" w14:textId="483DAEE4" w:rsidR="00E75FC6" w:rsidRPr="00516172" w:rsidRDefault="00116B60" w:rsidP="007A7F64">
      <w:pPr>
        <w:rPr>
          <w:rFonts w:asciiTheme="majorHAnsi" w:eastAsiaTheme="majorEastAsia" w:hAnsiTheme="majorHAnsi" w:cstheme="majorBidi"/>
          <w:b/>
          <w:sz w:val="32"/>
          <w:szCs w:val="32"/>
        </w:rPr>
      </w:pPr>
      <w:r w:rsidRPr="00516172">
        <w:rPr>
          <w:rFonts w:asciiTheme="majorHAnsi" w:eastAsiaTheme="majorEastAsia" w:hAnsiTheme="majorHAnsi" w:cstheme="majorBidi"/>
          <w:b/>
          <w:sz w:val="32"/>
          <w:szCs w:val="32"/>
        </w:rPr>
        <w:lastRenderedPageBreak/>
        <w:t>Principles, norms, and advantages of stakeholder involvement i</w:t>
      </w:r>
      <w:r>
        <w:rPr>
          <w:rFonts w:asciiTheme="majorHAnsi" w:eastAsiaTheme="majorEastAsia" w:hAnsiTheme="majorHAnsi" w:cstheme="majorBidi"/>
          <w:b/>
          <w:sz w:val="32"/>
          <w:szCs w:val="32"/>
        </w:rPr>
        <w:t>n community engagement analyses</w:t>
      </w:r>
      <w:r>
        <w:t>.</w:t>
      </w:r>
    </w:p>
    <w:p w14:paraId="52A4FCFD" w14:textId="0F05D631" w:rsidR="0005235B" w:rsidRDefault="00116B60" w:rsidP="007A7F64">
      <w:r>
        <w:t>Consistently healthy communities are those that have active councils, yet it may be difficult for councils to actively involve people in rural locations. Best practices for citizen participation used by Barnsley Metropolitan Borough Council include the following.</w:t>
      </w:r>
    </w:p>
    <w:p w14:paraId="1E8A4962" w14:textId="77777777" w:rsidR="0005235B" w:rsidRPr="0005235B" w:rsidRDefault="00116B60" w:rsidP="007A7F64">
      <w:pPr>
        <w:rPr>
          <w:b/>
        </w:rPr>
      </w:pPr>
      <w:r w:rsidRPr="0005235B">
        <w:rPr>
          <w:b/>
        </w:rPr>
        <w:t>Talking to the donors directly</w:t>
      </w:r>
    </w:p>
    <w:p w14:paraId="102CC1EC" w14:textId="212ACEB6" w:rsidR="0005235B" w:rsidRDefault="00116B60" w:rsidP="007A7F64">
      <w:r>
        <w:t>The Barnsley Metropolitan Borough Council uses this kind of citizen participation to record the hopes and dreams of locals for the Barnsley 2030 plan.</w:t>
      </w:r>
    </w:p>
    <w:p w14:paraId="59EE2815" w14:textId="4243E210" w:rsidR="0005235B" w:rsidRPr="0005235B" w:rsidRDefault="00116B60" w:rsidP="007A7F64">
      <w:pPr>
        <w:rPr>
          <w:b/>
        </w:rPr>
      </w:pPr>
      <w:r w:rsidRPr="0005235B">
        <w:rPr>
          <w:b/>
        </w:rPr>
        <w:t>Place a premium on members' involvement and input.</w:t>
      </w:r>
    </w:p>
    <w:p w14:paraId="18FD04DF" w14:textId="58BC4F47" w:rsidR="0005235B" w:rsidRDefault="00116B60" w:rsidP="007A7F64">
      <w:r>
        <w:t>In addition, the council may reward its hardworking members for their efforts, increasing enthusiasm and dedication to achieving the Barnsley 2030 software goals (Relton, 2022).</w:t>
      </w:r>
    </w:p>
    <w:p w14:paraId="39389F5C" w14:textId="3C84AD69" w:rsidR="0005235B" w:rsidRPr="0005235B" w:rsidRDefault="00116B60" w:rsidP="007A7F64">
      <w:pPr>
        <w:rPr>
          <w:b/>
        </w:rPr>
      </w:pPr>
      <w:r w:rsidRPr="0005235B">
        <w:rPr>
          <w:b/>
        </w:rPr>
        <w:t>The UK's mandatory guidelines for volunteers.</w:t>
      </w:r>
    </w:p>
    <w:p w14:paraId="4304B311" w14:textId="0C5384EC" w:rsidR="0005235B" w:rsidRDefault="00116B60" w:rsidP="007A7F64">
      <w:r>
        <w:t xml:space="preserve">This includes guidelines for proper procedures that have been developed to direct and advise how network interaction should be carried out. In line with UK-wide norms, the Barnsley Metropolitan Borough Council has come up with a number of community participation concepts. </w:t>
      </w:r>
    </w:p>
    <w:p w14:paraId="59CCA4B7" w14:textId="18C4AE51" w:rsidR="0005235B" w:rsidRPr="0005235B" w:rsidRDefault="00116B60" w:rsidP="007A7F64">
      <w:pPr>
        <w:rPr>
          <w:b/>
        </w:rPr>
      </w:pPr>
      <w:r w:rsidRPr="0005235B">
        <w:rPr>
          <w:b/>
        </w:rPr>
        <w:t xml:space="preserve">Don't rush into making preparations. </w:t>
      </w:r>
    </w:p>
    <w:p w14:paraId="66358994" w14:textId="78D3E526" w:rsidR="0005235B" w:rsidRDefault="00116B60" w:rsidP="007A7F64">
      <w:r>
        <w:t>The council works hard to plan and organize a variety of network, social, and financial advancement projects.</w:t>
      </w:r>
    </w:p>
    <w:p w14:paraId="2B7BF549" w14:textId="5AAA9EA3" w:rsidR="0005235B" w:rsidRPr="0005235B" w:rsidRDefault="00116B60" w:rsidP="007A7F64">
      <w:pPr>
        <w:rPr>
          <w:b/>
        </w:rPr>
      </w:pPr>
      <w:r w:rsidRPr="0005235B">
        <w:rPr>
          <w:b/>
        </w:rPr>
        <w:t>The value of a diverse and inclusive population</w:t>
      </w:r>
    </w:p>
    <w:p w14:paraId="6D3D221C" w14:textId="79FAD950" w:rsidR="0005235B" w:rsidRDefault="00116B60" w:rsidP="007A7F64">
      <w:r>
        <w:t>Barnsley Council has established a fair and inclusive strategy by including a wide variety of people, members, and ideas in order to guarantee the delivery of high-quality results and democratic legitimacy.</w:t>
      </w:r>
    </w:p>
    <w:p w14:paraId="5D527EE3" w14:textId="77777777" w:rsidR="0005235B" w:rsidRPr="0005235B" w:rsidRDefault="00116B60" w:rsidP="007A7F64">
      <w:pPr>
        <w:rPr>
          <w:b/>
        </w:rPr>
      </w:pPr>
      <w:r w:rsidRPr="0005235B">
        <w:rPr>
          <w:b/>
        </w:rPr>
        <w:t>Cooperation and working toward a common goal.</w:t>
      </w:r>
    </w:p>
    <w:p w14:paraId="40DAA7E7" w14:textId="77777777" w:rsidR="0005235B" w:rsidRDefault="0005235B" w:rsidP="007A7F64"/>
    <w:p w14:paraId="7632FEDD" w14:textId="0A7E5343" w:rsidR="0005235B" w:rsidRDefault="00116B60" w:rsidP="007A7F64">
      <w:r>
        <w:lastRenderedPageBreak/>
        <w:t>The council also fosters and supports cooperation between government agencies, network operators, and other interested parties in order to achieve a common goal (McCabe, 2022).</w:t>
      </w:r>
    </w:p>
    <w:p w14:paraId="49D83617" w14:textId="77E24A31" w:rsidR="0005235B" w:rsidRPr="0005235B" w:rsidRDefault="00116B60" w:rsidP="007A7F64">
      <w:pPr>
        <w:rPr>
          <w:b/>
        </w:rPr>
      </w:pPr>
      <w:r w:rsidRPr="0005235B">
        <w:rPr>
          <w:b/>
        </w:rPr>
        <w:t>Maintaining open communication and showing care</w:t>
      </w:r>
    </w:p>
    <w:p w14:paraId="3F167B47" w14:textId="69C4E77B" w:rsidR="0005235B" w:rsidRDefault="00116B60" w:rsidP="007A7F64">
      <w:r>
        <w:t>The council keeps everything about the method open and public, including a log of financiers, outcomes, and event planners.</w:t>
      </w:r>
    </w:p>
    <w:p w14:paraId="5C84261D" w14:textId="77777777" w:rsidR="0005235B" w:rsidRDefault="00116B60" w:rsidP="007A7F64">
      <w:r>
        <w:t>Community, social, and economic growth all benefit greatly from stakeholder involvement. When all relevant parties are represented, the council's reputation improves, communication between parties improves, conflicts are less likely to arise, and the number of disputes is cut down significantly. Therefore, for the Barnsley Metropolitan Borough Council's Barnsley 2030 program to be a success, it is crucial that the council's stakeholder involvement strategy be implemented efficiently and properly (Gilmore, 2020). The council may use the collected data to improve their program or undertaking.</w:t>
      </w:r>
    </w:p>
    <w:p w14:paraId="54B6FFC6" w14:textId="77777777" w:rsidR="0005235B" w:rsidRDefault="0005235B" w:rsidP="007A7F64">
      <w:pPr>
        <w:jc w:val="left"/>
      </w:pPr>
    </w:p>
    <w:p w14:paraId="0B7F3596" w14:textId="77777777" w:rsidR="0005235B" w:rsidRDefault="0005235B" w:rsidP="007A7F64">
      <w:pPr>
        <w:jc w:val="left"/>
      </w:pPr>
    </w:p>
    <w:p w14:paraId="2A376920" w14:textId="77777777" w:rsidR="0005235B" w:rsidRDefault="0005235B" w:rsidP="007A7F64">
      <w:pPr>
        <w:jc w:val="left"/>
      </w:pPr>
    </w:p>
    <w:p w14:paraId="26DBE795" w14:textId="77777777" w:rsidR="00C02F0C" w:rsidRDefault="00116B60" w:rsidP="007A7F64">
      <w:pPr>
        <w:jc w:val="left"/>
      </w:pPr>
      <w:r>
        <w:br w:type="page"/>
      </w:r>
    </w:p>
    <w:p w14:paraId="7713C1FE" w14:textId="77777777" w:rsidR="00516172" w:rsidRDefault="00116B60" w:rsidP="007A7F64">
      <w:pPr>
        <w:pStyle w:val="Heading1"/>
      </w:pPr>
      <w:bookmarkStart w:id="1" w:name="_Toc142169491"/>
      <w:r w:rsidRPr="00516172">
        <w:lastRenderedPageBreak/>
        <w:t>Identifying appropriate stakeholders and developing methods to effectively engage them</w:t>
      </w:r>
      <w:bookmarkEnd w:id="1"/>
    </w:p>
    <w:p w14:paraId="4D92FF4B" w14:textId="7F46F63B" w:rsidR="00C857B0" w:rsidRDefault="00116B60" w:rsidP="007A7F64">
      <w:r>
        <w:t>Stakeholders are those who have something at stake in the results of a project or the operations of a business. Barnsley Metropolitan Borough Council's key constituencies include citizens of the borough, those who work in community development, local and central government, organizations working to improve the local environment, citizen groups, and non-governmental organizations (NGOs). Barnsley Metropolitan Borough Council's constituents often share information and collaborate on projects. The council's Barnsley 2030 initiative, which seeks to foster economic, social, and communal growth, should be given top priority if it is to be realized (Ferreira, 2020). The council's principal relationship with stakeholders is one of working together to advance the interests of the Barnsley community and its citizens.</w:t>
      </w:r>
    </w:p>
    <w:p w14:paraId="10F887C9" w14:textId="5ABF2EE9" w:rsidR="009D5748" w:rsidRDefault="00116B60" w:rsidP="007A7F64">
      <w:r>
        <w:t>Barnsley Metropolitan Borough Council has found that using a variety of social media channels is a great way to interact with its constituents. This means the council may brag about meeting the lofty goals set forth in the Barnesly 2030 initiative on numerous social media sites.</w:t>
      </w:r>
    </w:p>
    <w:p w14:paraId="57934029" w14:textId="77777777" w:rsidR="00C02F0C" w:rsidRDefault="00116B60" w:rsidP="007A7F64">
      <w:pPr>
        <w:jc w:val="left"/>
      </w:pPr>
      <w:r>
        <w:br w:type="page"/>
      </w:r>
    </w:p>
    <w:p w14:paraId="297DDCF4" w14:textId="5A393E7B" w:rsidR="009D5748" w:rsidRDefault="00116B60" w:rsidP="007A7F64">
      <w:pPr>
        <w:pStyle w:val="Heading1"/>
      </w:pPr>
      <w:bookmarkStart w:id="2" w:name="_Toc142169492"/>
      <w:r w:rsidRPr="00516172">
        <w:lastRenderedPageBreak/>
        <w:t>Use of various social media outlets to spread the word about the initiative</w:t>
      </w:r>
      <w:bookmarkEnd w:id="2"/>
    </w:p>
    <w:p w14:paraId="7F458446" w14:textId="77777777" w:rsidR="0005235B" w:rsidRDefault="00116B60" w:rsidP="007A7F64">
      <w:r>
        <w:t>When it comes to communicating the borough's "Barnsley 2030" (comprehensive strategy and Leveling Up Plan), the Barnsley Metropolitan Borough Council has found that various social media outlets are particularly useful. Some examples of such sites are:</w:t>
      </w:r>
    </w:p>
    <w:p w14:paraId="28F06186" w14:textId="77777777" w:rsidR="0005235B" w:rsidRPr="00F20149" w:rsidRDefault="00116B60" w:rsidP="007A7F64">
      <w:pPr>
        <w:rPr>
          <w:b/>
        </w:rPr>
      </w:pPr>
      <w:r w:rsidRPr="00F20149">
        <w:rPr>
          <w:b/>
        </w:rPr>
        <w:t>Facebook</w:t>
      </w:r>
    </w:p>
    <w:p w14:paraId="28DA2155" w14:textId="77777777" w:rsidR="0005235B" w:rsidRDefault="00116B60" w:rsidP="007A7F64">
      <w:r>
        <w:t>A person may create their own community involvement page on Facebook, which is a widely recognized social networking site. Posts, articles, comments, responses, and messages are just some of the ways that the Barnsley Metropolitan Borough Council successfully interacts with its constituents (Adhikari et al., 2020).</w:t>
      </w:r>
    </w:p>
    <w:p w14:paraId="533D7093" w14:textId="240FFB17" w:rsidR="0005235B" w:rsidRPr="00F20149" w:rsidRDefault="00116B60" w:rsidP="007A7F64">
      <w:pPr>
        <w:rPr>
          <w:b/>
        </w:rPr>
      </w:pPr>
      <w:r w:rsidRPr="00F20149">
        <w:rPr>
          <w:b/>
        </w:rPr>
        <w:t>Instagram or TikTok</w:t>
      </w:r>
    </w:p>
    <w:p w14:paraId="7714A82B" w14:textId="77777777" w:rsidR="0005235B" w:rsidRDefault="00116B60" w:rsidP="007A7F64">
      <w:r>
        <w:t>Barnsley Metropolitan Borough Council uses this site to provide information about its activities and the impact it's having on the community on a regular basis.</w:t>
      </w:r>
    </w:p>
    <w:p w14:paraId="6E84619E" w14:textId="77777777" w:rsidR="0005235B" w:rsidRPr="00F20149" w:rsidRDefault="00116B60" w:rsidP="007A7F64">
      <w:pPr>
        <w:rPr>
          <w:b/>
        </w:rPr>
      </w:pPr>
      <w:r w:rsidRPr="00F20149">
        <w:rPr>
          <w:b/>
        </w:rPr>
        <w:t>YouTube</w:t>
      </w:r>
    </w:p>
    <w:p w14:paraId="67A1EF18" w14:textId="77777777" w:rsidR="0005235B" w:rsidRDefault="00116B60" w:rsidP="007A7F64">
      <w:r>
        <w:t>With the use of films, the council may educate its constituents about initiatives aimed at social and fiscal betterment, such as Barnsley 2030. Stakeholders will be better able to monitor the program's progress and make necessary adjustments if this method is used. Barnsley Council could investigate using YouTube events as a novel method of interacting with residents and business owners.</w:t>
      </w:r>
    </w:p>
    <w:p w14:paraId="4A5E5FEF" w14:textId="77777777" w:rsidR="0005235B" w:rsidRPr="00F20149" w:rsidRDefault="00116B60" w:rsidP="007A7F64">
      <w:pPr>
        <w:rPr>
          <w:b/>
        </w:rPr>
      </w:pPr>
      <w:r w:rsidRPr="00F20149">
        <w:rPr>
          <w:b/>
        </w:rPr>
        <w:t>Twitter</w:t>
      </w:r>
    </w:p>
    <w:p w14:paraId="2193231A" w14:textId="77777777" w:rsidR="0005235B" w:rsidRDefault="00116B60" w:rsidP="007A7F64">
      <w:r>
        <w:t>Twitter is a great way for the council to connect with its constituents and grow its network of supporters since it allows for direct, one-on-one dialogue. Barnsley Council overcame challenges and is on track to achieve its 2030 goals because of the use of sound decision-making, careful risk management, and constructive partnerships (McCabe, 2023).</w:t>
      </w:r>
    </w:p>
    <w:p w14:paraId="24B656AB" w14:textId="77777777" w:rsidR="0005235B" w:rsidRDefault="0005235B" w:rsidP="007A7F64"/>
    <w:p w14:paraId="022796C5" w14:textId="77777777" w:rsidR="0005235B" w:rsidRDefault="0005235B" w:rsidP="007A7F64"/>
    <w:p w14:paraId="07529647" w14:textId="4DE96A15" w:rsidR="009D5748" w:rsidRDefault="00116B60" w:rsidP="007A7F64">
      <w:pPr>
        <w:pStyle w:val="Heading1"/>
      </w:pPr>
      <w:bookmarkStart w:id="3" w:name="_Toc142169493"/>
      <w:r w:rsidRPr="00516172">
        <w:lastRenderedPageBreak/>
        <w:t>Providing Barnsley Metropolitan Borough Council with potential strategies for fostering citizen participation.</w:t>
      </w:r>
      <w:bookmarkEnd w:id="3"/>
    </w:p>
    <w:p w14:paraId="7761C1EA" w14:textId="77777777" w:rsidR="0005235B" w:rsidRDefault="00116B60" w:rsidP="007A7F64">
      <w:r>
        <w:t>The Barnsley Metropolitan Borough Council has developed a strategy plan called Barnsley 2030 to encourage community involvement, collaboration, diversity, inclusion, and social and cultural integration.</w:t>
      </w:r>
    </w:p>
    <w:p w14:paraId="7C593866" w14:textId="0A67A5AB" w:rsidR="0005235B" w:rsidRPr="0005235B" w:rsidRDefault="00116B60" w:rsidP="007A7F64">
      <w:pPr>
        <w:rPr>
          <w:b/>
        </w:rPr>
      </w:pPr>
      <w:r w:rsidRPr="0005235B">
        <w:rPr>
          <w:b/>
        </w:rPr>
        <w:t>Dear highly-respected new authors</w:t>
      </w:r>
    </w:p>
    <w:p w14:paraId="05D58DC8" w14:textId="18601A27" w:rsidR="0005235B" w:rsidRDefault="00116B60" w:rsidP="007A7F64">
      <w:r>
        <w:t>The Barnsley Council should make welcoming and incorporating people of all cultural backgrounds a priority. It helps people learn cutting-edge ideas that are grounded in reality, improving their personal, professional, and communal lives.</w:t>
      </w:r>
    </w:p>
    <w:p w14:paraId="39D80344" w14:textId="1C274327" w:rsidR="0005235B" w:rsidRPr="0005235B" w:rsidRDefault="00116B60" w:rsidP="007A7F64">
      <w:pPr>
        <w:rPr>
          <w:b/>
        </w:rPr>
      </w:pPr>
      <w:r w:rsidRPr="0005235B">
        <w:rPr>
          <w:b/>
        </w:rPr>
        <w:t>Diversifying content</w:t>
      </w:r>
    </w:p>
    <w:p w14:paraId="6CACD458" w14:textId="77777777" w:rsidR="0005235B" w:rsidRDefault="00116B60" w:rsidP="007A7F64">
      <w:r>
        <w:t>The council should look at other methods to broaden its content in addition to its Barnsley 2030 project. In line with the goals of Barnsley 2030, the council has established initiatives including the Place-based total investment plan and the Economic renewable motion plan (Rain, 2020).</w:t>
      </w:r>
    </w:p>
    <w:p w14:paraId="3D5B37FE" w14:textId="0C395288" w:rsidR="0005235B" w:rsidRPr="0005235B" w:rsidRDefault="00116B60" w:rsidP="007A7F64">
      <w:pPr>
        <w:rPr>
          <w:b/>
        </w:rPr>
      </w:pPr>
      <w:r w:rsidRPr="0005235B">
        <w:rPr>
          <w:b/>
        </w:rPr>
        <w:t>Developing one's own infrastructure</w:t>
      </w:r>
    </w:p>
    <w:p w14:paraId="6F7FE735" w14:textId="77777777" w:rsidR="0005235B" w:rsidRDefault="00116B60" w:rsidP="007A7F64">
      <w:r>
        <w:t>To successfully communicate with diverse organizations and stakeholders, the council has to construct its own specialized online platform in addition to maintaining a presence on social media sites.</w:t>
      </w:r>
    </w:p>
    <w:p w14:paraId="7FB2D8B4" w14:textId="1FA9B821" w:rsidR="00C857B0" w:rsidRPr="00516172" w:rsidRDefault="00116B60" w:rsidP="007A7F64">
      <w:pPr>
        <w:rPr>
          <w:b/>
        </w:rPr>
      </w:pPr>
      <w:r>
        <w:rPr>
          <w:b/>
        </w:rPr>
        <w:t>Webinar development</w:t>
      </w:r>
    </w:p>
    <w:p w14:paraId="0B305DD1" w14:textId="61AEBEBC" w:rsidR="00C857B0" w:rsidRPr="00C857B0" w:rsidRDefault="00116B60" w:rsidP="007A7F64">
      <w:r w:rsidRPr="00C857B0">
        <w:t>Although webinars need more planning than standard Q&amp;A session, they are still one of the most productive ways to handle community issues. So that the council may actively connect with stakeholders and address their issues, it can host a webinar</w:t>
      </w:r>
      <w:r w:rsidR="00156BB0">
        <w:t xml:space="preserve"> (</w:t>
      </w:r>
      <w:r w:rsidR="00156BB0" w:rsidRPr="00156BB0">
        <w:t>Rain, 2020</w:t>
      </w:r>
      <w:r w:rsidR="00156BB0">
        <w:t>)</w:t>
      </w:r>
      <w:r w:rsidRPr="00C857B0">
        <w:t>. Using this forum, the council may pinpoint pressing local problems like unemployment, prejudice, and environmental degradation, and work toward lasting solutions.</w:t>
      </w:r>
    </w:p>
    <w:p w14:paraId="598BC81B" w14:textId="0BB6D190" w:rsidR="00C857B0" w:rsidRPr="00516172" w:rsidRDefault="00116B60" w:rsidP="007A7F64">
      <w:pPr>
        <w:rPr>
          <w:b/>
        </w:rPr>
      </w:pPr>
      <w:r w:rsidRPr="00516172">
        <w:rPr>
          <w:b/>
        </w:rPr>
        <w:t>informational</w:t>
      </w:r>
      <w:r w:rsidR="0005235B">
        <w:rPr>
          <w:b/>
        </w:rPr>
        <w:t xml:space="preserve"> and/or acclaim-related updates</w:t>
      </w:r>
    </w:p>
    <w:p w14:paraId="6288A1F4" w14:textId="27965188" w:rsidR="00C857B0" w:rsidRPr="00C857B0" w:rsidRDefault="00116B60" w:rsidP="007A7F64">
      <w:r w:rsidRPr="00C857B0">
        <w:lastRenderedPageBreak/>
        <w:t>Sharing the content and accomplishments of council members across social media, newsletters, and other relevant channels is a very successful community involvement technique.</w:t>
      </w:r>
    </w:p>
    <w:p w14:paraId="2EB9E7EE" w14:textId="77777777" w:rsidR="00C857B0" w:rsidRPr="00516172" w:rsidRDefault="00116B60" w:rsidP="007A7F64">
      <w:pPr>
        <w:rPr>
          <w:b/>
        </w:rPr>
      </w:pPr>
      <w:r w:rsidRPr="00516172">
        <w:rPr>
          <w:b/>
        </w:rPr>
        <w:t>Promoting Civility in Group Settings</w:t>
      </w:r>
    </w:p>
    <w:p w14:paraId="2D036A95" w14:textId="12B34605" w:rsidR="00C857B0" w:rsidRPr="00C857B0" w:rsidRDefault="00116B60" w:rsidP="007A7F64">
      <w:r w:rsidRPr="00C857B0">
        <w:t>It is essential for the council to set up a specific section of the community website for members to express themselves (Gilmore, 2020). Maintaining supervision over the actions and contributions of community members is best done via moderation.</w:t>
      </w:r>
    </w:p>
    <w:p w14:paraId="4EB249E0" w14:textId="77777777" w:rsidR="00516172" w:rsidRDefault="00116B60" w:rsidP="007A7F64">
      <w:pPr>
        <w:jc w:val="left"/>
        <w:rPr>
          <w:rFonts w:asciiTheme="majorHAnsi" w:eastAsiaTheme="majorEastAsia" w:hAnsiTheme="majorHAnsi" w:cstheme="majorBidi"/>
          <w:b/>
          <w:sz w:val="32"/>
          <w:szCs w:val="32"/>
        </w:rPr>
      </w:pPr>
      <w:r>
        <w:br w:type="page"/>
      </w:r>
    </w:p>
    <w:p w14:paraId="07254F01" w14:textId="77777777" w:rsidR="00516172" w:rsidRDefault="00116B60" w:rsidP="007A7F64">
      <w:pPr>
        <w:pStyle w:val="Heading1"/>
      </w:pPr>
      <w:bookmarkStart w:id="4" w:name="_Toc142169494"/>
      <w:r w:rsidRPr="00516172">
        <w:lastRenderedPageBreak/>
        <w:t>A prospective method of teaching people about how internal and external elements affect community growth.</w:t>
      </w:r>
      <w:bookmarkEnd w:id="4"/>
    </w:p>
    <w:p w14:paraId="5F595E5E" w14:textId="00B29A31" w:rsidR="00C857B0" w:rsidRDefault="00116B60" w:rsidP="007A7F64">
      <w:r>
        <w:t>Forward-looking, often called forward-thinking, is a strategy that factors in potential changes in the environment as it develops plans, initiatives, and programs. With this method, the Barnsley Metropolitan Borough Council may provide its residents with in-depth training on the many aspects, both internal and external, that affect the growth of the area. The council would gain from this strategy since it would allow for more community participation in council initiatives (Sharma, 2022). One major flaw, however, is that this method pays too little attention to actual results.</w:t>
      </w:r>
    </w:p>
    <w:p w14:paraId="02861431" w14:textId="77777777" w:rsidR="00C857B0" w:rsidRDefault="00116B60" w:rsidP="007A7F64">
      <w:r>
        <w:t>The monetary difficulties caused by the Covid-19 outbreak have had a major impact on Barnsley's ability to achieve its 2030 goal of creating 8,000 new employees by 2025. The community member loses confidence in their capacity to complete the job successfully. By looking forward, the council can teach its constituents that they can't undo the past but should be optimistic about the future (Bergen and Sladek, 2019). By not focusing on the previous results, this method will encourage residents to remain engaged in the project and motivated to help it succeed.</w:t>
      </w:r>
    </w:p>
    <w:p w14:paraId="3B4C170F" w14:textId="58375F8C" w:rsidR="00A408B5" w:rsidRDefault="00116B60" w:rsidP="007A7F64">
      <w:pPr>
        <w:rPr>
          <w:rFonts w:asciiTheme="majorHAnsi" w:eastAsiaTheme="majorEastAsia" w:hAnsiTheme="majorHAnsi" w:cstheme="majorBidi"/>
          <w:b/>
          <w:sz w:val="32"/>
          <w:szCs w:val="32"/>
        </w:rPr>
      </w:pPr>
      <w:r>
        <w:br w:type="page"/>
      </w:r>
    </w:p>
    <w:p w14:paraId="0C5D1297" w14:textId="5414C165" w:rsidR="001834FC" w:rsidRDefault="00116B60" w:rsidP="007A7F64">
      <w:pPr>
        <w:pStyle w:val="Heading1"/>
      </w:pPr>
      <w:bookmarkStart w:id="5" w:name="_Toc142169495"/>
      <w:r>
        <w:lastRenderedPageBreak/>
        <w:t>Conclusion</w:t>
      </w:r>
      <w:bookmarkEnd w:id="5"/>
      <w:r>
        <w:t xml:space="preserve"> </w:t>
      </w:r>
    </w:p>
    <w:p w14:paraId="24123A73" w14:textId="77777777" w:rsidR="00C857B0" w:rsidRDefault="00116B60" w:rsidP="007A7F64">
      <w:r>
        <w:t>It has been clear from the above that strong community and stakeholder participation is crucial for sustainable economic, social, and communal growth. The Barnsley Metropolitan Borough Council in England is now working on an economic and social development initiative called "Barnsley 2030," and this paper gives an outline of that project. The borough's ambitious expansion and development are the focus of its integrated plan and Leveling Up Plan. The fundamental goal of the project, key emphasis areas, and essential community challenges, such as prejudice, environmental concerns, crime, and insecurity, have all been highlighted in the report. The research has also offered a description of the National Standards for community involvement in the UK, which detail the best practices and basic concepts of community participation. Some of these values include justice, equality, diversity, openness, and trust. The benefits of stakeholder involvement have also been described in the study for the benefit of the Barnsley Metropolitan Borough Council in their pursuit to improve community engagement.</w:t>
      </w:r>
    </w:p>
    <w:p w14:paraId="3681A04B" w14:textId="4C5C77D5" w:rsidR="001834FC" w:rsidRDefault="00116B60" w:rsidP="007A7F64">
      <w:r>
        <w:t>The research also presents relevant tactics for successfully engaging stakeholders and discusses the relationship between stakeholders and community participation. According to the findings, the council can successfully engage and educate stakeholders about the Barnsley 2030 project by using many social media channels. These include Facebook, Twitter, Instagram, Tik Tok, and YouTube. The paper also lays out a number of potential avenues for expanding volunteer participation and coordination. In addition to community modernization strategies or initiatives meant to increase community engagement, the Barnsley Metropolitan Borough Council should think about expanding its content, welcoming new and diverse members within the community, creating its own platform, hosting webinars, sharing member-generated content, and celebrating accomplishments. Finally, it has been suggested that the council take a proactive stance toward educating residents on the impact both internal and external influences have on community growth</w:t>
      </w:r>
      <w:r w:rsidR="00EA0010" w:rsidRPr="00EA0010">
        <w:t>.</w:t>
      </w:r>
      <w:r w:rsidR="00CE4E6F">
        <w:t xml:space="preserve"> </w:t>
      </w:r>
      <w:r>
        <w:br w:type="page"/>
      </w:r>
    </w:p>
    <w:p w14:paraId="17598CB2" w14:textId="61EB02A2" w:rsidR="001834FC" w:rsidRDefault="00116B60" w:rsidP="007A7F64">
      <w:pPr>
        <w:pStyle w:val="Heading1"/>
      </w:pPr>
      <w:bookmarkStart w:id="6" w:name="_Toc142169496"/>
      <w:r>
        <w:lastRenderedPageBreak/>
        <w:t>Reference</w:t>
      </w:r>
      <w:bookmarkEnd w:id="6"/>
      <w:r>
        <w:t xml:space="preserve"> </w:t>
      </w:r>
    </w:p>
    <w:p w14:paraId="6CE635A1" w14:textId="77777777" w:rsidR="00EE7B44" w:rsidRDefault="00116B60" w:rsidP="007A7F64">
      <w:r>
        <w:t>Adhikari, B., Pell, C. and Cheah, P. Y., 2020. Community engagement and ethical global health research. Global Bioethics. 31(1). pp.1-12.</w:t>
      </w:r>
    </w:p>
    <w:p w14:paraId="56A4527B" w14:textId="77777777" w:rsidR="00EE7B44" w:rsidRPr="000F02BF" w:rsidRDefault="00116B60" w:rsidP="007A7F64">
      <w:r>
        <w:t>Barnsley 2030 (the borough’s ambitious integrated strategy and Levelling Up Plan), 2022. [Online].</w:t>
      </w:r>
      <w:r>
        <w:tab/>
        <w:t>Available</w:t>
      </w:r>
      <w:r>
        <w:tab/>
        <w:t>through:&lt; https://barnsleymbc.moderngov.co.uk/documents/s91871/Appendix%20A.pdf&gt;</w:t>
      </w:r>
    </w:p>
    <w:p w14:paraId="78FD0F39" w14:textId="77777777" w:rsidR="00EE7B44" w:rsidRDefault="00116B60" w:rsidP="007A7F64">
      <w:r>
        <w:t>Bergen, D. and Sladek, E., 2019. Considering the Anchor Mission Strategy within the Competing “Regimes” of   Higher   Education   Community   Engagement. Metropolitan Universities. 30(1). pp.69-74.</w:t>
      </w:r>
    </w:p>
    <w:p w14:paraId="1F3DF60B" w14:textId="77777777" w:rsidR="00EE7B44" w:rsidRDefault="00116B60" w:rsidP="007A7F64">
      <w:r>
        <w:t>Ferreira, V., 2020. Stakeholders’ engagement on nature-based solutions: A systematic literature review. Sustainability. 12(2). p.640.</w:t>
      </w:r>
    </w:p>
    <w:p w14:paraId="2714D30C" w14:textId="77777777" w:rsidR="00EE7B44" w:rsidRDefault="00116B60" w:rsidP="007A7F64">
      <w:r>
        <w:t>Gilmore, B., 2020. Community engagement for COVID-19 prevention and control: a rapid evidence synthesis. BMJ global health. 5(10). p.e003188.</w:t>
      </w:r>
    </w:p>
    <w:p w14:paraId="64F13F09" w14:textId="77777777" w:rsidR="00EE7B44" w:rsidRDefault="00116B60" w:rsidP="007A7F64">
      <w:r>
        <w:t>McCabe, R., 2023. Alternative epidemic indicators for COVID-19: a model-based assessment of COVID-19 mortality ascertainment in three settings with incomplete death registration systems. medRxiv, pp.2023-01.</w:t>
      </w:r>
    </w:p>
    <w:p w14:paraId="160C27A5" w14:textId="64478311" w:rsidR="00EE7B44" w:rsidRDefault="00116B60" w:rsidP="007A7F64">
      <w:r>
        <w:t>Peterson, P., 2019. Community engagement with refugee-background communities around health: the experience of the Group of 11. Australian journal of primary health. 25(2). pp.113-117.</w:t>
      </w:r>
    </w:p>
    <w:p w14:paraId="267C0CC0" w14:textId="3EF131F9" w:rsidR="00156BB0" w:rsidRDefault="00116B60" w:rsidP="007A7F64">
      <w:r>
        <w:t>Rain</w:t>
      </w:r>
      <w:r w:rsidRPr="00156BB0">
        <w:t xml:space="preserve">, B., 2020. Community engagement and control: evidence synthesis. </w:t>
      </w:r>
      <w:r>
        <w:t>G</w:t>
      </w:r>
      <w:r w:rsidRPr="00156BB0">
        <w:t>lobal health. 5(10). p.e00</w:t>
      </w:r>
      <w:r>
        <w:t>2111</w:t>
      </w:r>
      <w:r w:rsidRPr="00156BB0">
        <w:t>.</w:t>
      </w:r>
    </w:p>
    <w:p w14:paraId="6B59A394" w14:textId="77777777" w:rsidR="00EE7B44" w:rsidRDefault="00116B60" w:rsidP="007A7F64">
      <w:r>
        <w:t>Relton, C., 2022. Fresh Street: the development and feasibility of a place-based, subsidy for fresh fruit and vegetables. Journal of Public Health. 44(1). pp.184-191.</w:t>
      </w:r>
    </w:p>
    <w:p w14:paraId="68E55F45" w14:textId="77777777" w:rsidR="00EE7B44" w:rsidRDefault="00116B60" w:rsidP="007A7F64">
      <w:r>
        <w:t>Sharma, P., 2022. Investigating brand community engagement and evangelistic tendencies on social media. Journal of Product &amp; Brand Management. 31(1). pp.16-28.</w:t>
      </w:r>
    </w:p>
    <w:sectPr w:rsidR="00EE7B44"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CDBBC" w14:textId="77777777" w:rsidR="00015E9C" w:rsidRDefault="00015E9C">
      <w:pPr>
        <w:spacing w:after="0" w:line="240" w:lineRule="auto"/>
      </w:pPr>
      <w:r>
        <w:separator/>
      </w:r>
    </w:p>
  </w:endnote>
  <w:endnote w:type="continuationSeparator" w:id="0">
    <w:p w14:paraId="7330780A" w14:textId="77777777" w:rsidR="00015E9C" w:rsidRDefault="00015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2DF4E7D2" w:rsidR="001834FC" w:rsidRDefault="00116B60">
        <w:pPr>
          <w:pStyle w:val="Footer"/>
          <w:jc w:val="right"/>
        </w:pPr>
        <w:r>
          <w:fldChar w:fldCharType="begin"/>
        </w:r>
        <w:r>
          <w:instrText xml:space="preserve"> PAGE   \* MERGEFORMAT </w:instrText>
        </w:r>
        <w:r>
          <w:fldChar w:fldCharType="separate"/>
        </w:r>
        <w:r w:rsidR="00431D74">
          <w:rPr>
            <w:noProof/>
          </w:rPr>
          <w:t>i</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8DD81" w14:textId="77777777" w:rsidR="00015E9C" w:rsidRDefault="00015E9C">
      <w:pPr>
        <w:spacing w:after="0" w:line="240" w:lineRule="auto"/>
      </w:pPr>
      <w:r>
        <w:separator/>
      </w:r>
    </w:p>
  </w:footnote>
  <w:footnote w:type="continuationSeparator" w:id="0">
    <w:p w14:paraId="412815A3" w14:textId="77777777" w:rsidR="00015E9C" w:rsidRDefault="00015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075BAC"/>
    <w:multiLevelType w:val="hybridMultilevel"/>
    <w:tmpl w:val="22F45A5C"/>
    <w:lvl w:ilvl="0" w:tplc="611E325A">
      <w:start w:val="1"/>
      <w:numFmt w:val="decimal"/>
      <w:lvlText w:val="%1."/>
      <w:lvlJc w:val="left"/>
      <w:pPr>
        <w:ind w:left="720" w:hanging="360"/>
      </w:pPr>
    </w:lvl>
    <w:lvl w:ilvl="1" w:tplc="300229E0" w:tentative="1">
      <w:start w:val="1"/>
      <w:numFmt w:val="lowerLetter"/>
      <w:lvlText w:val="%2."/>
      <w:lvlJc w:val="left"/>
      <w:pPr>
        <w:ind w:left="1440" w:hanging="360"/>
      </w:pPr>
    </w:lvl>
    <w:lvl w:ilvl="2" w:tplc="CCF4441C" w:tentative="1">
      <w:start w:val="1"/>
      <w:numFmt w:val="lowerRoman"/>
      <w:lvlText w:val="%3."/>
      <w:lvlJc w:val="right"/>
      <w:pPr>
        <w:ind w:left="2160" w:hanging="180"/>
      </w:pPr>
    </w:lvl>
    <w:lvl w:ilvl="3" w:tplc="5C54660C" w:tentative="1">
      <w:start w:val="1"/>
      <w:numFmt w:val="decimal"/>
      <w:lvlText w:val="%4."/>
      <w:lvlJc w:val="left"/>
      <w:pPr>
        <w:ind w:left="2880" w:hanging="360"/>
      </w:pPr>
    </w:lvl>
    <w:lvl w:ilvl="4" w:tplc="72ACB296" w:tentative="1">
      <w:start w:val="1"/>
      <w:numFmt w:val="lowerLetter"/>
      <w:lvlText w:val="%5."/>
      <w:lvlJc w:val="left"/>
      <w:pPr>
        <w:ind w:left="3600" w:hanging="360"/>
      </w:pPr>
    </w:lvl>
    <w:lvl w:ilvl="5" w:tplc="BDA26B2E" w:tentative="1">
      <w:start w:val="1"/>
      <w:numFmt w:val="lowerRoman"/>
      <w:lvlText w:val="%6."/>
      <w:lvlJc w:val="right"/>
      <w:pPr>
        <w:ind w:left="4320" w:hanging="180"/>
      </w:pPr>
    </w:lvl>
    <w:lvl w:ilvl="6" w:tplc="58C634B8" w:tentative="1">
      <w:start w:val="1"/>
      <w:numFmt w:val="decimal"/>
      <w:lvlText w:val="%7."/>
      <w:lvlJc w:val="left"/>
      <w:pPr>
        <w:ind w:left="5040" w:hanging="360"/>
      </w:pPr>
    </w:lvl>
    <w:lvl w:ilvl="7" w:tplc="D15C34A4" w:tentative="1">
      <w:start w:val="1"/>
      <w:numFmt w:val="lowerLetter"/>
      <w:lvlText w:val="%8."/>
      <w:lvlJc w:val="left"/>
      <w:pPr>
        <w:ind w:left="5760" w:hanging="360"/>
      </w:pPr>
    </w:lvl>
    <w:lvl w:ilvl="8" w:tplc="C0F60E42" w:tentative="1">
      <w:start w:val="1"/>
      <w:numFmt w:val="lowerRoman"/>
      <w:lvlText w:val="%9."/>
      <w:lvlJc w:val="right"/>
      <w:pPr>
        <w:ind w:left="6480" w:hanging="180"/>
      </w:pPr>
    </w:lvl>
  </w:abstractNum>
  <w:num w:numId="1" w16cid:durableId="196158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qQUATU1+dSwAAAA="/>
  </w:docVars>
  <w:rsids>
    <w:rsidRoot w:val="00A60069"/>
    <w:rsid w:val="00015E9C"/>
    <w:rsid w:val="00022CBC"/>
    <w:rsid w:val="0005235B"/>
    <w:rsid w:val="00083EE5"/>
    <w:rsid w:val="000B2801"/>
    <w:rsid w:val="000B7658"/>
    <w:rsid w:val="000E047C"/>
    <w:rsid w:val="000F02BF"/>
    <w:rsid w:val="00110A8D"/>
    <w:rsid w:val="0011154E"/>
    <w:rsid w:val="00114A47"/>
    <w:rsid w:val="00116B60"/>
    <w:rsid w:val="00155597"/>
    <w:rsid w:val="00156BB0"/>
    <w:rsid w:val="001604CF"/>
    <w:rsid w:val="00160F41"/>
    <w:rsid w:val="00181648"/>
    <w:rsid w:val="001834FC"/>
    <w:rsid w:val="001D16F6"/>
    <w:rsid w:val="0020699E"/>
    <w:rsid w:val="0022399E"/>
    <w:rsid w:val="00252195"/>
    <w:rsid w:val="002640E8"/>
    <w:rsid w:val="00297AFE"/>
    <w:rsid w:val="003E791C"/>
    <w:rsid w:val="003F41BD"/>
    <w:rsid w:val="00431D74"/>
    <w:rsid w:val="00437EE3"/>
    <w:rsid w:val="004627B7"/>
    <w:rsid w:val="00516172"/>
    <w:rsid w:val="00570BC1"/>
    <w:rsid w:val="005C544A"/>
    <w:rsid w:val="005F26ED"/>
    <w:rsid w:val="006A342F"/>
    <w:rsid w:val="006D1091"/>
    <w:rsid w:val="006F3E7B"/>
    <w:rsid w:val="0074538F"/>
    <w:rsid w:val="007A7F64"/>
    <w:rsid w:val="007D6D74"/>
    <w:rsid w:val="00913C8F"/>
    <w:rsid w:val="00975554"/>
    <w:rsid w:val="009D5748"/>
    <w:rsid w:val="00A408B5"/>
    <w:rsid w:val="00A5448D"/>
    <w:rsid w:val="00A60069"/>
    <w:rsid w:val="00AA7B90"/>
    <w:rsid w:val="00AC786C"/>
    <w:rsid w:val="00BB6D54"/>
    <w:rsid w:val="00BC65B7"/>
    <w:rsid w:val="00C02F0C"/>
    <w:rsid w:val="00C64000"/>
    <w:rsid w:val="00C706D5"/>
    <w:rsid w:val="00C857B0"/>
    <w:rsid w:val="00C873FA"/>
    <w:rsid w:val="00CC0635"/>
    <w:rsid w:val="00CE4E6F"/>
    <w:rsid w:val="00DF5A8A"/>
    <w:rsid w:val="00E12B50"/>
    <w:rsid w:val="00E75FC6"/>
    <w:rsid w:val="00EA0010"/>
    <w:rsid w:val="00EA3CE9"/>
    <w:rsid w:val="00EB57A8"/>
    <w:rsid w:val="00EB7A2D"/>
    <w:rsid w:val="00EC16C3"/>
    <w:rsid w:val="00ED26DF"/>
    <w:rsid w:val="00EE7B44"/>
    <w:rsid w:val="00F2014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748"/>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TOC2">
    <w:name w:val="toc 2"/>
    <w:basedOn w:val="Normal"/>
    <w:next w:val="Normal"/>
    <w:autoRedefine/>
    <w:uiPriority w:val="39"/>
    <w:unhideWhenUsed/>
    <w:rsid w:val="002640E8"/>
    <w:pPr>
      <w:spacing w:after="100"/>
      <w:ind w:left="240"/>
    </w:pPr>
  </w:style>
  <w:style w:type="paragraph" w:styleId="ListParagraph">
    <w:name w:val="List Paragraph"/>
    <w:basedOn w:val="Normal"/>
    <w:uiPriority w:val="34"/>
    <w:qFormat/>
    <w:rsid w:val="00EE7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448784-6C22-4BED-8F7F-397D5C69A4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2542</Words>
  <Characters>14495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2023-08-09T08:42:00Z</dcterms:created>
  <dcterms:modified xsi:type="dcterms:W3CDTF">2023-08-09T08:55:00Z</dcterms:modified>
</cp:coreProperties>
</file>