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707323A0" w:rsidR="003D2C5F" w:rsidRDefault="00000000" w:rsidP="00DD359E">
      <w:pPr>
        <w:spacing w:line="360" w:lineRule="auto"/>
        <w:jc w:val="center"/>
        <w:rPr>
          <w:rFonts w:ascii="Arial" w:eastAsia="Arial" w:hAnsi="Arial" w:cs="Arial"/>
          <w:b/>
          <w:bCs/>
          <w:sz w:val="32"/>
          <w:szCs w:val="32"/>
        </w:rPr>
      </w:pPr>
      <w:r>
        <w:rPr>
          <w:noProof/>
        </w:rPr>
        <w:drawing>
          <wp:anchor distT="0" distB="0" distL="114300" distR="114300" simplePos="0" relativeHeight="251658240" behindDoc="0" locked="0" layoutInCell="1" hidden="0" allowOverlap="1" wp14:anchorId="77E91AC0" wp14:editId="44B41E1A">
            <wp:simplePos x="0" y="0"/>
            <wp:positionH relativeFrom="column">
              <wp:posOffset>1138554</wp:posOffset>
            </wp:positionH>
            <wp:positionV relativeFrom="paragraph">
              <wp:posOffset>0</wp:posOffset>
            </wp:positionV>
            <wp:extent cx="3454400" cy="1145540"/>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54400" cy="1145540"/>
                    </a:xfrm>
                    <a:prstGeom prst="rect">
                      <a:avLst/>
                    </a:prstGeom>
                    <a:ln/>
                  </pic:spPr>
                </pic:pic>
              </a:graphicData>
            </a:graphic>
          </wp:anchor>
        </w:drawing>
      </w:r>
    </w:p>
    <w:p w14:paraId="00000004" w14:textId="77777777" w:rsidR="003D2C5F" w:rsidRDefault="00000000">
      <w:pPr>
        <w:spacing w:line="360" w:lineRule="auto"/>
        <w:jc w:val="center"/>
        <w:rPr>
          <w:rFonts w:ascii="Arial" w:eastAsia="Arial" w:hAnsi="Arial" w:cs="Arial"/>
          <w:b/>
          <w:bCs/>
        </w:rPr>
      </w:pPr>
      <w:r>
        <w:rPr>
          <w:rFonts w:ascii="Arial" w:eastAsia="Arial" w:hAnsi="Arial" w:cs="Arial"/>
          <w:b/>
          <w:bCs/>
        </w:rPr>
        <w:t>Student Name:</w:t>
      </w:r>
      <w:r>
        <w:rPr>
          <w:rFonts w:ascii="Arial" w:eastAsia="Arial" w:hAnsi="Arial" w:cs="Arial"/>
        </w:rPr>
        <w:t xml:space="preserve"> </w:t>
      </w:r>
      <w:r>
        <w:rPr>
          <w:rFonts w:ascii="Arial" w:eastAsia="Arial" w:hAnsi="Arial" w:cs="Arial"/>
          <w:b/>
          <w:bCs/>
        </w:rPr>
        <w:t xml:space="preserve">Md. </w:t>
      </w:r>
      <w:proofErr w:type="spellStart"/>
      <w:r>
        <w:rPr>
          <w:rFonts w:ascii="Arial" w:eastAsia="Arial" w:hAnsi="Arial" w:cs="Arial"/>
          <w:b/>
          <w:bCs/>
        </w:rPr>
        <w:t>Shajal</w:t>
      </w:r>
      <w:proofErr w:type="spellEnd"/>
      <w:r>
        <w:rPr>
          <w:rFonts w:ascii="Arial" w:eastAsia="Arial" w:hAnsi="Arial" w:cs="Arial"/>
          <w:b/>
          <w:bCs/>
        </w:rPr>
        <w:t xml:space="preserve"> Mia</w:t>
      </w:r>
    </w:p>
    <w:p w14:paraId="00000009" w14:textId="34F76A72" w:rsidR="003D2C5F" w:rsidRPr="00DD359E" w:rsidRDefault="00000000" w:rsidP="00DD359E">
      <w:pPr>
        <w:spacing w:line="360" w:lineRule="auto"/>
        <w:jc w:val="center"/>
        <w:rPr>
          <w:rFonts w:ascii="Arial" w:eastAsia="Arial" w:hAnsi="Arial" w:cs="Arial"/>
        </w:rPr>
      </w:pPr>
      <w:r>
        <w:rPr>
          <w:rFonts w:ascii="Arial" w:eastAsia="Arial" w:hAnsi="Arial" w:cs="Arial"/>
          <w:b/>
          <w:bCs/>
        </w:rPr>
        <w:t xml:space="preserve">Student </w:t>
      </w:r>
      <w:r w:rsidR="005C2A2A">
        <w:rPr>
          <w:rFonts w:ascii="Arial" w:eastAsia="Arial" w:hAnsi="Arial" w:cs="Arial"/>
          <w:b/>
          <w:bCs/>
        </w:rPr>
        <w:t>Id</w:t>
      </w:r>
      <w:r>
        <w:rPr>
          <w:rFonts w:ascii="Arial" w:eastAsia="Arial" w:hAnsi="Arial" w:cs="Arial"/>
          <w:b/>
          <w:bCs/>
        </w:rPr>
        <w:t>:</w:t>
      </w:r>
      <w:r>
        <w:rPr>
          <w:rFonts w:ascii="Arial" w:eastAsia="Arial" w:hAnsi="Arial" w:cs="Arial"/>
          <w:sz w:val="18"/>
          <w:szCs w:val="18"/>
        </w:rPr>
        <w:t xml:space="preserve"> </w:t>
      </w:r>
      <w:r>
        <w:rPr>
          <w:rFonts w:ascii="Arial" w:eastAsia="Arial" w:hAnsi="Arial" w:cs="Arial"/>
          <w:b/>
          <w:bCs/>
        </w:rPr>
        <w:t>2437642</w:t>
      </w:r>
    </w:p>
    <w:p w14:paraId="0000000A" w14:textId="77777777" w:rsidR="003D2C5F" w:rsidRPr="00DD359E" w:rsidRDefault="00000000">
      <w:pPr>
        <w:spacing w:line="360" w:lineRule="auto"/>
        <w:jc w:val="center"/>
        <w:rPr>
          <w:rFonts w:ascii="Arial" w:eastAsia="Arial" w:hAnsi="Arial" w:cs="Arial"/>
          <w:sz w:val="36"/>
          <w:szCs w:val="36"/>
        </w:rPr>
      </w:pPr>
      <w:r w:rsidRPr="00DD359E">
        <w:rPr>
          <w:rFonts w:ascii="Arial" w:eastAsia="Arial" w:hAnsi="Arial" w:cs="Arial"/>
        </w:rPr>
        <w:t xml:space="preserve">Title: </w:t>
      </w:r>
      <w:r w:rsidRPr="00DD359E">
        <w:rPr>
          <w:rFonts w:ascii="Arial" w:eastAsia="Arial" w:hAnsi="Arial" w:cs="Arial"/>
          <w:sz w:val="28"/>
          <w:szCs w:val="28"/>
        </w:rPr>
        <w:t>“From Legal Dispute to Cultural Relevance: An Analysis of Aldi UK’s Reactive Social Media Marketing During the Colin and Cuthbert Caterpillar Cake Dispute”</w:t>
      </w:r>
    </w:p>
    <w:p w14:paraId="0000000B" w14:textId="77777777" w:rsidR="003D2C5F" w:rsidRDefault="003D2C5F">
      <w:pPr>
        <w:spacing w:line="360" w:lineRule="auto"/>
        <w:jc w:val="center"/>
        <w:rPr>
          <w:rFonts w:ascii="Arial" w:eastAsia="Arial" w:hAnsi="Arial" w:cs="Arial"/>
          <w:b/>
          <w:bCs/>
          <w:sz w:val="32"/>
          <w:szCs w:val="32"/>
        </w:rPr>
      </w:pPr>
    </w:p>
    <w:p w14:paraId="0000000C" w14:textId="77777777" w:rsidR="003D2C5F" w:rsidRDefault="00000000">
      <w:pPr>
        <w:spacing w:line="360" w:lineRule="auto"/>
        <w:jc w:val="center"/>
        <w:rPr>
          <w:rFonts w:ascii="Arial" w:eastAsia="Arial" w:hAnsi="Arial" w:cs="Arial"/>
          <w:b/>
          <w:bCs/>
          <w:sz w:val="32"/>
          <w:szCs w:val="32"/>
        </w:rPr>
      </w:pPr>
      <w:r>
        <w:rPr>
          <w:rFonts w:ascii="Arial" w:eastAsia="Arial" w:hAnsi="Arial" w:cs="Arial"/>
          <w:b/>
          <w:bCs/>
          <w:sz w:val="32"/>
          <w:szCs w:val="32"/>
        </w:rPr>
        <w:t xml:space="preserve">Supervisor: Xavier </w:t>
      </w:r>
      <w:proofErr w:type="spellStart"/>
      <w:r>
        <w:rPr>
          <w:rFonts w:ascii="Arial" w:eastAsia="Arial" w:hAnsi="Arial" w:cs="Arial"/>
          <w:b/>
          <w:bCs/>
          <w:sz w:val="32"/>
          <w:szCs w:val="32"/>
        </w:rPr>
        <w:t>Matieni</w:t>
      </w:r>
      <w:proofErr w:type="spellEnd"/>
    </w:p>
    <w:p w14:paraId="0000000E" w14:textId="3364768A" w:rsidR="003D2C5F" w:rsidRDefault="00000000" w:rsidP="006C7BAC">
      <w:pPr>
        <w:spacing w:line="360" w:lineRule="auto"/>
        <w:jc w:val="center"/>
        <w:rPr>
          <w:rFonts w:ascii="Arial" w:eastAsia="Arial" w:hAnsi="Arial" w:cs="Arial"/>
          <w:b/>
          <w:bCs/>
          <w:sz w:val="32"/>
          <w:szCs w:val="32"/>
        </w:rPr>
        <w:sectPr w:rsidR="003D2C5F">
          <w:pgSz w:w="12240" w:h="15840"/>
          <w:pgMar w:top="1440" w:right="1440" w:bottom="1440" w:left="1440" w:header="720" w:footer="720" w:gutter="0"/>
          <w:cols w:space="720"/>
          <w:titlePg/>
        </w:sectPr>
      </w:pPr>
      <w:r>
        <w:rPr>
          <w:rFonts w:ascii="Arial" w:eastAsia="Arial" w:hAnsi="Arial" w:cs="Arial"/>
          <w:b/>
          <w:bCs/>
          <w:sz w:val="32"/>
          <w:szCs w:val="32"/>
        </w:rPr>
        <w:t xml:space="preserve">Words Count: </w:t>
      </w:r>
    </w:p>
    <w:p w14:paraId="0000000F" w14:textId="77777777" w:rsidR="003D2C5F"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rPr>
      </w:pPr>
      <w:r>
        <w:rPr>
          <w:rFonts w:ascii="Arial" w:eastAsia="Arial" w:hAnsi="Arial" w:cs="Arial"/>
          <w:noProof/>
        </w:rPr>
        <w:lastRenderedPageBreak/>
        <w:drawing>
          <wp:inline distT="0" distB="0" distL="0" distR="0" wp14:anchorId="4CF3AA14" wp14:editId="3AD0AAEA">
            <wp:extent cx="2844800" cy="1168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844800" cy="1168400"/>
                    </a:xfrm>
                    <a:prstGeom prst="rect">
                      <a:avLst/>
                    </a:prstGeom>
                    <a:ln/>
                  </pic:spPr>
                </pic:pic>
              </a:graphicData>
            </a:graphic>
          </wp:inline>
        </w:drawing>
      </w:r>
    </w:p>
    <w:p w14:paraId="00000010" w14:textId="77777777" w:rsidR="003D2C5F" w:rsidRDefault="003D2C5F">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b/>
          <w:bCs/>
          <w:sz w:val="32"/>
          <w:szCs w:val="32"/>
        </w:rPr>
      </w:pPr>
    </w:p>
    <w:p w14:paraId="00000011" w14:textId="77777777" w:rsidR="003D2C5F"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b/>
          <w:bCs/>
          <w:sz w:val="32"/>
          <w:szCs w:val="32"/>
        </w:rPr>
      </w:pPr>
      <w:r>
        <w:rPr>
          <w:rFonts w:ascii="Arial" w:eastAsia="Arial" w:hAnsi="Arial" w:cs="Arial"/>
          <w:b/>
          <w:bCs/>
          <w:sz w:val="32"/>
          <w:szCs w:val="32"/>
        </w:rPr>
        <w:t>MASTER'S DEGREES BY EXAMINATION AND DISSERTATION</w:t>
      </w:r>
    </w:p>
    <w:p w14:paraId="00000012" w14:textId="77777777" w:rsidR="003D2C5F" w:rsidRDefault="00000000">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r>
        <w:rPr>
          <w:rFonts w:ascii="Arial" w:eastAsia="Arial" w:hAnsi="Arial" w:cs="Arial"/>
        </w:rPr>
        <w:t>Declaration Form</w:t>
      </w:r>
    </w:p>
    <w:p w14:paraId="00000013" w14:textId="77777777" w:rsidR="003D2C5F" w:rsidRDefault="00000000">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r>
        <w:rPr>
          <w:rFonts w:ascii="Arial" w:eastAsia="Arial" w:hAnsi="Arial" w:cs="Arial"/>
        </w:rPr>
        <w:t xml:space="preserve">I, Md. </w:t>
      </w:r>
      <w:proofErr w:type="spellStart"/>
      <w:r>
        <w:rPr>
          <w:rFonts w:ascii="Arial" w:eastAsia="Arial" w:hAnsi="Arial" w:cs="Arial"/>
        </w:rPr>
        <w:t>Shajal</w:t>
      </w:r>
      <w:proofErr w:type="spellEnd"/>
      <w:r>
        <w:rPr>
          <w:rFonts w:ascii="Arial" w:eastAsia="Arial" w:hAnsi="Arial" w:cs="Arial"/>
        </w:rPr>
        <w:t xml:space="preserve"> Mia,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00000014" w14:textId="77777777" w:rsidR="003D2C5F" w:rsidRDefault="003D2C5F">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p>
    <w:p w14:paraId="00000015" w14:textId="77777777" w:rsidR="003D2C5F" w:rsidRDefault="003D2C5F">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p>
    <w:p w14:paraId="00000016" w14:textId="77777777" w:rsidR="003D2C5F" w:rsidRDefault="003D2C5F">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p>
    <w:p w14:paraId="00000017" w14:textId="77777777" w:rsidR="003D2C5F" w:rsidRDefault="003D2C5F">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p>
    <w:p w14:paraId="00000018" w14:textId="77777777" w:rsidR="003D2C5F" w:rsidRDefault="003D2C5F">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p>
    <w:p w14:paraId="00000019" w14:textId="77777777" w:rsidR="003D2C5F" w:rsidRDefault="00000000">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r>
        <w:rPr>
          <w:rFonts w:ascii="Arial" w:eastAsia="Arial" w:hAnsi="Arial" w:cs="Arial"/>
        </w:rPr>
        <w:t xml:space="preserve">Signature: Md. </w:t>
      </w:r>
      <w:proofErr w:type="spellStart"/>
      <w:r>
        <w:rPr>
          <w:rFonts w:ascii="Arial" w:eastAsia="Arial" w:hAnsi="Arial" w:cs="Arial"/>
        </w:rPr>
        <w:t>Shajal</w:t>
      </w:r>
      <w:proofErr w:type="spellEnd"/>
      <w:r>
        <w:rPr>
          <w:rFonts w:ascii="Arial" w:eastAsia="Arial" w:hAnsi="Arial" w:cs="Arial"/>
        </w:rPr>
        <w:t xml:space="preserve"> Mia</w:t>
      </w:r>
    </w:p>
    <w:p w14:paraId="0000001A" w14:textId="77777777" w:rsidR="003D2C5F" w:rsidRDefault="00000000">
      <w:pPr>
        <w:pBdr>
          <w:top w:val="single" w:sz="4" w:space="1" w:color="000000"/>
          <w:left w:val="single" w:sz="4" w:space="4" w:color="000000"/>
          <w:bottom w:val="single" w:sz="4" w:space="31" w:color="000000"/>
          <w:right w:val="single" w:sz="4" w:space="4" w:color="000000"/>
        </w:pBdr>
        <w:spacing w:after="120" w:line="360" w:lineRule="auto"/>
        <w:jc w:val="both"/>
        <w:rPr>
          <w:rFonts w:ascii="Arial" w:eastAsia="Arial" w:hAnsi="Arial" w:cs="Arial"/>
        </w:rPr>
      </w:pPr>
      <w:r>
        <w:rPr>
          <w:rFonts w:ascii="Arial" w:eastAsia="Arial" w:hAnsi="Arial" w:cs="Arial"/>
        </w:rPr>
        <w:t>Date: [Date of submission]</w:t>
      </w:r>
    </w:p>
    <w:p w14:paraId="0000001B" w14:textId="77777777" w:rsidR="003D2C5F" w:rsidRDefault="00000000">
      <w:pPr>
        <w:spacing w:line="360" w:lineRule="auto"/>
        <w:rPr>
          <w:rFonts w:ascii="Arial" w:eastAsia="Arial" w:hAnsi="Arial" w:cs="Arial"/>
          <w:b/>
          <w:bCs/>
        </w:rPr>
      </w:pPr>
      <w:r>
        <w:br w:type="page"/>
      </w:r>
    </w:p>
    <w:p w14:paraId="6DA14D8E" w14:textId="77777777" w:rsidR="003D2C5F" w:rsidRDefault="00000000">
      <w:pPr>
        <w:keepNext/>
        <w:keepLines/>
        <w:pageBreakBefore/>
        <w:pBdr>
          <w:top w:val="nil"/>
          <w:left w:val="nil"/>
          <w:bottom w:val="nil"/>
          <w:right w:val="nil"/>
          <w:between w:val="nil"/>
        </w:pBdr>
        <w:spacing w:before="240" w:after="0" w:line="259" w:lineRule="auto"/>
        <w:jc w:val="both"/>
        <w:rPr>
          <w:rFonts w:ascii="Arial" w:eastAsia="Arial" w:hAnsi="Arial" w:cs="Arial"/>
          <w:color w:val="366091"/>
          <w:sz w:val="32"/>
          <w:szCs w:val="32"/>
        </w:rPr>
      </w:pPr>
      <w:r>
        <w:rPr>
          <w:rFonts w:ascii="Arial" w:eastAsia="Arial" w:hAnsi="Arial" w:cs="Arial"/>
          <w:color w:val="366091"/>
          <w:sz w:val="32"/>
          <w:szCs w:val="32"/>
        </w:rPr>
        <w:lastRenderedPageBreak/>
        <w:t>Contents</w:t>
      </w:r>
    </w:p>
    <w:sdt>
      <w:sdtPr>
        <w:id w:val="-1118997365"/>
        <w:docPartObj>
          <w:docPartGallery w:val="Table of Contents"/>
          <w:docPartUnique/>
        </w:docPartObj>
      </w:sdtPr>
      <w:sdtContent>
        <w:p w14:paraId="113DC056" w14:textId="2AB65A07" w:rsidR="006C7BAC" w:rsidRDefault="00000000">
          <w:pPr>
            <w:pStyle w:val="TOC2"/>
            <w:tabs>
              <w:tab w:val="right" w:leader="dot" w:pos="9350"/>
            </w:tabs>
            <w:rPr>
              <w:rFonts w:asciiTheme="minorHAnsi" w:eastAsiaTheme="minorEastAsia" w:hAnsiTheme="minorHAnsi" w:cstheme="minorBidi"/>
              <w:noProof/>
              <w:kern w:val="2"/>
              <w:lang w:val="en-GB"/>
              <w14:ligatures w14:val="standardContextual"/>
            </w:rPr>
          </w:pPr>
          <w:r>
            <w:rPr>
              <w:rFonts w:ascii="Arial" w:eastAsia="Arial" w:hAnsi="Arial" w:cs="Arial"/>
              <w:sz w:val="20"/>
            </w:rPr>
            <w:fldChar w:fldCharType="begin"/>
          </w:r>
          <w:r>
            <w:rPr>
              <w:rFonts w:ascii="Arial" w:eastAsia="Arial" w:hAnsi="Arial" w:cs="Arial"/>
              <w:sz w:val="20"/>
            </w:rPr>
            <w:instrText xml:space="preserve"> TOC \o "1-3" \h \z \u </w:instrText>
          </w:r>
          <w:r>
            <w:rPr>
              <w:rFonts w:ascii="Arial" w:eastAsia="Arial" w:hAnsi="Arial" w:cs="Arial"/>
              <w:sz w:val="20"/>
            </w:rPr>
            <w:fldChar w:fldCharType="separate"/>
          </w:r>
          <w:hyperlink w:anchor="_Toc241144149" w:history="1">
            <w:r w:rsidR="006C7BAC" w:rsidRPr="00113882">
              <w:rPr>
                <w:rStyle w:val="Hyperlink"/>
                <w:noProof/>
              </w:rPr>
              <w:t>Acknowledgements</w:t>
            </w:r>
            <w:r w:rsidR="006C7BAC">
              <w:rPr>
                <w:noProof/>
                <w:webHidden/>
              </w:rPr>
              <w:tab/>
            </w:r>
            <w:r w:rsidR="006C7BAC">
              <w:rPr>
                <w:noProof/>
                <w:webHidden/>
              </w:rPr>
              <w:fldChar w:fldCharType="begin"/>
            </w:r>
            <w:r w:rsidR="006C7BAC">
              <w:rPr>
                <w:noProof/>
                <w:webHidden/>
              </w:rPr>
              <w:instrText xml:space="preserve"> PAGEREF _Toc241144149 \h </w:instrText>
            </w:r>
            <w:r w:rsidR="006C7BAC">
              <w:rPr>
                <w:noProof/>
                <w:webHidden/>
              </w:rPr>
            </w:r>
            <w:r w:rsidR="006C7BAC">
              <w:rPr>
                <w:noProof/>
                <w:webHidden/>
              </w:rPr>
              <w:fldChar w:fldCharType="separate"/>
            </w:r>
            <w:r w:rsidR="006C7BAC">
              <w:rPr>
                <w:noProof/>
                <w:webHidden/>
              </w:rPr>
              <w:t>vi</w:t>
            </w:r>
            <w:r w:rsidR="006C7BAC">
              <w:rPr>
                <w:noProof/>
                <w:webHidden/>
              </w:rPr>
              <w:fldChar w:fldCharType="end"/>
            </w:r>
          </w:hyperlink>
        </w:p>
        <w:p w14:paraId="09086422" w14:textId="4BFC7B07"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0" w:history="1">
            <w:r w:rsidRPr="00113882">
              <w:rPr>
                <w:rStyle w:val="Hyperlink"/>
                <w:noProof/>
              </w:rPr>
              <w:t>Abstract</w:t>
            </w:r>
            <w:r>
              <w:rPr>
                <w:noProof/>
                <w:webHidden/>
              </w:rPr>
              <w:tab/>
            </w:r>
            <w:r>
              <w:rPr>
                <w:noProof/>
                <w:webHidden/>
              </w:rPr>
              <w:fldChar w:fldCharType="begin"/>
            </w:r>
            <w:r>
              <w:rPr>
                <w:noProof/>
                <w:webHidden/>
              </w:rPr>
              <w:instrText xml:space="preserve"> PAGEREF _Toc241144150 \h </w:instrText>
            </w:r>
            <w:r>
              <w:rPr>
                <w:noProof/>
                <w:webHidden/>
              </w:rPr>
            </w:r>
            <w:r>
              <w:rPr>
                <w:noProof/>
                <w:webHidden/>
              </w:rPr>
              <w:fldChar w:fldCharType="separate"/>
            </w:r>
            <w:r>
              <w:rPr>
                <w:noProof/>
                <w:webHidden/>
              </w:rPr>
              <w:t>vii</w:t>
            </w:r>
            <w:r>
              <w:rPr>
                <w:noProof/>
                <w:webHidden/>
              </w:rPr>
              <w:fldChar w:fldCharType="end"/>
            </w:r>
          </w:hyperlink>
        </w:p>
        <w:p w14:paraId="21F62B5E" w14:textId="547D0097"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151" w:history="1">
            <w:r w:rsidRPr="00113882">
              <w:rPr>
                <w:rStyle w:val="Hyperlink"/>
                <w:noProof/>
              </w:rPr>
              <w:t>Chapter 1: Introduction</w:t>
            </w:r>
            <w:r>
              <w:rPr>
                <w:noProof/>
                <w:webHidden/>
              </w:rPr>
              <w:tab/>
            </w:r>
            <w:r>
              <w:rPr>
                <w:noProof/>
                <w:webHidden/>
              </w:rPr>
              <w:fldChar w:fldCharType="begin"/>
            </w:r>
            <w:r>
              <w:rPr>
                <w:noProof/>
                <w:webHidden/>
              </w:rPr>
              <w:instrText xml:space="preserve"> PAGEREF _Toc241144151 \h </w:instrText>
            </w:r>
            <w:r>
              <w:rPr>
                <w:noProof/>
                <w:webHidden/>
              </w:rPr>
            </w:r>
            <w:r>
              <w:rPr>
                <w:noProof/>
                <w:webHidden/>
              </w:rPr>
              <w:fldChar w:fldCharType="separate"/>
            </w:r>
            <w:r>
              <w:rPr>
                <w:noProof/>
                <w:webHidden/>
              </w:rPr>
              <w:t>1</w:t>
            </w:r>
            <w:r>
              <w:rPr>
                <w:noProof/>
                <w:webHidden/>
              </w:rPr>
              <w:fldChar w:fldCharType="end"/>
            </w:r>
          </w:hyperlink>
        </w:p>
        <w:p w14:paraId="7BEA85C5" w14:textId="5DB2C926"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2" w:history="1">
            <w:r w:rsidRPr="00113882">
              <w:rPr>
                <w:rStyle w:val="Hyperlink"/>
                <w:noProof/>
              </w:rPr>
              <w:t>1.1 Background and Context</w:t>
            </w:r>
            <w:r>
              <w:rPr>
                <w:noProof/>
                <w:webHidden/>
              </w:rPr>
              <w:tab/>
            </w:r>
            <w:r>
              <w:rPr>
                <w:noProof/>
                <w:webHidden/>
              </w:rPr>
              <w:fldChar w:fldCharType="begin"/>
            </w:r>
            <w:r>
              <w:rPr>
                <w:noProof/>
                <w:webHidden/>
              </w:rPr>
              <w:instrText xml:space="preserve"> PAGEREF _Toc241144152 \h </w:instrText>
            </w:r>
            <w:r>
              <w:rPr>
                <w:noProof/>
                <w:webHidden/>
              </w:rPr>
            </w:r>
            <w:r>
              <w:rPr>
                <w:noProof/>
                <w:webHidden/>
              </w:rPr>
              <w:fldChar w:fldCharType="separate"/>
            </w:r>
            <w:r>
              <w:rPr>
                <w:noProof/>
                <w:webHidden/>
              </w:rPr>
              <w:t>1</w:t>
            </w:r>
            <w:r>
              <w:rPr>
                <w:noProof/>
                <w:webHidden/>
              </w:rPr>
              <w:fldChar w:fldCharType="end"/>
            </w:r>
          </w:hyperlink>
        </w:p>
        <w:p w14:paraId="6F1AC17D" w14:textId="3ACF9E84"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3" w:history="1">
            <w:r w:rsidRPr="00113882">
              <w:rPr>
                <w:rStyle w:val="Hyperlink"/>
                <w:noProof/>
              </w:rPr>
              <w:t>1.2 Rationale and Professional Significance</w:t>
            </w:r>
            <w:r>
              <w:rPr>
                <w:noProof/>
                <w:webHidden/>
              </w:rPr>
              <w:tab/>
            </w:r>
            <w:r>
              <w:rPr>
                <w:noProof/>
                <w:webHidden/>
              </w:rPr>
              <w:fldChar w:fldCharType="begin"/>
            </w:r>
            <w:r>
              <w:rPr>
                <w:noProof/>
                <w:webHidden/>
              </w:rPr>
              <w:instrText xml:space="preserve"> PAGEREF _Toc241144153 \h </w:instrText>
            </w:r>
            <w:r>
              <w:rPr>
                <w:noProof/>
                <w:webHidden/>
              </w:rPr>
            </w:r>
            <w:r>
              <w:rPr>
                <w:noProof/>
                <w:webHidden/>
              </w:rPr>
              <w:fldChar w:fldCharType="separate"/>
            </w:r>
            <w:r>
              <w:rPr>
                <w:noProof/>
                <w:webHidden/>
              </w:rPr>
              <w:t>2</w:t>
            </w:r>
            <w:r>
              <w:rPr>
                <w:noProof/>
                <w:webHidden/>
              </w:rPr>
              <w:fldChar w:fldCharType="end"/>
            </w:r>
          </w:hyperlink>
        </w:p>
        <w:p w14:paraId="707DBA0A" w14:textId="23897473"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4" w:history="1">
            <w:r w:rsidRPr="00113882">
              <w:rPr>
                <w:rStyle w:val="Hyperlink"/>
                <w:noProof/>
              </w:rPr>
              <w:t>1.3 The Research Problem and the Gap it Addresses</w:t>
            </w:r>
            <w:r>
              <w:rPr>
                <w:noProof/>
                <w:webHidden/>
              </w:rPr>
              <w:tab/>
            </w:r>
            <w:r>
              <w:rPr>
                <w:noProof/>
                <w:webHidden/>
              </w:rPr>
              <w:fldChar w:fldCharType="begin"/>
            </w:r>
            <w:r>
              <w:rPr>
                <w:noProof/>
                <w:webHidden/>
              </w:rPr>
              <w:instrText xml:space="preserve"> PAGEREF _Toc241144154 \h </w:instrText>
            </w:r>
            <w:r>
              <w:rPr>
                <w:noProof/>
                <w:webHidden/>
              </w:rPr>
            </w:r>
            <w:r>
              <w:rPr>
                <w:noProof/>
                <w:webHidden/>
              </w:rPr>
              <w:fldChar w:fldCharType="separate"/>
            </w:r>
            <w:r>
              <w:rPr>
                <w:noProof/>
                <w:webHidden/>
              </w:rPr>
              <w:t>3</w:t>
            </w:r>
            <w:r>
              <w:rPr>
                <w:noProof/>
                <w:webHidden/>
              </w:rPr>
              <w:fldChar w:fldCharType="end"/>
            </w:r>
          </w:hyperlink>
        </w:p>
        <w:p w14:paraId="2257058D" w14:textId="53E0D7B5"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5" w:history="1">
            <w:r w:rsidRPr="00113882">
              <w:rPr>
                <w:rStyle w:val="Hyperlink"/>
                <w:noProof/>
              </w:rPr>
              <w:t>1.4 Aim, Objectives and Research Questions</w:t>
            </w:r>
            <w:r>
              <w:rPr>
                <w:noProof/>
                <w:webHidden/>
              </w:rPr>
              <w:tab/>
            </w:r>
            <w:r>
              <w:rPr>
                <w:noProof/>
                <w:webHidden/>
              </w:rPr>
              <w:fldChar w:fldCharType="begin"/>
            </w:r>
            <w:r>
              <w:rPr>
                <w:noProof/>
                <w:webHidden/>
              </w:rPr>
              <w:instrText xml:space="preserve"> PAGEREF _Toc241144155 \h </w:instrText>
            </w:r>
            <w:r>
              <w:rPr>
                <w:noProof/>
                <w:webHidden/>
              </w:rPr>
            </w:r>
            <w:r>
              <w:rPr>
                <w:noProof/>
                <w:webHidden/>
              </w:rPr>
              <w:fldChar w:fldCharType="separate"/>
            </w:r>
            <w:r>
              <w:rPr>
                <w:noProof/>
                <w:webHidden/>
              </w:rPr>
              <w:t>4</w:t>
            </w:r>
            <w:r>
              <w:rPr>
                <w:noProof/>
                <w:webHidden/>
              </w:rPr>
              <w:fldChar w:fldCharType="end"/>
            </w:r>
          </w:hyperlink>
        </w:p>
        <w:p w14:paraId="7F7CA5B2" w14:textId="2BDFD183"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6" w:history="1">
            <w:r w:rsidRPr="00113882">
              <w:rPr>
                <w:rStyle w:val="Hyperlink"/>
                <w:noProof/>
              </w:rPr>
              <w:t>1.5 Scope and Boundaries</w:t>
            </w:r>
            <w:r>
              <w:rPr>
                <w:noProof/>
                <w:webHidden/>
              </w:rPr>
              <w:tab/>
            </w:r>
            <w:r>
              <w:rPr>
                <w:noProof/>
                <w:webHidden/>
              </w:rPr>
              <w:fldChar w:fldCharType="begin"/>
            </w:r>
            <w:r>
              <w:rPr>
                <w:noProof/>
                <w:webHidden/>
              </w:rPr>
              <w:instrText xml:space="preserve"> PAGEREF _Toc241144156 \h </w:instrText>
            </w:r>
            <w:r>
              <w:rPr>
                <w:noProof/>
                <w:webHidden/>
              </w:rPr>
            </w:r>
            <w:r>
              <w:rPr>
                <w:noProof/>
                <w:webHidden/>
              </w:rPr>
              <w:fldChar w:fldCharType="separate"/>
            </w:r>
            <w:r>
              <w:rPr>
                <w:noProof/>
                <w:webHidden/>
              </w:rPr>
              <w:t>5</w:t>
            </w:r>
            <w:r>
              <w:rPr>
                <w:noProof/>
                <w:webHidden/>
              </w:rPr>
              <w:fldChar w:fldCharType="end"/>
            </w:r>
          </w:hyperlink>
        </w:p>
        <w:p w14:paraId="6BED95B2" w14:textId="648DB427"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7" w:history="1">
            <w:r w:rsidRPr="00113882">
              <w:rPr>
                <w:rStyle w:val="Hyperlink"/>
                <w:noProof/>
              </w:rPr>
              <w:t>1.6 Structure of the Dissertation</w:t>
            </w:r>
            <w:r>
              <w:rPr>
                <w:noProof/>
                <w:webHidden/>
              </w:rPr>
              <w:tab/>
            </w:r>
            <w:r>
              <w:rPr>
                <w:noProof/>
                <w:webHidden/>
              </w:rPr>
              <w:fldChar w:fldCharType="begin"/>
            </w:r>
            <w:r>
              <w:rPr>
                <w:noProof/>
                <w:webHidden/>
              </w:rPr>
              <w:instrText xml:space="preserve"> PAGEREF _Toc241144157 \h </w:instrText>
            </w:r>
            <w:r>
              <w:rPr>
                <w:noProof/>
                <w:webHidden/>
              </w:rPr>
            </w:r>
            <w:r>
              <w:rPr>
                <w:noProof/>
                <w:webHidden/>
              </w:rPr>
              <w:fldChar w:fldCharType="separate"/>
            </w:r>
            <w:r>
              <w:rPr>
                <w:noProof/>
                <w:webHidden/>
              </w:rPr>
              <w:t>6</w:t>
            </w:r>
            <w:r>
              <w:rPr>
                <w:noProof/>
                <w:webHidden/>
              </w:rPr>
              <w:fldChar w:fldCharType="end"/>
            </w:r>
          </w:hyperlink>
        </w:p>
        <w:p w14:paraId="1494CD92" w14:textId="165E45E6"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158" w:history="1">
            <w:r w:rsidRPr="00113882">
              <w:rPr>
                <w:rStyle w:val="Hyperlink"/>
                <w:noProof/>
              </w:rPr>
              <w:t>Chapter 2: Literature Review</w:t>
            </w:r>
            <w:r>
              <w:rPr>
                <w:noProof/>
                <w:webHidden/>
              </w:rPr>
              <w:tab/>
            </w:r>
            <w:r>
              <w:rPr>
                <w:noProof/>
                <w:webHidden/>
              </w:rPr>
              <w:fldChar w:fldCharType="begin"/>
            </w:r>
            <w:r>
              <w:rPr>
                <w:noProof/>
                <w:webHidden/>
              </w:rPr>
              <w:instrText xml:space="preserve"> PAGEREF _Toc241144158 \h </w:instrText>
            </w:r>
            <w:r>
              <w:rPr>
                <w:noProof/>
                <w:webHidden/>
              </w:rPr>
            </w:r>
            <w:r>
              <w:rPr>
                <w:noProof/>
                <w:webHidden/>
              </w:rPr>
              <w:fldChar w:fldCharType="separate"/>
            </w:r>
            <w:r>
              <w:rPr>
                <w:noProof/>
                <w:webHidden/>
              </w:rPr>
              <w:t>7</w:t>
            </w:r>
            <w:r>
              <w:rPr>
                <w:noProof/>
                <w:webHidden/>
              </w:rPr>
              <w:fldChar w:fldCharType="end"/>
            </w:r>
          </w:hyperlink>
        </w:p>
        <w:p w14:paraId="2B9F0FEA" w14:textId="213CBCEC"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59" w:history="1">
            <w:r w:rsidRPr="00113882">
              <w:rPr>
                <w:rStyle w:val="Hyperlink"/>
                <w:noProof/>
              </w:rPr>
              <w:t>2.1 Introduction</w:t>
            </w:r>
            <w:r>
              <w:rPr>
                <w:noProof/>
                <w:webHidden/>
              </w:rPr>
              <w:tab/>
            </w:r>
            <w:r>
              <w:rPr>
                <w:noProof/>
                <w:webHidden/>
              </w:rPr>
              <w:fldChar w:fldCharType="begin"/>
            </w:r>
            <w:r>
              <w:rPr>
                <w:noProof/>
                <w:webHidden/>
              </w:rPr>
              <w:instrText xml:space="preserve"> PAGEREF _Toc241144159 \h </w:instrText>
            </w:r>
            <w:r>
              <w:rPr>
                <w:noProof/>
                <w:webHidden/>
              </w:rPr>
            </w:r>
            <w:r>
              <w:rPr>
                <w:noProof/>
                <w:webHidden/>
              </w:rPr>
              <w:fldChar w:fldCharType="separate"/>
            </w:r>
            <w:r>
              <w:rPr>
                <w:noProof/>
                <w:webHidden/>
              </w:rPr>
              <w:t>7</w:t>
            </w:r>
            <w:r>
              <w:rPr>
                <w:noProof/>
                <w:webHidden/>
              </w:rPr>
              <w:fldChar w:fldCharType="end"/>
            </w:r>
          </w:hyperlink>
        </w:p>
        <w:p w14:paraId="10324E7D" w14:textId="55584693"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60" w:history="1">
            <w:r w:rsidRPr="00113882">
              <w:rPr>
                <w:rStyle w:val="Hyperlink"/>
                <w:noProof/>
              </w:rPr>
              <w:t>2.2 Foundations: Brand Storytelling and Social Media</w:t>
            </w:r>
            <w:r>
              <w:rPr>
                <w:noProof/>
                <w:webHidden/>
              </w:rPr>
              <w:tab/>
            </w:r>
            <w:r>
              <w:rPr>
                <w:noProof/>
                <w:webHidden/>
              </w:rPr>
              <w:fldChar w:fldCharType="begin"/>
            </w:r>
            <w:r>
              <w:rPr>
                <w:noProof/>
                <w:webHidden/>
              </w:rPr>
              <w:instrText xml:space="preserve"> PAGEREF _Toc241144160 \h </w:instrText>
            </w:r>
            <w:r>
              <w:rPr>
                <w:noProof/>
                <w:webHidden/>
              </w:rPr>
            </w:r>
            <w:r>
              <w:rPr>
                <w:noProof/>
                <w:webHidden/>
              </w:rPr>
              <w:fldChar w:fldCharType="separate"/>
            </w:r>
            <w:r>
              <w:rPr>
                <w:noProof/>
                <w:webHidden/>
              </w:rPr>
              <w:t>7</w:t>
            </w:r>
            <w:r>
              <w:rPr>
                <w:noProof/>
                <w:webHidden/>
              </w:rPr>
              <w:fldChar w:fldCharType="end"/>
            </w:r>
          </w:hyperlink>
        </w:p>
        <w:p w14:paraId="74F9DA03" w14:textId="100D2231"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61" w:history="1">
            <w:r w:rsidRPr="00113882">
              <w:rPr>
                <w:rStyle w:val="Hyperlink"/>
                <w:noProof/>
              </w:rPr>
              <w:t>2.3 Tension One: Improvisation and Timeliness</w:t>
            </w:r>
            <w:r>
              <w:rPr>
                <w:noProof/>
                <w:webHidden/>
              </w:rPr>
              <w:tab/>
            </w:r>
            <w:r>
              <w:rPr>
                <w:noProof/>
                <w:webHidden/>
              </w:rPr>
              <w:fldChar w:fldCharType="begin"/>
            </w:r>
            <w:r>
              <w:rPr>
                <w:noProof/>
                <w:webHidden/>
              </w:rPr>
              <w:instrText xml:space="preserve"> PAGEREF _Toc241144161 \h </w:instrText>
            </w:r>
            <w:r>
              <w:rPr>
                <w:noProof/>
                <w:webHidden/>
              </w:rPr>
            </w:r>
            <w:r>
              <w:rPr>
                <w:noProof/>
                <w:webHidden/>
              </w:rPr>
              <w:fldChar w:fldCharType="separate"/>
            </w:r>
            <w:r>
              <w:rPr>
                <w:noProof/>
                <w:webHidden/>
              </w:rPr>
              <w:t>8</w:t>
            </w:r>
            <w:r>
              <w:rPr>
                <w:noProof/>
                <w:webHidden/>
              </w:rPr>
              <w:fldChar w:fldCharType="end"/>
            </w:r>
          </w:hyperlink>
        </w:p>
        <w:p w14:paraId="302DA5AB" w14:textId="18E63E60"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62" w:history="1">
            <w:r w:rsidRPr="00113882">
              <w:rPr>
                <w:rStyle w:val="Hyperlink"/>
                <w:noProof/>
              </w:rPr>
              <w:t>2.3.1 The Case for Speed and Topicality</w:t>
            </w:r>
            <w:r>
              <w:rPr>
                <w:noProof/>
                <w:webHidden/>
              </w:rPr>
              <w:tab/>
            </w:r>
            <w:r>
              <w:rPr>
                <w:noProof/>
                <w:webHidden/>
              </w:rPr>
              <w:fldChar w:fldCharType="begin"/>
            </w:r>
            <w:r>
              <w:rPr>
                <w:noProof/>
                <w:webHidden/>
              </w:rPr>
              <w:instrText xml:space="preserve"> PAGEREF _Toc241144162 \h </w:instrText>
            </w:r>
            <w:r>
              <w:rPr>
                <w:noProof/>
                <w:webHidden/>
              </w:rPr>
            </w:r>
            <w:r>
              <w:rPr>
                <w:noProof/>
                <w:webHidden/>
              </w:rPr>
              <w:fldChar w:fldCharType="separate"/>
            </w:r>
            <w:r>
              <w:rPr>
                <w:noProof/>
                <w:webHidden/>
              </w:rPr>
              <w:t>8</w:t>
            </w:r>
            <w:r>
              <w:rPr>
                <w:noProof/>
                <w:webHidden/>
              </w:rPr>
              <w:fldChar w:fldCharType="end"/>
            </w:r>
          </w:hyperlink>
        </w:p>
        <w:p w14:paraId="62395F45" w14:textId="47B5CCD8"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63" w:history="1">
            <w:r w:rsidRPr="00113882">
              <w:rPr>
                <w:rStyle w:val="Hyperlink"/>
                <w:noProof/>
              </w:rPr>
              <w:t>2.3.2 The Case for Caution: When Improvisation Underperforms</w:t>
            </w:r>
            <w:r>
              <w:rPr>
                <w:noProof/>
                <w:webHidden/>
              </w:rPr>
              <w:tab/>
            </w:r>
            <w:r>
              <w:rPr>
                <w:noProof/>
                <w:webHidden/>
              </w:rPr>
              <w:fldChar w:fldCharType="begin"/>
            </w:r>
            <w:r>
              <w:rPr>
                <w:noProof/>
                <w:webHidden/>
              </w:rPr>
              <w:instrText xml:space="preserve"> PAGEREF _Toc241144163 \h </w:instrText>
            </w:r>
            <w:r>
              <w:rPr>
                <w:noProof/>
                <w:webHidden/>
              </w:rPr>
            </w:r>
            <w:r>
              <w:rPr>
                <w:noProof/>
                <w:webHidden/>
              </w:rPr>
              <w:fldChar w:fldCharType="separate"/>
            </w:r>
            <w:r>
              <w:rPr>
                <w:noProof/>
                <w:webHidden/>
              </w:rPr>
              <w:t>9</w:t>
            </w:r>
            <w:r>
              <w:rPr>
                <w:noProof/>
                <w:webHidden/>
              </w:rPr>
              <w:fldChar w:fldCharType="end"/>
            </w:r>
          </w:hyperlink>
        </w:p>
        <w:p w14:paraId="4E08C537" w14:textId="6B31E0BB"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64" w:history="1">
            <w:r w:rsidRPr="00113882">
              <w:rPr>
                <w:rStyle w:val="Hyperlink"/>
                <w:noProof/>
              </w:rPr>
              <w:t>2.3.3 The #FreeCuthbert Case in the Context of This Tension</w:t>
            </w:r>
            <w:r>
              <w:rPr>
                <w:noProof/>
                <w:webHidden/>
              </w:rPr>
              <w:tab/>
            </w:r>
            <w:r>
              <w:rPr>
                <w:noProof/>
                <w:webHidden/>
              </w:rPr>
              <w:fldChar w:fldCharType="begin"/>
            </w:r>
            <w:r>
              <w:rPr>
                <w:noProof/>
                <w:webHidden/>
              </w:rPr>
              <w:instrText xml:space="preserve"> PAGEREF _Toc241144164 \h </w:instrText>
            </w:r>
            <w:r>
              <w:rPr>
                <w:noProof/>
                <w:webHidden/>
              </w:rPr>
            </w:r>
            <w:r>
              <w:rPr>
                <w:noProof/>
                <w:webHidden/>
              </w:rPr>
              <w:fldChar w:fldCharType="separate"/>
            </w:r>
            <w:r>
              <w:rPr>
                <w:noProof/>
                <w:webHidden/>
              </w:rPr>
              <w:t>10</w:t>
            </w:r>
            <w:r>
              <w:rPr>
                <w:noProof/>
                <w:webHidden/>
              </w:rPr>
              <w:fldChar w:fldCharType="end"/>
            </w:r>
          </w:hyperlink>
        </w:p>
        <w:p w14:paraId="41829F14" w14:textId="287DCB78"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65" w:history="1">
            <w:r w:rsidRPr="00113882">
              <w:rPr>
                <w:rStyle w:val="Hyperlink"/>
                <w:noProof/>
              </w:rPr>
              <w:t>2.4 Interpretive Lenses: Humour, Narrative and Brand Personality</w:t>
            </w:r>
            <w:r>
              <w:rPr>
                <w:noProof/>
                <w:webHidden/>
              </w:rPr>
              <w:tab/>
            </w:r>
            <w:r>
              <w:rPr>
                <w:noProof/>
                <w:webHidden/>
              </w:rPr>
              <w:fldChar w:fldCharType="begin"/>
            </w:r>
            <w:r>
              <w:rPr>
                <w:noProof/>
                <w:webHidden/>
              </w:rPr>
              <w:instrText xml:space="preserve"> PAGEREF _Toc241144165 \h </w:instrText>
            </w:r>
            <w:r>
              <w:rPr>
                <w:noProof/>
                <w:webHidden/>
              </w:rPr>
            </w:r>
            <w:r>
              <w:rPr>
                <w:noProof/>
                <w:webHidden/>
              </w:rPr>
              <w:fldChar w:fldCharType="separate"/>
            </w:r>
            <w:r>
              <w:rPr>
                <w:noProof/>
                <w:webHidden/>
              </w:rPr>
              <w:t>10</w:t>
            </w:r>
            <w:r>
              <w:rPr>
                <w:noProof/>
                <w:webHidden/>
              </w:rPr>
              <w:fldChar w:fldCharType="end"/>
            </w:r>
          </w:hyperlink>
        </w:p>
        <w:p w14:paraId="4B1DA2C6" w14:textId="2502D57C"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66" w:history="1">
            <w:r w:rsidRPr="00113882">
              <w:rPr>
                <w:rStyle w:val="Hyperlink"/>
                <w:noProof/>
              </w:rPr>
              <w:t>2.4.1 Humour: A Context-Dependent Device</w:t>
            </w:r>
            <w:r>
              <w:rPr>
                <w:noProof/>
                <w:webHidden/>
              </w:rPr>
              <w:tab/>
            </w:r>
            <w:r>
              <w:rPr>
                <w:noProof/>
                <w:webHidden/>
              </w:rPr>
              <w:fldChar w:fldCharType="begin"/>
            </w:r>
            <w:r>
              <w:rPr>
                <w:noProof/>
                <w:webHidden/>
              </w:rPr>
              <w:instrText xml:space="preserve"> PAGEREF _Toc241144166 \h </w:instrText>
            </w:r>
            <w:r>
              <w:rPr>
                <w:noProof/>
                <w:webHidden/>
              </w:rPr>
            </w:r>
            <w:r>
              <w:rPr>
                <w:noProof/>
                <w:webHidden/>
              </w:rPr>
              <w:fldChar w:fldCharType="separate"/>
            </w:r>
            <w:r>
              <w:rPr>
                <w:noProof/>
                <w:webHidden/>
              </w:rPr>
              <w:t>10</w:t>
            </w:r>
            <w:r>
              <w:rPr>
                <w:noProof/>
                <w:webHidden/>
              </w:rPr>
              <w:fldChar w:fldCharType="end"/>
            </w:r>
          </w:hyperlink>
        </w:p>
        <w:p w14:paraId="4AFA5DF8" w14:textId="2E712B48"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67" w:history="1">
            <w:r w:rsidRPr="00113882">
              <w:rPr>
                <w:rStyle w:val="Hyperlink"/>
                <w:noProof/>
              </w:rPr>
              <w:t>2.4.2 Brand Personality: Sincerity, Excitement and the Challenger</w:t>
            </w:r>
            <w:r>
              <w:rPr>
                <w:noProof/>
                <w:webHidden/>
              </w:rPr>
              <w:tab/>
            </w:r>
            <w:r>
              <w:rPr>
                <w:noProof/>
                <w:webHidden/>
              </w:rPr>
              <w:fldChar w:fldCharType="begin"/>
            </w:r>
            <w:r>
              <w:rPr>
                <w:noProof/>
                <w:webHidden/>
              </w:rPr>
              <w:instrText xml:space="preserve"> PAGEREF _Toc241144167 \h </w:instrText>
            </w:r>
            <w:r>
              <w:rPr>
                <w:noProof/>
                <w:webHidden/>
              </w:rPr>
            </w:r>
            <w:r>
              <w:rPr>
                <w:noProof/>
                <w:webHidden/>
              </w:rPr>
              <w:fldChar w:fldCharType="separate"/>
            </w:r>
            <w:r>
              <w:rPr>
                <w:noProof/>
                <w:webHidden/>
              </w:rPr>
              <w:t>11</w:t>
            </w:r>
            <w:r>
              <w:rPr>
                <w:noProof/>
                <w:webHidden/>
              </w:rPr>
              <w:fldChar w:fldCharType="end"/>
            </w:r>
          </w:hyperlink>
        </w:p>
        <w:p w14:paraId="01F3DD59" w14:textId="09DAAD40"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68" w:history="1">
            <w:r w:rsidRPr="00113882">
              <w:rPr>
                <w:rStyle w:val="Hyperlink"/>
                <w:noProof/>
              </w:rPr>
              <w:t>2.4.3 Humour in Brand-to-Brand Exchanges: The Role of Market Position</w:t>
            </w:r>
            <w:r>
              <w:rPr>
                <w:noProof/>
                <w:webHidden/>
              </w:rPr>
              <w:tab/>
            </w:r>
            <w:r>
              <w:rPr>
                <w:noProof/>
                <w:webHidden/>
              </w:rPr>
              <w:fldChar w:fldCharType="begin"/>
            </w:r>
            <w:r>
              <w:rPr>
                <w:noProof/>
                <w:webHidden/>
              </w:rPr>
              <w:instrText xml:space="preserve"> PAGEREF _Toc241144168 \h </w:instrText>
            </w:r>
            <w:r>
              <w:rPr>
                <w:noProof/>
                <w:webHidden/>
              </w:rPr>
            </w:r>
            <w:r>
              <w:rPr>
                <w:noProof/>
                <w:webHidden/>
              </w:rPr>
              <w:fldChar w:fldCharType="separate"/>
            </w:r>
            <w:r>
              <w:rPr>
                <w:noProof/>
                <w:webHidden/>
              </w:rPr>
              <w:t>12</w:t>
            </w:r>
            <w:r>
              <w:rPr>
                <w:noProof/>
                <w:webHidden/>
              </w:rPr>
              <w:fldChar w:fldCharType="end"/>
            </w:r>
          </w:hyperlink>
        </w:p>
        <w:p w14:paraId="037F422D" w14:textId="00A8BF44"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69" w:history="1">
            <w:r w:rsidRPr="00113882">
              <w:rPr>
                <w:rStyle w:val="Hyperlink"/>
                <w:noProof/>
              </w:rPr>
              <w:t>2.4.4 Narrative: Character, Conflict and Resolution</w:t>
            </w:r>
            <w:r>
              <w:rPr>
                <w:noProof/>
                <w:webHidden/>
              </w:rPr>
              <w:tab/>
            </w:r>
            <w:r>
              <w:rPr>
                <w:noProof/>
                <w:webHidden/>
              </w:rPr>
              <w:fldChar w:fldCharType="begin"/>
            </w:r>
            <w:r>
              <w:rPr>
                <w:noProof/>
                <w:webHidden/>
              </w:rPr>
              <w:instrText xml:space="preserve"> PAGEREF _Toc241144169 \h </w:instrText>
            </w:r>
            <w:r>
              <w:rPr>
                <w:noProof/>
                <w:webHidden/>
              </w:rPr>
            </w:r>
            <w:r>
              <w:rPr>
                <w:noProof/>
                <w:webHidden/>
              </w:rPr>
              <w:fldChar w:fldCharType="separate"/>
            </w:r>
            <w:r>
              <w:rPr>
                <w:noProof/>
                <w:webHidden/>
              </w:rPr>
              <w:t>12</w:t>
            </w:r>
            <w:r>
              <w:rPr>
                <w:noProof/>
                <w:webHidden/>
              </w:rPr>
              <w:fldChar w:fldCharType="end"/>
            </w:r>
          </w:hyperlink>
        </w:p>
        <w:p w14:paraId="441A7D95" w14:textId="735E7A24"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70" w:history="1">
            <w:r w:rsidRPr="00113882">
              <w:rPr>
                <w:rStyle w:val="Hyperlink"/>
                <w:noProof/>
              </w:rPr>
              <w:t>2.5 Tension Two: Open Rivalry-Opportunity or Escalation?</w:t>
            </w:r>
            <w:r>
              <w:rPr>
                <w:noProof/>
                <w:webHidden/>
              </w:rPr>
              <w:tab/>
            </w:r>
            <w:r>
              <w:rPr>
                <w:noProof/>
                <w:webHidden/>
              </w:rPr>
              <w:fldChar w:fldCharType="begin"/>
            </w:r>
            <w:r>
              <w:rPr>
                <w:noProof/>
                <w:webHidden/>
              </w:rPr>
              <w:instrText xml:space="preserve"> PAGEREF _Toc241144170 \h </w:instrText>
            </w:r>
            <w:r>
              <w:rPr>
                <w:noProof/>
                <w:webHidden/>
              </w:rPr>
            </w:r>
            <w:r>
              <w:rPr>
                <w:noProof/>
                <w:webHidden/>
              </w:rPr>
              <w:fldChar w:fldCharType="separate"/>
            </w:r>
            <w:r>
              <w:rPr>
                <w:noProof/>
                <w:webHidden/>
              </w:rPr>
              <w:t>13</w:t>
            </w:r>
            <w:r>
              <w:rPr>
                <w:noProof/>
                <w:webHidden/>
              </w:rPr>
              <w:fldChar w:fldCharType="end"/>
            </w:r>
          </w:hyperlink>
        </w:p>
        <w:p w14:paraId="4750A7AB" w14:textId="02D3E738"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71" w:history="1">
            <w:r w:rsidRPr="00113882">
              <w:rPr>
                <w:rStyle w:val="Hyperlink"/>
                <w:noProof/>
              </w:rPr>
              <w:t>2.5.1 The Challenger-Brand Concept</w:t>
            </w:r>
            <w:r>
              <w:rPr>
                <w:noProof/>
                <w:webHidden/>
              </w:rPr>
              <w:tab/>
            </w:r>
            <w:r>
              <w:rPr>
                <w:noProof/>
                <w:webHidden/>
              </w:rPr>
              <w:fldChar w:fldCharType="begin"/>
            </w:r>
            <w:r>
              <w:rPr>
                <w:noProof/>
                <w:webHidden/>
              </w:rPr>
              <w:instrText xml:space="preserve"> PAGEREF _Toc241144171 \h </w:instrText>
            </w:r>
            <w:r>
              <w:rPr>
                <w:noProof/>
                <w:webHidden/>
              </w:rPr>
            </w:r>
            <w:r>
              <w:rPr>
                <w:noProof/>
                <w:webHidden/>
              </w:rPr>
              <w:fldChar w:fldCharType="separate"/>
            </w:r>
            <w:r>
              <w:rPr>
                <w:noProof/>
                <w:webHidden/>
              </w:rPr>
              <w:t>13</w:t>
            </w:r>
            <w:r>
              <w:rPr>
                <w:noProof/>
                <w:webHidden/>
              </w:rPr>
              <w:fldChar w:fldCharType="end"/>
            </w:r>
          </w:hyperlink>
        </w:p>
        <w:p w14:paraId="7C3D20E9" w14:textId="1895082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72" w:history="1">
            <w:r w:rsidRPr="00113882">
              <w:rPr>
                <w:rStyle w:val="Hyperlink"/>
                <w:noProof/>
              </w:rPr>
              <w:t>2.5.2 The Traditional Warning: Avoid Public Rivalry</w:t>
            </w:r>
            <w:r>
              <w:rPr>
                <w:noProof/>
                <w:webHidden/>
              </w:rPr>
              <w:tab/>
            </w:r>
            <w:r>
              <w:rPr>
                <w:noProof/>
                <w:webHidden/>
              </w:rPr>
              <w:fldChar w:fldCharType="begin"/>
            </w:r>
            <w:r>
              <w:rPr>
                <w:noProof/>
                <w:webHidden/>
              </w:rPr>
              <w:instrText xml:space="preserve"> PAGEREF _Toc241144172 \h </w:instrText>
            </w:r>
            <w:r>
              <w:rPr>
                <w:noProof/>
                <w:webHidden/>
              </w:rPr>
            </w:r>
            <w:r>
              <w:rPr>
                <w:noProof/>
                <w:webHidden/>
              </w:rPr>
              <w:fldChar w:fldCharType="separate"/>
            </w:r>
            <w:r>
              <w:rPr>
                <w:noProof/>
                <w:webHidden/>
              </w:rPr>
              <w:t>13</w:t>
            </w:r>
            <w:r>
              <w:rPr>
                <w:noProof/>
                <w:webHidden/>
              </w:rPr>
              <w:fldChar w:fldCharType="end"/>
            </w:r>
          </w:hyperlink>
        </w:p>
        <w:p w14:paraId="50248A06" w14:textId="0BC32D9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73" w:history="1">
            <w:r w:rsidRPr="00113882">
              <w:rPr>
                <w:rStyle w:val="Hyperlink"/>
                <w:noProof/>
              </w:rPr>
              <w:t>2.5.3 The Rivalry-Humour Connection: Top Dog vs. Underdog</w:t>
            </w:r>
            <w:r>
              <w:rPr>
                <w:noProof/>
                <w:webHidden/>
              </w:rPr>
              <w:tab/>
            </w:r>
            <w:r>
              <w:rPr>
                <w:noProof/>
                <w:webHidden/>
              </w:rPr>
              <w:fldChar w:fldCharType="begin"/>
            </w:r>
            <w:r>
              <w:rPr>
                <w:noProof/>
                <w:webHidden/>
              </w:rPr>
              <w:instrText xml:space="preserve"> PAGEREF _Toc241144173 \h </w:instrText>
            </w:r>
            <w:r>
              <w:rPr>
                <w:noProof/>
                <w:webHidden/>
              </w:rPr>
            </w:r>
            <w:r>
              <w:rPr>
                <w:noProof/>
                <w:webHidden/>
              </w:rPr>
              <w:fldChar w:fldCharType="separate"/>
            </w:r>
            <w:r>
              <w:rPr>
                <w:noProof/>
                <w:webHidden/>
              </w:rPr>
              <w:t>14</w:t>
            </w:r>
            <w:r>
              <w:rPr>
                <w:noProof/>
                <w:webHidden/>
              </w:rPr>
              <w:fldChar w:fldCharType="end"/>
            </w:r>
          </w:hyperlink>
        </w:p>
        <w:p w14:paraId="24CFD9EE" w14:textId="27E5288E"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74" w:history="1">
            <w:r w:rsidRPr="00113882">
              <w:rPr>
                <w:rStyle w:val="Hyperlink"/>
                <w:noProof/>
              </w:rPr>
              <w:t>2.5.4 The Unresolved Question: Rivalry in a Legally Sensitive Context</w:t>
            </w:r>
            <w:r>
              <w:rPr>
                <w:noProof/>
                <w:webHidden/>
              </w:rPr>
              <w:tab/>
            </w:r>
            <w:r>
              <w:rPr>
                <w:noProof/>
                <w:webHidden/>
              </w:rPr>
              <w:fldChar w:fldCharType="begin"/>
            </w:r>
            <w:r>
              <w:rPr>
                <w:noProof/>
                <w:webHidden/>
              </w:rPr>
              <w:instrText xml:space="preserve"> PAGEREF _Toc241144174 \h </w:instrText>
            </w:r>
            <w:r>
              <w:rPr>
                <w:noProof/>
                <w:webHidden/>
              </w:rPr>
            </w:r>
            <w:r>
              <w:rPr>
                <w:noProof/>
                <w:webHidden/>
              </w:rPr>
              <w:fldChar w:fldCharType="separate"/>
            </w:r>
            <w:r>
              <w:rPr>
                <w:noProof/>
                <w:webHidden/>
              </w:rPr>
              <w:t>14</w:t>
            </w:r>
            <w:r>
              <w:rPr>
                <w:noProof/>
                <w:webHidden/>
              </w:rPr>
              <w:fldChar w:fldCharType="end"/>
            </w:r>
          </w:hyperlink>
        </w:p>
        <w:p w14:paraId="54E83974" w14:textId="5DFDAD60"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75" w:history="1">
            <w:r w:rsidRPr="00113882">
              <w:rPr>
                <w:rStyle w:val="Hyperlink"/>
                <w:noProof/>
              </w:rPr>
              <w:t>2.6 Cultural Relevance and International Adaptation</w:t>
            </w:r>
            <w:r>
              <w:rPr>
                <w:noProof/>
                <w:webHidden/>
              </w:rPr>
              <w:tab/>
            </w:r>
            <w:r>
              <w:rPr>
                <w:noProof/>
                <w:webHidden/>
              </w:rPr>
              <w:fldChar w:fldCharType="begin"/>
            </w:r>
            <w:r>
              <w:rPr>
                <w:noProof/>
                <w:webHidden/>
              </w:rPr>
              <w:instrText xml:space="preserve"> PAGEREF _Toc241144175 \h </w:instrText>
            </w:r>
            <w:r>
              <w:rPr>
                <w:noProof/>
                <w:webHidden/>
              </w:rPr>
            </w:r>
            <w:r>
              <w:rPr>
                <w:noProof/>
                <w:webHidden/>
              </w:rPr>
              <w:fldChar w:fldCharType="separate"/>
            </w:r>
            <w:r>
              <w:rPr>
                <w:noProof/>
                <w:webHidden/>
              </w:rPr>
              <w:t>14</w:t>
            </w:r>
            <w:r>
              <w:rPr>
                <w:noProof/>
                <w:webHidden/>
              </w:rPr>
              <w:fldChar w:fldCharType="end"/>
            </w:r>
          </w:hyperlink>
        </w:p>
        <w:p w14:paraId="6BF1079B" w14:textId="29A97ED3"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76" w:history="1">
            <w:r w:rsidRPr="00113882">
              <w:rPr>
                <w:rStyle w:val="Hyperlink"/>
                <w:noProof/>
              </w:rPr>
              <w:t>2.6.1 Brands as Cultural Participants</w:t>
            </w:r>
            <w:r>
              <w:rPr>
                <w:noProof/>
                <w:webHidden/>
              </w:rPr>
              <w:tab/>
            </w:r>
            <w:r>
              <w:rPr>
                <w:noProof/>
                <w:webHidden/>
              </w:rPr>
              <w:fldChar w:fldCharType="begin"/>
            </w:r>
            <w:r>
              <w:rPr>
                <w:noProof/>
                <w:webHidden/>
              </w:rPr>
              <w:instrText xml:space="preserve"> PAGEREF _Toc241144176 \h </w:instrText>
            </w:r>
            <w:r>
              <w:rPr>
                <w:noProof/>
                <w:webHidden/>
              </w:rPr>
            </w:r>
            <w:r>
              <w:rPr>
                <w:noProof/>
                <w:webHidden/>
              </w:rPr>
              <w:fldChar w:fldCharType="separate"/>
            </w:r>
            <w:r>
              <w:rPr>
                <w:noProof/>
                <w:webHidden/>
              </w:rPr>
              <w:t>14</w:t>
            </w:r>
            <w:r>
              <w:rPr>
                <w:noProof/>
                <w:webHidden/>
              </w:rPr>
              <w:fldChar w:fldCharType="end"/>
            </w:r>
          </w:hyperlink>
        </w:p>
        <w:p w14:paraId="18BDB7CD" w14:textId="6934F2DD"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77" w:history="1">
            <w:r w:rsidRPr="00113882">
              <w:rPr>
                <w:rStyle w:val="Hyperlink"/>
                <w:noProof/>
              </w:rPr>
              <w:t>2.6.2 The Standardisation-Adaptation Debate</w:t>
            </w:r>
            <w:r>
              <w:rPr>
                <w:noProof/>
                <w:webHidden/>
              </w:rPr>
              <w:tab/>
            </w:r>
            <w:r>
              <w:rPr>
                <w:noProof/>
                <w:webHidden/>
              </w:rPr>
              <w:fldChar w:fldCharType="begin"/>
            </w:r>
            <w:r>
              <w:rPr>
                <w:noProof/>
                <w:webHidden/>
              </w:rPr>
              <w:instrText xml:space="preserve"> PAGEREF _Toc241144177 \h </w:instrText>
            </w:r>
            <w:r>
              <w:rPr>
                <w:noProof/>
                <w:webHidden/>
              </w:rPr>
            </w:r>
            <w:r>
              <w:rPr>
                <w:noProof/>
                <w:webHidden/>
              </w:rPr>
              <w:fldChar w:fldCharType="separate"/>
            </w:r>
            <w:r>
              <w:rPr>
                <w:noProof/>
                <w:webHidden/>
              </w:rPr>
              <w:t>15</w:t>
            </w:r>
            <w:r>
              <w:rPr>
                <w:noProof/>
                <w:webHidden/>
              </w:rPr>
              <w:fldChar w:fldCharType="end"/>
            </w:r>
          </w:hyperlink>
        </w:p>
        <w:p w14:paraId="4140FBEE" w14:textId="10BECA0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78" w:history="1">
            <w:r w:rsidRPr="00113882">
              <w:rPr>
                <w:rStyle w:val="Hyperlink"/>
                <w:noProof/>
              </w:rPr>
              <w:t>2.6.3 Cultural Relevance as Strategic Construction</w:t>
            </w:r>
            <w:r>
              <w:rPr>
                <w:noProof/>
                <w:webHidden/>
              </w:rPr>
              <w:tab/>
            </w:r>
            <w:r>
              <w:rPr>
                <w:noProof/>
                <w:webHidden/>
              </w:rPr>
              <w:fldChar w:fldCharType="begin"/>
            </w:r>
            <w:r>
              <w:rPr>
                <w:noProof/>
                <w:webHidden/>
              </w:rPr>
              <w:instrText xml:space="preserve"> PAGEREF _Toc241144178 \h </w:instrText>
            </w:r>
            <w:r>
              <w:rPr>
                <w:noProof/>
                <w:webHidden/>
              </w:rPr>
            </w:r>
            <w:r>
              <w:rPr>
                <w:noProof/>
                <w:webHidden/>
              </w:rPr>
              <w:fldChar w:fldCharType="separate"/>
            </w:r>
            <w:r>
              <w:rPr>
                <w:noProof/>
                <w:webHidden/>
              </w:rPr>
              <w:t>15</w:t>
            </w:r>
            <w:r>
              <w:rPr>
                <w:noProof/>
                <w:webHidden/>
              </w:rPr>
              <w:fldChar w:fldCharType="end"/>
            </w:r>
          </w:hyperlink>
        </w:p>
        <w:p w14:paraId="750DA5BC" w14:textId="3E394D32"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79" w:history="1">
            <w:r w:rsidRPr="00113882">
              <w:rPr>
                <w:rStyle w:val="Hyperlink"/>
                <w:noProof/>
              </w:rPr>
              <w:t>2.7 Tension Three: Reputational and Legal Risk—Crisis or Paracrisis?</w:t>
            </w:r>
            <w:r>
              <w:rPr>
                <w:noProof/>
                <w:webHidden/>
              </w:rPr>
              <w:tab/>
            </w:r>
            <w:r>
              <w:rPr>
                <w:noProof/>
                <w:webHidden/>
              </w:rPr>
              <w:fldChar w:fldCharType="begin"/>
            </w:r>
            <w:r>
              <w:rPr>
                <w:noProof/>
                <w:webHidden/>
              </w:rPr>
              <w:instrText xml:space="preserve"> PAGEREF _Toc241144179 \h </w:instrText>
            </w:r>
            <w:r>
              <w:rPr>
                <w:noProof/>
                <w:webHidden/>
              </w:rPr>
            </w:r>
            <w:r>
              <w:rPr>
                <w:noProof/>
                <w:webHidden/>
              </w:rPr>
              <w:fldChar w:fldCharType="separate"/>
            </w:r>
            <w:r>
              <w:rPr>
                <w:noProof/>
                <w:webHidden/>
              </w:rPr>
              <w:t>16</w:t>
            </w:r>
            <w:r>
              <w:rPr>
                <w:noProof/>
                <w:webHidden/>
              </w:rPr>
              <w:fldChar w:fldCharType="end"/>
            </w:r>
          </w:hyperlink>
        </w:p>
        <w:p w14:paraId="279C1A0E" w14:textId="0F7D5CE4"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80" w:history="1">
            <w:r w:rsidRPr="00113882">
              <w:rPr>
                <w:rStyle w:val="Hyperlink"/>
                <w:noProof/>
              </w:rPr>
              <w:t>2.7.1 Situational Crisis Communication Theory</w:t>
            </w:r>
            <w:r>
              <w:rPr>
                <w:noProof/>
                <w:webHidden/>
              </w:rPr>
              <w:tab/>
            </w:r>
            <w:r>
              <w:rPr>
                <w:noProof/>
                <w:webHidden/>
              </w:rPr>
              <w:fldChar w:fldCharType="begin"/>
            </w:r>
            <w:r>
              <w:rPr>
                <w:noProof/>
                <w:webHidden/>
              </w:rPr>
              <w:instrText xml:space="preserve"> PAGEREF _Toc241144180 \h </w:instrText>
            </w:r>
            <w:r>
              <w:rPr>
                <w:noProof/>
                <w:webHidden/>
              </w:rPr>
            </w:r>
            <w:r>
              <w:rPr>
                <w:noProof/>
                <w:webHidden/>
              </w:rPr>
              <w:fldChar w:fldCharType="separate"/>
            </w:r>
            <w:r>
              <w:rPr>
                <w:noProof/>
                <w:webHidden/>
              </w:rPr>
              <w:t>16</w:t>
            </w:r>
            <w:r>
              <w:rPr>
                <w:noProof/>
                <w:webHidden/>
              </w:rPr>
              <w:fldChar w:fldCharType="end"/>
            </w:r>
          </w:hyperlink>
        </w:p>
        <w:p w14:paraId="2AA04F33" w14:textId="4AA3018D"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81" w:history="1">
            <w:r w:rsidRPr="00113882">
              <w:rPr>
                <w:rStyle w:val="Hyperlink"/>
                <w:noProof/>
              </w:rPr>
              <w:t>2.7.2 The Paracrisis Concept</w:t>
            </w:r>
            <w:r>
              <w:rPr>
                <w:noProof/>
                <w:webHidden/>
              </w:rPr>
              <w:tab/>
            </w:r>
            <w:r>
              <w:rPr>
                <w:noProof/>
                <w:webHidden/>
              </w:rPr>
              <w:fldChar w:fldCharType="begin"/>
            </w:r>
            <w:r>
              <w:rPr>
                <w:noProof/>
                <w:webHidden/>
              </w:rPr>
              <w:instrText xml:space="preserve"> PAGEREF _Toc241144181 \h </w:instrText>
            </w:r>
            <w:r>
              <w:rPr>
                <w:noProof/>
                <w:webHidden/>
              </w:rPr>
            </w:r>
            <w:r>
              <w:rPr>
                <w:noProof/>
                <w:webHidden/>
              </w:rPr>
              <w:fldChar w:fldCharType="separate"/>
            </w:r>
            <w:r>
              <w:rPr>
                <w:noProof/>
                <w:webHidden/>
              </w:rPr>
              <w:t>16</w:t>
            </w:r>
            <w:r>
              <w:rPr>
                <w:noProof/>
                <w:webHidden/>
              </w:rPr>
              <w:fldChar w:fldCharType="end"/>
            </w:r>
          </w:hyperlink>
        </w:p>
        <w:p w14:paraId="630B0F46" w14:textId="321492FA"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182" w:history="1">
            <w:r w:rsidRPr="00113882">
              <w:rPr>
                <w:rStyle w:val="Hyperlink"/>
                <w:noProof/>
              </w:rPr>
              <w:t>2.7.3 The Tension: Proportionate Response or Crisis Overreaction?</w:t>
            </w:r>
            <w:r>
              <w:rPr>
                <w:noProof/>
                <w:webHidden/>
              </w:rPr>
              <w:tab/>
            </w:r>
            <w:r>
              <w:rPr>
                <w:noProof/>
                <w:webHidden/>
              </w:rPr>
              <w:fldChar w:fldCharType="begin"/>
            </w:r>
            <w:r>
              <w:rPr>
                <w:noProof/>
                <w:webHidden/>
              </w:rPr>
              <w:instrText xml:space="preserve"> PAGEREF _Toc241144182 \h </w:instrText>
            </w:r>
            <w:r>
              <w:rPr>
                <w:noProof/>
                <w:webHidden/>
              </w:rPr>
            </w:r>
            <w:r>
              <w:rPr>
                <w:noProof/>
                <w:webHidden/>
              </w:rPr>
              <w:fldChar w:fldCharType="separate"/>
            </w:r>
            <w:r>
              <w:rPr>
                <w:noProof/>
                <w:webHidden/>
              </w:rPr>
              <w:t>17</w:t>
            </w:r>
            <w:r>
              <w:rPr>
                <w:noProof/>
                <w:webHidden/>
              </w:rPr>
              <w:fldChar w:fldCharType="end"/>
            </w:r>
          </w:hyperlink>
        </w:p>
        <w:p w14:paraId="3A55CFAA" w14:textId="6399FE70"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83" w:history="1">
            <w:r w:rsidRPr="00113882">
              <w:rPr>
                <w:rStyle w:val="Hyperlink"/>
                <w:noProof/>
              </w:rPr>
              <w:t>2.8 Comparative Synthesis: Three Unresolved Tensions</w:t>
            </w:r>
            <w:r>
              <w:rPr>
                <w:noProof/>
                <w:webHidden/>
              </w:rPr>
              <w:tab/>
            </w:r>
            <w:r>
              <w:rPr>
                <w:noProof/>
                <w:webHidden/>
              </w:rPr>
              <w:fldChar w:fldCharType="begin"/>
            </w:r>
            <w:r>
              <w:rPr>
                <w:noProof/>
                <w:webHidden/>
              </w:rPr>
              <w:instrText xml:space="preserve"> PAGEREF _Toc241144183 \h </w:instrText>
            </w:r>
            <w:r>
              <w:rPr>
                <w:noProof/>
                <w:webHidden/>
              </w:rPr>
            </w:r>
            <w:r>
              <w:rPr>
                <w:noProof/>
                <w:webHidden/>
              </w:rPr>
              <w:fldChar w:fldCharType="separate"/>
            </w:r>
            <w:r>
              <w:rPr>
                <w:noProof/>
                <w:webHidden/>
              </w:rPr>
              <w:t>18</w:t>
            </w:r>
            <w:r>
              <w:rPr>
                <w:noProof/>
                <w:webHidden/>
              </w:rPr>
              <w:fldChar w:fldCharType="end"/>
            </w:r>
          </w:hyperlink>
        </w:p>
        <w:p w14:paraId="090C816E" w14:textId="42032D58"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84" w:history="1">
            <w:r w:rsidRPr="00113882">
              <w:rPr>
                <w:rStyle w:val="Hyperlink"/>
                <w:noProof/>
              </w:rPr>
              <w:t>2.9 Towards an Integrated Conceptual Framework</w:t>
            </w:r>
            <w:r>
              <w:rPr>
                <w:noProof/>
                <w:webHidden/>
              </w:rPr>
              <w:tab/>
            </w:r>
            <w:r>
              <w:rPr>
                <w:noProof/>
                <w:webHidden/>
              </w:rPr>
              <w:fldChar w:fldCharType="begin"/>
            </w:r>
            <w:r>
              <w:rPr>
                <w:noProof/>
                <w:webHidden/>
              </w:rPr>
              <w:instrText xml:space="preserve"> PAGEREF _Toc241144184 \h </w:instrText>
            </w:r>
            <w:r>
              <w:rPr>
                <w:noProof/>
                <w:webHidden/>
              </w:rPr>
            </w:r>
            <w:r>
              <w:rPr>
                <w:noProof/>
                <w:webHidden/>
              </w:rPr>
              <w:fldChar w:fldCharType="separate"/>
            </w:r>
            <w:r>
              <w:rPr>
                <w:noProof/>
                <w:webHidden/>
              </w:rPr>
              <w:t>18</w:t>
            </w:r>
            <w:r>
              <w:rPr>
                <w:noProof/>
                <w:webHidden/>
              </w:rPr>
              <w:fldChar w:fldCharType="end"/>
            </w:r>
          </w:hyperlink>
        </w:p>
        <w:p w14:paraId="3FCE162D" w14:textId="0FE819CC"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85" w:history="1">
            <w:r w:rsidRPr="00113882">
              <w:rPr>
                <w:rStyle w:val="Hyperlink"/>
                <w:noProof/>
              </w:rPr>
              <w:t>2.10 Summary</w:t>
            </w:r>
            <w:r>
              <w:rPr>
                <w:noProof/>
                <w:webHidden/>
              </w:rPr>
              <w:tab/>
            </w:r>
            <w:r>
              <w:rPr>
                <w:noProof/>
                <w:webHidden/>
              </w:rPr>
              <w:fldChar w:fldCharType="begin"/>
            </w:r>
            <w:r>
              <w:rPr>
                <w:noProof/>
                <w:webHidden/>
              </w:rPr>
              <w:instrText xml:space="preserve"> PAGEREF _Toc241144185 \h </w:instrText>
            </w:r>
            <w:r>
              <w:rPr>
                <w:noProof/>
                <w:webHidden/>
              </w:rPr>
            </w:r>
            <w:r>
              <w:rPr>
                <w:noProof/>
                <w:webHidden/>
              </w:rPr>
              <w:fldChar w:fldCharType="separate"/>
            </w:r>
            <w:r>
              <w:rPr>
                <w:noProof/>
                <w:webHidden/>
              </w:rPr>
              <w:t>20</w:t>
            </w:r>
            <w:r>
              <w:rPr>
                <w:noProof/>
                <w:webHidden/>
              </w:rPr>
              <w:fldChar w:fldCharType="end"/>
            </w:r>
          </w:hyperlink>
        </w:p>
        <w:p w14:paraId="6035A58C" w14:textId="671743A6"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186" w:history="1">
            <w:r w:rsidRPr="00113882">
              <w:rPr>
                <w:rStyle w:val="Hyperlink"/>
                <w:noProof/>
              </w:rPr>
              <w:t>Chapter 3: Methodology</w:t>
            </w:r>
            <w:r>
              <w:rPr>
                <w:noProof/>
                <w:webHidden/>
              </w:rPr>
              <w:tab/>
            </w:r>
            <w:r>
              <w:rPr>
                <w:noProof/>
                <w:webHidden/>
              </w:rPr>
              <w:fldChar w:fldCharType="begin"/>
            </w:r>
            <w:r>
              <w:rPr>
                <w:noProof/>
                <w:webHidden/>
              </w:rPr>
              <w:instrText xml:space="preserve"> PAGEREF _Toc241144186 \h </w:instrText>
            </w:r>
            <w:r>
              <w:rPr>
                <w:noProof/>
                <w:webHidden/>
              </w:rPr>
            </w:r>
            <w:r>
              <w:rPr>
                <w:noProof/>
                <w:webHidden/>
              </w:rPr>
              <w:fldChar w:fldCharType="separate"/>
            </w:r>
            <w:r>
              <w:rPr>
                <w:noProof/>
                <w:webHidden/>
              </w:rPr>
              <w:t>21</w:t>
            </w:r>
            <w:r>
              <w:rPr>
                <w:noProof/>
                <w:webHidden/>
              </w:rPr>
              <w:fldChar w:fldCharType="end"/>
            </w:r>
          </w:hyperlink>
        </w:p>
        <w:p w14:paraId="051CC69A" w14:textId="31AC6A19"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87" w:history="1">
            <w:r w:rsidRPr="00113882">
              <w:rPr>
                <w:rStyle w:val="Hyperlink"/>
                <w:noProof/>
              </w:rPr>
              <w:t>3.1 Research Philosophy</w:t>
            </w:r>
            <w:r>
              <w:rPr>
                <w:noProof/>
                <w:webHidden/>
              </w:rPr>
              <w:tab/>
            </w:r>
            <w:r>
              <w:rPr>
                <w:noProof/>
                <w:webHidden/>
              </w:rPr>
              <w:fldChar w:fldCharType="begin"/>
            </w:r>
            <w:r>
              <w:rPr>
                <w:noProof/>
                <w:webHidden/>
              </w:rPr>
              <w:instrText xml:space="preserve"> PAGEREF _Toc241144187 \h </w:instrText>
            </w:r>
            <w:r>
              <w:rPr>
                <w:noProof/>
                <w:webHidden/>
              </w:rPr>
            </w:r>
            <w:r>
              <w:rPr>
                <w:noProof/>
                <w:webHidden/>
              </w:rPr>
              <w:fldChar w:fldCharType="separate"/>
            </w:r>
            <w:r>
              <w:rPr>
                <w:noProof/>
                <w:webHidden/>
              </w:rPr>
              <w:t>21</w:t>
            </w:r>
            <w:r>
              <w:rPr>
                <w:noProof/>
                <w:webHidden/>
              </w:rPr>
              <w:fldChar w:fldCharType="end"/>
            </w:r>
          </w:hyperlink>
        </w:p>
        <w:p w14:paraId="3BFBB426" w14:textId="4657A4B2"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88" w:history="1">
            <w:r w:rsidRPr="00113882">
              <w:rPr>
                <w:rStyle w:val="Hyperlink"/>
                <w:noProof/>
              </w:rPr>
              <w:t>3.2 Research Design: A Single, Bounded Case Study</w:t>
            </w:r>
            <w:r>
              <w:rPr>
                <w:noProof/>
                <w:webHidden/>
              </w:rPr>
              <w:tab/>
            </w:r>
            <w:r>
              <w:rPr>
                <w:noProof/>
                <w:webHidden/>
              </w:rPr>
              <w:fldChar w:fldCharType="begin"/>
            </w:r>
            <w:r>
              <w:rPr>
                <w:noProof/>
                <w:webHidden/>
              </w:rPr>
              <w:instrText xml:space="preserve"> PAGEREF _Toc241144188 \h </w:instrText>
            </w:r>
            <w:r>
              <w:rPr>
                <w:noProof/>
                <w:webHidden/>
              </w:rPr>
            </w:r>
            <w:r>
              <w:rPr>
                <w:noProof/>
                <w:webHidden/>
              </w:rPr>
              <w:fldChar w:fldCharType="separate"/>
            </w:r>
            <w:r>
              <w:rPr>
                <w:noProof/>
                <w:webHidden/>
              </w:rPr>
              <w:t>21</w:t>
            </w:r>
            <w:r>
              <w:rPr>
                <w:noProof/>
                <w:webHidden/>
              </w:rPr>
              <w:fldChar w:fldCharType="end"/>
            </w:r>
          </w:hyperlink>
        </w:p>
        <w:p w14:paraId="423AE41B" w14:textId="21045B62"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89" w:history="1">
            <w:r w:rsidRPr="00113882">
              <w:rPr>
                <w:rStyle w:val="Hyperlink"/>
                <w:noProof/>
              </w:rPr>
              <w:t>3.3 Case Boundaries</w:t>
            </w:r>
            <w:r>
              <w:rPr>
                <w:noProof/>
                <w:webHidden/>
              </w:rPr>
              <w:tab/>
            </w:r>
            <w:r>
              <w:rPr>
                <w:noProof/>
                <w:webHidden/>
              </w:rPr>
              <w:fldChar w:fldCharType="begin"/>
            </w:r>
            <w:r>
              <w:rPr>
                <w:noProof/>
                <w:webHidden/>
              </w:rPr>
              <w:instrText xml:space="preserve"> PAGEREF _Toc241144189 \h </w:instrText>
            </w:r>
            <w:r>
              <w:rPr>
                <w:noProof/>
                <w:webHidden/>
              </w:rPr>
            </w:r>
            <w:r>
              <w:rPr>
                <w:noProof/>
                <w:webHidden/>
              </w:rPr>
              <w:fldChar w:fldCharType="separate"/>
            </w:r>
            <w:r>
              <w:rPr>
                <w:noProof/>
                <w:webHidden/>
              </w:rPr>
              <w:t>22</w:t>
            </w:r>
            <w:r>
              <w:rPr>
                <w:noProof/>
                <w:webHidden/>
              </w:rPr>
              <w:fldChar w:fldCharType="end"/>
            </w:r>
          </w:hyperlink>
        </w:p>
        <w:p w14:paraId="684DB287" w14:textId="0F54A3A9"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0" w:history="1">
            <w:r w:rsidRPr="00113882">
              <w:rPr>
                <w:rStyle w:val="Hyperlink"/>
                <w:noProof/>
              </w:rPr>
              <w:t>3.4 Data Sources and Corpus Construction</w:t>
            </w:r>
            <w:r>
              <w:rPr>
                <w:noProof/>
                <w:webHidden/>
              </w:rPr>
              <w:tab/>
            </w:r>
            <w:r>
              <w:rPr>
                <w:noProof/>
                <w:webHidden/>
              </w:rPr>
              <w:fldChar w:fldCharType="begin"/>
            </w:r>
            <w:r>
              <w:rPr>
                <w:noProof/>
                <w:webHidden/>
              </w:rPr>
              <w:instrText xml:space="preserve"> PAGEREF _Toc241144190 \h </w:instrText>
            </w:r>
            <w:r>
              <w:rPr>
                <w:noProof/>
                <w:webHidden/>
              </w:rPr>
            </w:r>
            <w:r>
              <w:rPr>
                <w:noProof/>
                <w:webHidden/>
              </w:rPr>
              <w:fldChar w:fldCharType="separate"/>
            </w:r>
            <w:r>
              <w:rPr>
                <w:noProof/>
                <w:webHidden/>
              </w:rPr>
              <w:t>22</w:t>
            </w:r>
            <w:r>
              <w:rPr>
                <w:noProof/>
                <w:webHidden/>
              </w:rPr>
              <w:fldChar w:fldCharType="end"/>
            </w:r>
          </w:hyperlink>
        </w:p>
        <w:p w14:paraId="07C6D344" w14:textId="436D7A7D"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1" w:history="1">
            <w:r w:rsidRPr="00113882">
              <w:rPr>
                <w:rStyle w:val="Hyperlink"/>
                <w:noProof/>
              </w:rPr>
              <w:t>3.5 Unit of Analysis and Sampling</w:t>
            </w:r>
            <w:r>
              <w:rPr>
                <w:noProof/>
                <w:webHidden/>
              </w:rPr>
              <w:tab/>
            </w:r>
            <w:r>
              <w:rPr>
                <w:noProof/>
                <w:webHidden/>
              </w:rPr>
              <w:fldChar w:fldCharType="begin"/>
            </w:r>
            <w:r>
              <w:rPr>
                <w:noProof/>
                <w:webHidden/>
              </w:rPr>
              <w:instrText xml:space="preserve"> PAGEREF _Toc241144191 \h </w:instrText>
            </w:r>
            <w:r>
              <w:rPr>
                <w:noProof/>
                <w:webHidden/>
              </w:rPr>
            </w:r>
            <w:r>
              <w:rPr>
                <w:noProof/>
                <w:webHidden/>
              </w:rPr>
              <w:fldChar w:fldCharType="separate"/>
            </w:r>
            <w:r>
              <w:rPr>
                <w:noProof/>
                <w:webHidden/>
              </w:rPr>
              <w:t>23</w:t>
            </w:r>
            <w:r>
              <w:rPr>
                <w:noProof/>
                <w:webHidden/>
              </w:rPr>
              <w:fldChar w:fldCharType="end"/>
            </w:r>
          </w:hyperlink>
        </w:p>
        <w:p w14:paraId="71A39298" w14:textId="70554CAD"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2" w:history="1">
            <w:r w:rsidRPr="00113882">
              <w:rPr>
                <w:rStyle w:val="Hyperlink"/>
                <w:noProof/>
              </w:rPr>
              <w:t>3.6 Coding and Thematic Analysis Procedure</w:t>
            </w:r>
            <w:r>
              <w:rPr>
                <w:noProof/>
                <w:webHidden/>
              </w:rPr>
              <w:tab/>
            </w:r>
            <w:r>
              <w:rPr>
                <w:noProof/>
                <w:webHidden/>
              </w:rPr>
              <w:fldChar w:fldCharType="begin"/>
            </w:r>
            <w:r>
              <w:rPr>
                <w:noProof/>
                <w:webHidden/>
              </w:rPr>
              <w:instrText xml:space="preserve"> PAGEREF _Toc241144192 \h </w:instrText>
            </w:r>
            <w:r>
              <w:rPr>
                <w:noProof/>
                <w:webHidden/>
              </w:rPr>
            </w:r>
            <w:r>
              <w:rPr>
                <w:noProof/>
                <w:webHidden/>
              </w:rPr>
              <w:fldChar w:fldCharType="separate"/>
            </w:r>
            <w:r>
              <w:rPr>
                <w:noProof/>
                <w:webHidden/>
              </w:rPr>
              <w:t>24</w:t>
            </w:r>
            <w:r>
              <w:rPr>
                <w:noProof/>
                <w:webHidden/>
              </w:rPr>
              <w:fldChar w:fldCharType="end"/>
            </w:r>
          </w:hyperlink>
        </w:p>
        <w:p w14:paraId="2B3BC895" w14:textId="1F4D4B48"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3" w:history="1">
            <w:r w:rsidRPr="00113882">
              <w:rPr>
                <w:rStyle w:val="Hyperlink"/>
                <w:noProof/>
              </w:rPr>
              <w:t>3.7 Descriptive Mapping</w:t>
            </w:r>
            <w:r>
              <w:rPr>
                <w:noProof/>
                <w:webHidden/>
              </w:rPr>
              <w:tab/>
            </w:r>
            <w:r>
              <w:rPr>
                <w:noProof/>
                <w:webHidden/>
              </w:rPr>
              <w:fldChar w:fldCharType="begin"/>
            </w:r>
            <w:r>
              <w:rPr>
                <w:noProof/>
                <w:webHidden/>
              </w:rPr>
              <w:instrText xml:space="preserve"> PAGEREF _Toc241144193 \h </w:instrText>
            </w:r>
            <w:r>
              <w:rPr>
                <w:noProof/>
                <w:webHidden/>
              </w:rPr>
            </w:r>
            <w:r>
              <w:rPr>
                <w:noProof/>
                <w:webHidden/>
              </w:rPr>
              <w:fldChar w:fldCharType="separate"/>
            </w:r>
            <w:r>
              <w:rPr>
                <w:noProof/>
                <w:webHidden/>
              </w:rPr>
              <w:t>26</w:t>
            </w:r>
            <w:r>
              <w:rPr>
                <w:noProof/>
                <w:webHidden/>
              </w:rPr>
              <w:fldChar w:fldCharType="end"/>
            </w:r>
          </w:hyperlink>
        </w:p>
        <w:p w14:paraId="2F8ABD3E" w14:textId="0C2A17E9"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4" w:history="1">
            <w:r w:rsidRPr="00113882">
              <w:rPr>
                <w:rStyle w:val="Hyperlink"/>
                <w:noProof/>
              </w:rPr>
              <w:t>3.8 Research Quality and Trustworthiness</w:t>
            </w:r>
            <w:r>
              <w:rPr>
                <w:noProof/>
                <w:webHidden/>
              </w:rPr>
              <w:tab/>
            </w:r>
            <w:r>
              <w:rPr>
                <w:noProof/>
                <w:webHidden/>
              </w:rPr>
              <w:fldChar w:fldCharType="begin"/>
            </w:r>
            <w:r>
              <w:rPr>
                <w:noProof/>
                <w:webHidden/>
              </w:rPr>
              <w:instrText xml:space="preserve"> PAGEREF _Toc241144194 \h </w:instrText>
            </w:r>
            <w:r>
              <w:rPr>
                <w:noProof/>
                <w:webHidden/>
              </w:rPr>
            </w:r>
            <w:r>
              <w:rPr>
                <w:noProof/>
                <w:webHidden/>
              </w:rPr>
              <w:fldChar w:fldCharType="separate"/>
            </w:r>
            <w:r>
              <w:rPr>
                <w:noProof/>
                <w:webHidden/>
              </w:rPr>
              <w:t>26</w:t>
            </w:r>
            <w:r>
              <w:rPr>
                <w:noProof/>
                <w:webHidden/>
              </w:rPr>
              <w:fldChar w:fldCharType="end"/>
            </w:r>
          </w:hyperlink>
        </w:p>
        <w:p w14:paraId="788AC771" w14:textId="55717097"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5" w:history="1">
            <w:r w:rsidRPr="00113882">
              <w:rPr>
                <w:rStyle w:val="Hyperlink"/>
                <w:noProof/>
              </w:rPr>
              <w:t>3.9 Ethical Considerations</w:t>
            </w:r>
            <w:r>
              <w:rPr>
                <w:noProof/>
                <w:webHidden/>
              </w:rPr>
              <w:tab/>
            </w:r>
            <w:r>
              <w:rPr>
                <w:noProof/>
                <w:webHidden/>
              </w:rPr>
              <w:fldChar w:fldCharType="begin"/>
            </w:r>
            <w:r>
              <w:rPr>
                <w:noProof/>
                <w:webHidden/>
              </w:rPr>
              <w:instrText xml:space="preserve"> PAGEREF _Toc241144195 \h </w:instrText>
            </w:r>
            <w:r>
              <w:rPr>
                <w:noProof/>
                <w:webHidden/>
              </w:rPr>
            </w:r>
            <w:r>
              <w:rPr>
                <w:noProof/>
                <w:webHidden/>
              </w:rPr>
              <w:fldChar w:fldCharType="separate"/>
            </w:r>
            <w:r>
              <w:rPr>
                <w:noProof/>
                <w:webHidden/>
              </w:rPr>
              <w:t>27</w:t>
            </w:r>
            <w:r>
              <w:rPr>
                <w:noProof/>
                <w:webHidden/>
              </w:rPr>
              <w:fldChar w:fldCharType="end"/>
            </w:r>
          </w:hyperlink>
        </w:p>
        <w:p w14:paraId="7F1224AC" w14:textId="201309E9"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6" w:history="1">
            <w:r w:rsidRPr="00113882">
              <w:rPr>
                <w:rStyle w:val="Hyperlink"/>
                <w:noProof/>
              </w:rPr>
              <w:t>3.10 Limitations of the Design</w:t>
            </w:r>
            <w:r>
              <w:rPr>
                <w:noProof/>
                <w:webHidden/>
              </w:rPr>
              <w:tab/>
            </w:r>
            <w:r>
              <w:rPr>
                <w:noProof/>
                <w:webHidden/>
              </w:rPr>
              <w:fldChar w:fldCharType="begin"/>
            </w:r>
            <w:r>
              <w:rPr>
                <w:noProof/>
                <w:webHidden/>
              </w:rPr>
              <w:instrText xml:space="preserve"> PAGEREF _Toc241144196 \h </w:instrText>
            </w:r>
            <w:r>
              <w:rPr>
                <w:noProof/>
                <w:webHidden/>
              </w:rPr>
            </w:r>
            <w:r>
              <w:rPr>
                <w:noProof/>
                <w:webHidden/>
              </w:rPr>
              <w:fldChar w:fldCharType="separate"/>
            </w:r>
            <w:r>
              <w:rPr>
                <w:noProof/>
                <w:webHidden/>
              </w:rPr>
              <w:t>27</w:t>
            </w:r>
            <w:r>
              <w:rPr>
                <w:noProof/>
                <w:webHidden/>
              </w:rPr>
              <w:fldChar w:fldCharType="end"/>
            </w:r>
          </w:hyperlink>
        </w:p>
        <w:p w14:paraId="7615C69A" w14:textId="000CF214"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197" w:history="1">
            <w:r w:rsidRPr="00113882">
              <w:rPr>
                <w:rStyle w:val="Hyperlink"/>
                <w:noProof/>
              </w:rPr>
              <w:t>Chapter 4: Findings</w:t>
            </w:r>
            <w:r>
              <w:rPr>
                <w:noProof/>
                <w:webHidden/>
              </w:rPr>
              <w:tab/>
            </w:r>
            <w:r>
              <w:rPr>
                <w:noProof/>
                <w:webHidden/>
              </w:rPr>
              <w:fldChar w:fldCharType="begin"/>
            </w:r>
            <w:r>
              <w:rPr>
                <w:noProof/>
                <w:webHidden/>
              </w:rPr>
              <w:instrText xml:space="preserve"> PAGEREF _Toc241144197 \h </w:instrText>
            </w:r>
            <w:r>
              <w:rPr>
                <w:noProof/>
                <w:webHidden/>
              </w:rPr>
            </w:r>
            <w:r>
              <w:rPr>
                <w:noProof/>
                <w:webHidden/>
              </w:rPr>
              <w:fldChar w:fldCharType="separate"/>
            </w:r>
            <w:r>
              <w:rPr>
                <w:noProof/>
                <w:webHidden/>
              </w:rPr>
              <w:t>29</w:t>
            </w:r>
            <w:r>
              <w:rPr>
                <w:noProof/>
                <w:webHidden/>
              </w:rPr>
              <w:fldChar w:fldCharType="end"/>
            </w:r>
          </w:hyperlink>
        </w:p>
        <w:p w14:paraId="3C710658" w14:textId="67CFDCB7"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8" w:history="1">
            <w:r w:rsidRPr="00113882">
              <w:rPr>
                <w:rStyle w:val="Hyperlink"/>
                <w:noProof/>
              </w:rPr>
              <w:t>4.1 Introduction</w:t>
            </w:r>
            <w:r>
              <w:rPr>
                <w:noProof/>
                <w:webHidden/>
              </w:rPr>
              <w:tab/>
            </w:r>
            <w:r>
              <w:rPr>
                <w:noProof/>
                <w:webHidden/>
              </w:rPr>
              <w:fldChar w:fldCharType="begin"/>
            </w:r>
            <w:r>
              <w:rPr>
                <w:noProof/>
                <w:webHidden/>
              </w:rPr>
              <w:instrText xml:space="preserve"> PAGEREF _Toc241144198 \h </w:instrText>
            </w:r>
            <w:r>
              <w:rPr>
                <w:noProof/>
                <w:webHidden/>
              </w:rPr>
            </w:r>
            <w:r>
              <w:rPr>
                <w:noProof/>
                <w:webHidden/>
              </w:rPr>
              <w:fldChar w:fldCharType="separate"/>
            </w:r>
            <w:r>
              <w:rPr>
                <w:noProof/>
                <w:webHidden/>
              </w:rPr>
              <w:t>29</w:t>
            </w:r>
            <w:r>
              <w:rPr>
                <w:noProof/>
                <w:webHidden/>
              </w:rPr>
              <w:fldChar w:fldCharType="end"/>
            </w:r>
          </w:hyperlink>
        </w:p>
        <w:p w14:paraId="570D364F" w14:textId="1411801D"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199" w:history="1">
            <w:r w:rsidRPr="00113882">
              <w:rPr>
                <w:rStyle w:val="Hyperlink"/>
                <w:noProof/>
              </w:rPr>
              <w:t>4.2 Descriptive Mapping: What Was Published and When</w:t>
            </w:r>
            <w:r>
              <w:rPr>
                <w:noProof/>
                <w:webHidden/>
              </w:rPr>
              <w:tab/>
            </w:r>
            <w:r>
              <w:rPr>
                <w:noProof/>
                <w:webHidden/>
              </w:rPr>
              <w:fldChar w:fldCharType="begin"/>
            </w:r>
            <w:r>
              <w:rPr>
                <w:noProof/>
                <w:webHidden/>
              </w:rPr>
              <w:instrText xml:space="preserve"> PAGEREF _Toc241144199 \h </w:instrText>
            </w:r>
            <w:r>
              <w:rPr>
                <w:noProof/>
                <w:webHidden/>
              </w:rPr>
            </w:r>
            <w:r>
              <w:rPr>
                <w:noProof/>
                <w:webHidden/>
              </w:rPr>
              <w:fldChar w:fldCharType="separate"/>
            </w:r>
            <w:r>
              <w:rPr>
                <w:noProof/>
                <w:webHidden/>
              </w:rPr>
              <w:t>29</w:t>
            </w:r>
            <w:r>
              <w:rPr>
                <w:noProof/>
                <w:webHidden/>
              </w:rPr>
              <w:fldChar w:fldCharType="end"/>
            </w:r>
          </w:hyperlink>
        </w:p>
        <w:p w14:paraId="30E95475" w14:textId="254140E5"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0" w:history="1">
            <w:r w:rsidRPr="00113882">
              <w:rPr>
                <w:rStyle w:val="Hyperlink"/>
                <w:noProof/>
              </w:rPr>
              <w:t>4.2.1 Corpus Overview</w:t>
            </w:r>
            <w:r>
              <w:rPr>
                <w:noProof/>
                <w:webHidden/>
              </w:rPr>
              <w:tab/>
            </w:r>
            <w:r>
              <w:rPr>
                <w:noProof/>
                <w:webHidden/>
              </w:rPr>
              <w:fldChar w:fldCharType="begin"/>
            </w:r>
            <w:r>
              <w:rPr>
                <w:noProof/>
                <w:webHidden/>
              </w:rPr>
              <w:instrText xml:space="preserve"> PAGEREF _Toc241144200 \h </w:instrText>
            </w:r>
            <w:r>
              <w:rPr>
                <w:noProof/>
                <w:webHidden/>
              </w:rPr>
            </w:r>
            <w:r>
              <w:rPr>
                <w:noProof/>
                <w:webHidden/>
              </w:rPr>
              <w:fldChar w:fldCharType="separate"/>
            </w:r>
            <w:r>
              <w:rPr>
                <w:noProof/>
                <w:webHidden/>
              </w:rPr>
              <w:t>29</w:t>
            </w:r>
            <w:r>
              <w:rPr>
                <w:noProof/>
                <w:webHidden/>
              </w:rPr>
              <w:fldChar w:fldCharType="end"/>
            </w:r>
          </w:hyperlink>
        </w:p>
        <w:p w14:paraId="0259EB98" w14:textId="22DDDF54"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1" w:history="1">
            <w:r w:rsidRPr="00113882">
              <w:rPr>
                <w:rStyle w:val="Hyperlink"/>
                <w:noProof/>
              </w:rPr>
              <w:t>4.2.2 Temporal Distribution and Dispute Timeline</w:t>
            </w:r>
            <w:r>
              <w:rPr>
                <w:noProof/>
                <w:webHidden/>
              </w:rPr>
              <w:tab/>
            </w:r>
            <w:r>
              <w:rPr>
                <w:noProof/>
                <w:webHidden/>
              </w:rPr>
              <w:fldChar w:fldCharType="begin"/>
            </w:r>
            <w:r>
              <w:rPr>
                <w:noProof/>
                <w:webHidden/>
              </w:rPr>
              <w:instrText xml:space="preserve"> PAGEREF _Toc241144201 \h </w:instrText>
            </w:r>
            <w:r>
              <w:rPr>
                <w:noProof/>
                <w:webHidden/>
              </w:rPr>
            </w:r>
            <w:r>
              <w:rPr>
                <w:noProof/>
                <w:webHidden/>
              </w:rPr>
              <w:fldChar w:fldCharType="separate"/>
            </w:r>
            <w:r>
              <w:rPr>
                <w:noProof/>
                <w:webHidden/>
              </w:rPr>
              <w:t>30</w:t>
            </w:r>
            <w:r>
              <w:rPr>
                <w:noProof/>
                <w:webHidden/>
              </w:rPr>
              <w:fldChar w:fldCharType="end"/>
            </w:r>
          </w:hyperlink>
        </w:p>
        <w:p w14:paraId="4EAFC696" w14:textId="469BD514"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2" w:history="1">
            <w:r w:rsidRPr="00113882">
              <w:rPr>
                <w:rStyle w:val="Hyperlink"/>
                <w:noProof/>
              </w:rPr>
              <w:t>4.2.3 Visible Engagement Indicators</w:t>
            </w:r>
            <w:r>
              <w:rPr>
                <w:noProof/>
                <w:webHidden/>
              </w:rPr>
              <w:tab/>
            </w:r>
            <w:r>
              <w:rPr>
                <w:noProof/>
                <w:webHidden/>
              </w:rPr>
              <w:fldChar w:fldCharType="begin"/>
            </w:r>
            <w:r>
              <w:rPr>
                <w:noProof/>
                <w:webHidden/>
              </w:rPr>
              <w:instrText xml:space="preserve"> PAGEREF _Toc241144202 \h </w:instrText>
            </w:r>
            <w:r>
              <w:rPr>
                <w:noProof/>
                <w:webHidden/>
              </w:rPr>
            </w:r>
            <w:r>
              <w:rPr>
                <w:noProof/>
                <w:webHidden/>
              </w:rPr>
              <w:fldChar w:fldCharType="separate"/>
            </w:r>
            <w:r>
              <w:rPr>
                <w:noProof/>
                <w:webHidden/>
              </w:rPr>
              <w:t>31</w:t>
            </w:r>
            <w:r>
              <w:rPr>
                <w:noProof/>
                <w:webHidden/>
              </w:rPr>
              <w:fldChar w:fldCharType="end"/>
            </w:r>
          </w:hyperlink>
        </w:p>
        <w:p w14:paraId="48625451" w14:textId="31E32CA3"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3" w:history="1">
            <w:r w:rsidRPr="00113882">
              <w:rPr>
                <w:rStyle w:val="Hyperlink"/>
                <w:noProof/>
              </w:rPr>
              <w:t>4.2.4 Coded Theme Frequency</w:t>
            </w:r>
            <w:r>
              <w:rPr>
                <w:noProof/>
                <w:webHidden/>
              </w:rPr>
              <w:tab/>
            </w:r>
            <w:r>
              <w:rPr>
                <w:noProof/>
                <w:webHidden/>
              </w:rPr>
              <w:fldChar w:fldCharType="begin"/>
            </w:r>
            <w:r>
              <w:rPr>
                <w:noProof/>
                <w:webHidden/>
              </w:rPr>
              <w:instrText xml:space="preserve"> PAGEREF _Toc241144203 \h </w:instrText>
            </w:r>
            <w:r>
              <w:rPr>
                <w:noProof/>
                <w:webHidden/>
              </w:rPr>
            </w:r>
            <w:r>
              <w:rPr>
                <w:noProof/>
                <w:webHidden/>
              </w:rPr>
              <w:fldChar w:fldCharType="separate"/>
            </w:r>
            <w:r>
              <w:rPr>
                <w:noProof/>
                <w:webHidden/>
              </w:rPr>
              <w:t>32</w:t>
            </w:r>
            <w:r>
              <w:rPr>
                <w:noProof/>
                <w:webHidden/>
              </w:rPr>
              <w:fldChar w:fldCharType="end"/>
            </w:r>
          </w:hyperlink>
        </w:p>
        <w:p w14:paraId="7F498083" w14:textId="34D55A97"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4" w:history="1">
            <w:r w:rsidRPr="00113882">
              <w:rPr>
                <w:rStyle w:val="Hyperlink"/>
                <w:noProof/>
              </w:rPr>
              <w:t>4.2.5 Secondary Corpus Composition</w:t>
            </w:r>
            <w:r>
              <w:rPr>
                <w:noProof/>
                <w:webHidden/>
              </w:rPr>
              <w:tab/>
            </w:r>
            <w:r>
              <w:rPr>
                <w:noProof/>
                <w:webHidden/>
              </w:rPr>
              <w:fldChar w:fldCharType="begin"/>
            </w:r>
            <w:r>
              <w:rPr>
                <w:noProof/>
                <w:webHidden/>
              </w:rPr>
              <w:instrText xml:space="preserve"> PAGEREF _Toc241144204 \h </w:instrText>
            </w:r>
            <w:r>
              <w:rPr>
                <w:noProof/>
                <w:webHidden/>
              </w:rPr>
            </w:r>
            <w:r>
              <w:rPr>
                <w:noProof/>
                <w:webHidden/>
              </w:rPr>
              <w:fldChar w:fldCharType="separate"/>
            </w:r>
            <w:r>
              <w:rPr>
                <w:noProof/>
                <w:webHidden/>
              </w:rPr>
              <w:t>32</w:t>
            </w:r>
            <w:r>
              <w:rPr>
                <w:noProof/>
                <w:webHidden/>
              </w:rPr>
              <w:fldChar w:fldCharType="end"/>
            </w:r>
          </w:hyperlink>
        </w:p>
        <w:p w14:paraId="41D420AB" w14:textId="5DE913AF"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05" w:history="1">
            <w:r w:rsidRPr="00113882">
              <w:rPr>
                <w:rStyle w:val="Hyperlink"/>
                <w:noProof/>
              </w:rPr>
              <w:t>4.3 Interpretive Analysis: How the Message Was Constructed</w:t>
            </w:r>
            <w:r>
              <w:rPr>
                <w:noProof/>
                <w:webHidden/>
              </w:rPr>
              <w:tab/>
            </w:r>
            <w:r>
              <w:rPr>
                <w:noProof/>
                <w:webHidden/>
              </w:rPr>
              <w:fldChar w:fldCharType="begin"/>
            </w:r>
            <w:r>
              <w:rPr>
                <w:noProof/>
                <w:webHidden/>
              </w:rPr>
              <w:instrText xml:space="preserve"> PAGEREF _Toc241144205 \h </w:instrText>
            </w:r>
            <w:r>
              <w:rPr>
                <w:noProof/>
                <w:webHidden/>
              </w:rPr>
            </w:r>
            <w:r>
              <w:rPr>
                <w:noProof/>
                <w:webHidden/>
              </w:rPr>
              <w:fldChar w:fldCharType="separate"/>
            </w:r>
            <w:r>
              <w:rPr>
                <w:noProof/>
                <w:webHidden/>
              </w:rPr>
              <w:t>33</w:t>
            </w:r>
            <w:r>
              <w:rPr>
                <w:noProof/>
                <w:webHidden/>
              </w:rPr>
              <w:fldChar w:fldCharType="end"/>
            </w:r>
          </w:hyperlink>
        </w:p>
        <w:p w14:paraId="01F61C5D" w14:textId="416C8313"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6" w:history="1">
            <w:r w:rsidRPr="00113882">
              <w:rPr>
                <w:rStyle w:val="Hyperlink"/>
                <w:noProof/>
              </w:rPr>
              <w:t>4.3.1 Humour: Forms, Functions and Limitations</w:t>
            </w:r>
            <w:r>
              <w:rPr>
                <w:noProof/>
                <w:webHidden/>
              </w:rPr>
              <w:tab/>
            </w:r>
            <w:r>
              <w:rPr>
                <w:noProof/>
                <w:webHidden/>
              </w:rPr>
              <w:fldChar w:fldCharType="begin"/>
            </w:r>
            <w:r>
              <w:rPr>
                <w:noProof/>
                <w:webHidden/>
              </w:rPr>
              <w:instrText xml:space="preserve"> PAGEREF _Toc241144206 \h </w:instrText>
            </w:r>
            <w:r>
              <w:rPr>
                <w:noProof/>
                <w:webHidden/>
              </w:rPr>
            </w:r>
            <w:r>
              <w:rPr>
                <w:noProof/>
                <w:webHidden/>
              </w:rPr>
              <w:fldChar w:fldCharType="separate"/>
            </w:r>
            <w:r>
              <w:rPr>
                <w:noProof/>
                <w:webHidden/>
              </w:rPr>
              <w:t>33</w:t>
            </w:r>
            <w:r>
              <w:rPr>
                <w:noProof/>
                <w:webHidden/>
              </w:rPr>
              <w:fldChar w:fldCharType="end"/>
            </w:r>
          </w:hyperlink>
        </w:p>
        <w:p w14:paraId="59AABFE6" w14:textId="7E8E748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7" w:history="1">
            <w:r w:rsidRPr="00113882">
              <w:rPr>
                <w:rStyle w:val="Hyperlink"/>
                <w:noProof/>
              </w:rPr>
              <w:t>4.3.2 Narrative: Character, Conflict and Resolution</w:t>
            </w:r>
            <w:r>
              <w:rPr>
                <w:noProof/>
                <w:webHidden/>
              </w:rPr>
              <w:tab/>
            </w:r>
            <w:r>
              <w:rPr>
                <w:noProof/>
                <w:webHidden/>
              </w:rPr>
              <w:fldChar w:fldCharType="begin"/>
            </w:r>
            <w:r>
              <w:rPr>
                <w:noProof/>
                <w:webHidden/>
              </w:rPr>
              <w:instrText xml:space="preserve"> PAGEREF _Toc241144207 \h </w:instrText>
            </w:r>
            <w:r>
              <w:rPr>
                <w:noProof/>
                <w:webHidden/>
              </w:rPr>
            </w:r>
            <w:r>
              <w:rPr>
                <w:noProof/>
                <w:webHidden/>
              </w:rPr>
              <w:fldChar w:fldCharType="separate"/>
            </w:r>
            <w:r>
              <w:rPr>
                <w:noProof/>
                <w:webHidden/>
              </w:rPr>
              <w:t>34</w:t>
            </w:r>
            <w:r>
              <w:rPr>
                <w:noProof/>
                <w:webHidden/>
              </w:rPr>
              <w:fldChar w:fldCharType="end"/>
            </w:r>
          </w:hyperlink>
        </w:p>
        <w:p w14:paraId="0690C988" w14:textId="029FE6F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8" w:history="1">
            <w:r w:rsidRPr="00113882">
              <w:rPr>
                <w:rStyle w:val="Hyperlink"/>
                <w:noProof/>
              </w:rPr>
              <w:t>4.3.3 Brand Personality: Sincerity, Excitement and Challenger Positioning</w:t>
            </w:r>
            <w:r>
              <w:rPr>
                <w:noProof/>
                <w:webHidden/>
              </w:rPr>
              <w:tab/>
            </w:r>
            <w:r>
              <w:rPr>
                <w:noProof/>
                <w:webHidden/>
              </w:rPr>
              <w:fldChar w:fldCharType="begin"/>
            </w:r>
            <w:r>
              <w:rPr>
                <w:noProof/>
                <w:webHidden/>
              </w:rPr>
              <w:instrText xml:space="preserve"> PAGEREF _Toc241144208 \h </w:instrText>
            </w:r>
            <w:r>
              <w:rPr>
                <w:noProof/>
                <w:webHidden/>
              </w:rPr>
            </w:r>
            <w:r>
              <w:rPr>
                <w:noProof/>
                <w:webHidden/>
              </w:rPr>
              <w:fldChar w:fldCharType="separate"/>
            </w:r>
            <w:r>
              <w:rPr>
                <w:noProof/>
                <w:webHidden/>
              </w:rPr>
              <w:t>35</w:t>
            </w:r>
            <w:r>
              <w:rPr>
                <w:noProof/>
                <w:webHidden/>
              </w:rPr>
              <w:fldChar w:fldCharType="end"/>
            </w:r>
          </w:hyperlink>
        </w:p>
        <w:p w14:paraId="7B900AE5" w14:textId="1C7E0E27"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09" w:history="1">
            <w:r w:rsidRPr="00113882">
              <w:rPr>
                <w:rStyle w:val="Hyperlink"/>
                <w:noProof/>
              </w:rPr>
              <w:t>4.3.4 Cultural References and Local Relevance</w:t>
            </w:r>
            <w:r>
              <w:rPr>
                <w:noProof/>
                <w:webHidden/>
              </w:rPr>
              <w:tab/>
            </w:r>
            <w:r>
              <w:rPr>
                <w:noProof/>
                <w:webHidden/>
              </w:rPr>
              <w:fldChar w:fldCharType="begin"/>
            </w:r>
            <w:r>
              <w:rPr>
                <w:noProof/>
                <w:webHidden/>
              </w:rPr>
              <w:instrText xml:space="preserve"> PAGEREF _Toc241144209 \h </w:instrText>
            </w:r>
            <w:r>
              <w:rPr>
                <w:noProof/>
                <w:webHidden/>
              </w:rPr>
            </w:r>
            <w:r>
              <w:rPr>
                <w:noProof/>
                <w:webHidden/>
              </w:rPr>
              <w:fldChar w:fldCharType="separate"/>
            </w:r>
            <w:r>
              <w:rPr>
                <w:noProof/>
                <w:webHidden/>
              </w:rPr>
              <w:t>36</w:t>
            </w:r>
            <w:r>
              <w:rPr>
                <w:noProof/>
                <w:webHidden/>
              </w:rPr>
              <w:fldChar w:fldCharType="end"/>
            </w:r>
          </w:hyperlink>
        </w:p>
        <w:p w14:paraId="5FFEDEA3" w14:textId="13180583"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10" w:history="1">
            <w:r w:rsidRPr="00113882">
              <w:rPr>
                <w:rStyle w:val="Hyperlink"/>
                <w:noProof/>
              </w:rPr>
              <w:t>4.3.5 Comparison with Contemporary External Coverage</w:t>
            </w:r>
            <w:r>
              <w:rPr>
                <w:noProof/>
                <w:webHidden/>
              </w:rPr>
              <w:tab/>
            </w:r>
            <w:r>
              <w:rPr>
                <w:noProof/>
                <w:webHidden/>
              </w:rPr>
              <w:fldChar w:fldCharType="begin"/>
            </w:r>
            <w:r>
              <w:rPr>
                <w:noProof/>
                <w:webHidden/>
              </w:rPr>
              <w:instrText xml:space="preserve"> PAGEREF _Toc241144210 \h </w:instrText>
            </w:r>
            <w:r>
              <w:rPr>
                <w:noProof/>
                <w:webHidden/>
              </w:rPr>
            </w:r>
            <w:r>
              <w:rPr>
                <w:noProof/>
                <w:webHidden/>
              </w:rPr>
              <w:fldChar w:fldCharType="separate"/>
            </w:r>
            <w:r>
              <w:rPr>
                <w:noProof/>
                <w:webHidden/>
              </w:rPr>
              <w:t>36</w:t>
            </w:r>
            <w:r>
              <w:rPr>
                <w:noProof/>
                <w:webHidden/>
              </w:rPr>
              <w:fldChar w:fldCharType="end"/>
            </w:r>
          </w:hyperlink>
        </w:p>
        <w:p w14:paraId="4FAFFF56" w14:textId="3954D0B1"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11" w:history="1">
            <w:r w:rsidRPr="00113882">
              <w:rPr>
                <w:rStyle w:val="Hyperlink"/>
                <w:noProof/>
              </w:rPr>
              <w:t>4.4 Evaluative Assessment: Proportionality to Reputational and Legal Risks</w:t>
            </w:r>
            <w:r>
              <w:rPr>
                <w:noProof/>
                <w:webHidden/>
              </w:rPr>
              <w:tab/>
            </w:r>
            <w:r>
              <w:rPr>
                <w:noProof/>
                <w:webHidden/>
              </w:rPr>
              <w:fldChar w:fldCharType="begin"/>
            </w:r>
            <w:r>
              <w:rPr>
                <w:noProof/>
                <w:webHidden/>
              </w:rPr>
              <w:instrText xml:space="preserve"> PAGEREF _Toc241144211 \h </w:instrText>
            </w:r>
            <w:r>
              <w:rPr>
                <w:noProof/>
                <w:webHidden/>
              </w:rPr>
            </w:r>
            <w:r>
              <w:rPr>
                <w:noProof/>
                <w:webHidden/>
              </w:rPr>
              <w:fldChar w:fldCharType="separate"/>
            </w:r>
            <w:r>
              <w:rPr>
                <w:noProof/>
                <w:webHidden/>
              </w:rPr>
              <w:t>38</w:t>
            </w:r>
            <w:r>
              <w:rPr>
                <w:noProof/>
                <w:webHidden/>
              </w:rPr>
              <w:fldChar w:fldCharType="end"/>
            </w:r>
          </w:hyperlink>
        </w:p>
        <w:p w14:paraId="2DE36434" w14:textId="1E800C84"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12" w:history="1">
            <w:r w:rsidRPr="00113882">
              <w:rPr>
                <w:rStyle w:val="Hyperlink"/>
                <w:noProof/>
              </w:rPr>
              <w:t>4.4.1 Reputational Risk Management</w:t>
            </w:r>
            <w:r>
              <w:rPr>
                <w:noProof/>
                <w:webHidden/>
              </w:rPr>
              <w:tab/>
            </w:r>
            <w:r>
              <w:rPr>
                <w:noProof/>
                <w:webHidden/>
              </w:rPr>
              <w:fldChar w:fldCharType="begin"/>
            </w:r>
            <w:r>
              <w:rPr>
                <w:noProof/>
                <w:webHidden/>
              </w:rPr>
              <w:instrText xml:space="preserve"> PAGEREF _Toc241144212 \h </w:instrText>
            </w:r>
            <w:r>
              <w:rPr>
                <w:noProof/>
                <w:webHidden/>
              </w:rPr>
            </w:r>
            <w:r>
              <w:rPr>
                <w:noProof/>
                <w:webHidden/>
              </w:rPr>
              <w:fldChar w:fldCharType="separate"/>
            </w:r>
            <w:r>
              <w:rPr>
                <w:noProof/>
                <w:webHidden/>
              </w:rPr>
              <w:t>38</w:t>
            </w:r>
            <w:r>
              <w:rPr>
                <w:noProof/>
                <w:webHidden/>
              </w:rPr>
              <w:fldChar w:fldCharType="end"/>
            </w:r>
          </w:hyperlink>
        </w:p>
        <w:p w14:paraId="0787F031" w14:textId="399C911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13" w:history="1">
            <w:r w:rsidRPr="00113882">
              <w:rPr>
                <w:rStyle w:val="Hyperlink"/>
                <w:noProof/>
              </w:rPr>
              <w:t>4.4.2 Legal Risk Assessment</w:t>
            </w:r>
            <w:r>
              <w:rPr>
                <w:noProof/>
                <w:webHidden/>
              </w:rPr>
              <w:tab/>
            </w:r>
            <w:r>
              <w:rPr>
                <w:noProof/>
                <w:webHidden/>
              </w:rPr>
              <w:fldChar w:fldCharType="begin"/>
            </w:r>
            <w:r>
              <w:rPr>
                <w:noProof/>
                <w:webHidden/>
              </w:rPr>
              <w:instrText xml:space="preserve"> PAGEREF _Toc241144213 \h </w:instrText>
            </w:r>
            <w:r>
              <w:rPr>
                <w:noProof/>
                <w:webHidden/>
              </w:rPr>
            </w:r>
            <w:r>
              <w:rPr>
                <w:noProof/>
                <w:webHidden/>
              </w:rPr>
              <w:fldChar w:fldCharType="separate"/>
            </w:r>
            <w:r>
              <w:rPr>
                <w:noProof/>
                <w:webHidden/>
              </w:rPr>
              <w:t>39</w:t>
            </w:r>
            <w:r>
              <w:rPr>
                <w:noProof/>
                <w:webHidden/>
              </w:rPr>
              <w:fldChar w:fldCharType="end"/>
            </w:r>
          </w:hyperlink>
        </w:p>
        <w:p w14:paraId="05163E5A" w14:textId="658665A6"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14" w:history="1">
            <w:r w:rsidRPr="00113882">
              <w:rPr>
                <w:rStyle w:val="Hyperlink"/>
                <w:noProof/>
              </w:rPr>
              <w:t>4.4.3 The Proportionality Question: Opportunity or Overreach?</w:t>
            </w:r>
            <w:r>
              <w:rPr>
                <w:noProof/>
                <w:webHidden/>
              </w:rPr>
              <w:tab/>
            </w:r>
            <w:r>
              <w:rPr>
                <w:noProof/>
                <w:webHidden/>
              </w:rPr>
              <w:fldChar w:fldCharType="begin"/>
            </w:r>
            <w:r>
              <w:rPr>
                <w:noProof/>
                <w:webHidden/>
              </w:rPr>
              <w:instrText xml:space="preserve"> PAGEREF _Toc241144214 \h </w:instrText>
            </w:r>
            <w:r>
              <w:rPr>
                <w:noProof/>
                <w:webHidden/>
              </w:rPr>
            </w:r>
            <w:r>
              <w:rPr>
                <w:noProof/>
                <w:webHidden/>
              </w:rPr>
              <w:fldChar w:fldCharType="separate"/>
            </w:r>
            <w:r>
              <w:rPr>
                <w:noProof/>
                <w:webHidden/>
              </w:rPr>
              <w:t>40</w:t>
            </w:r>
            <w:r>
              <w:rPr>
                <w:noProof/>
                <w:webHidden/>
              </w:rPr>
              <w:fldChar w:fldCharType="end"/>
            </w:r>
          </w:hyperlink>
        </w:p>
        <w:p w14:paraId="4162BF2A" w14:textId="60CBBED0"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15" w:history="1">
            <w:r w:rsidRPr="00113882">
              <w:rPr>
                <w:rStyle w:val="Hyperlink"/>
                <w:noProof/>
              </w:rPr>
              <w:t>4.5 Summary of Findings in Relation to Research Questions</w:t>
            </w:r>
            <w:r>
              <w:rPr>
                <w:noProof/>
                <w:webHidden/>
              </w:rPr>
              <w:tab/>
            </w:r>
            <w:r>
              <w:rPr>
                <w:noProof/>
                <w:webHidden/>
              </w:rPr>
              <w:fldChar w:fldCharType="begin"/>
            </w:r>
            <w:r>
              <w:rPr>
                <w:noProof/>
                <w:webHidden/>
              </w:rPr>
              <w:instrText xml:space="preserve"> PAGEREF _Toc241144215 \h </w:instrText>
            </w:r>
            <w:r>
              <w:rPr>
                <w:noProof/>
                <w:webHidden/>
              </w:rPr>
            </w:r>
            <w:r>
              <w:rPr>
                <w:noProof/>
                <w:webHidden/>
              </w:rPr>
              <w:fldChar w:fldCharType="separate"/>
            </w:r>
            <w:r>
              <w:rPr>
                <w:noProof/>
                <w:webHidden/>
              </w:rPr>
              <w:t>41</w:t>
            </w:r>
            <w:r>
              <w:rPr>
                <w:noProof/>
                <w:webHidden/>
              </w:rPr>
              <w:fldChar w:fldCharType="end"/>
            </w:r>
          </w:hyperlink>
        </w:p>
        <w:p w14:paraId="044C7824" w14:textId="307DBB6F"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216" w:history="1">
            <w:r w:rsidRPr="00113882">
              <w:rPr>
                <w:rStyle w:val="Hyperlink"/>
                <w:noProof/>
              </w:rPr>
              <w:t>Chapter 5: Discussion</w:t>
            </w:r>
            <w:r>
              <w:rPr>
                <w:noProof/>
                <w:webHidden/>
              </w:rPr>
              <w:tab/>
            </w:r>
            <w:r>
              <w:rPr>
                <w:noProof/>
                <w:webHidden/>
              </w:rPr>
              <w:fldChar w:fldCharType="begin"/>
            </w:r>
            <w:r>
              <w:rPr>
                <w:noProof/>
                <w:webHidden/>
              </w:rPr>
              <w:instrText xml:space="preserve"> PAGEREF _Toc241144216 \h </w:instrText>
            </w:r>
            <w:r>
              <w:rPr>
                <w:noProof/>
                <w:webHidden/>
              </w:rPr>
            </w:r>
            <w:r>
              <w:rPr>
                <w:noProof/>
                <w:webHidden/>
              </w:rPr>
              <w:fldChar w:fldCharType="separate"/>
            </w:r>
            <w:r>
              <w:rPr>
                <w:noProof/>
                <w:webHidden/>
              </w:rPr>
              <w:t>43</w:t>
            </w:r>
            <w:r>
              <w:rPr>
                <w:noProof/>
                <w:webHidden/>
              </w:rPr>
              <w:fldChar w:fldCharType="end"/>
            </w:r>
          </w:hyperlink>
        </w:p>
        <w:p w14:paraId="04A9B44E" w14:textId="40AA33E9"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17" w:history="1">
            <w:r w:rsidRPr="00113882">
              <w:rPr>
                <w:rStyle w:val="Hyperlink"/>
                <w:noProof/>
              </w:rPr>
              <w:t>5.1 Introduction</w:t>
            </w:r>
            <w:r>
              <w:rPr>
                <w:noProof/>
                <w:webHidden/>
              </w:rPr>
              <w:tab/>
            </w:r>
            <w:r>
              <w:rPr>
                <w:noProof/>
                <w:webHidden/>
              </w:rPr>
              <w:fldChar w:fldCharType="begin"/>
            </w:r>
            <w:r>
              <w:rPr>
                <w:noProof/>
                <w:webHidden/>
              </w:rPr>
              <w:instrText xml:space="preserve"> PAGEREF _Toc241144217 \h </w:instrText>
            </w:r>
            <w:r>
              <w:rPr>
                <w:noProof/>
                <w:webHidden/>
              </w:rPr>
            </w:r>
            <w:r>
              <w:rPr>
                <w:noProof/>
                <w:webHidden/>
              </w:rPr>
              <w:fldChar w:fldCharType="separate"/>
            </w:r>
            <w:r>
              <w:rPr>
                <w:noProof/>
                <w:webHidden/>
              </w:rPr>
              <w:t>43</w:t>
            </w:r>
            <w:r>
              <w:rPr>
                <w:noProof/>
                <w:webHidden/>
              </w:rPr>
              <w:fldChar w:fldCharType="end"/>
            </w:r>
          </w:hyperlink>
        </w:p>
        <w:p w14:paraId="7D76C2CA" w14:textId="0EBD8FFF"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18" w:history="1">
            <w:r w:rsidRPr="00113882">
              <w:rPr>
                <w:rStyle w:val="Hyperlink"/>
                <w:noProof/>
              </w:rPr>
              <w:t>5.2 Tension One: Timing, Improvisation and the Execution-Quality Question</w:t>
            </w:r>
            <w:r>
              <w:rPr>
                <w:noProof/>
                <w:webHidden/>
              </w:rPr>
              <w:tab/>
            </w:r>
            <w:r>
              <w:rPr>
                <w:noProof/>
                <w:webHidden/>
              </w:rPr>
              <w:fldChar w:fldCharType="begin"/>
            </w:r>
            <w:r>
              <w:rPr>
                <w:noProof/>
                <w:webHidden/>
              </w:rPr>
              <w:instrText xml:space="preserve"> PAGEREF _Toc241144218 \h </w:instrText>
            </w:r>
            <w:r>
              <w:rPr>
                <w:noProof/>
                <w:webHidden/>
              </w:rPr>
            </w:r>
            <w:r>
              <w:rPr>
                <w:noProof/>
                <w:webHidden/>
              </w:rPr>
              <w:fldChar w:fldCharType="separate"/>
            </w:r>
            <w:r>
              <w:rPr>
                <w:noProof/>
                <w:webHidden/>
              </w:rPr>
              <w:t>43</w:t>
            </w:r>
            <w:r>
              <w:rPr>
                <w:noProof/>
                <w:webHidden/>
              </w:rPr>
              <w:fldChar w:fldCharType="end"/>
            </w:r>
          </w:hyperlink>
        </w:p>
        <w:p w14:paraId="501BB0E6" w14:textId="415E3716"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19" w:history="1">
            <w:r w:rsidRPr="00113882">
              <w:rPr>
                <w:rStyle w:val="Hyperlink"/>
                <w:noProof/>
              </w:rPr>
              <w:t>5.2.1 From Fast Relevance to Execution Quality</w:t>
            </w:r>
            <w:r>
              <w:rPr>
                <w:noProof/>
                <w:webHidden/>
              </w:rPr>
              <w:tab/>
            </w:r>
            <w:r>
              <w:rPr>
                <w:noProof/>
                <w:webHidden/>
              </w:rPr>
              <w:fldChar w:fldCharType="begin"/>
            </w:r>
            <w:r>
              <w:rPr>
                <w:noProof/>
                <w:webHidden/>
              </w:rPr>
              <w:instrText xml:space="preserve"> PAGEREF _Toc241144219 \h </w:instrText>
            </w:r>
            <w:r>
              <w:rPr>
                <w:noProof/>
                <w:webHidden/>
              </w:rPr>
            </w:r>
            <w:r>
              <w:rPr>
                <w:noProof/>
                <w:webHidden/>
              </w:rPr>
              <w:fldChar w:fldCharType="separate"/>
            </w:r>
            <w:r>
              <w:rPr>
                <w:noProof/>
                <w:webHidden/>
              </w:rPr>
              <w:t>43</w:t>
            </w:r>
            <w:r>
              <w:rPr>
                <w:noProof/>
                <w:webHidden/>
              </w:rPr>
              <w:fldChar w:fldCharType="end"/>
            </w:r>
          </w:hyperlink>
        </w:p>
        <w:p w14:paraId="515E4896" w14:textId="4152CF15"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0" w:history="1">
            <w:r w:rsidRPr="00113882">
              <w:rPr>
                <w:rStyle w:val="Hyperlink"/>
                <w:noProof/>
              </w:rPr>
              <w:t>5.2.2 Three-Phase Structure and Strategic Control</w:t>
            </w:r>
            <w:r>
              <w:rPr>
                <w:noProof/>
                <w:webHidden/>
              </w:rPr>
              <w:tab/>
            </w:r>
            <w:r>
              <w:rPr>
                <w:noProof/>
                <w:webHidden/>
              </w:rPr>
              <w:fldChar w:fldCharType="begin"/>
            </w:r>
            <w:r>
              <w:rPr>
                <w:noProof/>
                <w:webHidden/>
              </w:rPr>
              <w:instrText xml:space="preserve"> PAGEREF _Toc241144220 \h </w:instrText>
            </w:r>
            <w:r>
              <w:rPr>
                <w:noProof/>
                <w:webHidden/>
              </w:rPr>
            </w:r>
            <w:r>
              <w:rPr>
                <w:noProof/>
                <w:webHidden/>
              </w:rPr>
              <w:fldChar w:fldCharType="separate"/>
            </w:r>
            <w:r>
              <w:rPr>
                <w:noProof/>
                <w:webHidden/>
              </w:rPr>
              <w:t>44</w:t>
            </w:r>
            <w:r>
              <w:rPr>
                <w:noProof/>
                <w:webHidden/>
              </w:rPr>
              <w:fldChar w:fldCharType="end"/>
            </w:r>
          </w:hyperlink>
        </w:p>
        <w:p w14:paraId="291384F3" w14:textId="2FD91DA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1" w:history="1">
            <w:r w:rsidRPr="00113882">
              <w:rPr>
                <w:rStyle w:val="Hyperlink"/>
                <w:noProof/>
              </w:rPr>
              <w:t>5.2.3 Implications of the Tension Between Improvisation and Timeliness</w:t>
            </w:r>
            <w:r>
              <w:rPr>
                <w:noProof/>
                <w:webHidden/>
              </w:rPr>
              <w:tab/>
            </w:r>
            <w:r>
              <w:rPr>
                <w:noProof/>
                <w:webHidden/>
              </w:rPr>
              <w:fldChar w:fldCharType="begin"/>
            </w:r>
            <w:r>
              <w:rPr>
                <w:noProof/>
                <w:webHidden/>
              </w:rPr>
              <w:instrText xml:space="preserve"> PAGEREF _Toc241144221 \h </w:instrText>
            </w:r>
            <w:r>
              <w:rPr>
                <w:noProof/>
                <w:webHidden/>
              </w:rPr>
            </w:r>
            <w:r>
              <w:rPr>
                <w:noProof/>
                <w:webHidden/>
              </w:rPr>
              <w:fldChar w:fldCharType="separate"/>
            </w:r>
            <w:r>
              <w:rPr>
                <w:noProof/>
                <w:webHidden/>
              </w:rPr>
              <w:t>44</w:t>
            </w:r>
            <w:r>
              <w:rPr>
                <w:noProof/>
                <w:webHidden/>
              </w:rPr>
              <w:fldChar w:fldCharType="end"/>
            </w:r>
          </w:hyperlink>
        </w:p>
        <w:p w14:paraId="6CE02BAD" w14:textId="1FE50018"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22" w:history="1">
            <w:r w:rsidRPr="00113882">
              <w:rPr>
                <w:rStyle w:val="Hyperlink"/>
                <w:noProof/>
              </w:rPr>
              <w:t>5.3 Tension Two: Open Rivalry as Opportunity or Escalation</w:t>
            </w:r>
            <w:r>
              <w:rPr>
                <w:noProof/>
                <w:webHidden/>
              </w:rPr>
              <w:tab/>
            </w:r>
            <w:r>
              <w:rPr>
                <w:noProof/>
                <w:webHidden/>
              </w:rPr>
              <w:fldChar w:fldCharType="begin"/>
            </w:r>
            <w:r>
              <w:rPr>
                <w:noProof/>
                <w:webHidden/>
              </w:rPr>
              <w:instrText xml:space="preserve"> PAGEREF _Toc241144222 \h </w:instrText>
            </w:r>
            <w:r>
              <w:rPr>
                <w:noProof/>
                <w:webHidden/>
              </w:rPr>
            </w:r>
            <w:r>
              <w:rPr>
                <w:noProof/>
                <w:webHidden/>
              </w:rPr>
              <w:fldChar w:fldCharType="separate"/>
            </w:r>
            <w:r>
              <w:rPr>
                <w:noProof/>
                <w:webHidden/>
              </w:rPr>
              <w:t>45</w:t>
            </w:r>
            <w:r>
              <w:rPr>
                <w:noProof/>
                <w:webHidden/>
              </w:rPr>
              <w:fldChar w:fldCharType="end"/>
            </w:r>
          </w:hyperlink>
        </w:p>
        <w:p w14:paraId="6EF87E09" w14:textId="79B58D92"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3" w:history="1">
            <w:r w:rsidRPr="00113882">
              <w:rPr>
                <w:rStyle w:val="Hyperlink"/>
                <w:noProof/>
              </w:rPr>
              <w:t>5.3.1 Humour as a Strategic Response Device</w:t>
            </w:r>
            <w:r>
              <w:rPr>
                <w:noProof/>
                <w:webHidden/>
              </w:rPr>
              <w:tab/>
            </w:r>
            <w:r>
              <w:rPr>
                <w:noProof/>
                <w:webHidden/>
              </w:rPr>
              <w:fldChar w:fldCharType="begin"/>
            </w:r>
            <w:r>
              <w:rPr>
                <w:noProof/>
                <w:webHidden/>
              </w:rPr>
              <w:instrText xml:space="preserve"> PAGEREF _Toc241144223 \h </w:instrText>
            </w:r>
            <w:r>
              <w:rPr>
                <w:noProof/>
                <w:webHidden/>
              </w:rPr>
            </w:r>
            <w:r>
              <w:rPr>
                <w:noProof/>
                <w:webHidden/>
              </w:rPr>
              <w:fldChar w:fldCharType="separate"/>
            </w:r>
            <w:r>
              <w:rPr>
                <w:noProof/>
                <w:webHidden/>
              </w:rPr>
              <w:t>45</w:t>
            </w:r>
            <w:r>
              <w:rPr>
                <w:noProof/>
                <w:webHidden/>
              </w:rPr>
              <w:fldChar w:fldCharType="end"/>
            </w:r>
          </w:hyperlink>
        </w:p>
        <w:p w14:paraId="4E081894" w14:textId="6EF2181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4" w:history="1">
            <w:r w:rsidRPr="00113882">
              <w:rPr>
                <w:rStyle w:val="Hyperlink"/>
                <w:noProof/>
              </w:rPr>
              <w:t>5.3.2 Challenger-Brand Positioning: The Underdog Narrative</w:t>
            </w:r>
            <w:r>
              <w:rPr>
                <w:noProof/>
                <w:webHidden/>
              </w:rPr>
              <w:tab/>
            </w:r>
            <w:r>
              <w:rPr>
                <w:noProof/>
                <w:webHidden/>
              </w:rPr>
              <w:fldChar w:fldCharType="begin"/>
            </w:r>
            <w:r>
              <w:rPr>
                <w:noProof/>
                <w:webHidden/>
              </w:rPr>
              <w:instrText xml:space="preserve"> PAGEREF _Toc241144224 \h </w:instrText>
            </w:r>
            <w:r>
              <w:rPr>
                <w:noProof/>
                <w:webHidden/>
              </w:rPr>
            </w:r>
            <w:r>
              <w:rPr>
                <w:noProof/>
                <w:webHidden/>
              </w:rPr>
              <w:fldChar w:fldCharType="separate"/>
            </w:r>
            <w:r>
              <w:rPr>
                <w:noProof/>
                <w:webHidden/>
              </w:rPr>
              <w:t>46</w:t>
            </w:r>
            <w:r>
              <w:rPr>
                <w:noProof/>
                <w:webHidden/>
              </w:rPr>
              <w:fldChar w:fldCharType="end"/>
            </w:r>
          </w:hyperlink>
        </w:p>
        <w:p w14:paraId="27A3C29B" w14:textId="287FC971"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5" w:history="1">
            <w:r w:rsidRPr="00113882">
              <w:rPr>
                <w:rStyle w:val="Hyperlink"/>
                <w:noProof/>
              </w:rPr>
              <w:t>5.3.3 Cultural Context and Localisation</w:t>
            </w:r>
            <w:r>
              <w:rPr>
                <w:noProof/>
                <w:webHidden/>
              </w:rPr>
              <w:tab/>
            </w:r>
            <w:r>
              <w:rPr>
                <w:noProof/>
                <w:webHidden/>
              </w:rPr>
              <w:fldChar w:fldCharType="begin"/>
            </w:r>
            <w:r>
              <w:rPr>
                <w:noProof/>
                <w:webHidden/>
              </w:rPr>
              <w:instrText xml:space="preserve"> PAGEREF _Toc241144225 \h </w:instrText>
            </w:r>
            <w:r>
              <w:rPr>
                <w:noProof/>
                <w:webHidden/>
              </w:rPr>
            </w:r>
            <w:r>
              <w:rPr>
                <w:noProof/>
                <w:webHidden/>
              </w:rPr>
              <w:fldChar w:fldCharType="separate"/>
            </w:r>
            <w:r>
              <w:rPr>
                <w:noProof/>
                <w:webHidden/>
              </w:rPr>
              <w:t>46</w:t>
            </w:r>
            <w:r>
              <w:rPr>
                <w:noProof/>
                <w:webHidden/>
              </w:rPr>
              <w:fldChar w:fldCharType="end"/>
            </w:r>
          </w:hyperlink>
        </w:p>
        <w:p w14:paraId="506D69CF" w14:textId="7B5096A9"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6" w:history="1">
            <w:r w:rsidRPr="00113882">
              <w:rPr>
                <w:rStyle w:val="Hyperlink"/>
                <w:noProof/>
              </w:rPr>
              <w:t>5.3.4 Tension Two Revisited: Open Rivalry Implications</w:t>
            </w:r>
            <w:r>
              <w:rPr>
                <w:noProof/>
                <w:webHidden/>
              </w:rPr>
              <w:tab/>
            </w:r>
            <w:r>
              <w:rPr>
                <w:noProof/>
                <w:webHidden/>
              </w:rPr>
              <w:fldChar w:fldCharType="begin"/>
            </w:r>
            <w:r>
              <w:rPr>
                <w:noProof/>
                <w:webHidden/>
              </w:rPr>
              <w:instrText xml:space="preserve"> PAGEREF _Toc241144226 \h </w:instrText>
            </w:r>
            <w:r>
              <w:rPr>
                <w:noProof/>
                <w:webHidden/>
              </w:rPr>
            </w:r>
            <w:r>
              <w:rPr>
                <w:noProof/>
                <w:webHidden/>
              </w:rPr>
              <w:fldChar w:fldCharType="separate"/>
            </w:r>
            <w:r>
              <w:rPr>
                <w:noProof/>
                <w:webHidden/>
              </w:rPr>
              <w:t>47</w:t>
            </w:r>
            <w:r>
              <w:rPr>
                <w:noProof/>
                <w:webHidden/>
              </w:rPr>
              <w:fldChar w:fldCharType="end"/>
            </w:r>
          </w:hyperlink>
        </w:p>
        <w:p w14:paraId="1080F834" w14:textId="63238F3A"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27" w:history="1">
            <w:r w:rsidRPr="00113882">
              <w:rPr>
                <w:rStyle w:val="Hyperlink"/>
                <w:noProof/>
              </w:rPr>
              <w:t>5.4 Tension Three: Evaluative Assessment—Proportionality and Risk Management</w:t>
            </w:r>
            <w:r>
              <w:rPr>
                <w:noProof/>
                <w:webHidden/>
              </w:rPr>
              <w:tab/>
            </w:r>
            <w:r>
              <w:rPr>
                <w:noProof/>
                <w:webHidden/>
              </w:rPr>
              <w:fldChar w:fldCharType="begin"/>
            </w:r>
            <w:r>
              <w:rPr>
                <w:noProof/>
                <w:webHidden/>
              </w:rPr>
              <w:instrText xml:space="preserve"> PAGEREF _Toc241144227 \h </w:instrText>
            </w:r>
            <w:r>
              <w:rPr>
                <w:noProof/>
                <w:webHidden/>
              </w:rPr>
            </w:r>
            <w:r>
              <w:rPr>
                <w:noProof/>
                <w:webHidden/>
              </w:rPr>
              <w:fldChar w:fldCharType="separate"/>
            </w:r>
            <w:r>
              <w:rPr>
                <w:noProof/>
                <w:webHidden/>
              </w:rPr>
              <w:t>47</w:t>
            </w:r>
            <w:r>
              <w:rPr>
                <w:noProof/>
                <w:webHidden/>
              </w:rPr>
              <w:fldChar w:fldCharType="end"/>
            </w:r>
          </w:hyperlink>
        </w:p>
        <w:p w14:paraId="3EBE99BD" w14:textId="6FA0A6EC"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8" w:history="1">
            <w:r w:rsidRPr="00113882">
              <w:rPr>
                <w:rStyle w:val="Hyperlink"/>
                <w:noProof/>
              </w:rPr>
              <w:t>5.4.1 The Paracrisis Lens and the #FreeCuthbert Campaign</w:t>
            </w:r>
            <w:r>
              <w:rPr>
                <w:noProof/>
                <w:webHidden/>
              </w:rPr>
              <w:tab/>
            </w:r>
            <w:r>
              <w:rPr>
                <w:noProof/>
                <w:webHidden/>
              </w:rPr>
              <w:fldChar w:fldCharType="begin"/>
            </w:r>
            <w:r>
              <w:rPr>
                <w:noProof/>
                <w:webHidden/>
              </w:rPr>
              <w:instrText xml:space="preserve"> PAGEREF _Toc241144228 \h </w:instrText>
            </w:r>
            <w:r>
              <w:rPr>
                <w:noProof/>
                <w:webHidden/>
              </w:rPr>
            </w:r>
            <w:r>
              <w:rPr>
                <w:noProof/>
                <w:webHidden/>
              </w:rPr>
              <w:fldChar w:fldCharType="separate"/>
            </w:r>
            <w:r>
              <w:rPr>
                <w:noProof/>
                <w:webHidden/>
              </w:rPr>
              <w:t>47</w:t>
            </w:r>
            <w:r>
              <w:rPr>
                <w:noProof/>
                <w:webHidden/>
              </w:rPr>
              <w:fldChar w:fldCharType="end"/>
            </w:r>
          </w:hyperlink>
        </w:p>
        <w:p w14:paraId="311CC000" w14:textId="41C858CD"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29" w:history="1">
            <w:r w:rsidRPr="00113882">
              <w:rPr>
                <w:rStyle w:val="Hyperlink"/>
                <w:noProof/>
              </w:rPr>
              <w:t>5.4.2 Legal Risk and Communication Choices</w:t>
            </w:r>
            <w:r>
              <w:rPr>
                <w:noProof/>
                <w:webHidden/>
              </w:rPr>
              <w:tab/>
            </w:r>
            <w:r>
              <w:rPr>
                <w:noProof/>
                <w:webHidden/>
              </w:rPr>
              <w:fldChar w:fldCharType="begin"/>
            </w:r>
            <w:r>
              <w:rPr>
                <w:noProof/>
                <w:webHidden/>
              </w:rPr>
              <w:instrText xml:space="preserve"> PAGEREF _Toc241144229 \h </w:instrText>
            </w:r>
            <w:r>
              <w:rPr>
                <w:noProof/>
                <w:webHidden/>
              </w:rPr>
            </w:r>
            <w:r>
              <w:rPr>
                <w:noProof/>
                <w:webHidden/>
              </w:rPr>
              <w:fldChar w:fldCharType="separate"/>
            </w:r>
            <w:r>
              <w:rPr>
                <w:noProof/>
                <w:webHidden/>
              </w:rPr>
              <w:t>48</w:t>
            </w:r>
            <w:r>
              <w:rPr>
                <w:noProof/>
                <w:webHidden/>
              </w:rPr>
              <w:fldChar w:fldCharType="end"/>
            </w:r>
          </w:hyperlink>
        </w:p>
        <w:p w14:paraId="36FE9FC2" w14:textId="29371831" w:rsidR="006C7BAC" w:rsidRDefault="006C7BAC">
          <w:pPr>
            <w:pStyle w:val="TOC3"/>
            <w:tabs>
              <w:tab w:val="right" w:leader="dot" w:pos="9350"/>
            </w:tabs>
            <w:rPr>
              <w:rFonts w:asciiTheme="minorHAnsi" w:eastAsiaTheme="minorEastAsia" w:hAnsiTheme="minorHAnsi" w:cstheme="minorBidi"/>
              <w:noProof/>
              <w:kern w:val="2"/>
              <w:lang w:val="en-GB"/>
              <w14:ligatures w14:val="standardContextual"/>
            </w:rPr>
          </w:pPr>
          <w:hyperlink w:anchor="_Toc241144230" w:history="1">
            <w:r w:rsidRPr="00113882">
              <w:rPr>
                <w:rStyle w:val="Hyperlink"/>
                <w:noProof/>
              </w:rPr>
              <w:t>5.4.3 Implications for the Crisis-Versus-Paracrisis Tension</w:t>
            </w:r>
            <w:r>
              <w:rPr>
                <w:noProof/>
                <w:webHidden/>
              </w:rPr>
              <w:tab/>
            </w:r>
            <w:r>
              <w:rPr>
                <w:noProof/>
                <w:webHidden/>
              </w:rPr>
              <w:fldChar w:fldCharType="begin"/>
            </w:r>
            <w:r>
              <w:rPr>
                <w:noProof/>
                <w:webHidden/>
              </w:rPr>
              <w:instrText xml:space="preserve"> PAGEREF _Toc241144230 \h </w:instrText>
            </w:r>
            <w:r>
              <w:rPr>
                <w:noProof/>
                <w:webHidden/>
              </w:rPr>
            </w:r>
            <w:r>
              <w:rPr>
                <w:noProof/>
                <w:webHidden/>
              </w:rPr>
              <w:fldChar w:fldCharType="separate"/>
            </w:r>
            <w:r>
              <w:rPr>
                <w:noProof/>
                <w:webHidden/>
              </w:rPr>
              <w:t>49</w:t>
            </w:r>
            <w:r>
              <w:rPr>
                <w:noProof/>
                <w:webHidden/>
              </w:rPr>
              <w:fldChar w:fldCharType="end"/>
            </w:r>
          </w:hyperlink>
        </w:p>
        <w:p w14:paraId="6143B48F" w14:textId="5E906EB8"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1" w:history="1">
            <w:r w:rsidRPr="00113882">
              <w:rPr>
                <w:rStyle w:val="Hyperlink"/>
                <w:noProof/>
              </w:rPr>
              <w:t>5.5 The Three Tensions Revisited: Confirmed, Qualified or Challenged?</w:t>
            </w:r>
            <w:r>
              <w:rPr>
                <w:noProof/>
                <w:webHidden/>
              </w:rPr>
              <w:tab/>
            </w:r>
            <w:r>
              <w:rPr>
                <w:noProof/>
                <w:webHidden/>
              </w:rPr>
              <w:fldChar w:fldCharType="begin"/>
            </w:r>
            <w:r>
              <w:rPr>
                <w:noProof/>
                <w:webHidden/>
              </w:rPr>
              <w:instrText xml:space="preserve"> PAGEREF _Toc241144231 \h </w:instrText>
            </w:r>
            <w:r>
              <w:rPr>
                <w:noProof/>
                <w:webHidden/>
              </w:rPr>
            </w:r>
            <w:r>
              <w:rPr>
                <w:noProof/>
                <w:webHidden/>
              </w:rPr>
              <w:fldChar w:fldCharType="separate"/>
            </w:r>
            <w:r>
              <w:rPr>
                <w:noProof/>
                <w:webHidden/>
              </w:rPr>
              <w:t>49</w:t>
            </w:r>
            <w:r>
              <w:rPr>
                <w:noProof/>
                <w:webHidden/>
              </w:rPr>
              <w:fldChar w:fldCharType="end"/>
            </w:r>
          </w:hyperlink>
        </w:p>
        <w:p w14:paraId="7D72BF0B" w14:textId="6D18929F"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2" w:history="1">
            <w:r w:rsidRPr="00113882">
              <w:rPr>
                <w:rStyle w:val="Hyperlink"/>
                <w:noProof/>
              </w:rPr>
              <w:t>5.6 Implications for International Business</w:t>
            </w:r>
            <w:r>
              <w:rPr>
                <w:noProof/>
                <w:webHidden/>
              </w:rPr>
              <w:tab/>
            </w:r>
            <w:r>
              <w:rPr>
                <w:noProof/>
                <w:webHidden/>
              </w:rPr>
              <w:fldChar w:fldCharType="begin"/>
            </w:r>
            <w:r>
              <w:rPr>
                <w:noProof/>
                <w:webHidden/>
              </w:rPr>
              <w:instrText xml:space="preserve"> PAGEREF _Toc241144232 \h </w:instrText>
            </w:r>
            <w:r>
              <w:rPr>
                <w:noProof/>
                <w:webHidden/>
              </w:rPr>
            </w:r>
            <w:r>
              <w:rPr>
                <w:noProof/>
                <w:webHidden/>
              </w:rPr>
              <w:fldChar w:fldCharType="separate"/>
            </w:r>
            <w:r>
              <w:rPr>
                <w:noProof/>
                <w:webHidden/>
              </w:rPr>
              <w:t>50</w:t>
            </w:r>
            <w:r>
              <w:rPr>
                <w:noProof/>
                <w:webHidden/>
              </w:rPr>
              <w:fldChar w:fldCharType="end"/>
            </w:r>
          </w:hyperlink>
        </w:p>
        <w:p w14:paraId="3617F4D2" w14:textId="2635FE4B"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233" w:history="1">
            <w:r w:rsidRPr="00113882">
              <w:rPr>
                <w:rStyle w:val="Hyperlink"/>
                <w:noProof/>
              </w:rPr>
              <w:t>Chapter 6: Conclusion and Recommendations</w:t>
            </w:r>
            <w:r>
              <w:rPr>
                <w:noProof/>
                <w:webHidden/>
              </w:rPr>
              <w:tab/>
            </w:r>
            <w:r>
              <w:rPr>
                <w:noProof/>
                <w:webHidden/>
              </w:rPr>
              <w:fldChar w:fldCharType="begin"/>
            </w:r>
            <w:r>
              <w:rPr>
                <w:noProof/>
                <w:webHidden/>
              </w:rPr>
              <w:instrText xml:space="preserve"> PAGEREF _Toc241144233 \h </w:instrText>
            </w:r>
            <w:r>
              <w:rPr>
                <w:noProof/>
                <w:webHidden/>
              </w:rPr>
            </w:r>
            <w:r>
              <w:rPr>
                <w:noProof/>
                <w:webHidden/>
              </w:rPr>
              <w:fldChar w:fldCharType="separate"/>
            </w:r>
            <w:r>
              <w:rPr>
                <w:noProof/>
                <w:webHidden/>
              </w:rPr>
              <w:t>51</w:t>
            </w:r>
            <w:r>
              <w:rPr>
                <w:noProof/>
                <w:webHidden/>
              </w:rPr>
              <w:fldChar w:fldCharType="end"/>
            </w:r>
          </w:hyperlink>
        </w:p>
        <w:p w14:paraId="5017DE73" w14:textId="62D1E16F"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4" w:history="1">
            <w:r w:rsidRPr="00113882">
              <w:rPr>
                <w:rStyle w:val="Hyperlink"/>
                <w:noProof/>
              </w:rPr>
              <w:t>6.1 Summary of the Study</w:t>
            </w:r>
            <w:r>
              <w:rPr>
                <w:noProof/>
                <w:webHidden/>
              </w:rPr>
              <w:tab/>
            </w:r>
            <w:r>
              <w:rPr>
                <w:noProof/>
                <w:webHidden/>
              </w:rPr>
              <w:fldChar w:fldCharType="begin"/>
            </w:r>
            <w:r>
              <w:rPr>
                <w:noProof/>
                <w:webHidden/>
              </w:rPr>
              <w:instrText xml:space="preserve"> PAGEREF _Toc241144234 \h </w:instrText>
            </w:r>
            <w:r>
              <w:rPr>
                <w:noProof/>
                <w:webHidden/>
              </w:rPr>
            </w:r>
            <w:r>
              <w:rPr>
                <w:noProof/>
                <w:webHidden/>
              </w:rPr>
              <w:fldChar w:fldCharType="separate"/>
            </w:r>
            <w:r>
              <w:rPr>
                <w:noProof/>
                <w:webHidden/>
              </w:rPr>
              <w:t>51</w:t>
            </w:r>
            <w:r>
              <w:rPr>
                <w:noProof/>
                <w:webHidden/>
              </w:rPr>
              <w:fldChar w:fldCharType="end"/>
            </w:r>
          </w:hyperlink>
        </w:p>
        <w:p w14:paraId="3EBDCA87" w14:textId="3F627172"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5" w:history="1">
            <w:r w:rsidRPr="00113882">
              <w:rPr>
                <w:rStyle w:val="Hyperlink"/>
                <w:noProof/>
              </w:rPr>
              <w:t>6.2 Contribution to Knowledge</w:t>
            </w:r>
            <w:r>
              <w:rPr>
                <w:noProof/>
                <w:webHidden/>
              </w:rPr>
              <w:tab/>
            </w:r>
            <w:r>
              <w:rPr>
                <w:noProof/>
                <w:webHidden/>
              </w:rPr>
              <w:fldChar w:fldCharType="begin"/>
            </w:r>
            <w:r>
              <w:rPr>
                <w:noProof/>
                <w:webHidden/>
              </w:rPr>
              <w:instrText xml:space="preserve"> PAGEREF _Toc241144235 \h </w:instrText>
            </w:r>
            <w:r>
              <w:rPr>
                <w:noProof/>
                <w:webHidden/>
              </w:rPr>
            </w:r>
            <w:r>
              <w:rPr>
                <w:noProof/>
                <w:webHidden/>
              </w:rPr>
              <w:fldChar w:fldCharType="separate"/>
            </w:r>
            <w:r>
              <w:rPr>
                <w:noProof/>
                <w:webHidden/>
              </w:rPr>
              <w:t>52</w:t>
            </w:r>
            <w:r>
              <w:rPr>
                <w:noProof/>
                <w:webHidden/>
              </w:rPr>
              <w:fldChar w:fldCharType="end"/>
            </w:r>
          </w:hyperlink>
        </w:p>
        <w:p w14:paraId="120F7456" w14:textId="24569BBF"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6" w:history="1">
            <w:r w:rsidRPr="00113882">
              <w:rPr>
                <w:rStyle w:val="Hyperlink"/>
                <w:noProof/>
              </w:rPr>
              <w:t>6.3 Limitations</w:t>
            </w:r>
            <w:r>
              <w:rPr>
                <w:noProof/>
                <w:webHidden/>
              </w:rPr>
              <w:tab/>
            </w:r>
            <w:r>
              <w:rPr>
                <w:noProof/>
                <w:webHidden/>
              </w:rPr>
              <w:fldChar w:fldCharType="begin"/>
            </w:r>
            <w:r>
              <w:rPr>
                <w:noProof/>
                <w:webHidden/>
              </w:rPr>
              <w:instrText xml:space="preserve"> PAGEREF _Toc241144236 \h </w:instrText>
            </w:r>
            <w:r>
              <w:rPr>
                <w:noProof/>
                <w:webHidden/>
              </w:rPr>
            </w:r>
            <w:r>
              <w:rPr>
                <w:noProof/>
                <w:webHidden/>
              </w:rPr>
              <w:fldChar w:fldCharType="separate"/>
            </w:r>
            <w:r>
              <w:rPr>
                <w:noProof/>
                <w:webHidden/>
              </w:rPr>
              <w:t>53</w:t>
            </w:r>
            <w:r>
              <w:rPr>
                <w:noProof/>
                <w:webHidden/>
              </w:rPr>
              <w:fldChar w:fldCharType="end"/>
            </w:r>
          </w:hyperlink>
        </w:p>
        <w:p w14:paraId="75EED22B" w14:textId="3E434DFA"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7" w:history="1">
            <w:r w:rsidRPr="00113882">
              <w:rPr>
                <w:rStyle w:val="Hyperlink"/>
                <w:noProof/>
              </w:rPr>
              <w:t>6.4 Recommendations for Practice</w:t>
            </w:r>
            <w:r>
              <w:rPr>
                <w:noProof/>
                <w:webHidden/>
              </w:rPr>
              <w:tab/>
            </w:r>
            <w:r>
              <w:rPr>
                <w:noProof/>
                <w:webHidden/>
              </w:rPr>
              <w:fldChar w:fldCharType="begin"/>
            </w:r>
            <w:r>
              <w:rPr>
                <w:noProof/>
                <w:webHidden/>
              </w:rPr>
              <w:instrText xml:space="preserve"> PAGEREF _Toc241144237 \h </w:instrText>
            </w:r>
            <w:r>
              <w:rPr>
                <w:noProof/>
                <w:webHidden/>
              </w:rPr>
            </w:r>
            <w:r>
              <w:rPr>
                <w:noProof/>
                <w:webHidden/>
              </w:rPr>
              <w:fldChar w:fldCharType="separate"/>
            </w:r>
            <w:r>
              <w:rPr>
                <w:noProof/>
                <w:webHidden/>
              </w:rPr>
              <w:t>54</w:t>
            </w:r>
            <w:r>
              <w:rPr>
                <w:noProof/>
                <w:webHidden/>
              </w:rPr>
              <w:fldChar w:fldCharType="end"/>
            </w:r>
          </w:hyperlink>
        </w:p>
        <w:p w14:paraId="6601AE09" w14:textId="781D9FA9"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8" w:history="1">
            <w:r w:rsidRPr="00113882">
              <w:rPr>
                <w:rStyle w:val="Hyperlink"/>
                <w:noProof/>
              </w:rPr>
              <w:t>6.5 Recommendations for Future Research</w:t>
            </w:r>
            <w:r>
              <w:rPr>
                <w:noProof/>
                <w:webHidden/>
              </w:rPr>
              <w:tab/>
            </w:r>
            <w:r>
              <w:rPr>
                <w:noProof/>
                <w:webHidden/>
              </w:rPr>
              <w:fldChar w:fldCharType="begin"/>
            </w:r>
            <w:r>
              <w:rPr>
                <w:noProof/>
                <w:webHidden/>
              </w:rPr>
              <w:instrText xml:space="preserve"> PAGEREF _Toc241144238 \h </w:instrText>
            </w:r>
            <w:r>
              <w:rPr>
                <w:noProof/>
                <w:webHidden/>
              </w:rPr>
            </w:r>
            <w:r>
              <w:rPr>
                <w:noProof/>
                <w:webHidden/>
              </w:rPr>
              <w:fldChar w:fldCharType="separate"/>
            </w:r>
            <w:r>
              <w:rPr>
                <w:noProof/>
                <w:webHidden/>
              </w:rPr>
              <w:t>55</w:t>
            </w:r>
            <w:r>
              <w:rPr>
                <w:noProof/>
                <w:webHidden/>
              </w:rPr>
              <w:fldChar w:fldCharType="end"/>
            </w:r>
          </w:hyperlink>
        </w:p>
        <w:p w14:paraId="697E7731" w14:textId="769C6230"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39" w:history="1">
            <w:r w:rsidRPr="00113882">
              <w:rPr>
                <w:rStyle w:val="Hyperlink"/>
                <w:noProof/>
              </w:rPr>
              <w:t>6.6 Concluding Remarks</w:t>
            </w:r>
            <w:r>
              <w:rPr>
                <w:noProof/>
                <w:webHidden/>
              </w:rPr>
              <w:tab/>
            </w:r>
            <w:r>
              <w:rPr>
                <w:noProof/>
                <w:webHidden/>
              </w:rPr>
              <w:fldChar w:fldCharType="begin"/>
            </w:r>
            <w:r>
              <w:rPr>
                <w:noProof/>
                <w:webHidden/>
              </w:rPr>
              <w:instrText xml:space="preserve"> PAGEREF _Toc241144239 \h </w:instrText>
            </w:r>
            <w:r>
              <w:rPr>
                <w:noProof/>
                <w:webHidden/>
              </w:rPr>
            </w:r>
            <w:r>
              <w:rPr>
                <w:noProof/>
                <w:webHidden/>
              </w:rPr>
              <w:fldChar w:fldCharType="separate"/>
            </w:r>
            <w:r>
              <w:rPr>
                <w:noProof/>
                <w:webHidden/>
              </w:rPr>
              <w:t>56</w:t>
            </w:r>
            <w:r>
              <w:rPr>
                <w:noProof/>
                <w:webHidden/>
              </w:rPr>
              <w:fldChar w:fldCharType="end"/>
            </w:r>
          </w:hyperlink>
        </w:p>
        <w:p w14:paraId="33AF9088" w14:textId="20047105"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240" w:history="1">
            <w:r w:rsidRPr="00113882">
              <w:rPr>
                <w:rStyle w:val="Hyperlink"/>
                <w:noProof/>
              </w:rPr>
              <w:t>References</w:t>
            </w:r>
            <w:r>
              <w:rPr>
                <w:noProof/>
                <w:webHidden/>
              </w:rPr>
              <w:tab/>
            </w:r>
            <w:r>
              <w:rPr>
                <w:noProof/>
                <w:webHidden/>
              </w:rPr>
              <w:fldChar w:fldCharType="begin"/>
            </w:r>
            <w:r>
              <w:rPr>
                <w:noProof/>
                <w:webHidden/>
              </w:rPr>
              <w:instrText xml:space="preserve"> PAGEREF _Toc241144240 \h </w:instrText>
            </w:r>
            <w:r>
              <w:rPr>
                <w:noProof/>
                <w:webHidden/>
              </w:rPr>
            </w:r>
            <w:r>
              <w:rPr>
                <w:noProof/>
                <w:webHidden/>
              </w:rPr>
              <w:fldChar w:fldCharType="separate"/>
            </w:r>
            <w:r>
              <w:rPr>
                <w:noProof/>
                <w:webHidden/>
              </w:rPr>
              <w:t>57</w:t>
            </w:r>
            <w:r>
              <w:rPr>
                <w:noProof/>
                <w:webHidden/>
              </w:rPr>
              <w:fldChar w:fldCharType="end"/>
            </w:r>
          </w:hyperlink>
        </w:p>
        <w:p w14:paraId="7148834D" w14:textId="2A5513A2" w:rsidR="006C7BAC" w:rsidRDefault="006C7BAC">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41144241" w:history="1">
            <w:r w:rsidRPr="00113882">
              <w:rPr>
                <w:rStyle w:val="Hyperlink"/>
                <w:noProof/>
              </w:rPr>
              <w:t>Appendices</w:t>
            </w:r>
            <w:r>
              <w:rPr>
                <w:noProof/>
                <w:webHidden/>
              </w:rPr>
              <w:tab/>
            </w:r>
            <w:r>
              <w:rPr>
                <w:noProof/>
                <w:webHidden/>
              </w:rPr>
              <w:fldChar w:fldCharType="begin"/>
            </w:r>
            <w:r>
              <w:rPr>
                <w:noProof/>
                <w:webHidden/>
              </w:rPr>
              <w:instrText xml:space="preserve"> PAGEREF _Toc241144241 \h </w:instrText>
            </w:r>
            <w:r>
              <w:rPr>
                <w:noProof/>
                <w:webHidden/>
              </w:rPr>
            </w:r>
            <w:r>
              <w:rPr>
                <w:noProof/>
                <w:webHidden/>
              </w:rPr>
              <w:fldChar w:fldCharType="separate"/>
            </w:r>
            <w:r>
              <w:rPr>
                <w:noProof/>
                <w:webHidden/>
              </w:rPr>
              <w:t>64</w:t>
            </w:r>
            <w:r>
              <w:rPr>
                <w:noProof/>
                <w:webHidden/>
              </w:rPr>
              <w:fldChar w:fldCharType="end"/>
            </w:r>
          </w:hyperlink>
        </w:p>
        <w:p w14:paraId="05E20F45" w14:textId="2F516FDA"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42" w:history="1">
            <w:r w:rsidRPr="00113882">
              <w:rPr>
                <w:rStyle w:val="Hyperlink"/>
                <w:noProof/>
              </w:rPr>
              <w:t>Appendix A: Primary Corpus Log (16 Posts)</w:t>
            </w:r>
            <w:r>
              <w:rPr>
                <w:noProof/>
                <w:webHidden/>
              </w:rPr>
              <w:tab/>
            </w:r>
            <w:r>
              <w:rPr>
                <w:noProof/>
                <w:webHidden/>
              </w:rPr>
              <w:fldChar w:fldCharType="begin"/>
            </w:r>
            <w:r>
              <w:rPr>
                <w:noProof/>
                <w:webHidden/>
              </w:rPr>
              <w:instrText xml:space="preserve"> PAGEREF _Toc241144242 \h </w:instrText>
            </w:r>
            <w:r>
              <w:rPr>
                <w:noProof/>
                <w:webHidden/>
              </w:rPr>
            </w:r>
            <w:r>
              <w:rPr>
                <w:noProof/>
                <w:webHidden/>
              </w:rPr>
              <w:fldChar w:fldCharType="separate"/>
            </w:r>
            <w:r>
              <w:rPr>
                <w:noProof/>
                <w:webHidden/>
              </w:rPr>
              <w:t>64</w:t>
            </w:r>
            <w:r>
              <w:rPr>
                <w:noProof/>
                <w:webHidden/>
              </w:rPr>
              <w:fldChar w:fldCharType="end"/>
            </w:r>
          </w:hyperlink>
        </w:p>
        <w:p w14:paraId="4C708BEE" w14:textId="4EFCF3B2"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43" w:history="1">
            <w:r w:rsidRPr="00113882">
              <w:rPr>
                <w:rStyle w:val="Hyperlink"/>
                <w:noProof/>
              </w:rPr>
              <w:t>Appendix A2: Full Post Text and Screenshots</w:t>
            </w:r>
            <w:r>
              <w:rPr>
                <w:noProof/>
                <w:webHidden/>
              </w:rPr>
              <w:tab/>
            </w:r>
            <w:r>
              <w:rPr>
                <w:noProof/>
                <w:webHidden/>
              </w:rPr>
              <w:fldChar w:fldCharType="begin"/>
            </w:r>
            <w:r>
              <w:rPr>
                <w:noProof/>
                <w:webHidden/>
              </w:rPr>
              <w:instrText xml:space="preserve"> PAGEREF _Toc241144243 \h </w:instrText>
            </w:r>
            <w:r>
              <w:rPr>
                <w:noProof/>
                <w:webHidden/>
              </w:rPr>
            </w:r>
            <w:r>
              <w:rPr>
                <w:noProof/>
                <w:webHidden/>
              </w:rPr>
              <w:fldChar w:fldCharType="separate"/>
            </w:r>
            <w:r>
              <w:rPr>
                <w:noProof/>
                <w:webHidden/>
              </w:rPr>
              <w:t>65</w:t>
            </w:r>
            <w:r>
              <w:rPr>
                <w:noProof/>
                <w:webHidden/>
              </w:rPr>
              <w:fldChar w:fldCharType="end"/>
            </w:r>
          </w:hyperlink>
        </w:p>
        <w:p w14:paraId="14B4F657" w14:textId="6A2D5F55"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44" w:history="1">
            <w:r w:rsidRPr="00113882">
              <w:rPr>
                <w:rStyle w:val="Hyperlink"/>
                <w:noProof/>
              </w:rPr>
              <w:t>Appendix B: Secondary Source Log</w:t>
            </w:r>
            <w:r>
              <w:rPr>
                <w:noProof/>
                <w:webHidden/>
              </w:rPr>
              <w:tab/>
            </w:r>
            <w:r>
              <w:rPr>
                <w:noProof/>
                <w:webHidden/>
              </w:rPr>
              <w:fldChar w:fldCharType="begin"/>
            </w:r>
            <w:r>
              <w:rPr>
                <w:noProof/>
                <w:webHidden/>
              </w:rPr>
              <w:instrText xml:space="preserve"> PAGEREF _Toc241144244 \h </w:instrText>
            </w:r>
            <w:r>
              <w:rPr>
                <w:noProof/>
                <w:webHidden/>
              </w:rPr>
            </w:r>
            <w:r>
              <w:rPr>
                <w:noProof/>
                <w:webHidden/>
              </w:rPr>
              <w:fldChar w:fldCharType="separate"/>
            </w:r>
            <w:r>
              <w:rPr>
                <w:noProof/>
                <w:webHidden/>
              </w:rPr>
              <w:t>70</w:t>
            </w:r>
            <w:r>
              <w:rPr>
                <w:noProof/>
                <w:webHidden/>
              </w:rPr>
              <w:fldChar w:fldCharType="end"/>
            </w:r>
          </w:hyperlink>
        </w:p>
        <w:p w14:paraId="7D5B2904" w14:textId="7EDC099B"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45" w:history="1">
            <w:r w:rsidRPr="00113882">
              <w:rPr>
                <w:rStyle w:val="Hyperlink"/>
                <w:noProof/>
              </w:rPr>
              <w:t>Appendix C: Codebook</w:t>
            </w:r>
            <w:r>
              <w:rPr>
                <w:noProof/>
                <w:webHidden/>
              </w:rPr>
              <w:tab/>
            </w:r>
            <w:r>
              <w:rPr>
                <w:noProof/>
                <w:webHidden/>
              </w:rPr>
              <w:fldChar w:fldCharType="begin"/>
            </w:r>
            <w:r>
              <w:rPr>
                <w:noProof/>
                <w:webHidden/>
              </w:rPr>
              <w:instrText xml:space="preserve"> PAGEREF _Toc241144245 \h </w:instrText>
            </w:r>
            <w:r>
              <w:rPr>
                <w:noProof/>
                <w:webHidden/>
              </w:rPr>
            </w:r>
            <w:r>
              <w:rPr>
                <w:noProof/>
                <w:webHidden/>
              </w:rPr>
              <w:fldChar w:fldCharType="separate"/>
            </w:r>
            <w:r>
              <w:rPr>
                <w:noProof/>
                <w:webHidden/>
              </w:rPr>
              <w:t>72</w:t>
            </w:r>
            <w:r>
              <w:rPr>
                <w:noProof/>
                <w:webHidden/>
              </w:rPr>
              <w:fldChar w:fldCharType="end"/>
            </w:r>
          </w:hyperlink>
        </w:p>
        <w:p w14:paraId="2D416E3F" w14:textId="1B030523"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46" w:history="1">
            <w:r w:rsidRPr="00113882">
              <w:rPr>
                <w:rStyle w:val="Hyperlink"/>
                <w:noProof/>
              </w:rPr>
              <w:t>Appendix D: Coding Matrix and Coding Justifications</w:t>
            </w:r>
            <w:r>
              <w:rPr>
                <w:noProof/>
                <w:webHidden/>
              </w:rPr>
              <w:tab/>
            </w:r>
            <w:r>
              <w:rPr>
                <w:noProof/>
                <w:webHidden/>
              </w:rPr>
              <w:fldChar w:fldCharType="begin"/>
            </w:r>
            <w:r>
              <w:rPr>
                <w:noProof/>
                <w:webHidden/>
              </w:rPr>
              <w:instrText xml:space="preserve"> PAGEREF _Toc241144246 \h </w:instrText>
            </w:r>
            <w:r>
              <w:rPr>
                <w:noProof/>
                <w:webHidden/>
              </w:rPr>
            </w:r>
            <w:r>
              <w:rPr>
                <w:noProof/>
                <w:webHidden/>
              </w:rPr>
              <w:fldChar w:fldCharType="separate"/>
            </w:r>
            <w:r>
              <w:rPr>
                <w:noProof/>
                <w:webHidden/>
              </w:rPr>
              <w:t>73</w:t>
            </w:r>
            <w:r>
              <w:rPr>
                <w:noProof/>
                <w:webHidden/>
              </w:rPr>
              <w:fldChar w:fldCharType="end"/>
            </w:r>
          </w:hyperlink>
        </w:p>
        <w:p w14:paraId="422F4107" w14:textId="478C09D7"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47" w:history="1">
            <w:r w:rsidRPr="00113882">
              <w:rPr>
                <w:rStyle w:val="Hyperlink"/>
                <w:noProof/>
              </w:rPr>
              <w:t>Appendix E: Evidence Trail from Data to Conclusions</w:t>
            </w:r>
            <w:r>
              <w:rPr>
                <w:noProof/>
                <w:webHidden/>
              </w:rPr>
              <w:tab/>
            </w:r>
            <w:r>
              <w:rPr>
                <w:noProof/>
                <w:webHidden/>
              </w:rPr>
              <w:fldChar w:fldCharType="begin"/>
            </w:r>
            <w:r>
              <w:rPr>
                <w:noProof/>
                <w:webHidden/>
              </w:rPr>
              <w:instrText xml:space="preserve"> PAGEREF _Toc241144247 \h </w:instrText>
            </w:r>
            <w:r>
              <w:rPr>
                <w:noProof/>
                <w:webHidden/>
              </w:rPr>
            </w:r>
            <w:r>
              <w:rPr>
                <w:noProof/>
                <w:webHidden/>
              </w:rPr>
              <w:fldChar w:fldCharType="separate"/>
            </w:r>
            <w:r>
              <w:rPr>
                <w:noProof/>
                <w:webHidden/>
              </w:rPr>
              <w:t>75</w:t>
            </w:r>
            <w:r>
              <w:rPr>
                <w:noProof/>
                <w:webHidden/>
              </w:rPr>
              <w:fldChar w:fldCharType="end"/>
            </w:r>
          </w:hyperlink>
        </w:p>
        <w:p w14:paraId="29DE70BA" w14:textId="72C5270A" w:rsidR="006C7BAC" w:rsidRDefault="006C7BAC">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41144248" w:history="1">
            <w:r w:rsidRPr="00113882">
              <w:rPr>
                <w:rStyle w:val="Hyperlink"/>
                <w:noProof/>
              </w:rPr>
              <w:t>Appendix F: Secondary Source Codebook and Coding Matrix</w:t>
            </w:r>
            <w:r>
              <w:rPr>
                <w:noProof/>
                <w:webHidden/>
              </w:rPr>
              <w:tab/>
            </w:r>
            <w:r>
              <w:rPr>
                <w:noProof/>
                <w:webHidden/>
              </w:rPr>
              <w:fldChar w:fldCharType="begin"/>
            </w:r>
            <w:r>
              <w:rPr>
                <w:noProof/>
                <w:webHidden/>
              </w:rPr>
              <w:instrText xml:space="preserve"> PAGEREF _Toc241144248 \h </w:instrText>
            </w:r>
            <w:r>
              <w:rPr>
                <w:noProof/>
                <w:webHidden/>
              </w:rPr>
            </w:r>
            <w:r>
              <w:rPr>
                <w:noProof/>
                <w:webHidden/>
              </w:rPr>
              <w:fldChar w:fldCharType="separate"/>
            </w:r>
            <w:r>
              <w:rPr>
                <w:noProof/>
                <w:webHidden/>
              </w:rPr>
              <w:t>76</w:t>
            </w:r>
            <w:r>
              <w:rPr>
                <w:noProof/>
                <w:webHidden/>
              </w:rPr>
              <w:fldChar w:fldCharType="end"/>
            </w:r>
          </w:hyperlink>
        </w:p>
        <w:p w14:paraId="13E08F36" w14:textId="55975879" w:rsidR="003D2C5F" w:rsidRDefault="00000000">
          <w:pPr>
            <w:tabs>
              <w:tab w:val="right" w:leader="dot" w:pos="9350"/>
            </w:tabs>
            <w:spacing w:after="60"/>
            <w:ind w:left="240"/>
          </w:pPr>
          <w:r>
            <w:rPr>
              <w:rFonts w:ascii="Arial" w:eastAsia="Arial" w:hAnsi="Arial" w:cs="Arial"/>
              <w:sz w:val="20"/>
            </w:rPr>
            <w:fldChar w:fldCharType="end"/>
          </w:r>
        </w:p>
      </w:sdtContent>
    </w:sdt>
    <w:p w14:paraId="241247C3" w14:textId="77777777" w:rsidR="003D2C5F" w:rsidRDefault="00000000">
      <w:pPr>
        <w:pStyle w:val="Heading2"/>
        <w:pageBreakBefore/>
        <w:spacing w:line="360" w:lineRule="auto"/>
      </w:pPr>
      <w:bookmarkStart w:id="0" w:name="_Toc241144149"/>
      <w:r>
        <w:lastRenderedPageBreak/>
        <w:t>Acknowledgements</w:t>
      </w:r>
      <w:bookmarkEnd w:id="0"/>
    </w:p>
    <w:p w14:paraId="6C57D3A3" w14:textId="77777777" w:rsidR="003D2C5F" w:rsidRDefault="00000000">
      <w:pPr>
        <w:pBdr>
          <w:top w:val="nil"/>
          <w:left w:val="nil"/>
          <w:bottom w:val="nil"/>
          <w:right w:val="nil"/>
          <w:between w:val="nil"/>
        </w:pBdr>
        <w:spacing w:before="180" w:after="180" w:line="360" w:lineRule="auto"/>
        <w:jc w:val="both"/>
        <w:rPr>
          <w:color w:val="000000"/>
        </w:rPr>
      </w:pPr>
      <w:r>
        <w:rPr>
          <w:rFonts w:ascii="Arial" w:eastAsia="Arial" w:hAnsi="Arial" w:cs="Arial"/>
        </w:rPr>
        <w:t>I would like to thank my supervisor, Xavier Matieni, for their guidance and constructive feedback throughout this project, and in particular for encouraging me to make the evidence trail behind my findings fully transparent.</w:t>
      </w:r>
    </w:p>
    <w:p w14:paraId="005EFF37" w14:textId="77777777" w:rsidR="003D2C5F" w:rsidRDefault="00000000">
      <w:pPr>
        <w:pBdr>
          <w:top w:val="nil"/>
          <w:left w:val="nil"/>
          <w:bottom w:val="nil"/>
          <w:right w:val="nil"/>
          <w:between w:val="nil"/>
        </w:pBdr>
        <w:spacing w:before="180" w:after="180" w:line="360" w:lineRule="auto"/>
        <w:jc w:val="both"/>
        <w:rPr>
          <w:color w:val="000000"/>
        </w:rPr>
      </w:pPr>
      <w:r>
        <w:rPr>
          <w:rFonts w:ascii="Arial" w:eastAsia="Arial" w:hAnsi="Arial" w:cs="Arial"/>
        </w:rPr>
        <w:t>I am also grateful to the academic staff at the University of Wales Trinity Saint David for their teaching and support during my studies.</w:t>
      </w:r>
    </w:p>
    <w:p w14:paraId="5771A324" w14:textId="77777777" w:rsidR="003D2C5F" w:rsidRDefault="00000000">
      <w:pPr>
        <w:pBdr>
          <w:top w:val="nil"/>
          <w:left w:val="nil"/>
          <w:bottom w:val="nil"/>
          <w:right w:val="nil"/>
          <w:between w:val="nil"/>
        </w:pBdr>
        <w:spacing w:before="180" w:after="180" w:line="360" w:lineRule="auto"/>
        <w:jc w:val="both"/>
        <w:rPr>
          <w:color w:val="000000"/>
        </w:rPr>
      </w:pPr>
      <w:r>
        <w:rPr>
          <w:rFonts w:ascii="Arial" w:eastAsia="Arial" w:hAnsi="Arial" w:cs="Arial"/>
        </w:rPr>
        <w:t>Finally, I thank my family and friends for their patience and encouragement while I completed this dissertation.</w:t>
      </w:r>
    </w:p>
    <w:p w14:paraId="3D8C84D4" w14:textId="77777777" w:rsidR="003D2C5F" w:rsidRDefault="00000000">
      <w:pPr>
        <w:pStyle w:val="Heading2"/>
        <w:pageBreakBefore/>
        <w:spacing w:line="360" w:lineRule="auto"/>
      </w:pPr>
      <w:bookmarkStart w:id="1" w:name="hx2t5mhuek46" w:colFirst="0" w:colLast="0"/>
      <w:bookmarkStart w:id="2" w:name="_mv7gex7bubk8" w:colFirst="0" w:colLast="0"/>
      <w:bookmarkStart w:id="3" w:name="_Toc241144150"/>
      <w:bookmarkEnd w:id="1"/>
      <w:bookmarkEnd w:id="2"/>
      <w:r>
        <w:lastRenderedPageBreak/>
        <w:t>Abstract</w:t>
      </w:r>
      <w:bookmarkEnd w:id="3"/>
    </w:p>
    <w:p w14:paraId="52D09EB1" w14:textId="77777777" w:rsidR="003D2C5F" w:rsidRDefault="00000000">
      <w:pPr>
        <w:pBdr>
          <w:top w:val="nil"/>
          <w:left w:val="nil"/>
          <w:bottom w:val="nil"/>
          <w:right w:val="nil"/>
          <w:between w:val="nil"/>
        </w:pBdr>
        <w:spacing w:before="180" w:after="180" w:line="360" w:lineRule="auto"/>
        <w:jc w:val="both"/>
        <w:rPr>
          <w:color w:val="000000"/>
        </w:rPr>
      </w:pPr>
      <w:r>
        <w:rPr>
          <w:rFonts w:ascii="Arial" w:eastAsia="Arial" w:hAnsi="Arial" w:cs="Arial"/>
          <w:color w:val="000000"/>
        </w:rPr>
        <w:t xml:space="preserve">This dissertation investigates the case of Aldi UK's reactive social media marketing responses within the trademark dispute with Marks and Spencer over the Colin and Cuthbert Caterpillar Cake product and the insights this marketing communication provides into the concepts of cultural relevance, challenger-brand positioning and responsible reactive marketing within the UK grocery market. In a qualitative-dominant, single bounded case study design, the study examines a corpus of 16 verified primary social media posts published by Aldi UK on X (formerly Twitter) between 15 and 20 April 2021, as well as eleven verified contemporaneous external sources from the marketing trade press, mainstream news and legal-professional commentary. Thematic analysis, structured by a three-stage descriptive, interpretive and evaluative framework, shows that Aldi UK's #FreeCuthbert campaign included humorous, personified and storytelling elements, and made frequent humorous reference to the court case itself (Legal Sensitivity was coded in 9 of 16 posts, 56.3%), while avoiding any argument about the legal merits of the dispute. The trade press described the campaign as a creative success and a masterclass in reactive marketing, mainstream news presented it as a humorous, viral response to the legal action, and legal-professional commentary focused mainly on the legal merits, although some commentators linked the social media response to the reputational and legal stakes of the case. The results suggest that, in this case, reactive marketing in a legally sensitive context was both timely and strategically managed, in a form this study calls ‘prepared improvisation’, and that its cultural success depended on </w:t>
      </w:r>
      <w:proofErr w:type="spellStart"/>
      <w:r>
        <w:rPr>
          <w:rFonts w:ascii="Arial" w:eastAsia="Arial" w:hAnsi="Arial" w:cs="Arial"/>
          <w:color w:val="000000"/>
        </w:rPr>
        <w:t>localised</w:t>
      </w:r>
      <w:proofErr w:type="spellEnd"/>
      <w:r>
        <w:rPr>
          <w:rFonts w:ascii="Arial" w:eastAsia="Arial" w:hAnsi="Arial" w:cs="Arial"/>
          <w:color w:val="000000"/>
        </w:rPr>
        <w:t xml:space="preserve"> </w:t>
      </w:r>
      <w:proofErr w:type="spellStart"/>
      <w:r>
        <w:rPr>
          <w:rFonts w:ascii="Arial" w:eastAsia="Arial" w:hAnsi="Arial" w:cs="Arial"/>
          <w:color w:val="000000"/>
        </w:rPr>
        <w:t>humour</w:t>
      </w:r>
      <w:proofErr w:type="spellEnd"/>
      <w:r>
        <w:rPr>
          <w:rFonts w:ascii="Arial" w:eastAsia="Arial" w:hAnsi="Arial" w:cs="Arial"/>
          <w:color w:val="000000"/>
        </w:rPr>
        <w:t xml:space="preserve"> and cultural scripts that do not necessarily travel easily from one market to another. The dissertation offers an integrated interpretation of the reactive-marketing, challenger-brand and </w:t>
      </w:r>
      <w:proofErr w:type="spellStart"/>
      <w:r>
        <w:rPr>
          <w:rFonts w:ascii="Arial" w:eastAsia="Arial" w:hAnsi="Arial" w:cs="Arial"/>
          <w:color w:val="000000"/>
        </w:rPr>
        <w:t>paracrisis</w:t>
      </w:r>
      <w:proofErr w:type="spellEnd"/>
      <w:r>
        <w:rPr>
          <w:rFonts w:ascii="Arial" w:eastAsia="Arial" w:hAnsi="Arial" w:cs="Arial"/>
          <w:color w:val="000000"/>
        </w:rPr>
        <w:t xml:space="preserve"> literatures and provides cautious, transferable recommendations for international challenger brands dealing with similar events.</w:t>
      </w:r>
    </w:p>
    <w:p w14:paraId="27FD4285" w14:textId="77777777" w:rsidR="003D2C5F" w:rsidRDefault="003D2C5F">
      <w:pPr>
        <w:sectPr w:rsidR="003D2C5F">
          <w:footerReference w:type="default" r:id="rId8"/>
          <w:pgSz w:w="12240" w:h="15840"/>
          <w:pgMar w:top="1440" w:right="1440" w:bottom="1440" w:left="1440" w:header="720" w:footer="720" w:gutter="0"/>
          <w:pgNumType w:fmt="lowerRoman"/>
          <w:cols w:space="720"/>
        </w:sectPr>
      </w:pPr>
      <w:bookmarkStart w:id="4" w:name="ds5n3q1gy2b0" w:colFirst="0" w:colLast="0"/>
      <w:bookmarkEnd w:id="4"/>
    </w:p>
    <w:p w14:paraId="0000006E" w14:textId="77777777" w:rsidR="003D2C5F" w:rsidRDefault="00000000">
      <w:pPr>
        <w:pStyle w:val="Heading1"/>
        <w:keepNext w:val="0"/>
        <w:keepLines w:val="0"/>
        <w:rPr>
          <w:b w:val="0"/>
          <w:bCs w:val="0"/>
          <w:sz w:val="46"/>
          <w:szCs w:val="46"/>
        </w:rPr>
      </w:pPr>
      <w:bookmarkStart w:id="5" w:name="_1ghb65a7lpkn" w:colFirst="0" w:colLast="0"/>
      <w:bookmarkStart w:id="6" w:name="_Toc241144151"/>
      <w:bookmarkEnd w:id="5"/>
      <w:r>
        <w:rPr>
          <w:sz w:val="46"/>
          <w:szCs w:val="46"/>
        </w:rPr>
        <w:lastRenderedPageBreak/>
        <w:t>Chapter 1: Introduction</w:t>
      </w:r>
      <w:bookmarkEnd w:id="6"/>
    </w:p>
    <w:p w14:paraId="0000006F" w14:textId="77777777" w:rsidR="003D2C5F" w:rsidRDefault="00000000">
      <w:pPr>
        <w:pStyle w:val="Heading2"/>
        <w:keepNext w:val="0"/>
        <w:keepLines w:val="0"/>
        <w:spacing w:after="80" w:line="360" w:lineRule="auto"/>
        <w:rPr>
          <w:b w:val="0"/>
          <w:bCs w:val="0"/>
          <w:sz w:val="34"/>
          <w:szCs w:val="34"/>
        </w:rPr>
      </w:pPr>
      <w:bookmarkStart w:id="7" w:name="_evgkerskgk2t" w:colFirst="0" w:colLast="0"/>
      <w:bookmarkStart w:id="8" w:name="_Toc241144152"/>
      <w:bookmarkEnd w:id="7"/>
      <w:r>
        <w:rPr>
          <w:sz w:val="34"/>
          <w:szCs w:val="34"/>
        </w:rPr>
        <w:t>1.1 Background and Context</w:t>
      </w:r>
      <w:bookmarkEnd w:id="8"/>
    </w:p>
    <w:p w14:paraId="00000070"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Social media has fundamentally changed the relationship between brands and their publics. Kaplan and Haenlein (2010) define social media as internet-based applications, built on the foundations of Web 2.0, that allow users to create and exchange content, so that an </w:t>
      </w:r>
      <w:proofErr w:type="spellStart"/>
      <w:r>
        <w:rPr>
          <w:rFonts w:ascii="Arial" w:eastAsia="Arial" w:hAnsi="Arial" w:cs="Arial"/>
        </w:rPr>
        <w:t>organisation</w:t>
      </w:r>
      <w:proofErr w:type="spellEnd"/>
      <w:r>
        <w:rPr>
          <w:rFonts w:ascii="Arial" w:eastAsia="Arial" w:hAnsi="Arial" w:cs="Arial"/>
        </w:rPr>
        <w:t xml:space="preserve"> can no longer fully control its message. Brand meaning is therefore co-created by what a firm says and what others say about it in public (Gensler et al., 2013; Goh, Heng and Lin, 2013). Brands can now respond in the moment and gain cultural relevance almost instantly, yet a misjudged response can just as quickly provoke controversy, litigation or public backlash.</w:t>
      </w:r>
    </w:p>
    <w:p w14:paraId="3A5E90E9" w14:textId="77777777" w:rsidR="00DD359E" w:rsidRPr="00DD359E" w:rsidRDefault="00000000" w:rsidP="00DD359E">
      <w:pPr>
        <w:spacing w:before="240" w:after="240" w:line="360" w:lineRule="auto"/>
        <w:jc w:val="both"/>
        <w:rPr>
          <w:rFonts w:ascii="Arial" w:eastAsia="Arial" w:hAnsi="Arial" w:cs="Arial"/>
        </w:rPr>
      </w:pPr>
      <w:r>
        <w:rPr>
          <w:rFonts w:ascii="Arial" w:eastAsia="Arial" w:hAnsi="Arial" w:cs="Arial"/>
        </w:rPr>
        <w:t xml:space="preserve">The Colin vs Cuthbert Caterpillar Cake saga is one of the most high-profile examples of this dynamic in the UK grocery sector. In April 2021, Marks and Spencer took Aldi UK to court, claiming that Aldi’s Cuthbert the Caterpillar cake infringed the trademark of its own Colin the Caterpillar cake (Wilson Gunn, 2021; </w:t>
      </w:r>
      <w:proofErr w:type="spellStart"/>
      <w:r>
        <w:rPr>
          <w:rFonts w:ascii="Arial" w:eastAsia="Arial" w:hAnsi="Arial" w:cs="Arial"/>
        </w:rPr>
        <w:t>Geldards</w:t>
      </w:r>
      <w:proofErr w:type="spellEnd"/>
      <w:r>
        <w:rPr>
          <w:rFonts w:ascii="Arial" w:eastAsia="Arial" w:hAnsi="Arial" w:cs="Arial"/>
        </w:rPr>
        <w:t xml:space="preserve"> LLP, 2021). Rather than responding through legal or corporate affairs channels, Aldi UK built a social media campaign around the hashtag #FreeCuthbert, presenting Cuthbert as an imprisoned personality and inviting the public to follow the story. </w:t>
      </w:r>
      <w:r w:rsidR="00DD359E" w:rsidRPr="00DD359E">
        <w:rPr>
          <w:rFonts w:ascii="Arial" w:eastAsia="Arial" w:hAnsi="Arial" w:cs="Arial"/>
        </w:rPr>
        <w:t>More recently the campaign had a charitable purpose and was labelled a “perfect” case of reactive communication as part of the marketing community (The Drum, 2021; Marketing Week, 2021).</w:t>
      </w:r>
    </w:p>
    <w:p w14:paraId="5C073F17" w14:textId="58EA0C77" w:rsidR="00DD359E" w:rsidRDefault="00DD359E" w:rsidP="00DD359E">
      <w:pPr>
        <w:spacing w:before="240" w:after="240" w:line="360" w:lineRule="auto"/>
        <w:jc w:val="both"/>
        <w:rPr>
          <w:rFonts w:ascii="Arial" w:eastAsia="Arial" w:hAnsi="Arial" w:cs="Arial"/>
        </w:rPr>
      </w:pPr>
      <w:r w:rsidRPr="00DD359E">
        <w:rPr>
          <w:rFonts w:ascii="Arial" w:eastAsia="Arial" w:hAnsi="Arial" w:cs="Arial"/>
        </w:rPr>
        <w:t xml:space="preserve">This dissertation does not stand to judge the trademark claim in itself or make an attempt to quantify the effect (if any) this campaign has had on consumers' </w:t>
      </w:r>
      <w:proofErr w:type="spellStart"/>
      <w:r w:rsidRPr="00DD359E">
        <w:rPr>
          <w:rFonts w:ascii="Arial" w:eastAsia="Arial" w:hAnsi="Arial" w:cs="Arial"/>
        </w:rPr>
        <w:t>behaviour</w:t>
      </w:r>
      <w:proofErr w:type="spellEnd"/>
      <w:r w:rsidRPr="00DD359E">
        <w:rPr>
          <w:rFonts w:ascii="Arial" w:eastAsia="Arial" w:hAnsi="Arial" w:cs="Arial"/>
        </w:rPr>
        <w:t xml:space="preserve"> or sales. It's more about what it tells us, however, about high-profile reactive marketing in the UK and how Aldi UK communicated around the issue. This study is thus an analysis of marketing communication, not a legal or commercial analysis.</w:t>
      </w:r>
    </w:p>
    <w:p w14:paraId="13D3EBEF" w14:textId="77777777" w:rsidR="00DD359E" w:rsidRDefault="00DD359E" w:rsidP="00DD359E">
      <w:pPr>
        <w:spacing w:before="240" w:after="240" w:line="360" w:lineRule="auto"/>
        <w:jc w:val="both"/>
        <w:rPr>
          <w:rFonts w:ascii="Arial" w:eastAsia="Arial" w:hAnsi="Arial" w:cs="Arial"/>
        </w:rPr>
      </w:pPr>
    </w:p>
    <w:p w14:paraId="00000073" w14:textId="77777777" w:rsidR="003D2C5F" w:rsidRDefault="003D2C5F">
      <w:pPr>
        <w:spacing w:before="180" w:after="180" w:line="360" w:lineRule="auto"/>
        <w:jc w:val="both"/>
        <w:rPr>
          <w:rFonts w:ascii="Arial" w:eastAsia="Arial" w:hAnsi="Arial" w:cs="Arial"/>
        </w:rPr>
      </w:pPr>
    </w:p>
    <w:p w14:paraId="00000074" w14:textId="77777777" w:rsidR="003D2C5F" w:rsidRDefault="00000000">
      <w:pPr>
        <w:pStyle w:val="Heading2"/>
        <w:keepNext w:val="0"/>
        <w:keepLines w:val="0"/>
        <w:spacing w:after="80" w:line="360" w:lineRule="auto"/>
        <w:rPr>
          <w:b w:val="0"/>
          <w:bCs w:val="0"/>
          <w:sz w:val="34"/>
          <w:szCs w:val="34"/>
        </w:rPr>
      </w:pPr>
      <w:bookmarkStart w:id="9" w:name="_3lktrqmj3v84" w:colFirst="0" w:colLast="0"/>
      <w:bookmarkStart w:id="10" w:name="_Toc241144153"/>
      <w:bookmarkEnd w:id="9"/>
      <w:r>
        <w:rPr>
          <w:sz w:val="34"/>
          <w:szCs w:val="34"/>
        </w:rPr>
        <w:lastRenderedPageBreak/>
        <w:t>1.2 Rationale and Professional Significance</w:t>
      </w:r>
      <w:bookmarkEnd w:id="10"/>
    </w:p>
    <w:p w14:paraId="115B70E7" w14:textId="77777777"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Three related reasons bring this study into contact with marketing scholarship and the International Business (IB) and in consequence highlight a practical problem in international communication: How can brands operating internationally communicate when local legal conflicts arise while at the same time safeguarding their reputations and controlling exposure to legal claims?</w:t>
      </w:r>
    </w:p>
    <w:p w14:paraId="7C07061C" w14:textId="77777777"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One of the reasons relates to challenger-brand positioning. The challenger's strategy was to compete on attitude and cultural visibility as per challenger-brand theory (Morgan, 1999; Berendt, Uhrich and Thompson, 2018) which suggests that challengers do not compete on resources, but rather attitude and culture. This theory has so far been mostly examined in non-legally sensitive contexts, and the question of this study is then whether positioning can be preserved during a real legal dispute and at what cost. This is important for IB because foreign retailers can be a threat to local retailers.</w:t>
      </w:r>
    </w:p>
    <w:p w14:paraId="34826937" w14:textId="77777777"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 xml:space="preserve">The second is an international adaption reason. The multinational retailers have to maintain a uniform brand image worldwide while, at the same time, adapt to local market (Levitt, 1983; Theodosiou and </w:t>
      </w:r>
      <w:proofErr w:type="spellStart"/>
      <w:r w:rsidRPr="00DD359E">
        <w:rPr>
          <w:rFonts w:ascii="Arial" w:eastAsia="Arial" w:hAnsi="Arial" w:cs="Arial"/>
        </w:rPr>
        <w:t>Leonidou</w:t>
      </w:r>
      <w:proofErr w:type="spellEnd"/>
      <w:r w:rsidRPr="00DD359E">
        <w:rPr>
          <w:rFonts w:ascii="Arial" w:eastAsia="Arial" w:hAnsi="Arial" w:cs="Arial"/>
        </w:rPr>
        <w:t xml:space="preserve">, 2003; Douglas and Craig, 2011). Britishness was used as a powerful element and a familiar supermarket item ripe for parody in the #FreeCuthbert campaign; British comic understatement and a David and Goliath story. The case is thus an illustration of the local resonance a global brand enjoyed in one market and the possibility of replicating the approach elsewhere based on culturally specific </w:t>
      </w:r>
      <w:proofErr w:type="spellStart"/>
      <w:r w:rsidRPr="00DD359E">
        <w:rPr>
          <w:rFonts w:ascii="Arial" w:eastAsia="Arial" w:hAnsi="Arial" w:cs="Arial"/>
        </w:rPr>
        <w:t>humour</w:t>
      </w:r>
      <w:proofErr w:type="spellEnd"/>
      <w:r w:rsidRPr="00DD359E">
        <w:rPr>
          <w:rFonts w:ascii="Arial" w:eastAsia="Arial" w:hAnsi="Arial" w:cs="Arial"/>
        </w:rPr>
        <w:t>.</w:t>
      </w:r>
    </w:p>
    <w:p w14:paraId="0A0B455D" w14:textId="77777777"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 xml:space="preserve">Reputational &amp; legal risk is the third reason. A court case can generate visibility not only to the judicial process but to the public opinion one as well. Situational crisis communication theory (SCCT) (Coombs, 2007) and the related concept of the </w:t>
      </w:r>
      <w:proofErr w:type="spellStart"/>
      <w:r w:rsidRPr="00DD359E">
        <w:rPr>
          <w:rFonts w:ascii="Arial" w:eastAsia="Arial" w:hAnsi="Arial" w:cs="Arial"/>
        </w:rPr>
        <w:t>paracrisis</w:t>
      </w:r>
      <w:proofErr w:type="spellEnd"/>
      <w:r w:rsidRPr="00DD359E">
        <w:rPr>
          <w:rFonts w:ascii="Arial" w:eastAsia="Arial" w:hAnsi="Arial" w:cs="Arial"/>
        </w:rPr>
        <w:t xml:space="preserve"> (Coombs and Holladay, 2012) have been developed primarily in cases of moral failure or operational crisis – not where a brand chooses to engage in public debate in the context of legal proceedings. This study investigates whether any of these frameworks can provide a basis for conducting a campaign in such a manner.</w:t>
      </w:r>
    </w:p>
    <w:p w14:paraId="0DF2E774" w14:textId="6D70C737" w:rsidR="00DD359E" w:rsidRDefault="00DD359E" w:rsidP="00DD359E">
      <w:pPr>
        <w:spacing w:before="240" w:after="240" w:line="360" w:lineRule="auto"/>
        <w:jc w:val="both"/>
        <w:rPr>
          <w:rFonts w:ascii="Arial" w:eastAsia="Arial" w:hAnsi="Arial" w:cs="Arial"/>
        </w:rPr>
      </w:pPr>
      <w:r w:rsidRPr="00DD359E">
        <w:rPr>
          <w:rFonts w:ascii="Arial" w:eastAsia="Arial" w:hAnsi="Arial" w:cs="Arial"/>
        </w:rPr>
        <w:lastRenderedPageBreak/>
        <w:t>Professionally, the results could be useful for international marketers who are involved in legal issues that go public and where a brand has influence over the public opinion, but not over what it can say. There are transferable lessons to be learned in the case for other challenger brands for which a reactive approach is a viable marketing strategy.</w:t>
      </w:r>
    </w:p>
    <w:p w14:paraId="0000007A" w14:textId="77777777" w:rsidR="003D2C5F" w:rsidRDefault="00000000">
      <w:pPr>
        <w:pStyle w:val="Heading2"/>
        <w:keepNext w:val="0"/>
        <w:keepLines w:val="0"/>
        <w:spacing w:after="80" w:line="360" w:lineRule="auto"/>
        <w:rPr>
          <w:b w:val="0"/>
          <w:bCs w:val="0"/>
          <w:sz w:val="34"/>
          <w:szCs w:val="34"/>
        </w:rPr>
      </w:pPr>
      <w:bookmarkStart w:id="11" w:name="_swczs1iug6u7" w:colFirst="0" w:colLast="0"/>
      <w:bookmarkStart w:id="12" w:name="_Toc241144154"/>
      <w:bookmarkEnd w:id="11"/>
      <w:r>
        <w:rPr>
          <w:sz w:val="34"/>
          <w:szCs w:val="34"/>
        </w:rPr>
        <w:t>1.3 The Research Problem and the Gap it Addresses</w:t>
      </w:r>
      <w:bookmarkEnd w:id="12"/>
    </w:p>
    <w:p w14:paraId="0000007B"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three elements this case combines are well documented, but largely separately. Newsjacking content tied to a </w:t>
      </w:r>
      <w:proofErr w:type="spellStart"/>
      <w:r>
        <w:rPr>
          <w:rFonts w:ascii="Arial" w:eastAsia="Arial" w:hAnsi="Arial" w:cs="Arial"/>
        </w:rPr>
        <w:t>recognisable</w:t>
      </w:r>
      <w:proofErr w:type="spellEnd"/>
      <w:r>
        <w:rPr>
          <w:rFonts w:ascii="Arial" w:eastAsia="Arial" w:hAnsi="Arial" w:cs="Arial"/>
        </w:rPr>
        <w:t xml:space="preserve"> current event produces more positive brand attitudes (Angell et al., 2019), and timely, humorous real-time content generates virality (Borah et al., 2020), although improvised messages can underperform when badly targeted or open to misinterpretation (Chae, Rodríguez-</w:t>
      </w:r>
      <w:proofErr w:type="spellStart"/>
      <w:r>
        <w:rPr>
          <w:rFonts w:ascii="Arial" w:eastAsia="Arial" w:hAnsi="Arial" w:cs="Arial"/>
        </w:rPr>
        <w:t>Vilá</w:t>
      </w:r>
      <w:proofErr w:type="spellEnd"/>
      <w:r>
        <w:rPr>
          <w:rFonts w:ascii="Arial" w:eastAsia="Arial" w:hAnsi="Arial" w:cs="Arial"/>
        </w:rPr>
        <w:t xml:space="preserve"> and Bharadwaj, 2025). A second stream shows that inter-firm rivalry can reinforce differences between competing brands (Berendt, Uhrich and Thompson, 2018) and that humorous content is received differently from a market leader than from a challenger (Béal, Lécuyer and Guitart, 2025). A third strand considers when a public response stops being reputationally safe: SCCT links appropriate responses to the responsibility attributed to the </w:t>
      </w:r>
      <w:proofErr w:type="spellStart"/>
      <w:r>
        <w:rPr>
          <w:rFonts w:ascii="Arial" w:eastAsia="Arial" w:hAnsi="Arial" w:cs="Arial"/>
        </w:rPr>
        <w:t>organisation</w:t>
      </w:r>
      <w:proofErr w:type="spellEnd"/>
      <w:r>
        <w:rPr>
          <w:rFonts w:ascii="Arial" w:eastAsia="Arial" w:hAnsi="Arial" w:cs="Arial"/>
        </w:rPr>
        <w:t xml:space="preserve"> (Coombs, 2007), while the </w:t>
      </w:r>
      <w:proofErr w:type="spellStart"/>
      <w:r>
        <w:rPr>
          <w:rFonts w:ascii="Arial" w:eastAsia="Arial" w:hAnsi="Arial" w:cs="Arial"/>
        </w:rPr>
        <w:t>paracrisis</w:t>
      </w:r>
      <w:proofErr w:type="spellEnd"/>
      <w:r>
        <w:rPr>
          <w:rFonts w:ascii="Arial" w:eastAsia="Arial" w:hAnsi="Arial" w:cs="Arial"/>
        </w:rPr>
        <w:t xml:space="preserve"> concept describes visible reputational threats that still require careful management (Coombs and Holladay, 2012).</w:t>
      </w:r>
    </w:p>
    <w:p w14:paraId="0000007C"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gap is therefore not simply that the Aldi/Cuthbert case has received little academic attention. Existing research does not explain what happens when reactive timing, </w:t>
      </w:r>
      <w:proofErr w:type="spellStart"/>
      <w:r>
        <w:rPr>
          <w:rFonts w:ascii="Arial" w:eastAsia="Arial" w:hAnsi="Arial" w:cs="Arial"/>
        </w:rPr>
        <w:t>humour</w:t>
      </w:r>
      <w:proofErr w:type="spellEnd"/>
      <w:r>
        <w:rPr>
          <w:rFonts w:ascii="Arial" w:eastAsia="Arial" w:hAnsi="Arial" w:cs="Arial"/>
        </w:rPr>
        <w:t>, challenger positioning and reputational or legal risk converge in a single event. The positive effects of informal, entertaining, contest-</w:t>
      </w:r>
      <w:proofErr w:type="spellStart"/>
      <w:r>
        <w:rPr>
          <w:rFonts w:ascii="Arial" w:eastAsia="Arial" w:hAnsi="Arial" w:cs="Arial"/>
        </w:rPr>
        <w:t>centred</w:t>
      </w:r>
      <w:proofErr w:type="spellEnd"/>
      <w:r>
        <w:rPr>
          <w:rFonts w:ascii="Arial" w:eastAsia="Arial" w:hAnsi="Arial" w:cs="Arial"/>
        </w:rPr>
        <w:t xml:space="preserve"> content (Borah et al., 2020; Berendt, Uhrich and Thompson, 2018; Béal, Lécuyer and Guitart, 2025) have not been examined in a legal clash, where stakes are higher and limits on communication tighter. Likewise, the caution of crisis and </w:t>
      </w:r>
      <w:proofErr w:type="spellStart"/>
      <w:r>
        <w:rPr>
          <w:rFonts w:ascii="Arial" w:eastAsia="Arial" w:hAnsi="Arial" w:cs="Arial"/>
        </w:rPr>
        <w:t>paracrisis</w:t>
      </w:r>
      <w:proofErr w:type="spellEnd"/>
      <w:r>
        <w:rPr>
          <w:rFonts w:ascii="Arial" w:eastAsia="Arial" w:hAnsi="Arial" w:cs="Arial"/>
        </w:rPr>
        <w:t xml:space="preserve"> theory (Coombs, 2007; Coombs and Holladay, 2012) does not explain why a bold, humorous response might suit a legally charged situation.</w:t>
      </w:r>
    </w:p>
    <w:p w14:paraId="0000007D"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#FreeCuthbert case suits this purpose because it is well documented and brings all of these dynamics together within a short time frame. The conceptual framework in </w:t>
      </w:r>
      <w:r>
        <w:rPr>
          <w:rFonts w:ascii="Arial" w:eastAsia="Arial" w:hAnsi="Arial" w:cs="Arial"/>
        </w:rPr>
        <w:lastRenderedPageBreak/>
        <w:t>Chapter Two is used to examine how the descriptive (what was published and when), interpretive (how the message was constructed) and evaluative (whether the response was proportionate to the risks) dimensions interact within a single legally contested case.</w:t>
      </w:r>
    </w:p>
    <w:p w14:paraId="0000007E" w14:textId="77777777" w:rsidR="003D2C5F" w:rsidRDefault="00000000">
      <w:pPr>
        <w:pStyle w:val="Heading2"/>
        <w:keepNext w:val="0"/>
        <w:keepLines w:val="0"/>
        <w:spacing w:after="80" w:line="360" w:lineRule="auto"/>
        <w:rPr>
          <w:b w:val="0"/>
          <w:bCs w:val="0"/>
          <w:sz w:val="34"/>
          <w:szCs w:val="34"/>
        </w:rPr>
      </w:pPr>
      <w:bookmarkStart w:id="13" w:name="_7ci8ncc36z8o" w:colFirst="0" w:colLast="0"/>
      <w:bookmarkStart w:id="14" w:name="_Toc241144155"/>
      <w:bookmarkEnd w:id="13"/>
      <w:r>
        <w:rPr>
          <w:sz w:val="34"/>
          <w:szCs w:val="34"/>
        </w:rPr>
        <w:t>1.4 Aim, Objectives and Research Questions</w:t>
      </w:r>
      <w:bookmarkEnd w:id="14"/>
    </w:p>
    <w:p w14:paraId="0000007F"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Aim</w:t>
      </w:r>
    </w:p>
    <w:p w14:paraId="00000080"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To </w:t>
      </w:r>
      <w:proofErr w:type="spellStart"/>
      <w:r>
        <w:rPr>
          <w:rFonts w:ascii="Arial" w:eastAsia="Arial" w:hAnsi="Arial" w:cs="Arial"/>
        </w:rPr>
        <w:t>analyse</w:t>
      </w:r>
      <w:proofErr w:type="spellEnd"/>
      <w:r>
        <w:rPr>
          <w:rFonts w:ascii="Arial" w:eastAsia="Arial" w:hAnsi="Arial" w:cs="Arial"/>
        </w:rPr>
        <w:t xml:space="preserve"> how Aldi UK used reactive social media marketing during the Colin and Cuthbert Caterpillar Cake dispute, and to evaluate what this communication reveals about cultural relevance, challenger-brand positioning and responsible reactive marketing in the UK grocery context.</w:t>
      </w:r>
    </w:p>
    <w:p w14:paraId="00000081"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Objectives</w:t>
      </w:r>
    </w:p>
    <w:p w14:paraId="00000082" w14:textId="77777777" w:rsidR="003D2C5F" w:rsidRDefault="00000000">
      <w:pPr>
        <w:spacing w:before="40" w:after="40" w:line="360" w:lineRule="auto"/>
        <w:ind w:left="1200" w:hanging="480"/>
        <w:jc w:val="both"/>
        <w:rPr>
          <w:rFonts w:ascii="Arial" w:eastAsia="Arial" w:hAnsi="Arial" w:cs="Arial"/>
        </w:rPr>
      </w:pPr>
      <w:r>
        <w:rPr>
          <w:rFonts w:ascii="Arial" w:eastAsia="Arial" w:hAnsi="Arial" w:cs="Arial"/>
        </w:rPr>
        <w:t>1.</w:t>
      </w:r>
      <w:r>
        <w:rPr>
          <w:rFonts w:ascii="Arial" w:eastAsia="Arial" w:hAnsi="Arial" w:cs="Arial"/>
          <w:sz w:val="14"/>
          <w:szCs w:val="14"/>
        </w:rPr>
        <w:t xml:space="preserve"> </w:t>
      </w:r>
      <w:r>
        <w:rPr>
          <w:rFonts w:ascii="Arial" w:eastAsia="Arial" w:hAnsi="Arial" w:cs="Arial"/>
        </w:rPr>
        <w:t>To map Aldi UK’s publicly accessible dispute-related social media communication using descriptive indicators of post type, timing, coded theme frequency and visible engagement where historically available.</w:t>
      </w:r>
    </w:p>
    <w:p w14:paraId="00000083" w14:textId="77777777" w:rsidR="003D2C5F" w:rsidRDefault="00000000">
      <w:pPr>
        <w:spacing w:before="40" w:after="40" w:line="360" w:lineRule="auto"/>
        <w:ind w:left="1200" w:hanging="480"/>
        <w:jc w:val="both"/>
        <w:rPr>
          <w:rFonts w:ascii="Arial" w:eastAsia="Arial" w:hAnsi="Arial" w:cs="Arial"/>
        </w:rPr>
      </w:pPr>
      <w:r>
        <w:rPr>
          <w:rFonts w:ascii="Arial" w:eastAsia="Arial" w:hAnsi="Arial" w:cs="Arial"/>
        </w:rPr>
        <w:t>2.</w:t>
      </w:r>
      <w:r>
        <w:rPr>
          <w:rFonts w:ascii="Arial" w:eastAsia="Arial" w:hAnsi="Arial" w:cs="Arial"/>
          <w:sz w:val="14"/>
          <w:szCs w:val="14"/>
        </w:rPr>
        <w:t xml:space="preserve"> </w:t>
      </w:r>
      <w:r>
        <w:rPr>
          <w:rFonts w:ascii="Arial" w:eastAsia="Arial" w:hAnsi="Arial" w:cs="Arial"/>
        </w:rPr>
        <w:t xml:space="preserve">To identify how </w:t>
      </w:r>
      <w:proofErr w:type="spellStart"/>
      <w:r>
        <w:rPr>
          <w:rFonts w:ascii="Arial" w:eastAsia="Arial" w:hAnsi="Arial" w:cs="Arial"/>
        </w:rPr>
        <w:t>humour</w:t>
      </w:r>
      <w:proofErr w:type="spellEnd"/>
      <w:r>
        <w:rPr>
          <w:rFonts w:ascii="Arial" w:eastAsia="Arial" w:hAnsi="Arial" w:cs="Arial"/>
        </w:rPr>
        <w:t>, narrative, brand personality and cultural references were used within Aldi UK’s reactive communication.</w:t>
      </w:r>
    </w:p>
    <w:p w14:paraId="00000084" w14:textId="77777777" w:rsidR="003D2C5F" w:rsidRDefault="00000000">
      <w:pPr>
        <w:spacing w:before="40" w:after="40" w:line="360" w:lineRule="auto"/>
        <w:ind w:left="1200" w:hanging="480"/>
        <w:jc w:val="both"/>
        <w:rPr>
          <w:rFonts w:ascii="Arial" w:eastAsia="Arial" w:hAnsi="Arial" w:cs="Arial"/>
        </w:rPr>
      </w:pPr>
      <w:r>
        <w:rPr>
          <w:rFonts w:ascii="Arial" w:eastAsia="Arial" w:hAnsi="Arial" w:cs="Arial"/>
        </w:rPr>
        <w:t>3.</w:t>
      </w:r>
      <w:r>
        <w:rPr>
          <w:rFonts w:ascii="Arial" w:eastAsia="Arial" w:hAnsi="Arial" w:cs="Arial"/>
          <w:sz w:val="14"/>
          <w:szCs w:val="14"/>
        </w:rPr>
        <w:t xml:space="preserve"> </w:t>
      </w:r>
      <w:r>
        <w:rPr>
          <w:rFonts w:ascii="Arial" w:eastAsia="Arial" w:hAnsi="Arial" w:cs="Arial"/>
        </w:rPr>
        <w:t>To compare Aldi UK’s communication with the framing of the campaign in credible contemporaneous marketing, media and legal-professional coverage.</w:t>
      </w:r>
    </w:p>
    <w:p w14:paraId="00000085" w14:textId="77777777" w:rsidR="003D2C5F" w:rsidRDefault="00000000">
      <w:pPr>
        <w:spacing w:before="40" w:after="40" w:line="360" w:lineRule="auto"/>
        <w:ind w:left="1200" w:hanging="480"/>
        <w:jc w:val="both"/>
        <w:rPr>
          <w:rFonts w:ascii="Arial" w:eastAsia="Arial" w:hAnsi="Arial" w:cs="Arial"/>
        </w:rPr>
      </w:pPr>
      <w:r>
        <w:rPr>
          <w:rFonts w:ascii="Arial" w:eastAsia="Arial" w:hAnsi="Arial" w:cs="Arial"/>
        </w:rPr>
        <w:t>4.</w:t>
      </w:r>
      <w:r>
        <w:rPr>
          <w:rFonts w:ascii="Arial" w:eastAsia="Arial" w:hAnsi="Arial" w:cs="Arial"/>
          <w:sz w:val="14"/>
          <w:szCs w:val="14"/>
        </w:rPr>
        <w:t xml:space="preserve"> </w:t>
      </w:r>
      <w:r>
        <w:rPr>
          <w:rFonts w:ascii="Arial" w:eastAsia="Arial" w:hAnsi="Arial" w:cs="Arial"/>
        </w:rPr>
        <w:t>To evaluate the strategic opportunities and reputational or legal constraints that the case suggests for international challenger brands using reactive marketing in the UK.</w:t>
      </w:r>
    </w:p>
    <w:p w14:paraId="00000086"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Research Questions</w:t>
      </w:r>
    </w:p>
    <w:p w14:paraId="546081B0" w14:textId="23CABA94" w:rsidR="006C7BAC" w:rsidRPr="006C7BAC" w:rsidRDefault="006C7BAC" w:rsidP="006C7BAC">
      <w:pPr>
        <w:spacing w:before="240" w:after="240" w:line="360" w:lineRule="auto"/>
        <w:jc w:val="both"/>
        <w:rPr>
          <w:rFonts w:ascii="Arial" w:eastAsia="Arial" w:hAnsi="Arial" w:cs="Arial"/>
        </w:rPr>
      </w:pPr>
      <w:r w:rsidRPr="006C7BAC">
        <w:rPr>
          <w:rFonts w:ascii="Arial" w:eastAsia="Arial" w:hAnsi="Arial" w:cs="Arial"/>
        </w:rPr>
        <w:t>RQ1: What types of posts in terms of timing, frequency, engagement indicators (likes and retweets), and cemented themes were prominent in publicly accessible reactive social media communication from Aldi UK during the dispute?</w:t>
      </w:r>
    </w:p>
    <w:p w14:paraId="155C1E92" w14:textId="77777777" w:rsidR="006C7BAC" w:rsidRPr="006C7BAC" w:rsidRDefault="006C7BAC" w:rsidP="006C7BAC">
      <w:pPr>
        <w:spacing w:before="240" w:after="240" w:line="360" w:lineRule="auto"/>
        <w:jc w:val="both"/>
        <w:rPr>
          <w:rFonts w:ascii="Arial" w:eastAsia="Arial" w:hAnsi="Arial" w:cs="Arial"/>
        </w:rPr>
      </w:pPr>
      <w:r w:rsidRPr="006C7BAC">
        <w:rPr>
          <w:rFonts w:ascii="Arial" w:eastAsia="Arial" w:hAnsi="Arial" w:cs="Arial"/>
        </w:rPr>
        <w:t xml:space="preserve">RQ2: How were </w:t>
      </w:r>
      <w:proofErr w:type="spellStart"/>
      <w:r w:rsidRPr="006C7BAC">
        <w:rPr>
          <w:rFonts w:ascii="Arial" w:eastAsia="Arial" w:hAnsi="Arial" w:cs="Arial"/>
        </w:rPr>
        <w:t>humour</w:t>
      </w:r>
      <w:proofErr w:type="spellEnd"/>
      <w:r w:rsidRPr="006C7BAC">
        <w:rPr>
          <w:rFonts w:ascii="Arial" w:eastAsia="Arial" w:hAnsi="Arial" w:cs="Arial"/>
        </w:rPr>
        <w:t>, narrative, brand personality and cultural references employed to construct Aldi UKs reactive marketing message?</w:t>
      </w:r>
    </w:p>
    <w:p w14:paraId="0A0D9485" w14:textId="77777777" w:rsidR="006C7BAC" w:rsidRPr="006C7BAC" w:rsidRDefault="006C7BAC" w:rsidP="006C7BAC">
      <w:pPr>
        <w:spacing w:before="240" w:after="240" w:line="360" w:lineRule="auto"/>
        <w:jc w:val="both"/>
        <w:rPr>
          <w:rFonts w:ascii="Arial" w:eastAsia="Arial" w:hAnsi="Arial" w:cs="Arial"/>
        </w:rPr>
      </w:pPr>
      <w:r w:rsidRPr="006C7BAC">
        <w:rPr>
          <w:rFonts w:ascii="Arial" w:eastAsia="Arial" w:hAnsi="Arial" w:cs="Arial"/>
        </w:rPr>
        <w:lastRenderedPageBreak/>
        <w:t>RQ3: How did time-ordered marketing, media and legal-oriented communication provide narratives about the campaign's cultural relevance and challenger-brand profile?</w:t>
      </w:r>
    </w:p>
    <w:p w14:paraId="31ADC9B9" w14:textId="46075EC0" w:rsidR="006C7BAC" w:rsidRDefault="006C7BAC" w:rsidP="006C7BAC">
      <w:pPr>
        <w:spacing w:before="240" w:after="240" w:line="360" w:lineRule="auto"/>
        <w:jc w:val="both"/>
        <w:rPr>
          <w:rFonts w:ascii="Arial" w:eastAsia="Arial" w:hAnsi="Arial" w:cs="Arial"/>
        </w:rPr>
      </w:pPr>
      <w:r w:rsidRPr="006C7BAC">
        <w:rPr>
          <w:rFonts w:ascii="Arial" w:eastAsia="Arial" w:hAnsi="Arial" w:cs="Arial"/>
        </w:rPr>
        <w:t>RQ4: What strategic confers and reputational or legal threats does the case demonstrate for UK international challenger brands engaged with reactive marketing?</w:t>
      </w:r>
    </w:p>
    <w:p w14:paraId="0000008B" w14:textId="77777777" w:rsidR="003D2C5F" w:rsidRDefault="00000000">
      <w:pPr>
        <w:pStyle w:val="Heading2"/>
        <w:keepNext w:val="0"/>
        <w:keepLines w:val="0"/>
        <w:spacing w:after="80" w:line="360" w:lineRule="auto"/>
        <w:rPr>
          <w:b w:val="0"/>
          <w:bCs w:val="0"/>
          <w:sz w:val="34"/>
          <w:szCs w:val="34"/>
        </w:rPr>
      </w:pPr>
      <w:bookmarkStart w:id="15" w:name="_glir0x2hb9uv" w:colFirst="0" w:colLast="0"/>
      <w:bookmarkStart w:id="16" w:name="_Toc241144156"/>
      <w:bookmarkEnd w:id="15"/>
      <w:r>
        <w:rPr>
          <w:sz w:val="34"/>
          <w:szCs w:val="34"/>
        </w:rPr>
        <w:t>1.5 Scope and Boundaries</w:t>
      </w:r>
      <w:bookmarkEnd w:id="16"/>
    </w:p>
    <w:p w14:paraId="5441A05B" w14:textId="77777777"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The study is purposefully delimited to allow for findings that will be proportionate to the evidence available, and to ensure that the findings do not exceed those claims that the design can support.</w:t>
      </w:r>
    </w:p>
    <w:p w14:paraId="74B197BA" w14:textId="4A1293EB"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b/>
          <w:bCs/>
        </w:rPr>
        <w:t>Temporal boundary:</w:t>
      </w:r>
      <w:r w:rsidRPr="00DD359E">
        <w:rPr>
          <w:rFonts w:ascii="Arial" w:eastAsia="Arial" w:hAnsi="Arial" w:cs="Arial"/>
        </w:rPr>
        <w:t xml:space="preserve"> The initial corpus is the posts published on Aldi UK between 15 and 20 April 2021, from the public announcement of the dispute to the charitable spin-off of the campaign. Later trade-press and awards journalism will be included with the reporting of the campaign (Marketing Week, 2021; The Drum, 2021; </w:t>
      </w:r>
      <w:proofErr w:type="spellStart"/>
      <w:r w:rsidRPr="00DD359E">
        <w:rPr>
          <w:rFonts w:ascii="Arial" w:eastAsia="Arial" w:hAnsi="Arial" w:cs="Arial"/>
        </w:rPr>
        <w:t>eurobest</w:t>
      </w:r>
      <w:proofErr w:type="spellEnd"/>
      <w:r w:rsidRPr="00DD359E">
        <w:rPr>
          <w:rFonts w:ascii="Arial" w:eastAsia="Arial" w:hAnsi="Arial" w:cs="Arial"/>
        </w:rPr>
        <w:t xml:space="preserve">, 2021), which is drawn from April to December 2021. The complete story arc may be examined within this period of time, from initial response, to escalation of </w:t>
      </w:r>
      <w:r>
        <w:rPr>
          <w:rFonts w:ascii="Arial" w:eastAsia="Arial" w:hAnsi="Arial" w:cs="Arial"/>
        </w:rPr>
        <w:t xml:space="preserve">the </w:t>
      </w:r>
      <w:r w:rsidRPr="00DD359E">
        <w:rPr>
          <w:rFonts w:ascii="Arial" w:eastAsia="Arial" w:hAnsi="Arial" w:cs="Arial"/>
        </w:rPr>
        <w:t>campaign, to extension for charity.</w:t>
      </w:r>
    </w:p>
    <w:p w14:paraId="5C169E26" w14:textId="462CE257"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b/>
          <w:bCs/>
        </w:rPr>
        <w:t>Actor boundary:</w:t>
      </w:r>
      <w:r w:rsidRPr="00DD359E">
        <w:rPr>
          <w:rFonts w:ascii="Arial" w:eastAsia="Arial" w:hAnsi="Arial" w:cs="Arial"/>
        </w:rPr>
        <w:t xml:space="preserve"> The analysis is restricted to the public production of Aldi UK. </w:t>
      </w:r>
      <w:r>
        <w:rPr>
          <w:rFonts w:ascii="Arial" w:eastAsia="Arial" w:hAnsi="Arial" w:cs="Arial"/>
        </w:rPr>
        <w:t>Marks and Spencer communications are referred to only as background information from secondary sources, as they are not a second unit of primary analysis; however, they are included because they are specific to Aldi UK, and all decisions were made by Aldi UK</w:t>
      </w:r>
      <w:r w:rsidRPr="00DD359E">
        <w:rPr>
          <w:rFonts w:ascii="Arial" w:eastAsia="Arial" w:hAnsi="Arial" w:cs="Arial"/>
        </w:rPr>
        <w:t>.</w:t>
      </w:r>
    </w:p>
    <w:p w14:paraId="6ABE0114" w14:textId="281C3DEB"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b/>
          <w:bCs/>
        </w:rPr>
        <w:t>Content boundary:</w:t>
      </w:r>
      <w:r>
        <w:rPr>
          <w:rFonts w:ascii="Arial" w:eastAsia="Arial" w:hAnsi="Arial" w:cs="Arial"/>
          <w:b/>
          <w:bCs/>
        </w:rPr>
        <w:t xml:space="preserve"> </w:t>
      </w:r>
      <w:r w:rsidRPr="00DD359E">
        <w:rPr>
          <w:rFonts w:ascii="Arial" w:eastAsia="Arial" w:hAnsi="Arial" w:cs="Arial"/>
        </w:rPr>
        <w:t>Aldi UK's posts and external coverage. Audience comments, usernames, private messages, social-listening software, scraping tools and bulk data extraction are not used. Where it is possible to recover engagement indicators such as likes</w:t>
      </w:r>
      <w:r>
        <w:rPr>
          <w:rFonts w:ascii="Arial" w:eastAsia="Arial" w:hAnsi="Arial" w:cs="Arial"/>
        </w:rPr>
        <w:t xml:space="preserve"> and</w:t>
      </w:r>
      <w:r w:rsidRPr="00DD359E">
        <w:rPr>
          <w:rFonts w:ascii="Arial" w:eastAsia="Arial" w:hAnsi="Arial" w:cs="Arial"/>
        </w:rPr>
        <w:t xml:space="preserve"> shares, these are recorded descriptively and only used as indicators of engagement, rather than as measures of underlying psychological engagement or consumer attitudes.</w:t>
      </w:r>
    </w:p>
    <w:p w14:paraId="163C3DFA" w14:textId="4C89DCBD"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b/>
          <w:bCs/>
        </w:rPr>
        <w:t>Analytical boundary:</w:t>
      </w:r>
      <w:r w:rsidRPr="00DD359E">
        <w:rPr>
          <w:rFonts w:ascii="Arial" w:eastAsia="Arial" w:hAnsi="Arial" w:cs="Arial"/>
        </w:rPr>
        <w:t xml:space="preserve"> </w:t>
      </w:r>
      <w:r>
        <w:rPr>
          <w:rFonts w:ascii="Arial" w:eastAsia="Arial" w:hAnsi="Arial" w:cs="Arial"/>
        </w:rPr>
        <w:t>The objective</w:t>
      </w:r>
      <w:r w:rsidRPr="00DD359E">
        <w:rPr>
          <w:rFonts w:ascii="Arial" w:eastAsia="Arial" w:hAnsi="Arial" w:cs="Arial"/>
        </w:rPr>
        <w:t xml:space="preserve"> of this research is not to establish the legal liability in a specific situation of trademark conflict</w:t>
      </w:r>
      <w:r>
        <w:rPr>
          <w:rFonts w:ascii="Arial" w:eastAsia="Arial" w:hAnsi="Arial" w:cs="Arial"/>
        </w:rPr>
        <w:t>,</w:t>
      </w:r>
      <w:r w:rsidRPr="00DD359E">
        <w:rPr>
          <w:rFonts w:ascii="Arial" w:eastAsia="Arial" w:hAnsi="Arial" w:cs="Arial"/>
        </w:rPr>
        <w:t xml:space="preserve"> nor to quantify sales, consumer confidence, </w:t>
      </w:r>
      <w:r w:rsidRPr="00DD359E">
        <w:rPr>
          <w:rFonts w:ascii="Arial" w:eastAsia="Arial" w:hAnsi="Arial" w:cs="Arial"/>
        </w:rPr>
        <w:lastRenderedPageBreak/>
        <w:t>brand loyalty or any commercial value. Its findings are not statistical claims</w:t>
      </w:r>
      <w:r>
        <w:rPr>
          <w:rFonts w:ascii="Arial" w:eastAsia="Arial" w:hAnsi="Arial" w:cs="Arial"/>
        </w:rPr>
        <w:t xml:space="preserve"> but analytical conclusions, presented as transferable insights rather than</w:t>
      </w:r>
      <w:r w:rsidRPr="00DD359E">
        <w:rPr>
          <w:rFonts w:ascii="Arial" w:eastAsia="Arial" w:hAnsi="Arial" w:cs="Arial"/>
        </w:rPr>
        <w:t xml:space="preserve"> </w:t>
      </w:r>
      <w:proofErr w:type="spellStart"/>
      <w:r w:rsidRPr="00DD359E">
        <w:rPr>
          <w:rFonts w:ascii="Arial" w:eastAsia="Arial" w:hAnsi="Arial" w:cs="Arial"/>
        </w:rPr>
        <w:t>generalisations</w:t>
      </w:r>
      <w:proofErr w:type="spellEnd"/>
      <w:r w:rsidRPr="00DD359E">
        <w:rPr>
          <w:rFonts w:ascii="Arial" w:eastAsia="Arial" w:hAnsi="Arial" w:cs="Arial"/>
        </w:rPr>
        <w:t>.</w:t>
      </w:r>
    </w:p>
    <w:p w14:paraId="2738B9F7" w14:textId="20224DE7" w:rsidR="00DD359E" w:rsidRDefault="00DD359E" w:rsidP="00DD359E">
      <w:pPr>
        <w:spacing w:before="240" w:after="240" w:line="360" w:lineRule="auto"/>
        <w:jc w:val="both"/>
        <w:rPr>
          <w:rFonts w:ascii="Arial" w:eastAsia="Arial" w:hAnsi="Arial" w:cs="Arial"/>
        </w:rPr>
      </w:pPr>
      <w:r w:rsidRPr="00DD359E">
        <w:rPr>
          <w:rFonts w:ascii="Arial" w:eastAsia="Arial" w:hAnsi="Arial" w:cs="Arial"/>
        </w:rPr>
        <w:t>The boundaries are elaborated in more detail in the discussion of limitations in Chapter Three and again in Chapter Six.</w:t>
      </w:r>
    </w:p>
    <w:p w14:paraId="00000092" w14:textId="77777777" w:rsidR="003D2C5F" w:rsidRDefault="00000000">
      <w:pPr>
        <w:pStyle w:val="Heading2"/>
        <w:keepNext w:val="0"/>
        <w:keepLines w:val="0"/>
        <w:spacing w:after="80" w:line="360" w:lineRule="auto"/>
        <w:rPr>
          <w:b w:val="0"/>
          <w:bCs w:val="0"/>
          <w:sz w:val="34"/>
          <w:szCs w:val="34"/>
        </w:rPr>
      </w:pPr>
      <w:bookmarkStart w:id="17" w:name="_k3b2vo5l65hn" w:colFirst="0" w:colLast="0"/>
      <w:bookmarkStart w:id="18" w:name="_Toc241144157"/>
      <w:bookmarkEnd w:id="17"/>
      <w:r>
        <w:rPr>
          <w:sz w:val="34"/>
          <w:szCs w:val="34"/>
        </w:rPr>
        <w:t>1.6 Structure of the Dissertation</w:t>
      </w:r>
      <w:bookmarkEnd w:id="18"/>
    </w:p>
    <w:p w14:paraId="00000093"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Chapter Two reviews the literature and </w:t>
      </w:r>
      <w:proofErr w:type="spellStart"/>
      <w:r>
        <w:rPr>
          <w:rFonts w:ascii="Arial" w:eastAsia="Arial" w:hAnsi="Arial" w:cs="Arial"/>
        </w:rPr>
        <w:t>synthesises</w:t>
      </w:r>
      <w:proofErr w:type="spellEnd"/>
      <w:r>
        <w:rPr>
          <w:rFonts w:ascii="Arial" w:eastAsia="Arial" w:hAnsi="Arial" w:cs="Arial"/>
        </w:rPr>
        <w:t xml:space="preserve"> it into a conceptual framework built around three unresolved tensions. Chapter Three sets out the methodology, including the research philosophy, case-study design, data sources and thematic analysis. Chapter Four presents the findings using the framework’s descriptive, interpretive and evaluative structure. Chapter Five discusses the findings in relation to the literature and each tension, and Chapter Six sets out the contributions, limitations and recommendations.</w:t>
      </w:r>
    </w:p>
    <w:p w14:paraId="00000094" w14:textId="77777777" w:rsidR="003D2C5F" w:rsidRDefault="003D2C5F">
      <w:pPr>
        <w:spacing w:before="240" w:after="240" w:line="360" w:lineRule="auto"/>
        <w:jc w:val="both"/>
        <w:rPr>
          <w:rFonts w:ascii="Arial" w:eastAsia="Arial" w:hAnsi="Arial" w:cs="Arial"/>
        </w:rPr>
      </w:pPr>
    </w:p>
    <w:p w14:paraId="00000095" w14:textId="77777777" w:rsidR="003D2C5F" w:rsidRDefault="003D2C5F">
      <w:pPr>
        <w:spacing w:before="240" w:after="240" w:line="360" w:lineRule="auto"/>
        <w:jc w:val="both"/>
        <w:rPr>
          <w:rFonts w:ascii="Arial" w:eastAsia="Arial" w:hAnsi="Arial" w:cs="Arial"/>
        </w:rPr>
      </w:pPr>
    </w:p>
    <w:p w14:paraId="00000096" w14:textId="77777777" w:rsidR="003D2C5F" w:rsidRDefault="003D2C5F">
      <w:pPr>
        <w:spacing w:before="240" w:after="240" w:line="360" w:lineRule="auto"/>
        <w:jc w:val="both"/>
        <w:rPr>
          <w:rFonts w:ascii="Arial" w:eastAsia="Arial" w:hAnsi="Arial" w:cs="Arial"/>
        </w:rPr>
      </w:pPr>
    </w:p>
    <w:p w14:paraId="5DA911C1" w14:textId="77777777" w:rsidR="00DD359E" w:rsidRDefault="00DD359E">
      <w:pPr>
        <w:spacing w:before="240" w:after="240" w:line="360" w:lineRule="auto"/>
        <w:jc w:val="both"/>
        <w:rPr>
          <w:rFonts w:ascii="Arial" w:eastAsia="Arial" w:hAnsi="Arial" w:cs="Arial"/>
        </w:rPr>
      </w:pPr>
    </w:p>
    <w:p w14:paraId="38B3379F" w14:textId="77777777" w:rsidR="00DD359E" w:rsidRDefault="00DD359E">
      <w:pPr>
        <w:spacing w:before="240" w:after="240" w:line="360" w:lineRule="auto"/>
        <w:jc w:val="both"/>
        <w:rPr>
          <w:rFonts w:ascii="Arial" w:eastAsia="Arial" w:hAnsi="Arial" w:cs="Arial"/>
        </w:rPr>
      </w:pPr>
    </w:p>
    <w:p w14:paraId="1D68036B" w14:textId="77777777" w:rsidR="00DD359E" w:rsidRDefault="00DD359E">
      <w:pPr>
        <w:spacing w:before="240" w:after="240" w:line="360" w:lineRule="auto"/>
        <w:jc w:val="both"/>
        <w:rPr>
          <w:rFonts w:ascii="Arial" w:eastAsia="Arial" w:hAnsi="Arial" w:cs="Arial"/>
        </w:rPr>
      </w:pPr>
    </w:p>
    <w:p w14:paraId="3EE0BD0B" w14:textId="77777777" w:rsidR="00DD359E" w:rsidRDefault="00DD359E">
      <w:pPr>
        <w:spacing w:before="240" w:after="240" w:line="360" w:lineRule="auto"/>
        <w:jc w:val="both"/>
        <w:rPr>
          <w:rFonts w:ascii="Arial" w:eastAsia="Arial" w:hAnsi="Arial" w:cs="Arial"/>
        </w:rPr>
      </w:pPr>
    </w:p>
    <w:p w14:paraId="4C2BEF16" w14:textId="77777777" w:rsidR="00DD359E" w:rsidRDefault="00DD359E">
      <w:pPr>
        <w:spacing w:before="240" w:after="240" w:line="360" w:lineRule="auto"/>
        <w:jc w:val="both"/>
        <w:rPr>
          <w:rFonts w:ascii="Arial" w:eastAsia="Arial" w:hAnsi="Arial" w:cs="Arial"/>
        </w:rPr>
      </w:pPr>
    </w:p>
    <w:p w14:paraId="1AD8E2B6" w14:textId="77777777" w:rsidR="00DD359E" w:rsidRDefault="00DD359E">
      <w:pPr>
        <w:spacing w:before="240" w:after="240" w:line="360" w:lineRule="auto"/>
        <w:jc w:val="both"/>
        <w:rPr>
          <w:rFonts w:ascii="Arial" w:eastAsia="Arial" w:hAnsi="Arial" w:cs="Arial"/>
        </w:rPr>
      </w:pPr>
    </w:p>
    <w:p w14:paraId="3D7256BF" w14:textId="77777777" w:rsidR="00DD359E" w:rsidRDefault="00DD359E">
      <w:pPr>
        <w:spacing w:before="240" w:after="240" w:line="360" w:lineRule="auto"/>
        <w:jc w:val="both"/>
        <w:rPr>
          <w:rFonts w:ascii="Arial" w:eastAsia="Arial" w:hAnsi="Arial" w:cs="Arial"/>
        </w:rPr>
      </w:pPr>
    </w:p>
    <w:p w14:paraId="00000097" w14:textId="77777777" w:rsidR="003D2C5F" w:rsidRDefault="00000000">
      <w:pPr>
        <w:pStyle w:val="Heading1"/>
        <w:keepNext w:val="0"/>
        <w:keepLines w:val="0"/>
        <w:rPr>
          <w:b w:val="0"/>
          <w:bCs w:val="0"/>
          <w:sz w:val="46"/>
          <w:szCs w:val="46"/>
        </w:rPr>
      </w:pPr>
      <w:bookmarkStart w:id="19" w:name="_4u8x45ee8qc8" w:colFirst="0" w:colLast="0"/>
      <w:bookmarkStart w:id="20" w:name="_Toc241144158"/>
      <w:bookmarkEnd w:id="19"/>
      <w:r>
        <w:rPr>
          <w:sz w:val="46"/>
          <w:szCs w:val="46"/>
        </w:rPr>
        <w:lastRenderedPageBreak/>
        <w:t>Chapter 2: Literature Review</w:t>
      </w:r>
      <w:bookmarkEnd w:id="20"/>
    </w:p>
    <w:p w14:paraId="00000098" w14:textId="77777777" w:rsidR="003D2C5F" w:rsidRDefault="00000000">
      <w:pPr>
        <w:pStyle w:val="Heading2"/>
        <w:keepNext w:val="0"/>
        <w:keepLines w:val="0"/>
        <w:spacing w:after="80" w:line="360" w:lineRule="auto"/>
        <w:rPr>
          <w:b w:val="0"/>
          <w:bCs w:val="0"/>
          <w:sz w:val="34"/>
          <w:szCs w:val="34"/>
        </w:rPr>
      </w:pPr>
      <w:bookmarkStart w:id="21" w:name="_ytpn5apzhf6b" w:colFirst="0" w:colLast="0"/>
      <w:bookmarkStart w:id="22" w:name="_Toc241144159"/>
      <w:bookmarkEnd w:id="21"/>
      <w:r>
        <w:rPr>
          <w:sz w:val="34"/>
          <w:szCs w:val="34"/>
        </w:rPr>
        <w:t>2.1 Introduction</w:t>
      </w:r>
      <w:bookmarkEnd w:id="22"/>
    </w:p>
    <w:p w14:paraId="00000099"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chapter reviews the literature that guides the analysis of Aldi UK’s #FreeCuthbert campaign. Rather than </w:t>
      </w:r>
      <w:proofErr w:type="spellStart"/>
      <w:r>
        <w:rPr>
          <w:rFonts w:ascii="Arial" w:eastAsia="Arial" w:hAnsi="Arial" w:cs="Arial"/>
        </w:rPr>
        <w:t>summarising</w:t>
      </w:r>
      <w:proofErr w:type="spellEnd"/>
      <w:r>
        <w:rPr>
          <w:rFonts w:ascii="Arial" w:eastAsia="Arial" w:hAnsi="Arial" w:cs="Arial"/>
        </w:rPr>
        <w:t xml:space="preserve"> themes one by one, it is </w:t>
      </w:r>
      <w:proofErr w:type="spellStart"/>
      <w:r>
        <w:rPr>
          <w:rFonts w:ascii="Arial" w:eastAsia="Arial" w:hAnsi="Arial" w:cs="Arial"/>
        </w:rPr>
        <w:t>organised</w:t>
      </w:r>
      <w:proofErr w:type="spellEnd"/>
      <w:r>
        <w:rPr>
          <w:rFonts w:ascii="Arial" w:eastAsia="Arial" w:hAnsi="Arial" w:cs="Arial"/>
        </w:rPr>
        <w:t xml:space="preserve"> around three unresolved tensions: between improvisation and timeliness, between the opportunities and risks of open rivalry, and between crisis-response and </w:t>
      </w:r>
      <w:proofErr w:type="spellStart"/>
      <w:r>
        <w:rPr>
          <w:rFonts w:ascii="Arial" w:eastAsia="Arial" w:hAnsi="Arial" w:cs="Arial"/>
        </w:rPr>
        <w:t>paracrisis</w:t>
      </w:r>
      <w:proofErr w:type="spellEnd"/>
      <w:r>
        <w:rPr>
          <w:rFonts w:ascii="Arial" w:eastAsia="Arial" w:hAnsi="Arial" w:cs="Arial"/>
        </w:rPr>
        <w:t xml:space="preserve"> logic. These tensions structure the conceptual framework in Section 2.9, which is carried forward into the methodology in Chapter Three.</w:t>
      </w:r>
    </w:p>
    <w:p w14:paraId="0000009A"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Section 2.2 outlines brand storytelling on social media. Sections 2.3–2.7 then address improvisation and timeliness; </w:t>
      </w:r>
      <w:proofErr w:type="spellStart"/>
      <w:r>
        <w:rPr>
          <w:rFonts w:ascii="Arial" w:eastAsia="Arial" w:hAnsi="Arial" w:cs="Arial"/>
        </w:rPr>
        <w:t>humour</w:t>
      </w:r>
      <w:proofErr w:type="spellEnd"/>
      <w:r>
        <w:rPr>
          <w:rFonts w:ascii="Arial" w:eastAsia="Arial" w:hAnsi="Arial" w:cs="Arial"/>
        </w:rPr>
        <w:t xml:space="preserve">, narrative and brand personality as interpretive lenses; challenger positioning and rivalry; cultural relevance and adaptation; and reputational and legal risk. Section 2.8 </w:t>
      </w:r>
      <w:proofErr w:type="spellStart"/>
      <w:r>
        <w:rPr>
          <w:rFonts w:ascii="Arial" w:eastAsia="Arial" w:hAnsi="Arial" w:cs="Arial"/>
        </w:rPr>
        <w:t>synthesises</w:t>
      </w:r>
      <w:proofErr w:type="spellEnd"/>
      <w:r>
        <w:rPr>
          <w:rFonts w:ascii="Arial" w:eastAsia="Arial" w:hAnsi="Arial" w:cs="Arial"/>
        </w:rPr>
        <w:t xml:space="preserve"> the three tensions, and Section 2.9 presents the framework.</w:t>
      </w:r>
    </w:p>
    <w:p w14:paraId="0000009B" w14:textId="77777777" w:rsidR="003D2C5F" w:rsidRDefault="00000000">
      <w:pPr>
        <w:pStyle w:val="Heading2"/>
        <w:keepNext w:val="0"/>
        <w:keepLines w:val="0"/>
        <w:spacing w:after="80" w:line="360" w:lineRule="auto"/>
        <w:rPr>
          <w:b w:val="0"/>
          <w:bCs w:val="0"/>
          <w:sz w:val="34"/>
          <w:szCs w:val="34"/>
        </w:rPr>
      </w:pPr>
      <w:bookmarkStart w:id="23" w:name="_rfy25ww5u1oi" w:colFirst="0" w:colLast="0"/>
      <w:bookmarkStart w:id="24" w:name="_Toc241144160"/>
      <w:bookmarkEnd w:id="23"/>
      <w:r>
        <w:rPr>
          <w:sz w:val="34"/>
          <w:szCs w:val="34"/>
        </w:rPr>
        <w:t>2.2 Foundations: Brand Storytelling and Social Media</w:t>
      </w:r>
      <w:bookmarkEnd w:id="24"/>
    </w:p>
    <w:p w14:paraId="0000009C" w14:textId="77777777" w:rsidR="003D2C5F" w:rsidRDefault="00000000">
      <w:pPr>
        <w:spacing w:before="240" w:after="240" w:line="360" w:lineRule="auto"/>
        <w:jc w:val="both"/>
        <w:rPr>
          <w:rFonts w:ascii="Arial" w:eastAsia="Arial" w:hAnsi="Arial" w:cs="Arial"/>
        </w:rPr>
      </w:pPr>
      <w:r>
        <w:rPr>
          <w:rFonts w:ascii="Arial" w:eastAsia="Arial" w:hAnsi="Arial" w:cs="Arial"/>
        </w:rPr>
        <w:t>Social media can be defined as internet-based applications, built on the technological foundations of Web 2.0, that allow users to create and exchange content, so that organisations must cede some control over their messages to users (Kaplan and Haenlein, 2010). Brands therefore no longer control the story, and audiences routinely reinterpret and retell brand messages in their own way.</w:t>
      </w:r>
    </w:p>
    <w:p w14:paraId="0000009D" w14:textId="77777777" w:rsidR="003D2C5F" w:rsidRDefault="00000000">
      <w:pPr>
        <w:spacing w:before="180" w:after="180" w:line="360" w:lineRule="auto"/>
        <w:jc w:val="both"/>
        <w:rPr>
          <w:rFonts w:ascii="Arial" w:eastAsia="Arial" w:hAnsi="Arial" w:cs="Arial"/>
        </w:rPr>
      </w:pPr>
      <w:r>
        <w:rPr>
          <w:rFonts w:ascii="Arial" w:eastAsia="Arial" w:hAnsi="Arial" w:cs="Arial"/>
        </w:rPr>
        <w:t>Gensler et al. (2013) describe brand meaning on social media as co-created through the interaction between what a company says about itself and what the public says about it. Kietzmann et al. (2011) identify the building blocks through which this happens—identity, conversations, sharing, presence, relationships, reputation and groups—and Berthon et al. (2012) note that these give ordinary users the tools to become active co-producers of brand meaning.</w:t>
      </w:r>
    </w:p>
    <w:p w14:paraId="0000009E" w14:textId="77777777" w:rsidR="003D2C5F" w:rsidRDefault="00000000">
      <w:pPr>
        <w:spacing w:before="240" w:after="240" w:line="360" w:lineRule="auto"/>
        <w:jc w:val="both"/>
        <w:rPr>
          <w:rFonts w:ascii="Arial" w:eastAsia="Arial" w:hAnsi="Arial" w:cs="Arial"/>
        </w:rPr>
      </w:pPr>
      <w:r>
        <w:rPr>
          <w:rFonts w:ascii="Arial" w:eastAsia="Arial" w:hAnsi="Arial" w:cs="Arial"/>
        </w:rPr>
        <w:lastRenderedPageBreak/>
        <w:t xml:space="preserve">This framing is useful because it focuses the researcher on what can be </w:t>
      </w:r>
      <w:proofErr w:type="spellStart"/>
      <w:r>
        <w:rPr>
          <w:rFonts w:ascii="Arial" w:eastAsia="Arial" w:hAnsi="Arial" w:cs="Arial"/>
        </w:rPr>
        <w:t>analysed</w:t>
      </w:r>
      <w:proofErr w:type="spellEnd"/>
      <w:r>
        <w:rPr>
          <w:rFonts w:ascii="Arial" w:eastAsia="Arial" w:hAnsi="Arial" w:cs="Arial"/>
        </w:rPr>
        <w:t>: the brand’s visible public messages and credible external framing, rather than treating each audience response as data or making claims about consumer psychology. The focus can therefore be on what the brand published, how it framed its message, and how that message was framed externally.</w:t>
      </w:r>
    </w:p>
    <w:p w14:paraId="0000009F"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Ashley and Tuten (2015) identify emotional, functional and interactive creative strategies in branded social content and argue that the strategy chosen shapes reception. de Vries, Gensler and Leeflang (2012) show that the popularity of brand posts can be </w:t>
      </w:r>
      <w:proofErr w:type="spellStart"/>
      <w:r>
        <w:rPr>
          <w:rFonts w:ascii="Arial" w:eastAsia="Arial" w:hAnsi="Arial" w:cs="Arial"/>
        </w:rPr>
        <w:t>analysed</w:t>
      </w:r>
      <w:proofErr w:type="spellEnd"/>
      <w:r>
        <w:rPr>
          <w:rFonts w:ascii="Arial" w:eastAsia="Arial" w:hAnsi="Arial" w:cs="Arial"/>
        </w:rPr>
        <w:t xml:space="preserve"> through content characteristics such as vividness and interactivity, without claims about deeper consumer attitudes. Colliander and Dahlén (2011) find that the persuasive power of social content depends on the perceived authenticity of the voice behind it, which supports treating tone, rather than volume of activity, as an analytical priority.</w:t>
      </w:r>
    </w:p>
    <w:p w14:paraId="000000A0" w14:textId="77777777" w:rsidR="003D2C5F" w:rsidRDefault="00000000">
      <w:pPr>
        <w:spacing w:before="180" w:after="180" w:line="360" w:lineRule="auto"/>
        <w:jc w:val="both"/>
        <w:rPr>
          <w:rFonts w:ascii="Arial" w:eastAsia="Arial" w:hAnsi="Arial" w:cs="Arial"/>
        </w:rPr>
      </w:pPr>
      <w:proofErr w:type="spellStart"/>
      <w:r>
        <w:rPr>
          <w:rFonts w:ascii="Arial" w:eastAsia="Arial" w:hAnsi="Arial" w:cs="Arial"/>
        </w:rPr>
        <w:t>Hollebeek</w:t>
      </w:r>
      <w:proofErr w:type="spellEnd"/>
      <w:r>
        <w:rPr>
          <w:rFonts w:ascii="Arial" w:eastAsia="Arial" w:hAnsi="Arial" w:cs="Arial"/>
        </w:rPr>
        <w:t xml:space="preserve">, Glynn and Brodie (2014) </w:t>
      </w:r>
      <w:proofErr w:type="spellStart"/>
      <w:r>
        <w:rPr>
          <w:rFonts w:ascii="Arial" w:eastAsia="Arial" w:hAnsi="Arial" w:cs="Arial"/>
        </w:rPr>
        <w:t>conceptualise</w:t>
      </w:r>
      <w:proofErr w:type="spellEnd"/>
      <w:r>
        <w:rPr>
          <w:rFonts w:ascii="Arial" w:eastAsia="Arial" w:hAnsi="Arial" w:cs="Arial"/>
        </w:rPr>
        <w:t xml:space="preserve"> consumer brand engagement as cognitive, emotional and </w:t>
      </w:r>
      <w:proofErr w:type="spellStart"/>
      <w:r>
        <w:rPr>
          <w:rFonts w:ascii="Arial" w:eastAsia="Arial" w:hAnsi="Arial" w:cs="Arial"/>
        </w:rPr>
        <w:t>behavioural</w:t>
      </w:r>
      <w:proofErr w:type="spellEnd"/>
      <w:r>
        <w:rPr>
          <w:rFonts w:ascii="Arial" w:eastAsia="Arial" w:hAnsi="Arial" w:cs="Arial"/>
        </w:rPr>
        <w:t xml:space="preserve">, and warn that </w:t>
      </w:r>
      <w:proofErr w:type="spellStart"/>
      <w:r>
        <w:rPr>
          <w:rFonts w:ascii="Arial" w:eastAsia="Arial" w:hAnsi="Arial" w:cs="Arial"/>
        </w:rPr>
        <w:t>behavioural</w:t>
      </w:r>
      <w:proofErr w:type="spellEnd"/>
      <w:r>
        <w:rPr>
          <w:rFonts w:ascii="Arial" w:eastAsia="Arial" w:hAnsi="Arial" w:cs="Arial"/>
        </w:rPr>
        <w:t xml:space="preserve"> indicators such as shares, likes and retweets do not measure the psychological construct itself: a share may signal agreement, amusement or simply a wish to join the conversation. This study therefore logs observable engagement descriptively but does not treat it as evidence of loyalty, trust or purchase intention.</w:t>
      </w:r>
    </w:p>
    <w:p w14:paraId="000000A1" w14:textId="77777777" w:rsidR="003D2C5F" w:rsidRDefault="00000000">
      <w:pPr>
        <w:spacing w:before="240" w:after="240" w:line="360" w:lineRule="auto"/>
        <w:jc w:val="both"/>
        <w:rPr>
          <w:rFonts w:ascii="Arial" w:eastAsia="Arial" w:hAnsi="Arial" w:cs="Arial"/>
        </w:rPr>
      </w:pPr>
      <w:r>
        <w:rPr>
          <w:rFonts w:ascii="Arial" w:eastAsia="Arial" w:hAnsi="Arial" w:cs="Arial"/>
        </w:rPr>
        <w:t>Implication for this research: post type, timing and historical engagement can be logged and described, but they should not be treated as evidence of consumer loyalty, trust or purchase intention. Such a distinction is important for the descriptive strand, which is concerned with what was published and when (RQ1), but not with audience response as the dependent variable.</w:t>
      </w:r>
    </w:p>
    <w:p w14:paraId="000000A2" w14:textId="77777777" w:rsidR="003D2C5F" w:rsidRDefault="00000000">
      <w:pPr>
        <w:pStyle w:val="Heading2"/>
        <w:keepNext w:val="0"/>
        <w:keepLines w:val="0"/>
        <w:spacing w:after="80" w:line="360" w:lineRule="auto"/>
        <w:rPr>
          <w:b w:val="0"/>
          <w:bCs w:val="0"/>
          <w:sz w:val="34"/>
          <w:szCs w:val="34"/>
        </w:rPr>
      </w:pPr>
      <w:bookmarkStart w:id="25" w:name="_s1lydquipe6y" w:colFirst="0" w:colLast="0"/>
      <w:bookmarkStart w:id="26" w:name="_Toc241144161"/>
      <w:bookmarkEnd w:id="25"/>
      <w:r>
        <w:rPr>
          <w:sz w:val="34"/>
          <w:szCs w:val="34"/>
        </w:rPr>
        <w:t>2.3 Tension One: Improvisation and Timeliness</w:t>
      </w:r>
      <w:bookmarkEnd w:id="26"/>
    </w:p>
    <w:p w14:paraId="000000A3" w14:textId="77777777" w:rsidR="003D2C5F" w:rsidRDefault="00000000">
      <w:pPr>
        <w:pStyle w:val="Heading3"/>
        <w:keepNext w:val="0"/>
        <w:keepLines w:val="0"/>
        <w:spacing w:before="280" w:line="360" w:lineRule="auto"/>
        <w:jc w:val="both"/>
        <w:rPr>
          <w:b w:val="0"/>
          <w:bCs w:val="0"/>
          <w:sz w:val="26"/>
          <w:szCs w:val="26"/>
        </w:rPr>
      </w:pPr>
      <w:bookmarkStart w:id="27" w:name="_hxlfhnrvvbjp" w:colFirst="0" w:colLast="0"/>
      <w:bookmarkStart w:id="28" w:name="_Toc241144162"/>
      <w:bookmarkEnd w:id="27"/>
      <w:r>
        <w:rPr>
          <w:sz w:val="26"/>
          <w:szCs w:val="26"/>
        </w:rPr>
        <w:t>2.3.1 The Case for Speed and Topicality</w:t>
      </w:r>
      <w:bookmarkEnd w:id="28"/>
    </w:p>
    <w:p w14:paraId="7F923E37" w14:textId="5988B308"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 xml:space="preserve">According to Borah et al. (2020), activities that are written and performed “on-the-spot, in response to a </w:t>
      </w:r>
      <w:proofErr w:type="gramStart"/>
      <w:r w:rsidRPr="00DD359E">
        <w:rPr>
          <w:rFonts w:ascii="Arial" w:eastAsia="Arial" w:hAnsi="Arial" w:cs="Arial"/>
        </w:rPr>
        <w:t>third party</w:t>
      </w:r>
      <w:proofErr w:type="gramEnd"/>
      <w:r w:rsidRPr="00DD359E">
        <w:rPr>
          <w:rFonts w:ascii="Arial" w:eastAsia="Arial" w:hAnsi="Arial" w:cs="Arial"/>
        </w:rPr>
        <w:t xml:space="preserve"> stimulus” on social media are called “improvised marketing </w:t>
      </w:r>
      <w:r w:rsidRPr="00DD359E">
        <w:rPr>
          <w:rFonts w:ascii="Arial" w:eastAsia="Arial" w:hAnsi="Arial" w:cs="Arial"/>
        </w:rPr>
        <w:lastRenderedPageBreak/>
        <w:t xml:space="preserve">interventions”. According to them, there are two elements of successful interventions – </w:t>
      </w:r>
      <w:proofErr w:type="spellStart"/>
      <w:r w:rsidRPr="00DD359E">
        <w:rPr>
          <w:rFonts w:ascii="Arial" w:eastAsia="Arial" w:hAnsi="Arial" w:cs="Arial"/>
        </w:rPr>
        <w:t>humour</w:t>
      </w:r>
      <w:proofErr w:type="spellEnd"/>
      <w:r w:rsidRPr="00DD359E">
        <w:rPr>
          <w:rFonts w:ascii="Arial" w:eastAsia="Arial" w:hAnsi="Arial" w:cs="Arial"/>
        </w:rPr>
        <w:t xml:space="preserve"> and time. In </w:t>
      </w:r>
      <w:r>
        <w:rPr>
          <w:rFonts w:ascii="Arial" w:eastAsia="Arial" w:hAnsi="Arial" w:cs="Arial"/>
        </w:rPr>
        <w:t>their</w:t>
      </w:r>
      <w:r w:rsidRPr="00DD359E">
        <w:rPr>
          <w:rFonts w:ascii="Arial" w:eastAsia="Arial" w:hAnsi="Arial" w:cs="Arial"/>
        </w:rPr>
        <w:t xml:space="preserve"> analysis of a massive cross-section of brand reactions to external events, the researchers found that companies that respond promptly and in a witty way increase this attention—and in some cases increase their company value.</w:t>
      </w:r>
    </w:p>
    <w:p w14:paraId="2869D03F" w14:textId="37318B8F"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 xml:space="preserve">This was a very close match with the #FreeCuthbert campaign, which was a reactive campaign based on an unscheduled campaign brief as part of an ongoing court case, and which incorporated topical </w:t>
      </w:r>
      <w:proofErr w:type="spellStart"/>
      <w:r w:rsidRPr="00DD359E">
        <w:rPr>
          <w:rFonts w:ascii="Arial" w:eastAsia="Arial" w:hAnsi="Arial" w:cs="Arial"/>
        </w:rPr>
        <w:t>humour</w:t>
      </w:r>
      <w:proofErr w:type="spellEnd"/>
      <w:r w:rsidRPr="00DD359E">
        <w:rPr>
          <w:rFonts w:ascii="Arial" w:eastAsia="Arial" w:hAnsi="Arial" w:cs="Arial"/>
        </w:rPr>
        <w:t xml:space="preserve"> rather than a pre-planned creative brief. Indeed, the </w:t>
      </w:r>
      <w:r>
        <w:rPr>
          <w:rFonts w:ascii="Arial" w:eastAsia="Arial" w:hAnsi="Arial" w:cs="Arial"/>
        </w:rPr>
        <w:t>campaign's</w:t>
      </w:r>
      <w:r w:rsidRPr="00DD359E">
        <w:rPr>
          <w:rFonts w:ascii="Arial" w:eastAsia="Arial" w:hAnsi="Arial" w:cs="Arial"/>
        </w:rPr>
        <w:t xml:space="preserve"> creators described it as ‘agile’ and ‘super-responsive' (</w:t>
      </w:r>
      <w:proofErr w:type="spellStart"/>
      <w:r w:rsidRPr="00DD359E">
        <w:rPr>
          <w:rFonts w:ascii="Arial" w:eastAsia="Arial" w:hAnsi="Arial" w:cs="Arial"/>
        </w:rPr>
        <w:t>eurobest</w:t>
      </w:r>
      <w:proofErr w:type="spellEnd"/>
      <w:r w:rsidRPr="00DD359E">
        <w:rPr>
          <w:rFonts w:ascii="Arial" w:eastAsia="Arial" w:hAnsi="Arial" w:cs="Arial"/>
        </w:rPr>
        <w:t>, 2021); speed is not only a by-product, but actually a key feature of this award-winning campaign.</w:t>
      </w:r>
    </w:p>
    <w:p w14:paraId="35E063FC" w14:textId="771C3519" w:rsidR="00DD359E" w:rsidRDefault="00DD359E" w:rsidP="00DD359E">
      <w:pPr>
        <w:spacing w:before="240" w:after="240" w:line="360" w:lineRule="auto"/>
        <w:jc w:val="both"/>
        <w:rPr>
          <w:rFonts w:ascii="Arial" w:eastAsia="Arial" w:hAnsi="Arial" w:cs="Arial"/>
        </w:rPr>
      </w:pPr>
      <w:r w:rsidRPr="00DD359E">
        <w:rPr>
          <w:rFonts w:ascii="Arial" w:eastAsia="Arial" w:hAnsi="Arial" w:cs="Arial"/>
        </w:rPr>
        <w:t xml:space="preserve">Time is another strategic dimension that can be seen in newsjacking studies. Angell et al. (2019) conducted an experiment to examine the relationship between newsjacking content and its ability to generate positive </w:t>
      </w:r>
      <w:r>
        <w:rPr>
          <w:rFonts w:ascii="Arial" w:eastAsia="Arial" w:hAnsi="Arial" w:cs="Arial"/>
        </w:rPr>
        <w:t>attitudes</w:t>
      </w:r>
      <w:r w:rsidRPr="00DD359E">
        <w:rPr>
          <w:rFonts w:ascii="Arial" w:eastAsia="Arial" w:hAnsi="Arial" w:cs="Arial"/>
        </w:rPr>
        <w:t xml:space="preserve"> toward the news content and the brand, and they found that newsjacking content led to more positive attitudes than non-topical content, with the </w:t>
      </w:r>
      <w:proofErr w:type="spellStart"/>
      <w:r w:rsidRPr="00DD359E">
        <w:rPr>
          <w:rFonts w:ascii="Arial" w:eastAsia="Arial" w:hAnsi="Arial" w:cs="Arial"/>
        </w:rPr>
        <w:t>recognisability</w:t>
      </w:r>
      <w:proofErr w:type="spellEnd"/>
      <w:r w:rsidRPr="00DD359E">
        <w:rPr>
          <w:rFonts w:ascii="Arial" w:eastAsia="Arial" w:hAnsi="Arial" w:cs="Arial"/>
        </w:rPr>
        <w:t xml:space="preserve"> of the underlying story as a moderator. This implies that the legal battle was part of the #FreeCuthbert strategy from the outset</w:t>
      </w:r>
      <w:r>
        <w:rPr>
          <w:rFonts w:ascii="Arial" w:eastAsia="Arial" w:hAnsi="Arial" w:cs="Arial"/>
        </w:rPr>
        <w:t>;</w:t>
      </w:r>
      <w:r w:rsidRPr="00DD359E">
        <w:rPr>
          <w:rFonts w:ascii="Arial" w:eastAsia="Arial" w:hAnsi="Arial" w:cs="Arial"/>
        </w:rPr>
        <w:t xml:space="preserve"> in order to be effective, there needed to be a </w:t>
      </w:r>
      <w:r w:rsidRPr="00DD359E">
        <w:rPr>
          <w:rFonts w:ascii="Arial" w:eastAsia="Arial" w:hAnsi="Arial" w:cs="Arial"/>
        </w:rPr>
        <w:t>well-known</w:t>
      </w:r>
      <w:r w:rsidRPr="00DD359E">
        <w:rPr>
          <w:rFonts w:ascii="Arial" w:eastAsia="Arial" w:hAnsi="Arial" w:cs="Arial"/>
        </w:rPr>
        <w:t xml:space="preserve"> case for the public to become aware of between two retailers in the UK.</w:t>
      </w:r>
    </w:p>
    <w:p w14:paraId="000000A7" w14:textId="77777777" w:rsidR="003D2C5F" w:rsidRDefault="00000000">
      <w:pPr>
        <w:pStyle w:val="Heading3"/>
        <w:keepNext w:val="0"/>
        <w:keepLines w:val="0"/>
        <w:spacing w:before="280" w:line="360" w:lineRule="auto"/>
        <w:jc w:val="both"/>
        <w:rPr>
          <w:b w:val="0"/>
          <w:bCs w:val="0"/>
          <w:sz w:val="26"/>
          <w:szCs w:val="26"/>
        </w:rPr>
      </w:pPr>
      <w:bookmarkStart w:id="29" w:name="_dwz2p2titq85" w:colFirst="0" w:colLast="0"/>
      <w:bookmarkStart w:id="30" w:name="_Toc241144163"/>
      <w:bookmarkEnd w:id="29"/>
      <w:r>
        <w:rPr>
          <w:sz w:val="26"/>
          <w:szCs w:val="26"/>
        </w:rPr>
        <w:t>2.3.2 The Case for Caution: When Improvisation Underperforms</w:t>
      </w:r>
      <w:bookmarkEnd w:id="30"/>
    </w:p>
    <w:p w14:paraId="0F7B5A37" w14:textId="77777777" w:rsidR="00DD359E" w:rsidRPr="00DD359E" w:rsidRDefault="00DD359E" w:rsidP="00DD359E">
      <w:pPr>
        <w:spacing w:before="240" w:after="240" w:line="360" w:lineRule="auto"/>
        <w:jc w:val="both"/>
        <w:rPr>
          <w:rFonts w:ascii="Arial" w:eastAsia="Arial" w:hAnsi="Arial" w:cs="Arial"/>
        </w:rPr>
      </w:pPr>
      <w:r w:rsidRPr="00DD359E">
        <w:rPr>
          <w:rFonts w:ascii="Arial" w:eastAsia="Arial" w:hAnsi="Arial" w:cs="Arial"/>
        </w:rPr>
        <w:t>The literature also sounds a note of caution. Chae, Rodríguez-</w:t>
      </w:r>
      <w:proofErr w:type="spellStart"/>
      <w:r w:rsidRPr="00DD359E">
        <w:rPr>
          <w:rFonts w:ascii="Arial" w:eastAsia="Arial" w:hAnsi="Arial" w:cs="Arial"/>
        </w:rPr>
        <w:t>Vilá</w:t>
      </w:r>
      <w:proofErr w:type="spellEnd"/>
      <w:r w:rsidRPr="00DD359E">
        <w:rPr>
          <w:rFonts w:ascii="Arial" w:eastAsia="Arial" w:hAnsi="Arial" w:cs="Arial"/>
        </w:rPr>
        <w:t xml:space="preserve"> and Bharadwaj (2025) compare RTM messages that are planned to those that are improvised, and they find that improvised RTM messages result in lower engagement, primarily because viewers believe them to be less informative and less creative than planned messages. It can have an impact depending on factors like a “tuned” brand voice, but overall, I would rank improvisation as being a risk with more than planning.</w:t>
      </w:r>
    </w:p>
    <w:p w14:paraId="1F28003D" w14:textId="0157C5D5" w:rsidR="00DD359E" w:rsidRDefault="00DD359E" w:rsidP="00DD359E">
      <w:pPr>
        <w:spacing w:before="240" w:after="240" w:line="360" w:lineRule="auto"/>
        <w:jc w:val="both"/>
        <w:rPr>
          <w:rFonts w:ascii="Arial" w:eastAsia="Arial" w:hAnsi="Arial" w:cs="Arial"/>
        </w:rPr>
      </w:pPr>
      <w:r w:rsidRPr="00DD359E">
        <w:rPr>
          <w:rFonts w:ascii="Arial" w:eastAsia="Arial" w:hAnsi="Arial" w:cs="Arial"/>
        </w:rPr>
        <w:t>This leaves a tension that is not resolved in the literature. The benefits of speed and topicality are demonstrated by Borah et al. (2020) and Angell et al. (2019); in the case of improvised action, the disadvantages are demonstrated by Chae et al. (2025). The issue now is whether these two are two sides of the same coin or if they can live together</w:t>
      </w:r>
      <w:r>
        <w:rPr>
          <w:rFonts w:ascii="Arial" w:eastAsia="Arial" w:hAnsi="Arial" w:cs="Arial"/>
        </w:rPr>
        <w:t>.</w:t>
      </w:r>
      <w:r w:rsidRPr="00DD359E">
        <w:rPr>
          <w:rFonts w:ascii="Arial" w:eastAsia="Arial" w:hAnsi="Arial" w:cs="Arial"/>
        </w:rPr>
        <w:t xml:space="preserve"> Is it </w:t>
      </w:r>
      <w:r w:rsidRPr="00DD359E">
        <w:rPr>
          <w:rFonts w:ascii="Arial" w:eastAsia="Arial" w:hAnsi="Arial" w:cs="Arial"/>
        </w:rPr>
        <w:lastRenderedPageBreak/>
        <w:t>possible for a brand to be quick without compromising on the quality of its content production that is usually related to planning?</w:t>
      </w:r>
    </w:p>
    <w:p w14:paraId="000000AA" w14:textId="77777777" w:rsidR="003D2C5F" w:rsidRDefault="00000000">
      <w:pPr>
        <w:pStyle w:val="Heading3"/>
        <w:keepNext w:val="0"/>
        <w:keepLines w:val="0"/>
        <w:spacing w:before="280" w:line="360" w:lineRule="auto"/>
        <w:jc w:val="both"/>
        <w:rPr>
          <w:b w:val="0"/>
          <w:bCs w:val="0"/>
          <w:sz w:val="26"/>
          <w:szCs w:val="26"/>
        </w:rPr>
      </w:pPr>
      <w:bookmarkStart w:id="31" w:name="_s1wqmoajqely" w:colFirst="0" w:colLast="0"/>
      <w:bookmarkStart w:id="32" w:name="_Toc241144164"/>
      <w:bookmarkEnd w:id="31"/>
      <w:r>
        <w:rPr>
          <w:sz w:val="26"/>
          <w:szCs w:val="26"/>
        </w:rPr>
        <w:t>2.3.3 The #FreeCuthbert Case in the Context of This Tension</w:t>
      </w:r>
      <w:bookmarkEnd w:id="32"/>
    </w:p>
    <w:p w14:paraId="55E8A2D2" w14:textId="61FB8A15" w:rsidR="00DD359E" w:rsidRPr="00DD359E" w:rsidRDefault="00DD359E" w:rsidP="00DD359E">
      <w:pPr>
        <w:spacing w:before="180" w:after="180" w:line="360" w:lineRule="auto"/>
        <w:jc w:val="both"/>
        <w:rPr>
          <w:rFonts w:ascii="Arial" w:eastAsia="Arial" w:hAnsi="Arial" w:cs="Arial"/>
        </w:rPr>
      </w:pPr>
      <w:r w:rsidRPr="00DD359E">
        <w:rPr>
          <w:rFonts w:ascii="Arial" w:eastAsia="Arial" w:hAnsi="Arial" w:cs="Arial"/>
        </w:rPr>
        <w:t xml:space="preserve">The #FreeCuthbert was one </w:t>
      </w:r>
      <w:r>
        <w:rPr>
          <w:rFonts w:ascii="Arial" w:eastAsia="Arial" w:hAnsi="Arial" w:cs="Arial"/>
        </w:rPr>
        <w:t xml:space="preserve">of </w:t>
      </w:r>
      <w:r w:rsidRPr="00DD359E">
        <w:rPr>
          <w:rFonts w:ascii="Arial" w:eastAsia="Arial" w:hAnsi="Arial" w:cs="Arial"/>
        </w:rPr>
        <w:t>the most popular of its type. Was its success due to speed, execution quality or a mixture of the two? There are indications in the literature that merely speeding up isn't sufficient; it is important how it's executed. The originators of the campaign, however, outlined a simple process, one that was strategically designed, of both debating the situation in a reputational manner</w:t>
      </w:r>
      <w:r>
        <w:rPr>
          <w:rFonts w:ascii="Arial" w:eastAsia="Arial" w:hAnsi="Arial" w:cs="Arial"/>
        </w:rPr>
        <w:t>,</w:t>
      </w:r>
      <w:r w:rsidRPr="00DD359E">
        <w:rPr>
          <w:rFonts w:ascii="Arial" w:eastAsia="Arial" w:hAnsi="Arial" w:cs="Arial"/>
        </w:rPr>
        <w:t xml:space="preserve"> not a legal one and using the hashtag #FreeCuthbert and Cuthbert's character to frame the campaign, which took only 24 hours to be decided (Marketing Week, 2021).</w:t>
      </w:r>
    </w:p>
    <w:p w14:paraId="58BB32A6" w14:textId="553A3206" w:rsidR="00DD359E" w:rsidRPr="00DD359E" w:rsidRDefault="00DD359E" w:rsidP="00DD359E">
      <w:pPr>
        <w:spacing w:before="180" w:after="180" w:line="360" w:lineRule="auto"/>
        <w:jc w:val="both"/>
        <w:rPr>
          <w:rFonts w:ascii="Arial" w:eastAsia="Arial" w:hAnsi="Arial" w:cs="Arial"/>
        </w:rPr>
      </w:pPr>
      <w:r w:rsidRPr="00DD359E">
        <w:rPr>
          <w:rFonts w:ascii="Arial" w:eastAsia="Arial" w:hAnsi="Arial" w:cs="Arial"/>
        </w:rPr>
        <w:t xml:space="preserve">This indicates a skill </w:t>
      </w:r>
      <w:r>
        <w:rPr>
          <w:rFonts w:ascii="Arial" w:eastAsia="Arial" w:hAnsi="Arial" w:cs="Arial"/>
        </w:rPr>
        <w:t>of</w:t>
      </w:r>
      <w:r w:rsidRPr="00DD359E">
        <w:rPr>
          <w:rFonts w:ascii="Arial" w:eastAsia="Arial" w:hAnsi="Arial" w:cs="Arial"/>
        </w:rPr>
        <w:t xml:space="preserve"> “prepared improvisation”, which is a quick response made in a very clear strategic framework, but one which may not have been foreseen in the actual trigger.</w:t>
      </w:r>
    </w:p>
    <w:p w14:paraId="3D87C6DD" w14:textId="2092EB6A" w:rsidR="00DD359E" w:rsidRDefault="00DD359E" w:rsidP="00DD359E">
      <w:pPr>
        <w:spacing w:before="180" w:after="180" w:line="360" w:lineRule="auto"/>
        <w:jc w:val="both"/>
        <w:rPr>
          <w:rFonts w:ascii="Arial" w:eastAsia="Arial" w:hAnsi="Arial" w:cs="Arial"/>
        </w:rPr>
      </w:pPr>
      <w:r w:rsidRPr="00DD359E">
        <w:rPr>
          <w:rFonts w:ascii="Arial" w:eastAsia="Arial" w:hAnsi="Arial" w:cs="Arial"/>
        </w:rPr>
        <w:t>This study's improvisation-timeliness tension seems to have been resolved by improvisation's speed and strategic clarity that is evident in the #FreeCuthbert campaign. This study investigates whether the three phases of the campaign (Initial Response, Campaign Escalation, Charitable Extension) can be considered as a strategic control that reduced the risks of improvisation highlighted by Chae, Rodríguez-</w:t>
      </w:r>
      <w:proofErr w:type="spellStart"/>
      <w:r w:rsidRPr="00DD359E">
        <w:rPr>
          <w:rFonts w:ascii="Arial" w:eastAsia="Arial" w:hAnsi="Arial" w:cs="Arial"/>
        </w:rPr>
        <w:t>Vilá</w:t>
      </w:r>
      <w:proofErr w:type="spellEnd"/>
      <w:r w:rsidRPr="00DD359E">
        <w:rPr>
          <w:rFonts w:ascii="Arial" w:eastAsia="Arial" w:hAnsi="Arial" w:cs="Arial"/>
        </w:rPr>
        <w:t xml:space="preserve"> and Bharadwaj (2025), while maintaining the benefits of timeliness highlighted by Borah et al. (2020) and Angell et al. (2019).</w:t>
      </w:r>
    </w:p>
    <w:p w14:paraId="000000AE" w14:textId="77777777" w:rsidR="003D2C5F" w:rsidRDefault="00000000">
      <w:pPr>
        <w:pStyle w:val="Heading2"/>
        <w:keepNext w:val="0"/>
        <w:keepLines w:val="0"/>
        <w:spacing w:after="80" w:line="360" w:lineRule="auto"/>
        <w:rPr>
          <w:b w:val="0"/>
          <w:bCs w:val="0"/>
          <w:sz w:val="34"/>
          <w:szCs w:val="34"/>
        </w:rPr>
      </w:pPr>
      <w:bookmarkStart w:id="33" w:name="_ch156ktmjsvf" w:colFirst="0" w:colLast="0"/>
      <w:bookmarkStart w:id="34" w:name="_Toc241144165"/>
      <w:bookmarkEnd w:id="33"/>
      <w:r>
        <w:rPr>
          <w:sz w:val="34"/>
          <w:szCs w:val="34"/>
        </w:rPr>
        <w:t xml:space="preserve">2.4 Interpretive Lenses: </w:t>
      </w:r>
      <w:proofErr w:type="spellStart"/>
      <w:r>
        <w:rPr>
          <w:sz w:val="34"/>
          <w:szCs w:val="34"/>
        </w:rPr>
        <w:t>Humour</w:t>
      </w:r>
      <w:proofErr w:type="spellEnd"/>
      <w:r>
        <w:rPr>
          <w:sz w:val="34"/>
          <w:szCs w:val="34"/>
        </w:rPr>
        <w:t>, Narrative and Brand Personality</w:t>
      </w:r>
      <w:bookmarkEnd w:id="34"/>
    </w:p>
    <w:p w14:paraId="000000AF" w14:textId="77777777" w:rsidR="003D2C5F" w:rsidRDefault="00000000">
      <w:pPr>
        <w:pStyle w:val="Heading3"/>
        <w:keepNext w:val="0"/>
        <w:keepLines w:val="0"/>
        <w:spacing w:before="280" w:line="360" w:lineRule="auto"/>
        <w:jc w:val="both"/>
        <w:rPr>
          <w:b w:val="0"/>
          <w:bCs w:val="0"/>
          <w:sz w:val="26"/>
          <w:szCs w:val="26"/>
        </w:rPr>
      </w:pPr>
      <w:bookmarkStart w:id="35" w:name="_cahf3q5rz1ji" w:colFirst="0" w:colLast="0"/>
      <w:bookmarkStart w:id="36" w:name="_Toc241144166"/>
      <w:bookmarkEnd w:id="35"/>
      <w:r>
        <w:rPr>
          <w:sz w:val="26"/>
          <w:szCs w:val="26"/>
        </w:rPr>
        <w:t xml:space="preserve">2.4.1 </w:t>
      </w:r>
      <w:proofErr w:type="spellStart"/>
      <w:r>
        <w:rPr>
          <w:sz w:val="26"/>
          <w:szCs w:val="26"/>
        </w:rPr>
        <w:t>Humour</w:t>
      </w:r>
      <w:proofErr w:type="spellEnd"/>
      <w:r>
        <w:rPr>
          <w:sz w:val="26"/>
          <w:szCs w:val="26"/>
        </w:rPr>
        <w:t>: A Context-Dependent Device</w:t>
      </w:r>
      <w:bookmarkEnd w:id="36"/>
    </w:p>
    <w:p w14:paraId="1D941E27" w14:textId="77777777" w:rsidR="00DD359E" w:rsidRPr="00DD359E" w:rsidRDefault="00DD359E" w:rsidP="00DD359E">
      <w:pPr>
        <w:spacing w:before="180" w:after="180" w:line="360" w:lineRule="auto"/>
        <w:jc w:val="both"/>
        <w:rPr>
          <w:rFonts w:ascii="Arial" w:eastAsia="Arial" w:hAnsi="Arial" w:cs="Arial"/>
        </w:rPr>
      </w:pPr>
      <w:r w:rsidRPr="00DD359E">
        <w:rPr>
          <w:rFonts w:ascii="Arial" w:eastAsia="Arial" w:hAnsi="Arial" w:cs="Arial"/>
        </w:rPr>
        <w:t xml:space="preserve">Pope Francis's style shows the manner in which he uses </w:t>
      </w:r>
      <w:proofErr w:type="spellStart"/>
      <w:r w:rsidRPr="00DD359E">
        <w:rPr>
          <w:rFonts w:ascii="Arial" w:eastAsia="Arial" w:hAnsi="Arial" w:cs="Arial"/>
        </w:rPr>
        <w:t>humour</w:t>
      </w:r>
      <w:proofErr w:type="spellEnd"/>
      <w:r w:rsidRPr="00DD359E">
        <w:rPr>
          <w:rFonts w:ascii="Arial" w:eastAsia="Arial" w:hAnsi="Arial" w:cs="Arial"/>
        </w:rPr>
        <w:t xml:space="preserve"> as a device that is dependent on the context.</w:t>
      </w:r>
    </w:p>
    <w:p w14:paraId="565583A0" w14:textId="3AE1D53C" w:rsidR="00DD359E" w:rsidRPr="00DD359E" w:rsidRDefault="00DD359E" w:rsidP="00DD359E">
      <w:pPr>
        <w:spacing w:before="180" w:after="180" w:line="360" w:lineRule="auto"/>
        <w:jc w:val="both"/>
        <w:rPr>
          <w:rFonts w:ascii="Arial" w:eastAsia="Arial" w:hAnsi="Arial" w:cs="Arial"/>
        </w:rPr>
      </w:pPr>
      <w:proofErr w:type="spellStart"/>
      <w:r w:rsidRPr="00DD359E">
        <w:rPr>
          <w:rFonts w:ascii="Arial" w:eastAsia="Arial" w:hAnsi="Arial" w:cs="Arial"/>
        </w:rPr>
        <w:lastRenderedPageBreak/>
        <w:t>Eisend</w:t>
      </w:r>
      <w:proofErr w:type="spellEnd"/>
      <w:r w:rsidRPr="00DD359E">
        <w:rPr>
          <w:rFonts w:ascii="Arial" w:eastAsia="Arial" w:hAnsi="Arial" w:cs="Arial"/>
        </w:rPr>
        <w:t xml:space="preserve"> (2011) and Yu et al. (2022) both consider </w:t>
      </w:r>
      <w:proofErr w:type="spellStart"/>
      <w:r w:rsidRPr="00DD359E">
        <w:rPr>
          <w:rFonts w:ascii="Arial" w:eastAsia="Arial" w:hAnsi="Arial" w:cs="Arial"/>
        </w:rPr>
        <w:t>humour</w:t>
      </w:r>
      <w:proofErr w:type="spellEnd"/>
      <w:r w:rsidRPr="00DD359E">
        <w:rPr>
          <w:rFonts w:ascii="Arial" w:eastAsia="Arial" w:hAnsi="Arial" w:cs="Arial"/>
        </w:rPr>
        <w:t xml:space="preserve"> as a tool of communication that is </w:t>
      </w:r>
      <w:r>
        <w:rPr>
          <w:rFonts w:ascii="Arial" w:eastAsia="Arial" w:hAnsi="Arial" w:cs="Arial"/>
        </w:rPr>
        <w:t>context-specific</w:t>
      </w:r>
      <w:r w:rsidRPr="00DD359E">
        <w:rPr>
          <w:rFonts w:ascii="Arial" w:eastAsia="Arial" w:hAnsi="Arial" w:cs="Arial"/>
        </w:rPr>
        <w:t xml:space="preserve">. Meta-analysis by </w:t>
      </w:r>
      <w:proofErr w:type="spellStart"/>
      <w:r w:rsidRPr="00DD359E">
        <w:rPr>
          <w:rFonts w:ascii="Arial" w:eastAsia="Arial" w:hAnsi="Arial" w:cs="Arial"/>
        </w:rPr>
        <w:t>Eisend</w:t>
      </w:r>
      <w:proofErr w:type="spellEnd"/>
      <w:r w:rsidRPr="00DD359E">
        <w:rPr>
          <w:rFonts w:ascii="Arial" w:eastAsia="Arial" w:hAnsi="Arial" w:cs="Arial"/>
        </w:rPr>
        <w:t xml:space="preserve"> indicates that </w:t>
      </w:r>
      <w:proofErr w:type="spellStart"/>
      <w:r>
        <w:rPr>
          <w:rFonts w:ascii="Arial" w:eastAsia="Arial" w:hAnsi="Arial" w:cs="Arial"/>
        </w:rPr>
        <w:t>humour</w:t>
      </w:r>
      <w:proofErr w:type="spellEnd"/>
      <w:r w:rsidRPr="00DD359E">
        <w:rPr>
          <w:rFonts w:ascii="Arial" w:eastAsia="Arial" w:hAnsi="Arial" w:cs="Arial"/>
        </w:rPr>
        <w:t xml:space="preserve"> can aid persuasion in some contexts, and detract from message content in others, depending on, for example, the complexity of the message and the familiarity of the brand. However, Weinberger and Gulas (1992) also find that </w:t>
      </w:r>
      <w:proofErr w:type="spellStart"/>
      <w:r w:rsidRPr="00DD359E">
        <w:rPr>
          <w:rFonts w:ascii="Arial" w:eastAsia="Arial" w:hAnsi="Arial" w:cs="Arial"/>
        </w:rPr>
        <w:t>humour</w:t>
      </w:r>
      <w:proofErr w:type="spellEnd"/>
      <w:r w:rsidRPr="00DD359E">
        <w:rPr>
          <w:rFonts w:ascii="Arial" w:eastAsia="Arial" w:hAnsi="Arial" w:cs="Arial"/>
        </w:rPr>
        <w:t xml:space="preserve"> can be an effective attention grabber, but not a conversion aid or a persuader, and Speck's taxonomy (1991) aids in differentiating among the various types of </w:t>
      </w:r>
      <w:proofErr w:type="spellStart"/>
      <w:r w:rsidRPr="00DD359E">
        <w:rPr>
          <w:rFonts w:ascii="Arial" w:eastAsia="Arial" w:hAnsi="Arial" w:cs="Arial"/>
        </w:rPr>
        <w:t>humour</w:t>
      </w:r>
      <w:proofErr w:type="spellEnd"/>
      <w:r w:rsidRPr="00DD359E">
        <w:rPr>
          <w:rFonts w:ascii="Arial" w:eastAsia="Arial" w:hAnsi="Arial" w:cs="Arial"/>
        </w:rPr>
        <w:t xml:space="preserve"> in a single campaign.</w:t>
      </w:r>
    </w:p>
    <w:p w14:paraId="031BA0D1" w14:textId="29A77994" w:rsidR="00DD359E" w:rsidRDefault="00DD359E" w:rsidP="00DD359E">
      <w:pPr>
        <w:spacing w:before="180" w:after="180" w:line="360" w:lineRule="auto"/>
        <w:jc w:val="both"/>
        <w:rPr>
          <w:rFonts w:ascii="Arial" w:eastAsia="Arial" w:hAnsi="Arial" w:cs="Arial"/>
        </w:rPr>
      </w:pPr>
      <w:r w:rsidRPr="00DD359E">
        <w:rPr>
          <w:rFonts w:ascii="Arial" w:eastAsia="Arial" w:hAnsi="Arial" w:cs="Arial"/>
        </w:rPr>
        <w:t xml:space="preserve">It is reported by Yu et al. (2022) that </w:t>
      </w:r>
      <w:proofErr w:type="spellStart"/>
      <w:r w:rsidRPr="00DD359E">
        <w:rPr>
          <w:rFonts w:ascii="Arial" w:eastAsia="Arial" w:hAnsi="Arial" w:cs="Arial"/>
        </w:rPr>
        <w:t>humour</w:t>
      </w:r>
      <w:proofErr w:type="spellEnd"/>
      <w:r w:rsidRPr="00DD359E">
        <w:rPr>
          <w:rFonts w:ascii="Arial" w:eastAsia="Arial" w:hAnsi="Arial" w:cs="Arial"/>
        </w:rPr>
        <w:t xml:space="preserve"> can mitigate the effects of negative feedback on social media, albeit in a more limited context. It is not possible to extrapolate this result to claim that </w:t>
      </w:r>
      <w:proofErr w:type="spellStart"/>
      <w:r w:rsidRPr="00DD359E">
        <w:rPr>
          <w:rFonts w:ascii="Arial" w:eastAsia="Arial" w:hAnsi="Arial" w:cs="Arial"/>
        </w:rPr>
        <w:t>humour</w:t>
      </w:r>
      <w:proofErr w:type="spellEnd"/>
      <w:r w:rsidRPr="00DD359E">
        <w:rPr>
          <w:rFonts w:ascii="Arial" w:eastAsia="Arial" w:hAnsi="Arial" w:cs="Arial"/>
        </w:rPr>
        <w:t xml:space="preserve"> is always effective, or that it led to a specific effect for Aldi, but it is certainly a good reason to see </w:t>
      </w:r>
      <w:proofErr w:type="spellStart"/>
      <w:r w:rsidRPr="00DD359E">
        <w:rPr>
          <w:rFonts w:ascii="Arial" w:eastAsia="Arial" w:hAnsi="Arial" w:cs="Arial"/>
        </w:rPr>
        <w:t>humour</w:t>
      </w:r>
      <w:proofErr w:type="spellEnd"/>
      <w:r w:rsidRPr="00DD359E">
        <w:rPr>
          <w:rFonts w:ascii="Arial" w:eastAsia="Arial" w:hAnsi="Arial" w:cs="Arial"/>
        </w:rPr>
        <w:t xml:space="preserve"> as a strategic device that is worth researching in greater depth.</w:t>
      </w:r>
    </w:p>
    <w:p w14:paraId="000000B2" w14:textId="77777777" w:rsidR="003D2C5F" w:rsidRDefault="00000000">
      <w:pPr>
        <w:pStyle w:val="Heading3"/>
        <w:keepNext w:val="0"/>
        <w:keepLines w:val="0"/>
        <w:spacing w:before="280" w:line="360" w:lineRule="auto"/>
        <w:jc w:val="both"/>
        <w:rPr>
          <w:b w:val="0"/>
          <w:bCs w:val="0"/>
          <w:sz w:val="26"/>
          <w:szCs w:val="26"/>
        </w:rPr>
      </w:pPr>
      <w:bookmarkStart w:id="37" w:name="_wkyj5ebkteq" w:colFirst="0" w:colLast="0"/>
      <w:bookmarkStart w:id="38" w:name="_Toc241144167"/>
      <w:bookmarkEnd w:id="37"/>
      <w:r>
        <w:rPr>
          <w:sz w:val="26"/>
          <w:szCs w:val="26"/>
        </w:rPr>
        <w:t>2.4.2 Brand Personality: Sincerity, Excitement and the Challenger</w:t>
      </w:r>
      <w:bookmarkEnd w:id="38"/>
    </w:p>
    <w:p w14:paraId="254287DD" w14:textId="77777777" w:rsidR="003401E1" w:rsidRPr="003401E1" w:rsidRDefault="003401E1" w:rsidP="003401E1">
      <w:pPr>
        <w:spacing w:before="240" w:after="240" w:line="360" w:lineRule="auto"/>
        <w:jc w:val="both"/>
        <w:rPr>
          <w:rFonts w:ascii="Arial" w:eastAsia="Arial" w:hAnsi="Arial" w:cs="Arial"/>
        </w:rPr>
      </w:pPr>
      <w:r w:rsidRPr="003401E1">
        <w:rPr>
          <w:rFonts w:ascii="Arial" w:eastAsia="Arial" w:hAnsi="Arial" w:cs="Arial"/>
        </w:rPr>
        <w:t>Aaker (1997) takes another approach to brand communication and provides a set of dimensions that can be used to understand how a brand is being perceived: sincerity, excitement, competence, sophistication and ruggedness. The broader brand-equity framework in which such personality cues are supposed to play an important role is provided by Keller (1993) and Aaker (1996): good and consistent brand associations are viewed as a key contributor to long-term brand value, and that's why a marketing campaign of this kind has stakes that are more than just news cycle.</w:t>
      </w:r>
    </w:p>
    <w:p w14:paraId="4E9400A4" w14:textId="0462F8CA" w:rsidR="003401E1" w:rsidRDefault="003401E1" w:rsidP="003401E1">
      <w:pPr>
        <w:spacing w:before="240" w:after="240" w:line="360" w:lineRule="auto"/>
        <w:jc w:val="both"/>
        <w:rPr>
          <w:rFonts w:ascii="Arial" w:eastAsia="Arial" w:hAnsi="Arial" w:cs="Arial"/>
        </w:rPr>
      </w:pPr>
      <w:r w:rsidRPr="003401E1">
        <w:rPr>
          <w:rFonts w:ascii="Arial" w:eastAsia="Arial" w:hAnsi="Arial" w:cs="Arial"/>
        </w:rPr>
        <w:t>Personality cues are an important but challenging component of the analysis: a joke can carry some consideration about personality without being a stable brand attribute; or a brand can be funniest in a campaign, but a not-funny brand in the long run. The #FreeCuthbert corpus enables us to investigate whether the personality indicators it contained are campaign-specific or are an indicator of longer-term positioning.</w:t>
      </w:r>
    </w:p>
    <w:p w14:paraId="63CB8C16" w14:textId="77777777" w:rsidR="003401E1" w:rsidRDefault="003401E1" w:rsidP="003401E1">
      <w:pPr>
        <w:spacing w:before="240" w:after="240" w:line="360" w:lineRule="auto"/>
        <w:jc w:val="both"/>
        <w:rPr>
          <w:rFonts w:ascii="Arial" w:eastAsia="Arial" w:hAnsi="Arial" w:cs="Arial"/>
        </w:rPr>
      </w:pPr>
    </w:p>
    <w:p w14:paraId="701F74D5" w14:textId="77777777" w:rsidR="003401E1" w:rsidRDefault="003401E1" w:rsidP="003401E1">
      <w:pPr>
        <w:spacing w:before="240" w:after="240" w:line="360" w:lineRule="auto"/>
        <w:jc w:val="both"/>
        <w:rPr>
          <w:rFonts w:ascii="Arial" w:eastAsia="Arial" w:hAnsi="Arial" w:cs="Arial"/>
        </w:rPr>
      </w:pPr>
    </w:p>
    <w:p w14:paraId="000000B5" w14:textId="77777777" w:rsidR="003D2C5F" w:rsidRDefault="00000000">
      <w:pPr>
        <w:pStyle w:val="Heading3"/>
        <w:keepNext w:val="0"/>
        <w:keepLines w:val="0"/>
        <w:spacing w:before="280" w:line="360" w:lineRule="auto"/>
        <w:jc w:val="both"/>
        <w:rPr>
          <w:b w:val="0"/>
          <w:bCs w:val="0"/>
          <w:sz w:val="26"/>
          <w:szCs w:val="26"/>
        </w:rPr>
      </w:pPr>
      <w:bookmarkStart w:id="39" w:name="_xc213t9cvocu" w:colFirst="0" w:colLast="0"/>
      <w:bookmarkStart w:id="40" w:name="_Toc241144168"/>
      <w:bookmarkEnd w:id="39"/>
      <w:r>
        <w:rPr>
          <w:sz w:val="26"/>
          <w:szCs w:val="26"/>
        </w:rPr>
        <w:lastRenderedPageBreak/>
        <w:t xml:space="preserve">2.4.3 </w:t>
      </w:r>
      <w:proofErr w:type="spellStart"/>
      <w:r>
        <w:rPr>
          <w:sz w:val="26"/>
          <w:szCs w:val="26"/>
        </w:rPr>
        <w:t>Humour</w:t>
      </w:r>
      <w:proofErr w:type="spellEnd"/>
      <w:r>
        <w:rPr>
          <w:sz w:val="26"/>
          <w:szCs w:val="26"/>
        </w:rPr>
        <w:t xml:space="preserve"> in Brand-to-Brand Exchanges: The Role of Market Position</w:t>
      </w:r>
      <w:bookmarkEnd w:id="40"/>
    </w:p>
    <w:p w14:paraId="3A765BE0" w14:textId="77777777" w:rsidR="003401E1" w:rsidRPr="003401E1" w:rsidRDefault="003401E1" w:rsidP="003401E1">
      <w:pPr>
        <w:spacing w:before="240" w:after="240" w:line="360" w:lineRule="auto"/>
        <w:jc w:val="both"/>
        <w:rPr>
          <w:rFonts w:ascii="Arial" w:eastAsia="Arial" w:hAnsi="Arial" w:cs="Arial"/>
        </w:rPr>
      </w:pPr>
      <w:r w:rsidRPr="003401E1">
        <w:rPr>
          <w:rFonts w:ascii="Arial" w:eastAsia="Arial" w:hAnsi="Arial" w:cs="Arial"/>
        </w:rPr>
        <w:t xml:space="preserve">A more specific sub-field investigates humor in public interactions between competing brands, which is more akin to #FreeCuthbert than the work on brand-internal </w:t>
      </w:r>
      <w:proofErr w:type="spellStart"/>
      <w:r w:rsidRPr="003401E1">
        <w:rPr>
          <w:rFonts w:ascii="Arial" w:eastAsia="Arial" w:hAnsi="Arial" w:cs="Arial"/>
        </w:rPr>
        <w:t>humour</w:t>
      </w:r>
      <w:proofErr w:type="spellEnd"/>
      <w:r w:rsidRPr="003401E1">
        <w:rPr>
          <w:rFonts w:ascii="Arial" w:eastAsia="Arial" w:hAnsi="Arial" w:cs="Arial"/>
        </w:rPr>
        <w:t xml:space="preserve">. In the name of benign violation theory, Béal, Lécuyer and Guitart (2025) suggest that audiences perceive a mildly transgressive message as funny only when they believe it is a comic creation rather than a ploy for other reasons, but also when they see such a message from a “top dog” brand as </w:t>
      </w:r>
      <w:proofErr w:type="spellStart"/>
      <w:r w:rsidRPr="003401E1">
        <w:rPr>
          <w:rFonts w:ascii="Arial" w:eastAsia="Arial" w:hAnsi="Arial" w:cs="Arial"/>
        </w:rPr>
        <w:t>humour</w:t>
      </w:r>
      <w:proofErr w:type="spellEnd"/>
      <w:r w:rsidRPr="003401E1">
        <w:rPr>
          <w:rFonts w:ascii="Arial" w:eastAsia="Arial" w:hAnsi="Arial" w:cs="Arial"/>
        </w:rPr>
        <w:t xml:space="preserve"> rather than a cover for hidden motives, and when they perceive the source as an “underdog”. Lastly, Béal, Lécuyer and Guitart (2025) claim that reception is more positive when the sender and receiver exchange </w:t>
      </w:r>
      <w:proofErr w:type="spellStart"/>
      <w:r w:rsidRPr="003401E1">
        <w:rPr>
          <w:rFonts w:ascii="Arial" w:eastAsia="Arial" w:hAnsi="Arial" w:cs="Arial"/>
        </w:rPr>
        <w:t>humour</w:t>
      </w:r>
      <w:proofErr w:type="spellEnd"/>
      <w:r w:rsidRPr="003401E1">
        <w:rPr>
          <w:rFonts w:ascii="Arial" w:eastAsia="Arial" w:hAnsi="Arial" w:cs="Arial"/>
        </w:rPr>
        <w:t>.</w:t>
      </w:r>
    </w:p>
    <w:p w14:paraId="6242A363" w14:textId="69AF6C93" w:rsidR="003401E1" w:rsidRDefault="003401E1" w:rsidP="003401E1">
      <w:pPr>
        <w:spacing w:before="240" w:after="240" w:line="360" w:lineRule="auto"/>
        <w:jc w:val="both"/>
        <w:rPr>
          <w:rFonts w:ascii="Arial" w:eastAsia="Arial" w:hAnsi="Arial" w:cs="Arial"/>
        </w:rPr>
      </w:pPr>
      <w:proofErr w:type="gramStart"/>
      <w:r w:rsidRPr="003401E1">
        <w:rPr>
          <w:rFonts w:ascii="Arial" w:eastAsia="Arial" w:hAnsi="Arial" w:cs="Arial"/>
        </w:rPr>
        <w:t>So</w:t>
      </w:r>
      <w:proofErr w:type="gramEnd"/>
      <w:r w:rsidRPr="003401E1">
        <w:rPr>
          <w:rFonts w:ascii="Arial" w:eastAsia="Arial" w:hAnsi="Arial" w:cs="Arial"/>
        </w:rPr>
        <w:t xml:space="preserve"> the relative position of Aldi UK and Marks and Spencer is important. Marks and Spencer </w:t>
      </w:r>
      <w:proofErr w:type="gramStart"/>
      <w:r w:rsidRPr="003401E1">
        <w:rPr>
          <w:rFonts w:ascii="Arial" w:eastAsia="Arial" w:hAnsi="Arial" w:cs="Arial"/>
        </w:rPr>
        <w:t>is</w:t>
      </w:r>
      <w:proofErr w:type="gramEnd"/>
      <w:r w:rsidRPr="003401E1">
        <w:rPr>
          <w:rFonts w:ascii="Arial" w:eastAsia="Arial" w:hAnsi="Arial" w:cs="Arial"/>
        </w:rPr>
        <w:t xml:space="preserve"> established heritage brand with a high positioning whilst Aldi is a discount challenger to the established supermarket brands. This positioning makes understanding the </w:t>
      </w:r>
      <w:proofErr w:type="spellStart"/>
      <w:r w:rsidRPr="003401E1">
        <w:rPr>
          <w:rFonts w:ascii="Arial" w:eastAsia="Arial" w:hAnsi="Arial" w:cs="Arial"/>
        </w:rPr>
        <w:t>humour</w:t>
      </w:r>
      <w:proofErr w:type="spellEnd"/>
      <w:r w:rsidRPr="003401E1">
        <w:rPr>
          <w:rFonts w:ascii="Arial" w:eastAsia="Arial" w:hAnsi="Arial" w:cs="Arial"/>
        </w:rPr>
        <w:t xml:space="preserve"> of the #FreeCuthbert corpus more understandable: Aldi UK's role as underdog in the dispute may have helped to make their response more palatable than a similar one from the claimant.</w:t>
      </w:r>
    </w:p>
    <w:p w14:paraId="000000B9" w14:textId="77777777" w:rsidR="003D2C5F" w:rsidRDefault="00000000">
      <w:pPr>
        <w:pStyle w:val="Heading3"/>
        <w:keepNext w:val="0"/>
        <w:keepLines w:val="0"/>
        <w:spacing w:before="280" w:line="360" w:lineRule="auto"/>
        <w:jc w:val="both"/>
        <w:rPr>
          <w:b w:val="0"/>
          <w:bCs w:val="0"/>
          <w:sz w:val="26"/>
          <w:szCs w:val="26"/>
        </w:rPr>
      </w:pPr>
      <w:bookmarkStart w:id="41" w:name="_1n48g6vvelxo" w:colFirst="0" w:colLast="0"/>
      <w:bookmarkStart w:id="42" w:name="_Toc241144169"/>
      <w:bookmarkEnd w:id="41"/>
      <w:r>
        <w:rPr>
          <w:sz w:val="26"/>
          <w:szCs w:val="26"/>
        </w:rPr>
        <w:t>2.4.4 Narrative: Character, Conflict and Resolution</w:t>
      </w:r>
      <w:bookmarkEnd w:id="42"/>
    </w:p>
    <w:p w14:paraId="12D737E2" w14:textId="77777777" w:rsidR="003401E1" w:rsidRPr="003401E1" w:rsidRDefault="003401E1" w:rsidP="003401E1">
      <w:pPr>
        <w:spacing w:before="240" w:after="240" w:line="360" w:lineRule="auto"/>
        <w:jc w:val="both"/>
        <w:rPr>
          <w:rFonts w:ascii="Arial" w:eastAsia="Arial" w:hAnsi="Arial" w:cs="Arial"/>
        </w:rPr>
      </w:pPr>
      <w:r w:rsidRPr="003401E1">
        <w:rPr>
          <w:rFonts w:ascii="Arial" w:eastAsia="Arial" w:hAnsi="Arial" w:cs="Arial"/>
        </w:rPr>
        <w:t>The story line provides another perspective. Escalas (2004) contended that narrative transportation immerses the consumer in the brand narrative, influences brand attitudes and creates more intense emotional reactions. The #FreeCuthbert campaign has a clear story line of three parts: Character introduction (Cuthbert the cake with personality), conflict (Cuthbert imprisoned/wrongfully charged), and resolution (Cuthbert saved by doing good deeds). The narrative structure doesn't operate as an ornamental device, but is meant to make the legal battle seem like a moral drama to the audience instead of just a legal battle.</w:t>
      </w:r>
    </w:p>
    <w:p w14:paraId="39CFD4F5" w14:textId="65879EEF" w:rsidR="003401E1" w:rsidRDefault="003401E1" w:rsidP="003401E1">
      <w:pPr>
        <w:spacing w:before="240" w:after="240" w:line="360" w:lineRule="auto"/>
        <w:jc w:val="both"/>
        <w:rPr>
          <w:rFonts w:ascii="Arial" w:eastAsia="Arial" w:hAnsi="Arial" w:cs="Arial"/>
        </w:rPr>
      </w:pPr>
      <w:r w:rsidRPr="003401E1">
        <w:rPr>
          <w:rFonts w:ascii="Arial" w:eastAsia="Arial" w:hAnsi="Arial" w:cs="Arial"/>
        </w:rPr>
        <w:t xml:space="preserve">For this study, the #FreeCuthbert corpus cannot be </w:t>
      </w:r>
      <w:proofErr w:type="spellStart"/>
      <w:r w:rsidRPr="003401E1">
        <w:rPr>
          <w:rFonts w:ascii="Arial" w:eastAsia="Arial" w:hAnsi="Arial" w:cs="Arial"/>
        </w:rPr>
        <w:t>analysed</w:t>
      </w:r>
      <w:proofErr w:type="spellEnd"/>
      <w:r w:rsidRPr="003401E1">
        <w:rPr>
          <w:rFonts w:ascii="Arial" w:eastAsia="Arial" w:hAnsi="Arial" w:cs="Arial"/>
        </w:rPr>
        <w:t xml:space="preserve"> only through the lens of the presence or absence of </w:t>
      </w:r>
      <w:proofErr w:type="spellStart"/>
      <w:r w:rsidRPr="003401E1">
        <w:rPr>
          <w:rFonts w:ascii="Arial" w:eastAsia="Arial" w:hAnsi="Arial" w:cs="Arial"/>
        </w:rPr>
        <w:t>humour</w:t>
      </w:r>
      <w:proofErr w:type="spellEnd"/>
      <w:r w:rsidRPr="003401E1">
        <w:rPr>
          <w:rFonts w:ascii="Arial" w:eastAsia="Arial" w:hAnsi="Arial" w:cs="Arial"/>
        </w:rPr>
        <w:t>, personality or narrative; attention needs to be paid to its specific forms and timing during the campaign, as well as to its incorporation of the challenger position of the brand in a legally challenging context.</w:t>
      </w:r>
    </w:p>
    <w:p w14:paraId="000000BC" w14:textId="21FBBD02" w:rsidR="003D2C5F" w:rsidRDefault="00000000">
      <w:pPr>
        <w:pStyle w:val="Heading2"/>
        <w:keepNext w:val="0"/>
        <w:keepLines w:val="0"/>
        <w:spacing w:after="80" w:line="360" w:lineRule="auto"/>
        <w:rPr>
          <w:b w:val="0"/>
          <w:bCs w:val="0"/>
          <w:sz w:val="34"/>
          <w:szCs w:val="34"/>
        </w:rPr>
      </w:pPr>
      <w:bookmarkStart w:id="43" w:name="_6s0k8p3x19jz" w:colFirst="0" w:colLast="0"/>
      <w:bookmarkStart w:id="44" w:name="_Toc241144170"/>
      <w:bookmarkEnd w:id="43"/>
      <w:r>
        <w:rPr>
          <w:sz w:val="34"/>
          <w:szCs w:val="34"/>
        </w:rPr>
        <w:lastRenderedPageBreak/>
        <w:t>2.5 Tension Two: Open Rivalry</w:t>
      </w:r>
      <w:r w:rsidR="003401E1">
        <w:rPr>
          <w:sz w:val="34"/>
          <w:szCs w:val="34"/>
        </w:rPr>
        <w:t>-</w:t>
      </w:r>
      <w:r>
        <w:rPr>
          <w:sz w:val="34"/>
          <w:szCs w:val="34"/>
        </w:rPr>
        <w:t>Opportunity or Escalation?</w:t>
      </w:r>
      <w:bookmarkEnd w:id="44"/>
    </w:p>
    <w:p w14:paraId="000000BD" w14:textId="77777777" w:rsidR="003D2C5F" w:rsidRDefault="00000000">
      <w:pPr>
        <w:pStyle w:val="Heading3"/>
        <w:keepNext w:val="0"/>
        <w:keepLines w:val="0"/>
        <w:spacing w:before="280" w:line="360" w:lineRule="auto"/>
        <w:jc w:val="both"/>
        <w:rPr>
          <w:b w:val="0"/>
          <w:bCs w:val="0"/>
          <w:sz w:val="26"/>
          <w:szCs w:val="26"/>
        </w:rPr>
      </w:pPr>
      <w:bookmarkStart w:id="45" w:name="_u1vykmchyecv" w:colFirst="0" w:colLast="0"/>
      <w:bookmarkStart w:id="46" w:name="_Toc241144171"/>
      <w:bookmarkEnd w:id="45"/>
      <w:r>
        <w:rPr>
          <w:sz w:val="26"/>
          <w:szCs w:val="26"/>
        </w:rPr>
        <w:t>2.5.1 The Challenger-Brand Concept</w:t>
      </w:r>
      <w:bookmarkEnd w:id="46"/>
    </w:p>
    <w:p w14:paraId="722C8237" w14:textId="77777777" w:rsidR="003401E1" w:rsidRPr="003401E1" w:rsidRDefault="003401E1" w:rsidP="003401E1">
      <w:pPr>
        <w:spacing w:before="240" w:after="240" w:line="360" w:lineRule="auto"/>
        <w:jc w:val="both"/>
        <w:rPr>
          <w:rFonts w:ascii="Arial" w:eastAsia="Arial" w:hAnsi="Arial" w:cs="Arial"/>
        </w:rPr>
      </w:pPr>
      <w:r w:rsidRPr="003401E1">
        <w:rPr>
          <w:rFonts w:ascii="Arial" w:eastAsia="Arial" w:hAnsi="Arial" w:cs="Arial"/>
        </w:rPr>
        <w:t xml:space="preserve">The challenger-brand proposition (Morgan, 1999) suggests that the smaller brand will be able to out compete larger brand incumbents in attitude and culture rather than resources. This idea has been noted by Fournier (1998) who noted that consumers behave towards brands as they behave towards people, and thus loyalty and competitive narratives are available to brands. A challenger brand is a brand that plays the role of an underdog or of a champion of the people, more simply: a brand that opposes the establishment in </w:t>
      </w:r>
      <w:proofErr w:type="spellStart"/>
      <w:r w:rsidRPr="003401E1">
        <w:rPr>
          <w:rFonts w:ascii="Arial" w:eastAsia="Arial" w:hAnsi="Arial" w:cs="Arial"/>
        </w:rPr>
        <w:t>favour</w:t>
      </w:r>
      <w:proofErr w:type="spellEnd"/>
      <w:r w:rsidRPr="003401E1">
        <w:rPr>
          <w:rFonts w:ascii="Arial" w:eastAsia="Arial" w:hAnsi="Arial" w:cs="Arial"/>
        </w:rPr>
        <w:t xml:space="preserve"> of its users.</w:t>
      </w:r>
    </w:p>
    <w:p w14:paraId="536D2B01" w14:textId="308C6BBF" w:rsidR="003401E1" w:rsidRDefault="003401E1" w:rsidP="003401E1">
      <w:pPr>
        <w:spacing w:before="240" w:after="240" w:line="360" w:lineRule="auto"/>
        <w:jc w:val="both"/>
        <w:rPr>
          <w:rFonts w:ascii="Arial" w:eastAsia="Arial" w:hAnsi="Arial" w:cs="Arial"/>
        </w:rPr>
      </w:pPr>
      <w:r w:rsidRPr="003401E1">
        <w:rPr>
          <w:rFonts w:ascii="Arial" w:eastAsia="Arial" w:hAnsi="Arial" w:cs="Arial"/>
        </w:rPr>
        <w:t>The concept is directly relevant to the Aldi UK positioning – Aldi has always been a discount no frills challenger brand versus the existing supermarket brands. The #FreeCuthbert campaign has this line of thinking and simplifies it to a legal challenge, where Aldi UK plays the role of an underdog versus a far larger force.</w:t>
      </w:r>
    </w:p>
    <w:p w14:paraId="000000C0" w14:textId="77777777" w:rsidR="003D2C5F" w:rsidRDefault="00000000">
      <w:pPr>
        <w:pStyle w:val="Heading3"/>
        <w:keepNext w:val="0"/>
        <w:keepLines w:val="0"/>
        <w:spacing w:before="280" w:line="360" w:lineRule="auto"/>
        <w:jc w:val="both"/>
        <w:rPr>
          <w:b w:val="0"/>
          <w:bCs w:val="0"/>
          <w:sz w:val="26"/>
          <w:szCs w:val="26"/>
        </w:rPr>
      </w:pPr>
      <w:bookmarkStart w:id="47" w:name="_ib5w76d0n0n4" w:colFirst="0" w:colLast="0"/>
      <w:bookmarkStart w:id="48" w:name="_Toc241144172"/>
      <w:bookmarkEnd w:id="47"/>
      <w:r>
        <w:rPr>
          <w:sz w:val="26"/>
          <w:szCs w:val="26"/>
        </w:rPr>
        <w:t>2.5.2 The Traditional Warning: Avoid Public Rivalry</w:t>
      </w:r>
      <w:bookmarkEnd w:id="48"/>
    </w:p>
    <w:p w14:paraId="000000C1"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This challenger orientation is at odds with one of the basic tenets of traditional marketing thinking: that companies should avoid openly attacking rivals, because competitive warfare can take on a life of its own, </w:t>
      </w:r>
      <w:proofErr w:type="spellStart"/>
      <w:r>
        <w:rPr>
          <w:rFonts w:ascii="Arial" w:eastAsia="Arial" w:hAnsi="Arial" w:cs="Arial"/>
        </w:rPr>
        <w:t>spiralling</w:t>
      </w:r>
      <w:proofErr w:type="spellEnd"/>
      <w:r>
        <w:rPr>
          <w:rFonts w:ascii="Arial" w:eastAsia="Arial" w:hAnsi="Arial" w:cs="Arial"/>
        </w:rPr>
        <w:t xml:space="preserve"> out of control and generating neither constant nor predictable gain (Beard, 2010). Beard </w:t>
      </w:r>
      <w:proofErr w:type="spellStart"/>
      <w:r>
        <w:rPr>
          <w:rFonts w:ascii="Arial" w:eastAsia="Arial" w:hAnsi="Arial" w:cs="Arial"/>
        </w:rPr>
        <w:t>analysed</w:t>
      </w:r>
      <w:proofErr w:type="spellEnd"/>
      <w:r>
        <w:rPr>
          <w:rFonts w:ascii="Arial" w:eastAsia="Arial" w:hAnsi="Arial" w:cs="Arial"/>
        </w:rPr>
        <w:t xml:space="preserve"> historical comparative advertising wars and found that public rivalries can escalate unexpectedly, harming both parties' reputations.</w:t>
      </w:r>
    </w:p>
    <w:p w14:paraId="000000C2" w14:textId="77777777" w:rsidR="003D2C5F" w:rsidRDefault="00000000">
      <w:pPr>
        <w:spacing w:before="240" w:after="240" w:line="360" w:lineRule="auto"/>
        <w:jc w:val="both"/>
        <w:rPr>
          <w:rFonts w:ascii="Arial" w:eastAsia="Arial" w:hAnsi="Arial" w:cs="Arial"/>
        </w:rPr>
      </w:pPr>
      <w:r>
        <w:rPr>
          <w:rFonts w:ascii="Arial" w:eastAsia="Arial" w:hAnsi="Arial" w:cs="Arial"/>
        </w:rPr>
        <w:t>Recent studies have shown that this traditional wisdom is not only being challenged but fundamentally complicated. According to Berendt, Uhrich and Thompson (2018), inter-firm brand rivalry can help make competing brands more salient—to each other’s customers and to the public as a whole—rather than harming both parties. Experimental work demonstrates that this classical axiom—never “talk down the competition”—has exceptions, and that public rivalry can strengthen brand differentiation for both brands.</w:t>
      </w:r>
    </w:p>
    <w:p w14:paraId="000000C3" w14:textId="77777777" w:rsidR="003D2C5F" w:rsidRDefault="00000000">
      <w:pPr>
        <w:pStyle w:val="Heading3"/>
        <w:keepNext w:val="0"/>
        <w:keepLines w:val="0"/>
        <w:spacing w:before="280" w:line="360" w:lineRule="auto"/>
        <w:jc w:val="both"/>
        <w:rPr>
          <w:b w:val="0"/>
          <w:bCs w:val="0"/>
          <w:sz w:val="26"/>
          <w:szCs w:val="26"/>
        </w:rPr>
      </w:pPr>
      <w:bookmarkStart w:id="49" w:name="_xpoj4bgtap1e" w:colFirst="0" w:colLast="0"/>
      <w:bookmarkStart w:id="50" w:name="_Toc241144173"/>
      <w:bookmarkEnd w:id="49"/>
      <w:r>
        <w:rPr>
          <w:sz w:val="26"/>
          <w:szCs w:val="26"/>
        </w:rPr>
        <w:lastRenderedPageBreak/>
        <w:t>2.5.3 The Rivalry-</w:t>
      </w:r>
      <w:proofErr w:type="spellStart"/>
      <w:r>
        <w:rPr>
          <w:sz w:val="26"/>
          <w:szCs w:val="26"/>
        </w:rPr>
        <w:t>Humour</w:t>
      </w:r>
      <w:proofErr w:type="spellEnd"/>
      <w:r>
        <w:rPr>
          <w:sz w:val="26"/>
          <w:szCs w:val="26"/>
        </w:rPr>
        <w:t xml:space="preserve"> Connection: Top Dog vs. Underdog</w:t>
      </w:r>
      <w:bookmarkEnd w:id="50"/>
    </w:p>
    <w:p w14:paraId="000000C4"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Béal, Lécuyer and Guitart (2025), discussed earlier in relation to </w:t>
      </w:r>
      <w:proofErr w:type="spellStart"/>
      <w:r>
        <w:rPr>
          <w:rFonts w:ascii="Arial" w:eastAsia="Arial" w:hAnsi="Arial" w:cs="Arial"/>
        </w:rPr>
        <w:t>humour</w:t>
      </w:r>
      <w:proofErr w:type="spellEnd"/>
      <w:r>
        <w:rPr>
          <w:rFonts w:ascii="Arial" w:eastAsia="Arial" w:hAnsi="Arial" w:cs="Arial"/>
        </w:rPr>
        <w:t>, also note that the reception of a public and humorous exchange with a competitor depends, among other things, on the brand’s positioning as dominant or subordinate. A humorous response from an underdog brand is likely to be perceived differently—more positively—than the same response from a top dog brand. This suggests that Aldi UK’s challenger positioning may have been a necessary condition for the campaign’s positive reception, and that a similar campaign by Marks and Spencer might have been perceived very differently.</w:t>
      </w:r>
    </w:p>
    <w:p w14:paraId="000000C5" w14:textId="77777777" w:rsidR="003D2C5F" w:rsidRDefault="00000000">
      <w:pPr>
        <w:pStyle w:val="Heading3"/>
        <w:keepNext w:val="0"/>
        <w:keepLines w:val="0"/>
        <w:spacing w:before="280" w:line="360" w:lineRule="auto"/>
        <w:jc w:val="both"/>
        <w:rPr>
          <w:b w:val="0"/>
          <w:bCs w:val="0"/>
          <w:sz w:val="26"/>
          <w:szCs w:val="26"/>
        </w:rPr>
      </w:pPr>
      <w:bookmarkStart w:id="51" w:name="_ue2vgsr9oz9h" w:colFirst="0" w:colLast="0"/>
      <w:bookmarkStart w:id="52" w:name="_Toc241144174"/>
      <w:bookmarkEnd w:id="51"/>
      <w:r>
        <w:rPr>
          <w:sz w:val="26"/>
          <w:szCs w:val="26"/>
        </w:rPr>
        <w:t>2.5.4 The Unresolved Question: Rivalry in a Legally Sensitive Context</w:t>
      </w:r>
      <w:bookmarkEnd w:id="52"/>
    </w:p>
    <w:p w14:paraId="55B46737" w14:textId="77777777" w:rsidR="003401E1" w:rsidRPr="003401E1" w:rsidRDefault="003401E1" w:rsidP="003401E1">
      <w:pPr>
        <w:spacing w:before="240" w:after="240" w:line="360" w:lineRule="auto"/>
        <w:jc w:val="both"/>
        <w:rPr>
          <w:rFonts w:ascii="Arial" w:eastAsia="Arial" w:hAnsi="Arial" w:cs="Arial"/>
        </w:rPr>
      </w:pPr>
      <w:r w:rsidRPr="003401E1">
        <w:rPr>
          <w:rFonts w:ascii="Arial" w:eastAsia="Arial" w:hAnsi="Arial" w:cs="Arial"/>
        </w:rPr>
        <w:t xml:space="preserve">The result of this is the second tension: public rivalry can create distinctiveness (Berendt, Uhrich and Thompson, 2018) and </w:t>
      </w:r>
      <w:proofErr w:type="spellStart"/>
      <w:r w:rsidRPr="003401E1">
        <w:rPr>
          <w:rFonts w:ascii="Arial" w:eastAsia="Arial" w:hAnsi="Arial" w:cs="Arial"/>
        </w:rPr>
        <w:t>favour</w:t>
      </w:r>
      <w:proofErr w:type="spellEnd"/>
      <w:r w:rsidRPr="003401E1">
        <w:rPr>
          <w:rFonts w:ascii="Arial" w:eastAsia="Arial" w:hAnsi="Arial" w:cs="Arial"/>
        </w:rPr>
        <w:t xml:space="preserve"> underdog brands (Béal, Lécuyer and Guitart, 2025) or can result in unpredictable escalation (Beard, 2010). The literature does not tell us how these dynamics can </w:t>
      </w:r>
      <w:proofErr w:type="spellStart"/>
      <w:r w:rsidRPr="003401E1">
        <w:rPr>
          <w:rFonts w:ascii="Arial" w:eastAsia="Arial" w:hAnsi="Arial" w:cs="Arial"/>
        </w:rPr>
        <w:t>materialise</w:t>
      </w:r>
      <w:proofErr w:type="spellEnd"/>
      <w:r w:rsidRPr="003401E1">
        <w:rPr>
          <w:rFonts w:ascii="Arial" w:eastAsia="Arial" w:hAnsi="Arial" w:cs="Arial"/>
        </w:rPr>
        <w:t xml:space="preserve"> in a context within legal frameworks, where stakes are raised and what a brand can say is limited.</w:t>
      </w:r>
    </w:p>
    <w:p w14:paraId="759C79EB" w14:textId="00F99AE8" w:rsidR="003401E1" w:rsidRDefault="003401E1" w:rsidP="003401E1">
      <w:pPr>
        <w:spacing w:before="240" w:after="240" w:line="360" w:lineRule="auto"/>
        <w:jc w:val="both"/>
        <w:rPr>
          <w:rFonts w:ascii="Arial" w:eastAsia="Arial" w:hAnsi="Arial" w:cs="Arial"/>
        </w:rPr>
      </w:pPr>
      <w:r w:rsidRPr="003401E1">
        <w:rPr>
          <w:rFonts w:ascii="Arial" w:eastAsia="Arial" w:hAnsi="Arial" w:cs="Arial"/>
        </w:rPr>
        <w:t>Relevance of research: This research is relevant because it was a public 'action' in response to a suit filed by a bigger competitor in a lighthearted yet bold campaign called #FreeCuthbert. The purpose of this study is to measure the success of the campaign in achieving a balance between opportunity and escalation, or to run the risk of legal and reputational problems. Reputational risk is also a critical issue in the discussion of balance between open competition and the risk of escalation in Section 2.7.</w:t>
      </w:r>
    </w:p>
    <w:p w14:paraId="000000C9" w14:textId="77777777" w:rsidR="003D2C5F" w:rsidRDefault="00000000">
      <w:pPr>
        <w:pStyle w:val="Heading2"/>
        <w:keepNext w:val="0"/>
        <w:keepLines w:val="0"/>
        <w:spacing w:after="80" w:line="360" w:lineRule="auto"/>
        <w:rPr>
          <w:b w:val="0"/>
          <w:bCs w:val="0"/>
          <w:sz w:val="34"/>
          <w:szCs w:val="34"/>
        </w:rPr>
      </w:pPr>
      <w:bookmarkStart w:id="53" w:name="_nnk60s5vkmqb" w:colFirst="0" w:colLast="0"/>
      <w:bookmarkStart w:id="54" w:name="_Toc241144175"/>
      <w:bookmarkEnd w:id="53"/>
      <w:r>
        <w:rPr>
          <w:sz w:val="34"/>
          <w:szCs w:val="34"/>
        </w:rPr>
        <w:t>2.6 Cultural Relevance and International Adaptation</w:t>
      </w:r>
      <w:bookmarkEnd w:id="54"/>
    </w:p>
    <w:p w14:paraId="000000CA" w14:textId="77777777" w:rsidR="003D2C5F" w:rsidRDefault="00000000">
      <w:pPr>
        <w:pStyle w:val="Heading3"/>
        <w:keepNext w:val="0"/>
        <w:keepLines w:val="0"/>
        <w:spacing w:before="280" w:line="360" w:lineRule="auto"/>
        <w:jc w:val="both"/>
        <w:rPr>
          <w:b w:val="0"/>
          <w:bCs w:val="0"/>
          <w:sz w:val="26"/>
          <w:szCs w:val="26"/>
        </w:rPr>
      </w:pPr>
      <w:bookmarkStart w:id="55" w:name="_fbfwqgxwkzyn" w:colFirst="0" w:colLast="0"/>
      <w:bookmarkStart w:id="56" w:name="_Toc241144176"/>
      <w:bookmarkEnd w:id="55"/>
      <w:r>
        <w:rPr>
          <w:sz w:val="26"/>
          <w:szCs w:val="26"/>
        </w:rPr>
        <w:t>2.6.1 Brands as Cultural Participants</w:t>
      </w:r>
      <w:bookmarkEnd w:id="56"/>
    </w:p>
    <w:p w14:paraId="42886B4D" w14:textId="77777777" w:rsidR="003401E1" w:rsidRPr="003401E1" w:rsidRDefault="003401E1" w:rsidP="003401E1">
      <w:pPr>
        <w:spacing w:before="240" w:after="240" w:line="360" w:lineRule="auto"/>
        <w:jc w:val="both"/>
        <w:rPr>
          <w:rFonts w:ascii="Arial" w:eastAsia="Arial" w:hAnsi="Arial" w:cs="Arial"/>
        </w:rPr>
      </w:pPr>
      <w:r w:rsidRPr="003401E1">
        <w:rPr>
          <w:rFonts w:ascii="Arial" w:eastAsia="Arial" w:hAnsi="Arial" w:cs="Arial"/>
        </w:rPr>
        <w:t xml:space="preserve">Brands become culturally powerful when they appeal to an audience to which they bring myths and tensions that are already evocative, as Holt (2004) claims. This isn't about </w:t>
      </w:r>
      <w:r w:rsidRPr="003401E1">
        <w:rPr>
          <w:rFonts w:ascii="Arial" w:eastAsia="Arial" w:hAnsi="Arial" w:cs="Arial"/>
        </w:rPr>
        <w:lastRenderedPageBreak/>
        <w:t xml:space="preserve">replicating </w:t>
      </w:r>
      <w:proofErr w:type="gramStart"/>
      <w:r w:rsidRPr="003401E1">
        <w:rPr>
          <w:rFonts w:ascii="Arial" w:eastAsia="Arial" w:hAnsi="Arial" w:cs="Arial"/>
        </w:rPr>
        <w:t>culture,</w:t>
      </w:r>
      <w:proofErr w:type="gramEnd"/>
      <w:r w:rsidRPr="003401E1">
        <w:rPr>
          <w:rFonts w:ascii="Arial" w:eastAsia="Arial" w:hAnsi="Arial" w:cs="Arial"/>
        </w:rPr>
        <w:t xml:space="preserve"> it's about engaging in dialogue with how audiences are seeing themselves already in their own cultural context.</w:t>
      </w:r>
    </w:p>
    <w:p w14:paraId="78452311" w14:textId="06894224" w:rsidR="003401E1" w:rsidRDefault="003401E1" w:rsidP="003401E1">
      <w:pPr>
        <w:spacing w:before="240" w:after="240" w:line="360" w:lineRule="auto"/>
        <w:jc w:val="both"/>
        <w:rPr>
          <w:rFonts w:ascii="Arial" w:eastAsia="Arial" w:hAnsi="Arial" w:cs="Arial"/>
        </w:rPr>
      </w:pPr>
      <w:r w:rsidRPr="003401E1">
        <w:rPr>
          <w:rFonts w:ascii="Arial" w:eastAsia="Arial" w:hAnsi="Arial" w:cs="Arial"/>
        </w:rPr>
        <w:t>Cayla and Arnould (2008) apply this argument to international and cross-cultural branding, where they claim that effective global brands are more likely to thrive locally, and hence do not advance a one-size-fits-all global narrative, but allow local teams to place the cultural significance within certain markets. This is directly relevant to a UK campaign based on British comic understatement and in a product with a deep place in the national psyche – the “national institution” that is the caterpillar cake (</w:t>
      </w:r>
      <w:proofErr w:type="spellStart"/>
      <w:r w:rsidRPr="003401E1">
        <w:rPr>
          <w:rFonts w:ascii="Arial" w:eastAsia="Arial" w:hAnsi="Arial" w:cs="Arial"/>
        </w:rPr>
        <w:t>eurobest</w:t>
      </w:r>
      <w:proofErr w:type="spellEnd"/>
      <w:r w:rsidRPr="003401E1">
        <w:rPr>
          <w:rFonts w:ascii="Arial" w:eastAsia="Arial" w:hAnsi="Arial" w:cs="Arial"/>
        </w:rPr>
        <w:t>, 2021).</w:t>
      </w:r>
    </w:p>
    <w:p w14:paraId="000000CD" w14:textId="77777777" w:rsidR="003D2C5F" w:rsidRDefault="00000000">
      <w:pPr>
        <w:pStyle w:val="Heading3"/>
        <w:keepNext w:val="0"/>
        <w:keepLines w:val="0"/>
        <w:spacing w:before="280" w:line="360" w:lineRule="auto"/>
        <w:jc w:val="both"/>
        <w:rPr>
          <w:b w:val="0"/>
          <w:bCs w:val="0"/>
          <w:sz w:val="26"/>
          <w:szCs w:val="26"/>
        </w:rPr>
      </w:pPr>
      <w:bookmarkStart w:id="57" w:name="_613do5mg3aq8" w:colFirst="0" w:colLast="0"/>
      <w:bookmarkStart w:id="58" w:name="_Toc241144177"/>
      <w:bookmarkEnd w:id="57"/>
      <w:r>
        <w:rPr>
          <w:sz w:val="26"/>
          <w:szCs w:val="26"/>
        </w:rPr>
        <w:t xml:space="preserve">2.6.2 The </w:t>
      </w:r>
      <w:proofErr w:type="spellStart"/>
      <w:r>
        <w:rPr>
          <w:sz w:val="26"/>
          <w:szCs w:val="26"/>
        </w:rPr>
        <w:t>Standardisation</w:t>
      </w:r>
      <w:proofErr w:type="spellEnd"/>
      <w:r>
        <w:rPr>
          <w:sz w:val="26"/>
          <w:szCs w:val="26"/>
        </w:rPr>
        <w:t>-Adaptation Debate</w:t>
      </w:r>
      <w:bookmarkEnd w:id="58"/>
    </w:p>
    <w:p w14:paraId="774503F7" w14:textId="2B5A5341" w:rsidR="00D47D26" w:rsidRP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Theodosiou and </w:t>
      </w:r>
      <w:proofErr w:type="spellStart"/>
      <w:r w:rsidRPr="00D47D26">
        <w:rPr>
          <w:rFonts w:ascii="Arial" w:eastAsia="Arial" w:hAnsi="Arial" w:cs="Arial"/>
        </w:rPr>
        <w:t>Leonidou</w:t>
      </w:r>
      <w:proofErr w:type="spellEnd"/>
      <w:r w:rsidRPr="00D47D26">
        <w:rPr>
          <w:rFonts w:ascii="Arial" w:eastAsia="Arial" w:hAnsi="Arial" w:cs="Arial"/>
        </w:rPr>
        <w:t xml:space="preserve"> (2003) build upon the Levitt (1983) </w:t>
      </w:r>
      <w:proofErr w:type="spellStart"/>
      <w:r w:rsidRPr="00D47D26">
        <w:rPr>
          <w:rFonts w:ascii="Arial" w:eastAsia="Arial" w:hAnsi="Arial" w:cs="Arial"/>
        </w:rPr>
        <w:t>standardisation</w:t>
      </w:r>
      <w:proofErr w:type="spellEnd"/>
      <w:r w:rsidRPr="00D47D26">
        <w:rPr>
          <w:rFonts w:ascii="Arial" w:eastAsia="Arial" w:hAnsi="Arial" w:cs="Arial"/>
        </w:rPr>
        <w:t xml:space="preserve"> arguments and combine the results of many decades of empirical studies on </w:t>
      </w:r>
      <w:proofErr w:type="spellStart"/>
      <w:r w:rsidRPr="00D47D26">
        <w:rPr>
          <w:rFonts w:ascii="Arial" w:eastAsia="Arial" w:hAnsi="Arial" w:cs="Arial"/>
        </w:rPr>
        <w:t>standardisation</w:t>
      </w:r>
      <w:proofErr w:type="spellEnd"/>
      <w:r w:rsidRPr="00D47D26">
        <w:rPr>
          <w:rFonts w:ascii="Arial" w:eastAsia="Arial" w:hAnsi="Arial" w:cs="Arial"/>
        </w:rPr>
        <w:t xml:space="preserve"> versus adaptation in international marketing. They discover the ideal compromise between a universal solution and adaptation to the local environment, depending on the market. This is supported by Douglas and Craig (2011) who believe that the optimal balance is market and competitive context dependent, hence may not be a blanket rule for all markets with the same impact.</w:t>
      </w:r>
    </w:p>
    <w:p w14:paraId="000000CF" w14:textId="77777777" w:rsidR="003D2C5F" w:rsidRDefault="00000000">
      <w:pPr>
        <w:pStyle w:val="Heading3"/>
        <w:keepNext w:val="0"/>
        <w:keepLines w:val="0"/>
        <w:spacing w:before="280" w:line="360" w:lineRule="auto"/>
        <w:jc w:val="both"/>
        <w:rPr>
          <w:b w:val="0"/>
          <w:bCs w:val="0"/>
          <w:sz w:val="26"/>
          <w:szCs w:val="26"/>
        </w:rPr>
      </w:pPr>
      <w:bookmarkStart w:id="59" w:name="_3huf1jbhvvx5" w:colFirst="0" w:colLast="0"/>
      <w:bookmarkStart w:id="60" w:name="_Toc241144178"/>
      <w:bookmarkEnd w:id="59"/>
      <w:r>
        <w:rPr>
          <w:sz w:val="26"/>
          <w:szCs w:val="26"/>
        </w:rPr>
        <w:t>2.6.3 Cultural Relevance as Strategic Construction</w:t>
      </w:r>
      <w:bookmarkEnd w:id="60"/>
    </w:p>
    <w:p w14:paraId="40BA8EA3" w14:textId="77777777" w:rsidR="00D47D26" w:rsidRP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Holt's explanation of how a local cultural signifier – in this instance a popular British supermarket item and a very British comic understatement – can be made culturally intelligible and shareable. Theodosiou and </w:t>
      </w:r>
      <w:proofErr w:type="spellStart"/>
      <w:r w:rsidRPr="00D47D26">
        <w:rPr>
          <w:rFonts w:ascii="Arial" w:eastAsia="Arial" w:hAnsi="Arial" w:cs="Arial"/>
        </w:rPr>
        <w:t>Leonidou</w:t>
      </w:r>
      <w:proofErr w:type="spellEnd"/>
      <w:r w:rsidRPr="00D47D26">
        <w:rPr>
          <w:rFonts w:ascii="Arial" w:eastAsia="Arial" w:hAnsi="Arial" w:cs="Arial"/>
        </w:rPr>
        <w:t xml:space="preserve"> join Douglas and Craig in helping to identify if this approach to local communication is conscious and effective, or an adaptation of the international brand.</w:t>
      </w:r>
    </w:p>
    <w:p w14:paraId="4FFECCB8" w14:textId="77777777" w:rsidR="00D47D26" w:rsidRP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These are not frames that are interchangeable because they are not one and the same nor were they created to respond quickly to a legally sensitive event on social media. The </w:t>
      </w:r>
      <w:proofErr w:type="spellStart"/>
      <w:r w:rsidRPr="00D47D26">
        <w:rPr>
          <w:rFonts w:ascii="Arial" w:eastAsia="Arial" w:hAnsi="Arial" w:cs="Arial"/>
        </w:rPr>
        <w:t>standardisation</w:t>
      </w:r>
      <w:proofErr w:type="spellEnd"/>
      <w:r w:rsidRPr="00D47D26">
        <w:rPr>
          <w:rFonts w:ascii="Arial" w:eastAsia="Arial" w:hAnsi="Arial" w:cs="Arial"/>
        </w:rPr>
        <w:t xml:space="preserve">-adaptation literature has a stronger focus on strategic fit and consistency across markets, whereas Holt </w:t>
      </w:r>
      <w:proofErr w:type="spellStart"/>
      <w:r w:rsidRPr="00D47D26">
        <w:rPr>
          <w:rFonts w:ascii="Arial" w:eastAsia="Arial" w:hAnsi="Arial" w:cs="Arial"/>
        </w:rPr>
        <w:t>emphasises</w:t>
      </w:r>
      <w:proofErr w:type="spellEnd"/>
      <w:r w:rsidRPr="00D47D26">
        <w:rPr>
          <w:rFonts w:ascii="Arial" w:eastAsia="Arial" w:hAnsi="Arial" w:cs="Arial"/>
        </w:rPr>
        <w:t xml:space="preserve"> meaning and narrative.</w:t>
      </w:r>
    </w:p>
    <w:p w14:paraId="01B94FC2" w14:textId="199F46B4" w:rsidR="00D47D26" w:rsidRDefault="00D47D26">
      <w:pPr>
        <w:spacing w:before="240" w:after="240" w:line="360" w:lineRule="auto"/>
        <w:jc w:val="both"/>
        <w:rPr>
          <w:rFonts w:ascii="Arial" w:eastAsia="Arial" w:hAnsi="Arial" w:cs="Arial"/>
        </w:rPr>
      </w:pPr>
      <w:r w:rsidRPr="00D47D26">
        <w:rPr>
          <w:rFonts w:ascii="Arial" w:eastAsia="Arial" w:hAnsi="Arial" w:cs="Arial"/>
        </w:rPr>
        <w:lastRenderedPageBreak/>
        <w:t>This research focuses on the fact that the #FreeCuthbert campaign melded quite distinctly British elements of cultural signposts: the caterpillar cake as a familiar item of national culture, British comic understatement and the David and Goliath narrative. This study does not aim to claim that the cultural relevance is a universal rule of international marketing, but only that cultural relevance was constructed and if it served as an adaptation tactic for a multinational brand.</w:t>
      </w:r>
    </w:p>
    <w:p w14:paraId="000000D3" w14:textId="77777777" w:rsidR="003D2C5F" w:rsidRDefault="00000000">
      <w:pPr>
        <w:pStyle w:val="Heading2"/>
        <w:keepNext w:val="0"/>
        <w:keepLines w:val="0"/>
        <w:spacing w:after="80" w:line="360" w:lineRule="auto"/>
        <w:rPr>
          <w:b w:val="0"/>
          <w:bCs w:val="0"/>
          <w:sz w:val="34"/>
          <w:szCs w:val="34"/>
        </w:rPr>
      </w:pPr>
      <w:bookmarkStart w:id="61" w:name="_nqecdzdnawte" w:colFirst="0" w:colLast="0"/>
      <w:bookmarkStart w:id="62" w:name="_Toc241144179"/>
      <w:bookmarkEnd w:id="61"/>
      <w:r>
        <w:rPr>
          <w:sz w:val="34"/>
          <w:szCs w:val="34"/>
        </w:rPr>
        <w:t xml:space="preserve">2.7 Tension Three: Reputational and Legal Risk—Crisis or </w:t>
      </w:r>
      <w:proofErr w:type="spellStart"/>
      <w:r>
        <w:rPr>
          <w:sz w:val="34"/>
          <w:szCs w:val="34"/>
        </w:rPr>
        <w:t>Paracrisis</w:t>
      </w:r>
      <w:proofErr w:type="spellEnd"/>
      <w:r>
        <w:rPr>
          <w:sz w:val="34"/>
          <w:szCs w:val="34"/>
        </w:rPr>
        <w:t>?</w:t>
      </w:r>
      <w:bookmarkEnd w:id="62"/>
    </w:p>
    <w:p w14:paraId="000000D4" w14:textId="77777777" w:rsidR="003D2C5F" w:rsidRDefault="00000000">
      <w:pPr>
        <w:pStyle w:val="Heading3"/>
        <w:keepNext w:val="0"/>
        <w:keepLines w:val="0"/>
        <w:spacing w:before="280" w:line="360" w:lineRule="auto"/>
        <w:jc w:val="both"/>
        <w:rPr>
          <w:b w:val="0"/>
          <w:bCs w:val="0"/>
          <w:sz w:val="26"/>
          <w:szCs w:val="26"/>
        </w:rPr>
      </w:pPr>
      <w:bookmarkStart w:id="63" w:name="_8pob3a523frs" w:colFirst="0" w:colLast="0"/>
      <w:bookmarkStart w:id="64" w:name="_Toc241144180"/>
      <w:bookmarkEnd w:id="63"/>
      <w:r>
        <w:rPr>
          <w:sz w:val="26"/>
          <w:szCs w:val="26"/>
        </w:rPr>
        <w:t>2.7.1 Situational Crisis Communication Theory</w:t>
      </w:r>
      <w:bookmarkEnd w:id="64"/>
    </w:p>
    <w:p w14:paraId="4F971C90" w14:textId="77777777" w:rsidR="00D47D26" w:rsidRP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The most widely cited advice on how to gauge if an </w:t>
      </w:r>
      <w:proofErr w:type="spellStart"/>
      <w:r w:rsidRPr="00D47D26">
        <w:rPr>
          <w:rFonts w:ascii="Arial" w:eastAsia="Arial" w:hAnsi="Arial" w:cs="Arial"/>
        </w:rPr>
        <w:t>organisation's</w:t>
      </w:r>
      <w:proofErr w:type="spellEnd"/>
      <w:r w:rsidRPr="00D47D26">
        <w:rPr>
          <w:rFonts w:ascii="Arial" w:eastAsia="Arial" w:hAnsi="Arial" w:cs="Arial"/>
        </w:rPr>
        <w:t xml:space="preserve"> response to a threat is appropriate is in Coombs (2007), in which the amount of responsibility attributed to an </w:t>
      </w:r>
      <w:proofErr w:type="spellStart"/>
      <w:r w:rsidRPr="00D47D26">
        <w:rPr>
          <w:rFonts w:ascii="Arial" w:eastAsia="Arial" w:hAnsi="Arial" w:cs="Arial"/>
        </w:rPr>
        <w:t>organisation</w:t>
      </w:r>
      <w:proofErr w:type="spellEnd"/>
      <w:r w:rsidRPr="00D47D26">
        <w:rPr>
          <w:rFonts w:ascii="Arial" w:eastAsia="Arial" w:hAnsi="Arial" w:cs="Arial"/>
        </w:rPr>
        <w:t xml:space="preserve"> for the triggering event determines the appropriate response. The problem with operational, product-safety or ethical crises, does not correspond easily to the current case, as SCCT was originally designed for. There is no presumption of an injured party, failure of a safety, and constant wrongdoing as there is in SCCT. Bad news is not always devastating; a trademark dispute is just one of two business entities.</w:t>
      </w:r>
    </w:p>
    <w:p w14:paraId="705737AF" w14:textId="732FAC95" w:rsid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Why use a crisis/reputational lens: A legal dispute may not be a crisis in operational terms as SCCT is intended to address, but a legal battle that happens publicly – in the press and social media – does present a risk to reputation. The question is </w:t>
      </w:r>
      <w:proofErr w:type="gramStart"/>
      <w:r w:rsidRPr="00D47D26">
        <w:rPr>
          <w:rFonts w:ascii="Arial" w:eastAsia="Arial" w:hAnsi="Arial" w:cs="Arial"/>
        </w:rPr>
        <w:t>therefore,</w:t>
      </w:r>
      <w:proofErr w:type="gramEnd"/>
      <w:r w:rsidRPr="00D47D26">
        <w:rPr>
          <w:rFonts w:ascii="Arial" w:eastAsia="Arial" w:hAnsi="Arial" w:cs="Arial"/>
        </w:rPr>
        <w:t xml:space="preserve"> can frameworks of reputationally sensitive situations be used to account for the communication decisions made? For non-operational risk, this study implements a concept that is called </w:t>
      </w:r>
      <w:proofErr w:type="spellStart"/>
      <w:r w:rsidRPr="00D47D26">
        <w:rPr>
          <w:rFonts w:ascii="Arial" w:eastAsia="Arial" w:hAnsi="Arial" w:cs="Arial"/>
        </w:rPr>
        <w:t>Paracrisis</w:t>
      </w:r>
      <w:proofErr w:type="spellEnd"/>
      <w:r w:rsidRPr="00D47D26">
        <w:rPr>
          <w:rFonts w:ascii="Arial" w:eastAsia="Arial" w:hAnsi="Arial" w:cs="Arial"/>
        </w:rPr>
        <w:t xml:space="preserve"> (Coombs and Holladay, 2012) instead of SCCT, because it is a more balanced concept for non-operational risk.</w:t>
      </w:r>
    </w:p>
    <w:p w14:paraId="000000D7" w14:textId="77777777" w:rsidR="003D2C5F" w:rsidRDefault="00000000">
      <w:pPr>
        <w:pStyle w:val="Heading3"/>
        <w:keepNext w:val="0"/>
        <w:keepLines w:val="0"/>
        <w:spacing w:before="280" w:line="360" w:lineRule="auto"/>
        <w:jc w:val="both"/>
        <w:rPr>
          <w:b w:val="0"/>
          <w:bCs w:val="0"/>
          <w:sz w:val="26"/>
          <w:szCs w:val="26"/>
        </w:rPr>
      </w:pPr>
      <w:bookmarkStart w:id="65" w:name="_iuuzh77s05al" w:colFirst="0" w:colLast="0"/>
      <w:bookmarkStart w:id="66" w:name="_Toc241144181"/>
      <w:bookmarkEnd w:id="65"/>
      <w:r>
        <w:rPr>
          <w:sz w:val="26"/>
          <w:szCs w:val="26"/>
        </w:rPr>
        <w:t xml:space="preserve">2.7.2 The </w:t>
      </w:r>
      <w:proofErr w:type="spellStart"/>
      <w:r>
        <w:rPr>
          <w:sz w:val="26"/>
          <w:szCs w:val="26"/>
        </w:rPr>
        <w:t>Paracrisis</w:t>
      </w:r>
      <w:proofErr w:type="spellEnd"/>
      <w:r>
        <w:rPr>
          <w:sz w:val="26"/>
          <w:szCs w:val="26"/>
        </w:rPr>
        <w:t xml:space="preserve"> Concept</w:t>
      </w:r>
      <w:bookmarkEnd w:id="66"/>
    </w:p>
    <w:p w14:paraId="061FF98C" w14:textId="77777777" w:rsidR="00D47D26" w:rsidRP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Coombs and Holladay (2012) take the concept of the reputational threat one step further by describing the </w:t>
      </w:r>
      <w:proofErr w:type="spellStart"/>
      <w:r w:rsidRPr="00D47D26">
        <w:rPr>
          <w:rFonts w:ascii="Arial" w:eastAsia="Arial" w:hAnsi="Arial" w:cs="Arial"/>
        </w:rPr>
        <w:t>paracrisis</w:t>
      </w:r>
      <w:proofErr w:type="spellEnd"/>
      <w:r w:rsidRPr="00D47D26">
        <w:rPr>
          <w:rFonts w:ascii="Arial" w:eastAsia="Arial" w:hAnsi="Arial" w:cs="Arial"/>
        </w:rPr>
        <w:t xml:space="preserve">, a threat that can be seen publicly via social media but does </w:t>
      </w:r>
      <w:r w:rsidRPr="00D47D26">
        <w:rPr>
          <w:rFonts w:ascii="Arial" w:eastAsia="Arial" w:hAnsi="Arial" w:cs="Arial"/>
        </w:rPr>
        <w:lastRenderedPageBreak/>
        <w:t xml:space="preserve">not reach the operational crisis. When dealing with an issue which may lead to legal action, but is not life-threatening, </w:t>
      </w:r>
      <w:proofErr w:type="spellStart"/>
      <w:r w:rsidRPr="00D47D26">
        <w:rPr>
          <w:rFonts w:ascii="Arial" w:eastAsia="Arial" w:hAnsi="Arial" w:cs="Arial"/>
        </w:rPr>
        <w:t>Paracrisis</w:t>
      </w:r>
      <w:proofErr w:type="spellEnd"/>
      <w:r w:rsidRPr="00D47D26">
        <w:rPr>
          <w:rFonts w:ascii="Arial" w:eastAsia="Arial" w:hAnsi="Arial" w:cs="Arial"/>
        </w:rPr>
        <w:t xml:space="preserve"> offers a more balanced approach in regard to its how and when. This is furthered in Coombs (2015) who notes the trend towards organisations perceiving visible-but-non-catastrophic risks as a communicative rather than operational process.</w:t>
      </w:r>
    </w:p>
    <w:p w14:paraId="28C6219A" w14:textId="13B52031" w:rsidR="00D47D26" w:rsidRDefault="00D47D26" w:rsidP="00D47D26">
      <w:pPr>
        <w:spacing w:before="240" w:after="240" w:line="360" w:lineRule="auto"/>
        <w:jc w:val="both"/>
        <w:rPr>
          <w:rFonts w:ascii="Arial" w:eastAsia="Arial" w:hAnsi="Arial" w:cs="Arial"/>
        </w:rPr>
      </w:pPr>
      <w:r w:rsidRPr="00D47D26">
        <w:rPr>
          <w:rFonts w:ascii="Arial" w:eastAsia="Arial" w:hAnsi="Arial" w:cs="Arial"/>
        </w:rPr>
        <w:t>It is relevant to the current case, as the legal claim was itself a public event – it was news reported and Aldi UK's social media response was seen almost instantly. So, the question is, did Aldi UK reacted proportionately to the para-crisis they have faced or have they over reacted and put themselves at risk of an escalation of the dispute?</w:t>
      </w:r>
    </w:p>
    <w:p w14:paraId="000000DA" w14:textId="77777777" w:rsidR="003D2C5F" w:rsidRDefault="00000000">
      <w:pPr>
        <w:pStyle w:val="Heading3"/>
        <w:keepNext w:val="0"/>
        <w:keepLines w:val="0"/>
        <w:spacing w:before="280" w:line="360" w:lineRule="auto"/>
        <w:jc w:val="both"/>
        <w:rPr>
          <w:b w:val="0"/>
          <w:bCs w:val="0"/>
          <w:sz w:val="26"/>
          <w:szCs w:val="26"/>
        </w:rPr>
      </w:pPr>
      <w:bookmarkStart w:id="67" w:name="_d8v8puxli06t" w:colFirst="0" w:colLast="0"/>
      <w:bookmarkStart w:id="68" w:name="_Toc241144182"/>
      <w:bookmarkEnd w:id="67"/>
      <w:r>
        <w:rPr>
          <w:sz w:val="26"/>
          <w:szCs w:val="26"/>
        </w:rPr>
        <w:t>2.7.3 The Tension: Proportionate Response or Crisis Overreaction?</w:t>
      </w:r>
      <w:bookmarkEnd w:id="68"/>
    </w:p>
    <w:p w14:paraId="1DE859DE" w14:textId="77777777" w:rsidR="00D47D26" w:rsidRP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This puts in place a third tension. SCCT would recommend a measured and defensive response, given that some of the blame for the triggering event may be placed on Aldi UK who manufactured the product which it was believed infringed on Trader's trademark. The </w:t>
      </w:r>
      <w:proofErr w:type="spellStart"/>
      <w:r w:rsidRPr="00D47D26">
        <w:rPr>
          <w:rFonts w:ascii="Arial" w:eastAsia="Arial" w:hAnsi="Arial" w:cs="Arial"/>
        </w:rPr>
        <w:t>paracrisis</w:t>
      </w:r>
      <w:proofErr w:type="spellEnd"/>
      <w:r w:rsidRPr="00D47D26">
        <w:rPr>
          <w:rFonts w:ascii="Arial" w:eastAsia="Arial" w:hAnsi="Arial" w:cs="Arial"/>
        </w:rPr>
        <w:t xml:space="preserve"> literature, on the other hand, gives a freer license for the </w:t>
      </w:r>
      <w:proofErr w:type="spellStart"/>
      <w:r w:rsidRPr="00D47D26">
        <w:rPr>
          <w:rFonts w:ascii="Arial" w:eastAsia="Arial" w:hAnsi="Arial" w:cs="Arial"/>
        </w:rPr>
        <w:t>humourous</w:t>
      </w:r>
      <w:proofErr w:type="spellEnd"/>
      <w:r w:rsidRPr="00D47D26">
        <w:rPr>
          <w:rFonts w:ascii="Arial" w:eastAsia="Arial" w:hAnsi="Arial" w:cs="Arial"/>
        </w:rPr>
        <w:t xml:space="preserve"> tone of a non-operational crisis of which the risk is not equal to that of an operational crisis.</w:t>
      </w:r>
    </w:p>
    <w:p w14:paraId="75CC6E64" w14:textId="77777777" w:rsidR="00D47D26" w:rsidRPr="00D47D26" w:rsidRDefault="00D47D26" w:rsidP="00D47D26">
      <w:pPr>
        <w:spacing w:before="240" w:after="240" w:line="360" w:lineRule="auto"/>
        <w:jc w:val="both"/>
        <w:rPr>
          <w:rFonts w:ascii="Arial" w:eastAsia="Arial" w:hAnsi="Arial" w:cs="Arial"/>
        </w:rPr>
      </w:pPr>
      <w:r w:rsidRPr="00D47D26">
        <w:rPr>
          <w:rFonts w:ascii="Arial" w:eastAsia="Arial" w:hAnsi="Arial" w:cs="Arial"/>
        </w:rPr>
        <w:t xml:space="preserve">The </w:t>
      </w:r>
      <w:proofErr w:type="spellStart"/>
      <w:r w:rsidRPr="00D47D26">
        <w:rPr>
          <w:rFonts w:ascii="Arial" w:eastAsia="Arial" w:hAnsi="Arial" w:cs="Arial"/>
        </w:rPr>
        <w:t>Paracrisis</w:t>
      </w:r>
      <w:proofErr w:type="spellEnd"/>
      <w:r w:rsidRPr="00D47D26">
        <w:rPr>
          <w:rFonts w:ascii="Arial" w:eastAsia="Arial" w:hAnsi="Arial" w:cs="Arial"/>
        </w:rPr>
        <w:t xml:space="preserve"> lens refers to the nature of the risk but does not suggest that a bold approach is "right" and there is no rulebook for the literature which indicates which of these approaches should be taken in legally sensitive situations.</w:t>
      </w:r>
    </w:p>
    <w:p w14:paraId="424F83B0" w14:textId="24E94190" w:rsidR="00D47D26" w:rsidRDefault="00D47D26">
      <w:pPr>
        <w:spacing w:before="240" w:after="240" w:line="360" w:lineRule="auto"/>
        <w:jc w:val="both"/>
        <w:rPr>
          <w:rFonts w:ascii="Arial" w:eastAsia="Arial" w:hAnsi="Arial" w:cs="Arial"/>
        </w:rPr>
      </w:pPr>
      <w:r w:rsidRPr="00D47D26">
        <w:rPr>
          <w:rFonts w:ascii="Arial" w:eastAsia="Arial" w:hAnsi="Arial" w:cs="Arial"/>
        </w:rPr>
        <w:t xml:space="preserve">The importance of this tension: the #FreeCuthbert campaign was bold, it was fun. Was this in line with the reputational and legal risk or was it a threat to go over the edge of the </w:t>
      </w:r>
      <w:proofErr w:type="spellStart"/>
      <w:r w:rsidRPr="00D47D26">
        <w:rPr>
          <w:rFonts w:ascii="Arial" w:eastAsia="Arial" w:hAnsi="Arial" w:cs="Arial"/>
        </w:rPr>
        <w:t>paracrisis</w:t>
      </w:r>
      <w:proofErr w:type="spellEnd"/>
      <w:r w:rsidRPr="00D47D26">
        <w:rPr>
          <w:rFonts w:ascii="Arial" w:eastAsia="Arial" w:hAnsi="Arial" w:cs="Arial"/>
        </w:rPr>
        <w:t xml:space="preserve">? In Chapters Four and Five the risk-management dimensions of the campaign (displacement of conflict onto a character, </w:t>
      </w:r>
      <w:proofErr w:type="spellStart"/>
      <w:r w:rsidRPr="00D47D26">
        <w:rPr>
          <w:rFonts w:ascii="Arial" w:eastAsia="Arial" w:hAnsi="Arial" w:cs="Arial"/>
        </w:rPr>
        <w:t>humour</w:t>
      </w:r>
      <w:proofErr w:type="spellEnd"/>
      <w:r w:rsidRPr="00D47D26">
        <w:rPr>
          <w:rFonts w:ascii="Arial" w:eastAsia="Arial" w:hAnsi="Arial" w:cs="Arial"/>
        </w:rPr>
        <w:t xml:space="preserve"> as de-escalation, charitable extension as reputational cover, and abstention from direct engagement in the legal arena) are discussed to gauge whether the response was proportionate.</w:t>
      </w:r>
    </w:p>
    <w:p w14:paraId="403DBD88" w14:textId="77777777" w:rsidR="00D47D26" w:rsidRDefault="00D47D26">
      <w:pPr>
        <w:spacing w:before="240" w:after="240" w:line="360" w:lineRule="auto"/>
        <w:jc w:val="both"/>
        <w:rPr>
          <w:rFonts w:ascii="Arial" w:eastAsia="Arial" w:hAnsi="Arial" w:cs="Arial"/>
        </w:rPr>
      </w:pPr>
    </w:p>
    <w:p w14:paraId="6DEFCAEB" w14:textId="77777777" w:rsidR="00D47D26" w:rsidRDefault="00D47D26">
      <w:pPr>
        <w:spacing w:before="240" w:after="240" w:line="360" w:lineRule="auto"/>
        <w:jc w:val="both"/>
        <w:rPr>
          <w:rFonts w:ascii="Arial" w:eastAsia="Arial" w:hAnsi="Arial" w:cs="Arial"/>
        </w:rPr>
      </w:pPr>
    </w:p>
    <w:p w14:paraId="000000DE" w14:textId="77777777" w:rsidR="003D2C5F" w:rsidRDefault="00000000">
      <w:pPr>
        <w:pStyle w:val="Heading2"/>
        <w:keepNext w:val="0"/>
        <w:keepLines w:val="0"/>
        <w:spacing w:after="80" w:line="360" w:lineRule="auto"/>
        <w:rPr>
          <w:b w:val="0"/>
          <w:bCs w:val="0"/>
          <w:sz w:val="34"/>
          <w:szCs w:val="34"/>
        </w:rPr>
      </w:pPr>
      <w:bookmarkStart w:id="69" w:name="_rv4judf0fsur" w:colFirst="0" w:colLast="0"/>
      <w:bookmarkStart w:id="70" w:name="_Toc241144183"/>
      <w:bookmarkEnd w:id="69"/>
      <w:r>
        <w:rPr>
          <w:sz w:val="34"/>
          <w:szCs w:val="34"/>
        </w:rPr>
        <w:lastRenderedPageBreak/>
        <w:t>2.8 Comparative Synthesis: Three Unresolved Tensions</w:t>
      </w:r>
      <w:bookmarkEnd w:id="70"/>
    </w:p>
    <w:p w14:paraId="000000DF" w14:textId="77777777" w:rsidR="003D2C5F" w:rsidRDefault="00000000">
      <w:pPr>
        <w:spacing w:before="180" w:after="180" w:line="360" w:lineRule="auto"/>
        <w:jc w:val="both"/>
        <w:rPr>
          <w:rFonts w:ascii="Arial" w:eastAsia="Arial" w:hAnsi="Arial" w:cs="Arial"/>
        </w:rPr>
      </w:pPr>
      <w:r>
        <w:rPr>
          <w:rFonts w:ascii="Arial" w:eastAsia="Arial" w:hAnsi="Arial" w:cs="Arial"/>
        </w:rPr>
        <w:t>The literature above does not provide a definitive answer on what happens when a firm responds rapidly and publicly to a competitor in a legally contentious environment. Instead, it reveals three unresolved tensions that this study addresses:</w:t>
      </w:r>
    </w:p>
    <w:p w14:paraId="000000E0" w14:textId="77777777" w:rsidR="003D2C5F" w:rsidRDefault="00000000">
      <w:pPr>
        <w:spacing w:before="180" w:after="180" w:line="360" w:lineRule="auto"/>
        <w:jc w:val="both"/>
        <w:rPr>
          <w:rFonts w:ascii="Arial" w:eastAsia="Arial" w:hAnsi="Arial" w:cs="Arial"/>
        </w:rPr>
      </w:pPr>
      <w:r>
        <w:rPr>
          <w:rFonts w:ascii="Arial" w:eastAsia="Arial" w:hAnsi="Arial" w:cs="Arial"/>
          <w:b/>
          <w:bCs/>
        </w:rPr>
        <w:t>Tension 1 — Improvisation vs. Timeliness</w:t>
      </w:r>
      <w:r>
        <w:rPr>
          <w:rFonts w:ascii="Arial" w:eastAsia="Arial" w:hAnsi="Arial" w:cs="Arial"/>
        </w:rPr>
        <w:t xml:space="preserve">: Fast, topical content drives </w:t>
      </w:r>
      <w:proofErr w:type="spellStart"/>
      <w:r>
        <w:rPr>
          <w:rFonts w:ascii="Arial" w:eastAsia="Arial" w:hAnsi="Arial" w:cs="Arial"/>
        </w:rPr>
        <w:t>favourable</w:t>
      </w:r>
      <w:proofErr w:type="spellEnd"/>
      <w:r>
        <w:rPr>
          <w:rFonts w:ascii="Arial" w:eastAsia="Arial" w:hAnsi="Arial" w:cs="Arial"/>
        </w:rPr>
        <w:t xml:space="preserve"> attitudes (Borah et al., 2020; Angell et al., 2019) vs. improvised content often underperforms planned content (Chae, Rodríguez-</w:t>
      </w:r>
      <w:proofErr w:type="spellStart"/>
      <w:r>
        <w:rPr>
          <w:rFonts w:ascii="Arial" w:eastAsia="Arial" w:hAnsi="Arial" w:cs="Arial"/>
        </w:rPr>
        <w:t>Vilá</w:t>
      </w:r>
      <w:proofErr w:type="spellEnd"/>
      <w:r>
        <w:rPr>
          <w:rFonts w:ascii="Arial" w:eastAsia="Arial" w:hAnsi="Arial" w:cs="Arial"/>
        </w:rPr>
        <w:t xml:space="preserve"> and Bharadwaj, 2025). The literature does not explain when one effect dominates the other, or whether they can be reconciled.</w:t>
      </w:r>
    </w:p>
    <w:p w14:paraId="000000E1" w14:textId="77777777" w:rsidR="003D2C5F" w:rsidRDefault="00000000">
      <w:pPr>
        <w:spacing w:before="180" w:after="180" w:line="360" w:lineRule="auto"/>
        <w:jc w:val="both"/>
        <w:rPr>
          <w:rFonts w:ascii="Arial" w:eastAsia="Arial" w:hAnsi="Arial" w:cs="Arial"/>
        </w:rPr>
      </w:pPr>
      <w:r>
        <w:rPr>
          <w:rFonts w:ascii="Arial" w:eastAsia="Arial" w:hAnsi="Arial" w:cs="Arial"/>
          <w:b/>
          <w:bCs/>
        </w:rPr>
        <w:t>Tension 2 — Open Rivalry — Opportunity vs. Escalation</w:t>
      </w:r>
      <w:r>
        <w:rPr>
          <w:rFonts w:ascii="Arial" w:eastAsia="Arial" w:hAnsi="Arial" w:cs="Arial"/>
        </w:rPr>
        <w:t>: Public rivalry can build distinctiveness (Berendt, Uhrich and Thompson, 2018) vs. conventional advice to avoid competitor conflict (Beard, 2010), with the effect further depending on top-dog/underdog status (Béal, Lécuyer and Guitart, 2025). The literature does not explain how these dynamics operate in a legally sensitive context.</w:t>
      </w:r>
    </w:p>
    <w:p w14:paraId="000000E2" w14:textId="77777777" w:rsidR="003D2C5F" w:rsidRDefault="00000000">
      <w:pPr>
        <w:spacing w:before="180" w:after="180" w:line="360" w:lineRule="auto"/>
        <w:jc w:val="both"/>
        <w:rPr>
          <w:rFonts w:ascii="Arial" w:eastAsia="Arial" w:hAnsi="Arial" w:cs="Arial"/>
        </w:rPr>
      </w:pPr>
      <w:r>
        <w:rPr>
          <w:rFonts w:ascii="Arial" w:eastAsia="Arial" w:hAnsi="Arial" w:cs="Arial"/>
          <w:b/>
          <w:bCs/>
        </w:rPr>
        <w:t xml:space="preserve">Tension 3 — Seriousness of Reputation — Crisis vs. </w:t>
      </w:r>
      <w:proofErr w:type="spellStart"/>
      <w:r>
        <w:rPr>
          <w:rFonts w:ascii="Arial" w:eastAsia="Arial" w:hAnsi="Arial" w:cs="Arial"/>
          <w:b/>
          <w:bCs/>
        </w:rPr>
        <w:t>Paracrisis</w:t>
      </w:r>
      <w:proofErr w:type="spellEnd"/>
      <w:r>
        <w:rPr>
          <w:rFonts w:ascii="Arial" w:eastAsia="Arial" w:hAnsi="Arial" w:cs="Arial"/>
        </w:rPr>
        <w:t xml:space="preserve">: Full crisis-responsibility logic (Coombs, 2007) would suggest caution when the </w:t>
      </w:r>
      <w:proofErr w:type="spellStart"/>
      <w:r>
        <w:rPr>
          <w:rFonts w:ascii="Arial" w:eastAsia="Arial" w:hAnsi="Arial" w:cs="Arial"/>
        </w:rPr>
        <w:t>organisation</w:t>
      </w:r>
      <w:proofErr w:type="spellEnd"/>
      <w:r>
        <w:rPr>
          <w:rFonts w:ascii="Arial" w:eastAsia="Arial" w:hAnsi="Arial" w:cs="Arial"/>
        </w:rPr>
        <w:t xml:space="preserve"> bears responsibility vs. the </w:t>
      </w:r>
      <w:proofErr w:type="spellStart"/>
      <w:r>
        <w:rPr>
          <w:rFonts w:ascii="Arial" w:eastAsia="Arial" w:hAnsi="Arial" w:cs="Arial"/>
        </w:rPr>
        <w:t>paracrisis</w:t>
      </w:r>
      <w:proofErr w:type="spellEnd"/>
      <w:r>
        <w:rPr>
          <w:rFonts w:ascii="Arial" w:eastAsia="Arial" w:hAnsi="Arial" w:cs="Arial"/>
        </w:rPr>
        <w:t xml:space="preserve"> lens (Coombs and Holladay, 2012) suggests proportionate rather than maximal response. The literature does not explain how to decide between these approaches in a legally sensitive context.</w:t>
      </w:r>
    </w:p>
    <w:p w14:paraId="000000E3" w14:textId="77777777" w:rsidR="003D2C5F" w:rsidRDefault="00000000">
      <w:pPr>
        <w:spacing w:before="180" w:after="180" w:line="360" w:lineRule="auto"/>
        <w:jc w:val="both"/>
        <w:rPr>
          <w:rFonts w:ascii="Arial" w:eastAsia="Arial" w:hAnsi="Arial" w:cs="Arial"/>
        </w:rPr>
      </w:pPr>
      <w:r>
        <w:rPr>
          <w:rFonts w:ascii="Arial" w:eastAsia="Arial" w:hAnsi="Arial" w:cs="Arial"/>
        </w:rPr>
        <w:t>The gap this study addresses: Existing research examines each tension separately, but does not explain how they interact when they converge in a single, legally sensitive event. The #FreeCuthbert case allows these tensions to be examined together rather than in isolation.</w:t>
      </w:r>
    </w:p>
    <w:p w14:paraId="000000E4" w14:textId="77777777" w:rsidR="003D2C5F" w:rsidRDefault="00000000">
      <w:pPr>
        <w:pStyle w:val="Heading2"/>
        <w:keepNext w:val="0"/>
        <w:keepLines w:val="0"/>
        <w:spacing w:after="80" w:line="360" w:lineRule="auto"/>
        <w:rPr>
          <w:b w:val="0"/>
          <w:bCs w:val="0"/>
          <w:sz w:val="34"/>
          <w:szCs w:val="34"/>
        </w:rPr>
      </w:pPr>
      <w:bookmarkStart w:id="71" w:name="_mnnioru817xd" w:colFirst="0" w:colLast="0"/>
      <w:bookmarkStart w:id="72" w:name="_Toc241144184"/>
      <w:bookmarkEnd w:id="71"/>
      <w:r>
        <w:rPr>
          <w:sz w:val="34"/>
          <w:szCs w:val="34"/>
        </w:rPr>
        <w:t>2.9 Towards an Integrated Conceptual Framework</w:t>
      </w:r>
      <w:bookmarkEnd w:id="72"/>
    </w:p>
    <w:p w14:paraId="0FDF1BFB" w14:textId="77777777" w:rsidR="00D47D26" w:rsidRPr="00D47D26" w:rsidRDefault="00D47D26" w:rsidP="00D47D26">
      <w:pPr>
        <w:spacing w:before="180" w:after="180" w:line="360" w:lineRule="auto"/>
        <w:jc w:val="both"/>
        <w:rPr>
          <w:rFonts w:ascii="Arial" w:eastAsia="Arial" w:hAnsi="Arial" w:cs="Arial"/>
        </w:rPr>
      </w:pPr>
      <w:r w:rsidRPr="00D47D26">
        <w:rPr>
          <w:rFonts w:ascii="Arial" w:eastAsia="Arial" w:hAnsi="Arial" w:cs="Arial"/>
        </w:rPr>
        <w:t xml:space="preserve">This dissertation is not based on any particular theory in Sections 2.2-2.7. Rather, it </w:t>
      </w:r>
      <w:proofErr w:type="spellStart"/>
      <w:r w:rsidRPr="00D47D26">
        <w:rPr>
          <w:rFonts w:ascii="Arial" w:eastAsia="Arial" w:hAnsi="Arial" w:cs="Arial"/>
        </w:rPr>
        <w:t>synthesises</w:t>
      </w:r>
      <w:proofErr w:type="spellEnd"/>
      <w:r w:rsidRPr="00D47D26">
        <w:rPr>
          <w:rFonts w:ascii="Arial" w:eastAsia="Arial" w:hAnsi="Arial" w:cs="Arial"/>
        </w:rPr>
        <w:t xml:space="preserve"> these in a conceptual matrix to answer three questions:</w:t>
      </w:r>
    </w:p>
    <w:p w14:paraId="7D4125A6" w14:textId="77777777" w:rsidR="00D47D26" w:rsidRPr="00D47D26" w:rsidRDefault="00D47D26" w:rsidP="00D47D26">
      <w:pPr>
        <w:spacing w:before="180" w:after="180" w:line="360" w:lineRule="auto"/>
        <w:jc w:val="both"/>
        <w:rPr>
          <w:rFonts w:ascii="Arial" w:eastAsia="Arial" w:hAnsi="Arial" w:cs="Arial"/>
        </w:rPr>
      </w:pPr>
      <w:r w:rsidRPr="00D47D26">
        <w:rPr>
          <w:rFonts w:ascii="Arial" w:eastAsia="Arial" w:hAnsi="Arial" w:cs="Arial"/>
        </w:rPr>
        <w:lastRenderedPageBreak/>
        <w:t>What was actually published by Aldi UK and when in the dispute? (Descriptive) This question will focus on Tension 1 (improvisation versus timeliness) and is mainly drawn from literature from the field of brand storytelling and real time marketing (Sections 2.2 – 2.3).</w:t>
      </w:r>
    </w:p>
    <w:p w14:paraId="474E5DB8" w14:textId="77777777" w:rsidR="00D47D26" w:rsidRPr="00D47D26" w:rsidRDefault="00D47D26" w:rsidP="00D47D26">
      <w:pPr>
        <w:spacing w:before="180" w:after="180" w:line="360" w:lineRule="auto"/>
        <w:jc w:val="both"/>
        <w:rPr>
          <w:rFonts w:ascii="Arial" w:eastAsia="Arial" w:hAnsi="Arial" w:cs="Arial"/>
        </w:rPr>
      </w:pPr>
      <w:r w:rsidRPr="00D47D26">
        <w:rPr>
          <w:rFonts w:ascii="Arial" w:eastAsia="Arial" w:hAnsi="Arial" w:cs="Arial"/>
        </w:rPr>
        <w:t xml:space="preserve">Question 2 (Interpretive): How did the </w:t>
      </w:r>
      <w:proofErr w:type="spellStart"/>
      <w:r w:rsidRPr="00D47D26">
        <w:rPr>
          <w:rFonts w:ascii="Arial" w:eastAsia="Arial" w:hAnsi="Arial" w:cs="Arial"/>
        </w:rPr>
        <w:t>humour</w:t>
      </w:r>
      <w:proofErr w:type="spellEnd"/>
      <w:r w:rsidRPr="00D47D26">
        <w:rPr>
          <w:rFonts w:ascii="Arial" w:eastAsia="Arial" w:hAnsi="Arial" w:cs="Arial"/>
        </w:rPr>
        <w:t xml:space="preserve">, the story, the brand personality and challenger/rivalry positioning work together to deliver the message? Covers Tension 2 (whether public contestation makes opportunities or escalates) and is largely based on </w:t>
      </w:r>
      <w:proofErr w:type="spellStart"/>
      <w:r w:rsidRPr="00D47D26">
        <w:rPr>
          <w:rFonts w:ascii="Arial" w:eastAsia="Arial" w:hAnsi="Arial" w:cs="Arial"/>
        </w:rPr>
        <w:t>humour</w:t>
      </w:r>
      <w:proofErr w:type="spellEnd"/>
      <w:r w:rsidRPr="00D47D26">
        <w:rPr>
          <w:rFonts w:ascii="Arial" w:eastAsia="Arial" w:hAnsi="Arial" w:cs="Arial"/>
        </w:rPr>
        <w:t>, personality and challenger-brand literature (Sections 2.4–2.5), and then on culture (Section 2.6).</w:t>
      </w:r>
    </w:p>
    <w:p w14:paraId="246E44F8" w14:textId="77777777" w:rsidR="00D47D26" w:rsidRPr="00D47D26" w:rsidRDefault="00D47D26" w:rsidP="00D47D26">
      <w:pPr>
        <w:spacing w:before="180" w:after="180" w:line="360" w:lineRule="auto"/>
        <w:jc w:val="both"/>
        <w:rPr>
          <w:rFonts w:ascii="Arial" w:eastAsia="Arial" w:hAnsi="Arial" w:cs="Arial"/>
        </w:rPr>
      </w:pPr>
      <w:r w:rsidRPr="00D47D26">
        <w:rPr>
          <w:rFonts w:ascii="Arial" w:eastAsia="Arial" w:hAnsi="Arial" w:cs="Arial"/>
        </w:rPr>
        <w:t xml:space="preserve">Question 3 (Evaluative): Was the response commensurate with the reputational and legal risks? This question is aimed at a distinction between Tension 3 (crisis vs. </w:t>
      </w:r>
      <w:proofErr w:type="spellStart"/>
      <w:r w:rsidRPr="00D47D26">
        <w:rPr>
          <w:rFonts w:ascii="Arial" w:eastAsia="Arial" w:hAnsi="Arial" w:cs="Arial"/>
        </w:rPr>
        <w:t>paracrisis</w:t>
      </w:r>
      <w:proofErr w:type="spellEnd"/>
      <w:r w:rsidRPr="00D47D26">
        <w:rPr>
          <w:rFonts w:ascii="Arial" w:eastAsia="Arial" w:hAnsi="Arial" w:cs="Arial"/>
        </w:rPr>
        <w:t xml:space="preserve">) and is mainly derived from the literature on the </w:t>
      </w:r>
      <w:proofErr w:type="spellStart"/>
      <w:r w:rsidRPr="00D47D26">
        <w:rPr>
          <w:rFonts w:ascii="Arial" w:eastAsia="Arial" w:hAnsi="Arial" w:cs="Arial"/>
        </w:rPr>
        <w:t>paracrisis</w:t>
      </w:r>
      <w:proofErr w:type="spellEnd"/>
      <w:r w:rsidRPr="00D47D26">
        <w:rPr>
          <w:rFonts w:ascii="Arial" w:eastAsia="Arial" w:hAnsi="Arial" w:cs="Arial"/>
        </w:rPr>
        <w:t xml:space="preserve"> and on the reputational risk (Section 2.7).</w:t>
      </w:r>
    </w:p>
    <w:p w14:paraId="402CB0E2" w14:textId="3558B1DD" w:rsidR="00D47D26" w:rsidRDefault="00D47D26" w:rsidP="00D47D26">
      <w:pPr>
        <w:spacing w:before="180" w:after="180" w:line="360" w:lineRule="auto"/>
        <w:jc w:val="both"/>
        <w:rPr>
          <w:rFonts w:ascii="Arial" w:eastAsia="Arial" w:hAnsi="Arial" w:cs="Arial"/>
        </w:rPr>
      </w:pPr>
      <w:r w:rsidRPr="00D47D26">
        <w:rPr>
          <w:rFonts w:ascii="Arial" w:eastAsia="Arial" w:hAnsi="Arial" w:cs="Arial"/>
        </w:rPr>
        <w:t>These questions can't be answered on their own. Without a descriptive mapping, the tone and positioning of the film cannot be understood, and without the interpretative analysis of how the movie was constructed, there is no way to make a fair assessment of the movie.</w:t>
      </w:r>
    </w:p>
    <w:p w14:paraId="000000EA"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Table 2.1: Conceptual Framework Mapping</w:t>
      </w:r>
    </w:p>
    <w:tbl>
      <w:tblPr>
        <w:tblStyle w:val="a"/>
        <w:tblW w:w="8895"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2085"/>
        <w:gridCol w:w="2685"/>
        <w:gridCol w:w="4125"/>
      </w:tblGrid>
      <w:tr w:rsidR="003D2C5F" w14:paraId="39EDB605" w14:textId="77777777" w:rsidTr="003D2C5F">
        <w:trPr>
          <w:trHeight w:val="795"/>
        </w:trPr>
        <w:tc>
          <w:tcPr>
            <w:tcW w:w="2085" w:type="dxa"/>
          </w:tcPr>
          <w:p w14:paraId="000000EB" w14:textId="77777777" w:rsidR="003D2C5F" w:rsidRDefault="00000000">
            <w:pPr>
              <w:spacing w:before="40" w:after="40" w:line="360" w:lineRule="auto"/>
              <w:jc w:val="both"/>
              <w:rPr>
                <w:rFonts w:ascii="Arial" w:eastAsia="Arial" w:hAnsi="Arial" w:cs="Arial"/>
              </w:rPr>
            </w:pPr>
            <w:r>
              <w:rPr>
                <w:rFonts w:ascii="Arial" w:eastAsia="Arial" w:hAnsi="Arial" w:cs="Arial"/>
              </w:rPr>
              <w:t>Framework Question</w:t>
            </w:r>
          </w:p>
        </w:tc>
        <w:tc>
          <w:tcPr>
            <w:tcW w:w="2685" w:type="dxa"/>
          </w:tcPr>
          <w:p w14:paraId="000000EC" w14:textId="77777777" w:rsidR="003D2C5F" w:rsidRDefault="00000000">
            <w:pPr>
              <w:spacing w:before="40" w:after="40" w:line="360" w:lineRule="auto"/>
              <w:jc w:val="both"/>
              <w:rPr>
                <w:rFonts w:ascii="Arial" w:eastAsia="Arial" w:hAnsi="Arial" w:cs="Arial"/>
              </w:rPr>
            </w:pPr>
            <w:r>
              <w:rPr>
                <w:rFonts w:ascii="Arial" w:eastAsia="Arial" w:hAnsi="Arial" w:cs="Arial"/>
              </w:rPr>
              <w:t>Literature Strands</w:t>
            </w:r>
          </w:p>
        </w:tc>
        <w:tc>
          <w:tcPr>
            <w:tcW w:w="4125" w:type="dxa"/>
          </w:tcPr>
          <w:p w14:paraId="000000ED" w14:textId="77777777" w:rsidR="003D2C5F" w:rsidRDefault="00000000">
            <w:pPr>
              <w:spacing w:before="40" w:after="40" w:line="360" w:lineRule="auto"/>
              <w:jc w:val="both"/>
              <w:rPr>
                <w:rFonts w:ascii="Arial" w:eastAsia="Arial" w:hAnsi="Arial" w:cs="Arial"/>
              </w:rPr>
            </w:pPr>
            <w:r>
              <w:rPr>
                <w:rFonts w:ascii="Arial" w:eastAsia="Arial" w:hAnsi="Arial" w:cs="Arial"/>
              </w:rPr>
              <w:t>Key Tension</w:t>
            </w:r>
          </w:p>
        </w:tc>
      </w:tr>
      <w:tr w:rsidR="003D2C5F" w14:paraId="6F6C9F27" w14:textId="77777777" w:rsidTr="003D2C5F">
        <w:trPr>
          <w:trHeight w:val="2595"/>
        </w:trPr>
        <w:tc>
          <w:tcPr>
            <w:tcW w:w="2085" w:type="dxa"/>
          </w:tcPr>
          <w:p w14:paraId="000000EE" w14:textId="77777777" w:rsidR="003D2C5F" w:rsidRDefault="00000000">
            <w:pPr>
              <w:spacing w:before="40" w:after="40" w:line="360" w:lineRule="auto"/>
              <w:jc w:val="both"/>
              <w:rPr>
                <w:rFonts w:ascii="Arial" w:eastAsia="Arial" w:hAnsi="Arial" w:cs="Arial"/>
              </w:rPr>
            </w:pPr>
            <w:r>
              <w:rPr>
                <w:rFonts w:ascii="Arial" w:eastAsia="Arial" w:hAnsi="Arial" w:cs="Arial"/>
              </w:rPr>
              <w:t>1. Descriptive: What was published, and when?</w:t>
            </w:r>
          </w:p>
        </w:tc>
        <w:tc>
          <w:tcPr>
            <w:tcW w:w="2685" w:type="dxa"/>
          </w:tcPr>
          <w:p w14:paraId="000000EF" w14:textId="77777777" w:rsidR="003D2C5F" w:rsidRDefault="00000000">
            <w:pPr>
              <w:spacing w:before="40" w:after="40" w:line="360" w:lineRule="auto"/>
              <w:jc w:val="both"/>
              <w:rPr>
                <w:rFonts w:ascii="Arial" w:eastAsia="Arial" w:hAnsi="Arial" w:cs="Arial"/>
              </w:rPr>
            </w:pPr>
            <w:r>
              <w:rPr>
                <w:rFonts w:ascii="Arial" w:eastAsia="Arial" w:hAnsi="Arial" w:cs="Arial"/>
              </w:rPr>
              <w:t>Brand storytelling (2.2); real-time/improvised marketing (2.3)</w:t>
            </w:r>
          </w:p>
        </w:tc>
        <w:tc>
          <w:tcPr>
            <w:tcW w:w="4125" w:type="dxa"/>
          </w:tcPr>
          <w:p w14:paraId="000000F0" w14:textId="77777777" w:rsidR="003D2C5F" w:rsidRDefault="00000000">
            <w:pPr>
              <w:spacing w:before="40" w:after="40" w:line="360" w:lineRule="auto"/>
              <w:jc w:val="both"/>
              <w:rPr>
                <w:rFonts w:ascii="Arial" w:eastAsia="Arial" w:hAnsi="Arial" w:cs="Arial"/>
              </w:rPr>
            </w:pPr>
            <w:r>
              <w:rPr>
                <w:rFonts w:ascii="Arial" w:eastAsia="Arial" w:hAnsi="Arial" w:cs="Arial"/>
              </w:rPr>
              <w:t xml:space="preserve">Fast, topical content drives </w:t>
            </w:r>
            <w:proofErr w:type="spellStart"/>
            <w:r>
              <w:rPr>
                <w:rFonts w:ascii="Arial" w:eastAsia="Arial" w:hAnsi="Arial" w:cs="Arial"/>
              </w:rPr>
              <w:t>favourable</w:t>
            </w:r>
            <w:proofErr w:type="spellEnd"/>
            <w:r>
              <w:rPr>
                <w:rFonts w:ascii="Arial" w:eastAsia="Arial" w:hAnsi="Arial" w:cs="Arial"/>
              </w:rPr>
              <w:t xml:space="preserve"> attitudes (Borah et al., 2020; Angell et al., 2019) vs. improvised content often underperforms planned content (Chae, Rodríguez-</w:t>
            </w:r>
            <w:proofErr w:type="spellStart"/>
            <w:r>
              <w:rPr>
                <w:rFonts w:ascii="Arial" w:eastAsia="Arial" w:hAnsi="Arial" w:cs="Arial"/>
              </w:rPr>
              <w:t>Vilá</w:t>
            </w:r>
            <w:proofErr w:type="spellEnd"/>
            <w:r>
              <w:rPr>
                <w:rFonts w:ascii="Arial" w:eastAsia="Arial" w:hAnsi="Arial" w:cs="Arial"/>
              </w:rPr>
              <w:t xml:space="preserve"> and Bharadwaj, 2025)</w:t>
            </w:r>
          </w:p>
        </w:tc>
      </w:tr>
      <w:tr w:rsidR="003D2C5F" w14:paraId="352283FE" w14:textId="77777777" w:rsidTr="003D2C5F">
        <w:trPr>
          <w:trHeight w:val="2955"/>
        </w:trPr>
        <w:tc>
          <w:tcPr>
            <w:tcW w:w="2085" w:type="dxa"/>
          </w:tcPr>
          <w:p w14:paraId="000000F1" w14:textId="77777777" w:rsidR="003D2C5F" w:rsidRDefault="00000000">
            <w:pPr>
              <w:spacing w:before="40" w:after="40" w:line="360" w:lineRule="auto"/>
              <w:jc w:val="both"/>
              <w:rPr>
                <w:rFonts w:ascii="Arial" w:eastAsia="Arial" w:hAnsi="Arial" w:cs="Arial"/>
              </w:rPr>
            </w:pPr>
            <w:r>
              <w:rPr>
                <w:rFonts w:ascii="Arial" w:eastAsia="Arial" w:hAnsi="Arial" w:cs="Arial"/>
              </w:rPr>
              <w:lastRenderedPageBreak/>
              <w:t>2. Interpretive: How was the message constructed?</w:t>
            </w:r>
          </w:p>
        </w:tc>
        <w:tc>
          <w:tcPr>
            <w:tcW w:w="2685" w:type="dxa"/>
          </w:tcPr>
          <w:p w14:paraId="000000F2" w14:textId="77777777" w:rsidR="003D2C5F" w:rsidRDefault="00000000">
            <w:pPr>
              <w:spacing w:before="40" w:after="40" w:line="360" w:lineRule="auto"/>
              <w:jc w:val="both"/>
              <w:rPr>
                <w:rFonts w:ascii="Arial" w:eastAsia="Arial" w:hAnsi="Arial" w:cs="Arial"/>
              </w:rPr>
            </w:pPr>
            <w:proofErr w:type="spellStart"/>
            <w:r>
              <w:rPr>
                <w:rFonts w:ascii="Arial" w:eastAsia="Arial" w:hAnsi="Arial" w:cs="Arial"/>
              </w:rPr>
              <w:t>Humour</w:t>
            </w:r>
            <w:proofErr w:type="spellEnd"/>
            <w:r>
              <w:rPr>
                <w:rFonts w:ascii="Arial" w:eastAsia="Arial" w:hAnsi="Arial" w:cs="Arial"/>
              </w:rPr>
              <w:t xml:space="preserve"> and personality (2.4); challenger and rivalry positioning (2.5); cultural relevance (2.6)</w:t>
            </w:r>
          </w:p>
        </w:tc>
        <w:tc>
          <w:tcPr>
            <w:tcW w:w="4125" w:type="dxa"/>
          </w:tcPr>
          <w:p w14:paraId="000000F3" w14:textId="77777777" w:rsidR="003D2C5F" w:rsidRDefault="00000000">
            <w:pPr>
              <w:spacing w:before="40" w:after="40" w:line="360" w:lineRule="auto"/>
              <w:jc w:val="both"/>
              <w:rPr>
                <w:rFonts w:ascii="Arial" w:eastAsia="Arial" w:hAnsi="Arial" w:cs="Arial"/>
              </w:rPr>
            </w:pPr>
            <w:r>
              <w:rPr>
                <w:rFonts w:ascii="Arial" w:eastAsia="Arial" w:hAnsi="Arial" w:cs="Arial"/>
              </w:rPr>
              <w:t>Public rivalry can build distinctiveness (Berendt, Uhrich and Thompson, 2018) vs. conventional advice to avoid competitor conflict (Beard, 2010); effect further depends on top-dog/underdog status (Béal, Lécuyer and Guitart, 2025)</w:t>
            </w:r>
          </w:p>
        </w:tc>
      </w:tr>
      <w:tr w:rsidR="003D2C5F" w14:paraId="082E859D" w14:textId="77777777" w:rsidTr="003D2C5F">
        <w:trPr>
          <w:trHeight w:val="2595"/>
        </w:trPr>
        <w:tc>
          <w:tcPr>
            <w:tcW w:w="2085" w:type="dxa"/>
          </w:tcPr>
          <w:p w14:paraId="000000F4" w14:textId="77777777" w:rsidR="003D2C5F" w:rsidRDefault="00000000">
            <w:pPr>
              <w:spacing w:before="40" w:after="40" w:line="360" w:lineRule="auto"/>
              <w:jc w:val="both"/>
              <w:rPr>
                <w:rFonts w:ascii="Arial" w:eastAsia="Arial" w:hAnsi="Arial" w:cs="Arial"/>
              </w:rPr>
            </w:pPr>
            <w:r>
              <w:rPr>
                <w:rFonts w:ascii="Arial" w:eastAsia="Arial" w:hAnsi="Arial" w:cs="Arial"/>
              </w:rPr>
              <w:t>3. Evaluative: Was the response proportionate to its risk?</w:t>
            </w:r>
          </w:p>
        </w:tc>
        <w:tc>
          <w:tcPr>
            <w:tcW w:w="2685" w:type="dxa"/>
          </w:tcPr>
          <w:p w14:paraId="000000F5" w14:textId="77777777" w:rsidR="003D2C5F" w:rsidRDefault="00000000">
            <w:pPr>
              <w:spacing w:before="40" w:after="40" w:line="360" w:lineRule="auto"/>
              <w:jc w:val="both"/>
              <w:rPr>
                <w:rFonts w:ascii="Arial" w:eastAsia="Arial" w:hAnsi="Arial" w:cs="Arial"/>
              </w:rPr>
            </w:pPr>
            <w:r>
              <w:rPr>
                <w:rFonts w:ascii="Arial" w:eastAsia="Arial" w:hAnsi="Arial" w:cs="Arial"/>
              </w:rPr>
              <w:t>Reactive marketing in a reputationally sensitive setting (2.7)</w:t>
            </w:r>
          </w:p>
        </w:tc>
        <w:tc>
          <w:tcPr>
            <w:tcW w:w="4125" w:type="dxa"/>
          </w:tcPr>
          <w:p w14:paraId="000000F6" w14:textId="77777777" w:rsidR="003D2C5F" w:rsidRDefault="00000000">
            <w:pPr>
              <w:spacing w:before="40" w:after="40" w:line="360" w:lineRule="auto"/>
              <w:jc w:val="both"/>
              <w:rPr>
                <w:rFonts w:ascii="Arial" w:eastAsia="Arial" w:hAnsi="Arial" w:cs="Arial"/>
              </w:rPr>
            </w:pPr>
            <w:r>
              <w:rPr>
                <w:rFonts w:ascii="Arial" w:eastAsia="Arial" w:hAnsi="Arial" w:cs="Arial"/>
              </w:rPr>
              <w:t xml:space="preserve">Full crisis-responsibility logic (Coombs, 2007) risks overstating the stakes vs. the narrower </w:t>
            </w:r>
            <w:proofErr w:type="spellStart"/>
            <w:r>
              <w:rPr>
                <w:rFonts w:ascii="Arial" w:eastAsia="Arial" w:hAnsi="Arial" w:cs="Arial"/>
              </w:rPr>
              <w:t>paracrisis</w:t>
            </w:r>
            <w:proofErr w:type="spellEnd"/>
            <w:r>
              <w:rPr>
                <w:rFonts w:ascii="Arial" w:eastAsia="Arial" w:hAnsi="Arial" w:cs="Arial"/>
              </w:rPr>
              <w:t xml:space="preserve"> lens (Coombs and Holladay, 2012), which still cannot alone explain why a bold, non-cautious response was well-received</w:t>
            </w:r>
          </w:p>
        </w:tc>
      </w:tr>
    </w:tbl>
    <w:p w14:paraId="000000F7" w14:textId="77777777" w:rsidR="003D2C5F" w:rsidRDefault="00000000">
      <w:pPr>
        <w:spacing w:before="180" w:after="180" w:line="360" w:lineRule="auto"/>
        <w:jc w:val="both"/>
        <w:rPr>
          <w:rFonts w:ascii="Arial" w:eastAsia="Arial" w:hAnsi="Arial" w:cs="Arial"/>
        </w:rPr>
      </w:pPr>
      <w:r>
        <w:rPr>
          <w:rFonts w:ascii="Arial" w:eastAsia="Arial" w:hAnsi="Arial" w:cs="Arial"/>
          <w:b/>
          <w:bCs/>
        </w:rPr>
        <w:t>How the lenses relate</w:t>
      </w:r>
      <w:r>
        <w:rPr>
          <w:rFonts w:ascii="Arial" w:eastAsia="Arial" w:hAnsi="Arial" w:cs="Arial"/>
        </w:rPr>
        <w:t xml:space="preserve">: The five lenses—brand storytelling, real-time marketing, </w:t>
      </w:r>
      <w:proofErr w:type="spellStart"/>
      <w:r>
        <w:rPr>
          <w:rFonts w:ascii="Arial" w:eastAsia="Arial" w:hAnsi="Arial" w:cs="Arial"/>
        </w:rPr>
        <w:t>humour</w:t>
      </w:r>
      <w:proofErr w:type="spellEnd"/>
      <w:r>
        <w:rPr>
          <w:rFonts w:ascii="Arial" w:eastAsia="Arial" w:hAnsi="Arial" w:cs="Arial"/>
        </w:rPr>
        <w:t xml:space="preserve">/narrative/personality, challenger positioning and cultural relevance—are interdependent. Whether </w:t>
      </w:r>
      <w:proofErr w:type="spellStart"/>
      <w:r>
        <w:rPr>
          <w:rFonts w:ascii="Arial" w:eastAsia="Arial" w:hAnsi="Arial" w:cs="Arial"/>
        </w:rPr>
        <w:t>humour</w:t>
      </w:r>
      <w:proofErr w:type="spellEnd"/>
      <w:r>
        <w:rPr>
          <w:rFonts w:ascii="Arial" w:eastAsia="Arial" w:hAnsi="Arial" w:cs="Arial"/>
        </w:rPr>
        <w:t xml:space="preserve"> is appreciated depends on cultural relevance, and challenger positioning affects whether rivalry reads as a plucky underdog or as reckless provocation. The </w:t>
      </w:r>
      <w:proofErr w:type="spellStart"/>
      <w:r>
        <w:rPr>
          <w:rFonts w:ascii="Arial" w:eastAsia="Arial" w:hAnsi="Arial" w:cs="Arial"/>
        </w:rPr>
        <w:t>paracrisis</w:t>
      </w:r>
      <w:proofErr w:type="spellEnd"/>
      <w:r>
        <w:rPr>
          <w:rFonts w:ascii="Arial" w:eastAsia="Arial" w:hAnsi="Arial" w:cs="Arial"/>
        </w:rPr>
        <w:t xml:space="preserve"> lens is then used to judge whether the response was proportionate.</w:t>
      </w:r>
    </w:p>
    <w:p w14:paraId="000000F8" w14:textId="77777777" w:rsidR="003D2C5F" w:rsidRDefault="00000000">
      <w:pPr>
        <w:spacing w:before="180" w:after="180" w:line="360" w:lineRule="auto"/>
        <w:jc w:val="both"/>
        <w:rPr>
          <w:rFonts w:ascii="Arial" w:eastAsia="Arial" w:hAnsi="Arial" w:cs="Arial"/>
        </w:rPr>
      </w:pPr>
      <w:r>
        <w:rPr>
          <w:rFonts w:ascii="Arial" w:eastAsia="Arial" w:hAnsi="Arial" w:cs="Arial"/>
          <w:b/>
          <w:bCs/>
        </w:rPr>
        <w:t>What this framework does not claim</w:t>
      </w:r>
      <w:r>
        <w:rPr>
          <w:rFonts w:ascii="Arial" w:eastAsia="Arial" w:hAnsi="Arial" w:cs="Arial"/>
        </w:rPr>
        <w:t>: The framework does not predict which side of each tension the case will fall on; that is an empirical question answered in Chapters Four and Five.</w:t>
      </w:r>
    </w:p>
    <w:p w14:paraId="000000F9" w14:textId="77777777" w:rsidR="003D2C5F" w:rsidRDefault="00000000">
      <w:pPr>
        <w:pStyle w:val="Heading2"/>
        <w:keepNext w:val="0"/>
        <w:keepLines w:val="0"/>
        <w:spacing w:after="80" w:line="360" w:lineRule="auto"/>
        <w:rPr>
          <w:b w:val="0"/>
          <w:bCs w:val="0"/>
          <w:sz w:val="34"/>
          <w:szCs w:val="34"/>
        </w:rPr>
      </w:pPr>
      <w:bookmarkStart w:id="73" w:name="_cabnhyiacq8b" w:colFirst="0" w:colLast="0"/>
      <w:bookmarkStart w:id="74" w:name="_Toc241144185"/>
      <w:bookmarkEnd w:id="73"/>
      <w:r>
        <w:rPr>
          <w:sz w:val="34"/>
          <w:szCs w:val="34"/>
        </w:rPr>
        <w:t>2.10 Summary</w:t>
      </w:r>
      <w:bookmarkEnd w:id="74"/>
    </w:p>
    <w:p w14:paraId="000000FA"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chapter has identified three unresolved tensions—improvisation versus timeliness, open rivalry as opportunity or escalation, and crisis versus </w:t>
      </w:r>
      <w:proofErr w:type="spellStart"/>
      <w:r>
        <w:rPr>
          <w:rFonts w:ascii="Arial" w:eastAsia="Arial" w:hAnsi="Arial" w:cs="Arial"/>
        </w:rPr>
        <w:t>paracrisis</w:t>
      </w:r>
      <w:proofErr w:type="spellEnd"/>
      <w:r>
        <w:rPr>
          <w:rFonts w:ascii="Arial" w:eastAsia="Arial" w:hAnsi="Arial" w:cs="Arial"/>
        </w:rPr>
        <w:t xml:space="preserve"> logic—and </w:t>
      </w:r>
      <w:proofErr w:type="spellStart"/>
      <w:r>
        <w:rPr>
          <w:rFonts w:ascii="Arial" w:eastAsia="Arial" w:hAnsi="Arial" w:cs="Arial"/>
        </w:rPr>
        <w:t>organised</w:t>
      </w:r>
      <w:proofErr w:type="spellEnd"/>
      <w:r>
        <w:rPr>
          <w:rFonts w:ascii="Arial" w:eastAsia="Arial" w:hAnsi="Arial" w:cs="Arial"/>
        </w:rPr>
        <w:t xml:space="preserve"> them into a framework of descriptive, interpretive and evaluative questions that guides the coding in Chapter Three and the structure of Chapters Four and Five.</w:t>
      </w:r>
    </w:p>
    <w:p w14:paraId="00000100" w14:textId="77777777" w:rsidR="003D2C5F" w:rsidRDefault="00000000">
      <w:pPr>
        <w:pStyle w:val="Heading1"/>
        <w:keepNext w:val="0"/>
        <w:keepLines w:val="0"/>
        <w:rPr>
          <w:b w:val="0"/>
          <w:bCs w:val="0"/>
          <w:sz w:val="46"/>
          <w:szCs w:val="46"/>
        </w:rPr>
      </w:pPr>
      <w:bookmarkStart w:id="75" w:name="_nutel48rq53p" w:colFirst="0" w:colLast="0"/>
      <w:bookmarkStart w:id="76" w:name="_Toc241144186"/>
      <w:bookmarkEnd w:id="75"/>
      <w:r>
        <w:rPr>
          <w:sz w:val="46"/>
          <w:szCs w:val="46"/>
        </w:rPr>
        <w:lastRenderedPageBreak/>
        <w:t>Chapter 3: Methodology</w:t>
      </w:r>
      <w:bookmarkEnd w:id="76"/>
    </w:p>
    <w:p w14:paraId="00000101" w14:textId="77777777" w:rsidR="003D2C5F" w:rsidRDefault="00000000">
      <w:pPr>
        <w:pStyle w:val="Heading2"/>
        <w:keepNext w:val="0"/>
        <w:keepLines w:val="0"/>
        <w:spacing w:after="80" w:line="360" w:lineRule="auto"/>
        <w:rPr>
          <w:b w:val="0"/>
          <w:bCs w:val="0"/>
          <w:sz w:val="34"/>
          <w:szCs w:val="34"/>
        </w:rPr>
      </w:pPr>
      <w:bookmarkStart w:id="77" w:name="_ptwxjdanfnti" w:colFirst="0" w:colLast="0"/>
      <w:bookmarkStart w:id="78" w:name="_Toc241144187"/>
      <w:bookmarkEnd w:id="77"/>
      <w:r>
        <w:rPr>
          <w:sz w:val="34"/>
          <w:szCs w:val="34"/>
        </w:rPr>
        <w:t>3.1 Research Philosophy</w:t>
      </w:r>
      <w:bookmarkEnd w:id="78"/>
    </w:p>
    <w:p w14:paraId="00000102"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study adopts an interpretivist approach. It is concerned with the meaning of the #FreeCuthbert communication—its </w:t>
      </w:r>
      <w:proofErr w:type="spellStart"/>
      <w:r>
        <w:rPr>
          <w:rFonts w:ascii="Arial" w:eastAsia="Arial" w:hAnsi="Arial" w:cs="Arial"/>
        </w:rPr>
        <w:t>humour</w:t>
      </w:r>
      <w:proofErr w:type="spellEnd"/>
      <w:r>
        <w:rPr>
          <w:rFonts w:ascii="Arial" w:eastAsia="Arial" w:hAnsi="Arial" w:cs="Arial"/>
        </w:rPr>
        <w:t xml:space="preserve">, cultural references and relationship to the legal dispute—as a product of the communication process and its context, not as an inherent property of the communication itself. This position is consistent with the research questions posed in Section 1.4, which are concerned with how a message is constructed and socially developed, not with testing a hypothesis about population </w:t>
      </w:r>
      <w:proofErr w:type="spellStart"/>
      <w:r>
        <w:rPr>
          <w:rFonts w:ascii="Arial" w:eastAsia="Arial" w:hAnsi="Arial" w:cs="Arial"/>
        </w:rPr>
        <w:t>behaviour</w:t>
      </w:r>
      <w:proofErr w:type="spellEnd"/>
      <w:r>
        <w:rPr>
          <w:rFonts w:ascii="Arial" w:eastAsia="Arial" w:hAnsi="Arial" w:cs="Arial"/>
        </w:rPr>
        <w:t>.</w:t>
      </w:r>
    </w:p>
    <w:p w14:paraId="00000103" w14:textId="77777777" w:rsidR="003D2C5F" w:rsidRDefault="00000000">
      <w:pPr>
        <w:spacing w:before="180" w:after="180" w:line="360" w:lineRule="auto"/>
        <w:jc w:val="both"/>
        <w:rPr>
          <w:rFonts w:ascii="Arial" w:eastAsia="Arial" w:hAnsi="Arial" w:cs="Arial"/>
        </w:rPr>
      </w:pPr>
      <w:r>
        <w:rPr>
          <w:rFonts w:ascii="Arial" w:eastAsia="Arial" w:hAnsi="Arial" w:cs="Arial"/>
        </w:rPr>
        <w:t>Case study research does not mandate any single philosophical perspective and may be undertaken from a broadly interpretivist or constructivist viewpoint (Yin, 2018). This dissertation adopts that position and treats the corpus as a finite set of texts that can be read and interpreted, rather than as a random sample on which statistical inference can be made.</w:t>
      </w:r>
    </w:p>
    <w:p w14:paraId="00000104"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philosophical stance carries a methodological implication already </w:t>
      </w:r>
      <w:proofErr w:type="spellStart"/>
      <w:r>
        <w:rPr>
          <w:rFonts w:ascii="Arial" w:eastAsia="Arial" w:hAnsi="Arial" w:cs="Arial"/>
        </w:rPr>
        <w:t>signalled</w:t>
      </w:r>
      <w:proofErr w:type="spellEnd"/>
      <w:r>
        <w:rPr>
          <w:rFonts w:ascii="Arial" w:eastAsia="Arial" w:hAnsi="Arial" w:cs="Arial"/>
        </w:rPr>
        <w:t xml:space="preserve"> in Section 1.5: the study does not attempt to measure audience psychology, attitude change or purchase intent, which would require a different, quantitative or experimental design of the kind used by Béal, Lécuyer and Guitart (2025) or Chae, Rodríguez-</w:t>
      </w:r>
      <w:proofErr w:type="spellStart"/>
      <w:r>
        <w:rPr>
          <w:rFonts w:ascii="Arial" w:eastAsia="Arial" w:hAnsi="Arial" w:cs="Arial"/>
        </w:rPr>
        <w:t>Vilá</w:t>
      </w:r>
      <w:proofErr w:type="spellEnd"/>
      <w:r>
        <w:rPr>
          <w:rFonts w:ascii="Arial" w:eastAsia="Arial" w:hAnsi="Arial" w:cs="Arial"/>
        </w:rPr>
        <w:t xml:space="preserve"> and Bharadwaj (2025). Instead, it offers an evidence-based reading of the published text and how it was represented externally—a level at which an interpretivist case study can make a meaningful and proportionate contribution.</w:t>
      </w:r>
    </w:p>
    <w:p w14:paraId="00000105" w14:textId="77777777" w:rsidR="003D2C5F" w:rsidRDefault="00000000">
      <w:pPr>
        <w:pStyle w:val="Heading2"/>
        <w:keepNext w:val="0"/>
        <w:keepLines w:val="0"/>
        <w:spacing w:after="80" w:line="360" w:lineRule="auto"/>
        <w:rPr>
          <w:b w:val="0"/>
          <w:bCs w:val="0"/>
          <w:sz w:val="34"/>
          <w:szCs w:val="34"/>
        </w:rPr>
      </w:pPr>
      <w:bookmarkStart w:id="79" w:name="_x3w0y4kzjzh8" w:colFirst="0" w:colLast="0"/>
      <w:bookmarkStart w:id="80" w:name="_Toc241144188"/>
      <w:bookmarkEnd w:id="79"/>
      <w:r>
        <w:rPr>
          <w:sz w:val="34"/>
          <w:szCs w:val="34"/>
        </w:rPr>
        <w:t>3.2 Research Design: A Single, Bounded Case Study</w:t>
      </w:r>
      <w:bookmarkEnd w:id="80"/>
    </w:p>
    <w:p w14:paraId="00000106"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is a single-case design, following Yin’s (2018) rationale for studying one case in depth. Two of Yin’s grounds apply. First, the case is revelatory: #FreeCuthbert has not previously been </w:t>
      </w:r>
      <w:proofErr w:type="spellStart"/>
      <w:r>
        <w:rPr>
          <w:rFonts w:ascii="Arial" w:eastAsia="Arial" w:hAnsi="Arial" w:cs="Arial"/>
        </w:rPr>
        <w:t>analysed</w:t>
      </w:r>
      <w:proofErr w:type="spellEnd"/>
      <w:r>
        <w:rPr>
          <w:rFonts w:ascii="Arial" w:eastAsia="Arial" w:hAnsi="Arial" w:cs="Arial"/>
        </w:rPr>
        <w:t xml:space="preserve"> through the combined lens of the reactive-timing, rivalry and </w:t>
      </w:r>
      <w:proofErr w:type="spellStart"/>
      <w:r>
        <w:rPr>
          <w:rFonts w:ascii="Arial" w:eastAsia="Arial" w:hAnsi="Arial" w:cs="Arial"/>
        </w:rPr>
        <w:t>paracrisis</w:t>
      </w:r>
      <w:proofErr w:type="spellEnd"/>
      <w:r>
        <w:rPr>
          <w:rFonts w:ascii="Arial" w:eastAsia="Arial" w:hAnsi="Arial" w:cs="Arial"/>
        </w:rPr>
        <w:t xml:space="preserve"> literatures, so a single in-depth case is well suited to revealing how they interact. Second, it is naturally bounded in time (Aldi UK’s posts between 15 and 20 April </w:t>
      </w:r>
      <w:r>
        <w:rPr>
          <w:rFonts w:ascii="Arial" w:eastAsia="Arial" w:hAnsi="Arial" w:cs="Arial"/>
        </w:rPr>
        <w:lastRenderedPageBreak/>
        <w:t>2021, with secondary coverage from April to December 2021; Section 1.5), in space (the UK) and by actor (Aldi UK alone).</w:t>
      </w:r>
    </w:p>
    <w:p w14:paraId="00000107"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The design mirrors the descriptive, interpretive and evaluative structure of the conceptual framework in Section 2.9: what was published and when (descriptive); how the message was constructed (interpretive); and whether the response was proportionate, viewed through the </w:t>
      </w:r>
      <w:proofErr w:type="spellStart"/>
      <w:r>
        <w:rPr>
          <w:rFonts w:ascii="Arial" w:eastAsia="Arial" w:hAnsi="Arial" w:cs="Arial"/>
        </w:rPr>
        <w:t>paracrisis</w:t>
      </w:r>
      <w:proofErr w:type="spellEnd"/>
      <w:r>
        <w:rPr>
          <w:rFonts w:ascii="Arial" w:eastAsia="Arial" w:hAnsi="Arial" w:cs="Arial"/>
        </w:rPr>
        <w:t xml:space="preserve"> lens, to the reputational and legal risk involved (evaluative). This structure is carried forward into the coding process described in Section 3.6.</w:t>
      </w:r>
    </w:p>
    <w:p w14:paraId="00000108" w14:textId="77777777" w:rsidR="003D2C5F" w:rsidRDefault="00000000">
      <w:pPr>
        <w:spacing w:before="180" w:after="180" w:line="360" w:lineRule="auto"/>
        <w:jc w:val="both"/>
        <w:rPr>
          <w:rFonts w:ascii="Arial" w:eastAsia="Arial" w:hAnsi="Arial" w:cs="Arial"/>
        </w:rPr>
      </w:pPr>
      <w:r>
        <w:rPr>
          <w:rFonts w:ascii="Arial" w:eastAsia="Arial" w:hAnsi="Arial" w:cs="Arial"/>
        </w:rPr>
        <w:t>This is a qualitative, interpretivist single-case design in which simple descriptive counts (post frequency, timing, coded-theme frequency) support—but do not replace—the qualitative analysis. This terminology is used consistently for the design throughout the dissertation.</w:t>
      </w:r>
    </w:p>
    <w:p w14:paraId="00000109" w14:textId="77777777" w:rsidR="003D2C5F" w:rsidRDefault="00000000">
      <w:pPr>
        <w:pStyle w:val="Heading2"/>
        <w:keepNext w:val="0"/>
        <w:keepLines w:val="0"/>
        <w:spacing w:after="80" w:line="360" w:lineRule="auto"/>
        <w:rPr>
          <w:b w:val="0"/>
          <w:bCs w:val="0"/>
          <w:sz w:val="34"/>
          <w:szCs w:val="34"/>
        </w:rPr>
      </w:pPr>
      <w:bookmarkStart w:id="81" w:name="_pigc1pyx5evo" w:colFirst="0" w:colLast="0"/>
      <w:bookmarkStart w:id="82" w:name="_Toc241144189"/>
      <w:bookmarkEnd w:id="81"/>
      <w:r>
        <w:rPr>
          <w:sz w:val="34"/>
          <w:szCs w:val="34"/>
        </w:rPr>
        <w:t>3.3 Case Boundaries</w:t>
      </w:r>
      <w:bookmarkEnd w:id="82"/>
    </w:p>
    <w:p w14:paraId="0000010A"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case boundaries follow Section 1.5. The dispute became public in April 2021; the primary corpus ends on 20 April 2021 with the charitable extension, while secondary coverage is followed to the end of 2021, when the campaign was reviewed in trade-press and awards commentary (The Drum, 2021; Marketing Week, 2021; </w:t>
      </w:r>
      <w:proofErr w:type="spellStart"/>
      <w:r>
        <w:rPr>
          <w:rFonts w:ascii="Arial" w:eastAsia="Arial" w:hAnsi="Arial" w:cs="Arial"/>
        </w:rPr>
        <w:t>eurobest</w:t>
      </w:r>
      <w:proofErr w:type="spellEnd"/>
      <w:r>
        <w:rPr>
          <w:rFonts w:ascii="Arial" w:eastAsia="Arial" w:hAnsi="Arial" w:cs="Arial"/>
        </w:rPr>
        <w:t xml:space="preserve">, 2021). The analysis </w:t>
      </w:r>
      <w:proofErr w:type="spellStart"/>
      <w:r>
        <w:rPr>
          <w:rFonts w:ascii="Arial" w:eastAsia="Arial" w:hAnsi="Arial" w:cs="Arial"/>
        </w:rPr>
        <w:t>centres</w:t>
      </w:r>
      <w:proofErr w:type="spellEnd"/>
      <w:r>
        <w:rPr>
          <w:rFonts w:ascii="Arial" w:eastAsia="Arial" w:hAnsi="Arial" w:cs="Arial"/>
        </w:rPr>
        <w:t xml:space="preserve"> on Aldi UK; Marks and Spencer’s communication is used only as background drawn from secondary sources. Only publicly available material is collected: no private messages, comment threads, user-generated content or data requiring a login or platform-specific tools.</w:t>
      </w:r>
    </w:p>
    <w:p w14:paraId="0000010B" w14:textId="77777777" w:rsidR="003D2C5F" w:rsidRDefault="00000000">
      <w:pPr>
        <w:pStyle w:val="Heading2"/>
        <w:keepNext w:val="0"/>
        <w:keepLines w:val="0"/>
        <w:spacing w:after="80" w:line="360" w:lineRule="auto"/>
        <w:rPr>
          <w:b w:val="0"/>
          <w:bCs w:val="0"/>
          <w:sz w:val="34"/>
          <w:szCs w:val="34"/>
        </w:rPr>
      </w:pPr>
      <w:bookmarkStart w:id="83" w:name="_om1gxyg076ti" w:colFirst="0" w:colLast="0"/>
      <w:bookmarkStart w:id="84" w:name="_Toc241144190"/>
      <w:bookmarkEnd w:id="83"/>
      <w:r>
        <w:rPr>
          <w:sz w:val="34"/>
          <w:szCs w:val="34"/>
        </w:rPr>
        <w:t>3.4 Data Sources and Corpus Construction</w:t>
      </w:r>
      <w:bookmarkEnd w:id="84"/>
    </w:p>
    <w:p w14:paraId="0000010C"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corpus is derived from two complementary strands linked to Objectives 1–3 in Section 1.4. The main strand is Aldi UK’s own public social media communication about the dispute or about Cuthbert during the relevant period, obtained manually from brand-owned public profiles, from publicly available archived snapshots (such as the Wayback Machine) where original records could no longer be accessed, or from screenshots published in credible contemporary news coverage of the case. This mixed retrieval </w:t>
      </w:r>
      <w:r>
        <w:rPr>
          <w:rFonts w:ascii="Arial" w:eastAsia="Arial" w:hAnsi="Arial" w:cs="Arial"/>
        </w:rPr>
        <w:lastRenderedPageBreak/>
        <w:t>method reflects the limitations of investigating a social media event several years after it took place, and its impact on completeness is discussed in Section 3.10.</w:t>
      </w:r>
    </w:p>
    <w:p w14:paraId="0000010D"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secondary strand consists of contemporary trade marketing press (such as Marketing Week and The Drum), mainstream news coverage of the dispute and, where available, legal-professional commentary on the trademark claim. Sources are included only when they are identifiable and were published in 2021; in this dissertation, “contemporaneous” refers to sources published within that year. Most appeared in April or May 2021 as the dispute unfolded, but three (Marketing Week, 2021; The Drum, 2021; </w:t>
      </w:r>
      <w:proofErr w:type="spellStart"/>
      <w:r>
        <w:rPr>
          <w:rFonts w:ascii="Arial" w:eastAsia="Arial" w:hAnsi="Arial" w:cs="Arial"/>
        </w:rPr>
        <w:t>eurobest</w:t>
      </w:r>
      <w:proofErr w:type="spellEnd"/>
      <w:r>
        <w:rPr>
          <w:rFonts w:ascii="Arial" w:eastAsia="Arial" w:hAnsi="Arial" w:cs="Arial"/>
        </w:rPr>
        <w:t>, 2021) were published later in an awards context and are treated as retrospective industry assessments, which is taken into account in Section 4.3.5. This strand is used for triangulation and informs Objective 3 and RQ3. Unverifiable sources were excluded; an article in The Independent, for example, was excluded because its wording and publication date could not be confirmed.</w:t>
      </w:r>
    </w:p>
    <w:p w14:paraId="0000010E"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Both strands are assembled without social-listening software, scraping tools, third-party analytics tools or bulk data extraction, in line with the scope set out in Section 1.5. Historical engagement indicators (like or share counts visible on a post, or covered in some secondary report of it) are recorded descriptively where they can be reliably recovered and are not treated as measures of the underlying psychological engagement construct described by </w:t>
      </w:r>
      <w:proofErr w:type="spellStart"/>
      <w:r>
        <w:rPr>
          <w:rFonts w:ascii="Arial" w:eastAsia="Arial" w:hAnsi="Arial" w:cs="Arial"/>
        </w:rPr>
        <w:t>Hollebeek</w:t>
      </w:r>
      <w:proofErr w:type="spellEnd"/>
      <w:r>
        <w:rPr>
          <w:rFonts w:ascii="Arial" w:eastAsia="Arial" w:hAnsi="Arial" w:cs="Arial"/>
        </w:rPr>
        <w:t>, Glynn and Brodie (2014).</w:t>
      </w:r>
    </w:p>
    <w:p w14:paraId="0000010F" w14:textId="77777777" w:rsidR="003D2C5F" w:rsidRDefault="00000000">
      <w:pPr>
        <w:pStyle w:val="Heading2"/>
        <w:keepNext w:val="0"/>
        <w:keepLines w:val="0"/>
        <w:spacing w:after="80" w:line="360" w:lineRule="auto"/>
        <w:rPr>
          <w:b w:val="0"/>
          <w:bCs w:val="0"/>
          <w:sz w:val="34"/>
          <w:szCs w:val="34"/>
        </w:rPr>
      </w:pPr>
      <w:bookmarkStart w:id="85" w:name="_pt7vuarhkr1k" w:colFirst="0" w:colLast="0"/>
      <w:bookmarkStart w:id="86" w:name="_Toc241144191"/>
      <w:bookmarkEnd w:id="85"/>
      <w:r>
        <w:rPr>
          <w:sz w:val="34"/>
          <w:szCs w:val="34"/>
        </w:rPr>
        <w:t>3.5 Unit of Analysis and Sampling</w:t>
      </w:r>
      <w:bookmarkEnd w:id="86"/>
    </w:p>
    <w:p w14:paraId="00000110" w14:textId="77777777" w:rsidR="003D2C5F" w:rsidRDefault="00000000">
      <w:pPr>
        <w:spacing w:before="180" w:after="180" w:line="360" w:lineRule="auto"/>
        <w:jc w:val="both"/>
        <w:rPr>
          <w:rFonts w:ascii="Arial" w:eastAsia="Arial" w:hAnsi="Arial" w:cs="Arial"/>
        </w:rPr>
      </w:pPr>
      <w:r>
        <w:rPr>
          <w:rFonts w:ascii="Arial" w:eastAsia="Arial" w:hAnsi="Arial" w:cs="Arial"/>
        </w:rPr>
        <w:t>The unit of analysis for the primary strand is the public communication artefact—which may include image or video content, a caption, and any associated thread—published on Aldi UK’s social media accounts; for the secondary strand, the unit is the published article. Logging each unit individually allows the descriptive mapping required by Objective 1 and RQ1 to be produced directly from the corpus record, rather than reconstructed after the fact.</w:t>
      </w:r>
    </w:p>
    <w:p w14:paraId="00000111"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Sampling is criterion-based rather than random (Yin, 2018). The primary corpus includes all Aldi UK posts that explicitly reference the Cuthbert dispute, the Colin and Cuthbert </w:t>
      </w:r>
      <w:r>
        <w:rPr>
          <w:rFonts w:ascii="Arial" w:eastAsia="Arial" w:hAnsi="Arial" w:cs="Arial"/>
        </w:rPr>
        <w:lastRenderedPageBreak/>
        <w:t>cakes or the #FreeCuthbert hashtag. Because historical social media material cannot be fully recovered years later (Section 3.10), these are best described as the identifiable and recoverable posts meeting the criteria, not a guaranteed complete population. For the secondary strand, only contemporaneous, independently dated sources from identifiable, credible outlets are included, with trade press and mainstream UK news preferred to unattributed blogs. Seventeen posts were initially identified; one (P17) was excluded because it could not be verified, leaving 16 posts, each linked to its original X URL (Appendix A), with full text, media and a screenshot in Appendix A2. Each post was coded against the codebook in Appendix C, and the coding matrix and written justifications in Appendix D allow every frequency in Table 4.3 to be traced to individual posts. The secondary sources were coded against a separate codebook (Appendix F), and Appendix E sets out the evidence trail from coded data to themes, findings, interpretation and conclusions.</w:t>
      </w:r>
    </w:p>
    <w:p w14:paraId="00000112" w14:textId="77777777" w:rsidR="003D2C5F" w:rsidRDefault="00000000">
      <w:pPr>
        <w:pStyle w:val="Heading2"/>
        <w:keepNext w:val="0"/>
        <w:keepLines w:val="0"/>
        <w:spacing w:after="80" w:line="360" w:lineRule="auto"/>
        <w:rPr>
          <w:b w:val="0"/>
          <w:bCs w:val="0"/>
          <w:sz w:val="34"/>
          <w:szCs w:val="34"/>
        </w:rPr>
      </w:pPr>
      <w:bookmarkStart w:id="87" w:name="_istwjjzbrkpf" w:colFirst="0" w:colLast="0"/>
      <w:bookmarkStart w:id="88" w:name="_Toc241144192"/>
      <w:bookmarkEnd w:id="87"/>
      <w:r>
        <w:rPr>
          <w:sz w:val="34"/>
          <w:szCs w:val="34"/>
        </w:rPr>
        <w:t>3.6 Coding and Thematic Analysis Procedure</w:t>
      </w:r>
      <w:bookmarkEnd w:id="88"/>
    </w:p>
    <w:p w14:paraId="00000113" w14:textId="77777777" w:rsidR="003D2C5F" w:rsidRDefault="00000000">
      <w:pPr>
        <w:spacing w:before="180" w:after="180" w:line="360" w:lineRule="auto"/>
        <w:jc w:val="both"/>
        <w:rPr>
          <w:rFonts w:ascii="Arial" w:eastAsia="Arial" w:hAnsi="Arial" w:cs="Arial"/>
        </w:rPr>
      </w:pPr>
      <w:r>
        <w:rPr>
          <w:rFonts w:ascii="Arial" w:eastAsia="Arial" w:hAnsi="Arial" w:cs="Arial"/>
        </w:rPr>
        <w:t>The data analysis in Chapters Four and Five uses the six-phase approach to thematic analysis developed by Braun and Clarke (2006). No qualitative analysis software is used to code; coding is done manually and the items are recorded in a structured spreadsheet, with a brief explanation of each coded item and the reason for the code (reproduced in Appendices D and F). This is consistent with the simple-tools boundary outlined in Section 1.5 and supports the dependability criterion outlined in Section 3.8. This follows Miles and Huberman’s (1994) recommendation that qualitative coding decisions should be explicit and auditable, rather than visible only in the final report.</w:t>
      </w:r>
    </w:p>
    <w:p w14:paraId="00000114"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dissertation does not code openly and then </w:t>
      </w:r>
      <w:proofErr w:type="spellStart"/>
      <w:r>
        <w:rPr>
          <w:rFonts w:ascii="Arial" w:eastAsia="Arial" w:hAnsi="Arial" w:cs="Arial"/>
        </w:rPr>
        <w:t>organise</w:t>
      </w:r>
      <w:proofErr w:type="spellEnd"/>
      <w:r>
        <w:rPr>
          <w:rFonts w:ascii="Arial" w:eastAsia="Arial" w:hAnsi="Arial" w:cs="Arial"/>
        </w:rPr>
        <w:t xml:space="preserve"> themes as they are discovered; instead, it takes the three-question conceptual framework presented in Section 2.9 as a coding frame, while remaining open to themes that emerge from the corpus but were not expected a priori. This is best described as a predominantly deductive, theory-informed thematic analysis with openness to inductive codes—the descriptive frequency counts (Section 3.7) are a supporting device within this qualitative design, not a separate quantitative strand, and simple frequencies alone do not make the design mixed-</w:t>
      </w:r>
      <w:r>
        <w:rPr>
          <w:rFonts w:ascii="Arial" w:eastAsia="Arial" w:hAnsi="Arial" w:cs="Arial"/>
        </w:rPr>
        <w:lastRenderedPageBreak/>
        <w:t>methods. In practice, one pattern emerged inductively: the three-phase temporal structure reported in Section 4.2.2 was not part of the a priori coding frame but was identified from the dates and times in the corpus log (Appendix A). No further inductive codes were added beyond the eight interpretive codes in Appendix C.</w:t>
      </w:r>
    </w:p>
    <w:p w14:paraId="0E96A63D" w14:textId="77777777" w:rsidR="00D47D26" w:rsidRPr="00D47D26" w:rsidRDefault="00D47D26" w:rsidP="00D47D26">
      <w:pPr>
        <w:spacing w:before="180" w:after="180" w:line="360" w:lineRule="auto"/>
        <w:jc w:val="both"/>
        <w:rPr>
          <w:rFonts w:ascii="Arial" w:eastAsia="Arial" w:hAnsi="Arial" w:cs="Arial"/>
        </w:rPr>
      </w:pPr>
      <w:r w:rsidRPr="00D47D26">
        <w:rPr>
          <w:rFonts w:ascii="Arial" w:eastAsia="Arial" w:hAnsi="Arial" w:cs="Arial"/>
        </w:rPr>
        <w:t xml:space="preserve">A distinction is kept through, between descriptive attributes, codes and themes. For each of these posts, the descriptive attributes of date and time, as well as the campaign dispute phase, are recorded in the corpus log (Appendix A); post format (text only, image, GIF or quote-post) is also recorded in Appendix A2, and post-level engagement during the campaign period (Section 4.2.3) is not recovered. With the categories of </w:t>
      </w:r>
      <w:proofErr w:type="spellStart"/>
      <w:r w:rsidRPr="00D47D26">
        <w:rPr>
          <w:rFonts w:ascii="Arial" w:eastAsia="Arial" w:hAnsi="Arial" w:cs="Arial"/>
        </w:rPr>
        <w:t>humour</w:t>
      </w:r>
      <w:proofErr w:type="spellEnd"/>
      <w:r w:rsidRPr="00D47D26">
        <w:rPr>
          <w:rFonts w:ascii="Arial" w:eastAsia="Arial" w:hAnsi="Arial" w:cs="Arial"/>
        </w:rPr>
        <w:t xml:space="preserve">, narrative structure, personification, brand personality cues, challenger/rivalry positioning and cultural reference from the literature review (Sections 2.4-2.6), together with charity linkage and legal sensitivity, eight interpretive codes (Appendix C) are generated: each of these codes is reported as the descriptive frequency count, and each code is then </w:t>
      </w:r>
      <w:proofErr w:type="spellStart"/>
      <w:r w:rsidRPr="00D47D26">
        <w:rPr>
          <w:rFonts w:ascii="Arial" w:eastAsia="Arial" w:hAnsi="Arial" w:cs="Arial"/>
        </w:rPr>
        <w:t>analysed</w:t>
      </w:r>
      <w:proofErr w:type="spellEnd"/>
      <w:r w:rsidRPr="00D47D26">
        <w:rPr>
          <w:rFonts w:ascii="Arial" w:eastAsia="Arial" w:hAnsi="Arial" w:cs="Arial"/>
        </w:rPr>
        <w:t xml:space="preserve"> thematically, as an interpretive finding, with regard not only to its presence but to the way in which it functions, the time in which it occurs, and the relationship that it has to the other codes. The evaluative strand (Section 2.7, and the </w:t>
      </w:r>
      <w:proofErr w:type="spellStart"/>
      <w:r w:rsidRPr="00D47D26">
        <w:rPr>
          <w:rFonts w:ascii="Arial" w:eastAsia="Arial" w:hAnsi="Arial" w:cs="Arial"/>
        </w:rPr>
        <w:t>paracrisis</w:t>
      </w:r>
      <w:proofErr w:type="spellEnd"/>
      <w:r w:rsidRPr="00D47D26">
        <w:rPr>
          <w:rFonts w:ascii="Arial" w:eastAsia="Arial" w:hAnsi="Arial" w:cs="Arial"/>
        </w:rPr>
        <w:t xml:space="preserve"> lens) is not an independent set of codes, but is constructed at the theme level by reading combinations of interpretive codes (legal sensitivity, charity linkage, personification and challenger positioning), against the individual post's phase (as listed on the evidence trail in Appendix E). Seven framing codes (Appendix F) were separately coded in the secondary strand to reflect the success, </w:t>
      </w:r>
      <w:proofErr w:type="spellStart"/>
      <w:r w:rsidRPr="00D47D26">
        <w:rPr>
          <w:rFonts w:ascii="Arial" w:eastAsia="Arial" w:hAnsi="Arial" w:cs="Arial"/>
        </w:rPr>
        <w:t>humour</w:t>
      </w:r>
      <w:proofErr w:type="spellEnd"/>
      <w:r w:rsidRPr="00D47D26">
        <w:rPr>
          <w:rFonts w:ascii="Arial" w:eastAsia="Arial" w:hAnsi="Arial" w:cs="Arial"/>
        </w:rPr>
        <w:t>, challenger positioning, cultural relevance of the campaign and its legal stakes of the campaign, which supports RQ3.</w:t>
      </w:r>
    </w:p>
    <w:p w14:paraId="44743D9D" w14:textId="77777777" w:rsidR="00D47D26" w:rsidRPr="00D47D26" w:rsidRDefault="00D47D26" w:rsidP="00D47D26">
      <w:pPr>
        <w:spacing w:before="180" w:after="180" w:line="360" w:lineRule="auto"/>
        <w:jc w:val="both"/>
        <w:rPr>
          <w:rFonts w:ascii="Arial" w:eastAsia="Arial" w:hAnsi="Arial" w:cs="Arial"/>
        </w:rPr>
      </w:pPr>
      <w:r w:rsidRPr="00D47D26">
        <w:rPr>
          <w:rFonts w:ascii="Arial" w:eastAsia="Arial" w:hAnsi="Arial" w:cs="Arial"/>
        </w:rPr>
        <w:t>If a post does not fall easily into any one of the classifications above (e.g., the campaign as a whole is lighthearted but the post is specifically rejecting Marks and Spencer by name), this is not considered to be an analytical error, but as a meaningful finding, which is explored in Section 4.4.1 and Chapter Five.</w:t>
      </w:r>
    </w:p>
    <w:p w14:paraId="3A6C8681" w14:textId="77777777" w:rsidR="00D47D26" w:rsidRPr="00D47D26" w:rsidRDefault="00D47D26" w:rsidP="00D47D26">
      <w:pPr>
        <w:spacing w:before="180" w:after="180" w:line="360" w:lineRule="auto"/>
        <w:jc w:val="both"/>
        <w:rPr>
          <w:rFonts w:ascii="Arial" w:eastAsia="Arial" w:hAnsi="Arial" w:cs="Arial"/>
        </w:rPr>
      </w:pPr>
      <w:r w:rsidRPr="00D47D26">
        <w:rPr>
          <w:rFonts w:ascii="Arial" w:eastAsia="Arial" w:hAnsi="Arial" w:cs="Arial"/>
        </w:rPr>
        <w:t xml:space="preserve">Note on evidence vs interpretation: It is important to first identify what the corpus reveals, and then to attempt to explain what the researcher believes it means. Statements about the reasons for a decision or what a decision was intended to achieve are interpretive propositions, not facts, though they may seem so, given the lack of access to internal Aldi </w:t>
      </w:r>
      <w:r w:rsidRPr="00D47D26">
        <w:rPr>
          <w:rFonts w:ascii="Arial" w:eastAsia="Arial" w:hAnsi="Arial" w:cs="Arial"/>
        </w:rPr>
        <w:lastRenderedPageBreak/>
        <w:t>UK decision making, records or interviews. The distinction between these is maintained by the use of language throughout the analysis that suggests they were meant to be interpreted as being in some way ‘consistent with' or ‘suggesting' or ‘functioning within the communication as'… but not ‘as a risk-management message' or ‘strategically used' as such statements suggest knowledge of managerial intent.</w:t>
      </w:r>
    </w:p>
    <w:p w14:paraId="3D27B57C" w14:textId="7070CDDD" w:rsidR="00D47D26" w:rsidRDefault="00D47D26" w:rsidP="00D47D26">
      <w:pPr>
        <w:spacing w:before="180" w:after="180" w:line="360" w:lineRule="auto"/>
        <w:jc w:val="both"/>
        <w:rPr>
          <w:rFonts w:ascii="Arial" w:eastAsia="Arial" w:hAnsi="Arial" w:cs="Arial"/>
        </w:rPr>
      </w:pPr>
      <w:r w:rsidRPr="00D47D26">
        <w:rPr>
          <w:rFonts w:ascii="Arial" w:eastAsia="Arial" w:hAnsi="Arial" w:cs="Arial"/>
        </w:rPr>
        <w:t>This structure means that each code can be traced back to a piece of literature and, if applicable, back to one of the three unresolved tensions found in Section 2.8.</w:t>
      </w:r>
    </w:p>
    <w:p w14:paraId="00000119" w14:textId="77777777" w:rsidR="003D2C5F" w:rsidRDefault="00000000">
      <w:pPr>
        <w:pStyle w:val="Heading2"/>
        <w:keepNext w:val="0"/>
        <w:keepLines w:val="0"/>
        <w:spacing w:after="80" w:line="360" w:lineRule="auto"/>
        <w:rPr>
          <w:b w:val="0"/>
          <w:bCs w:val="0"/>
          <w:sz w:val="34"/>
          <w:szCs w:val="34"/>
        </w:rPr>
      </w:pPr>
      <w:bookmarkStart w:id="89" w:name="_1hiikum6tg6t" w:colFirst="0" w:colLast="0"/>
      <w:bookmarkStart w:id="90" w:name="_Toc241144193"/>
      <w:bookmarkEnd w:id="89"/>
      <w:r>
        <w:rPr>
          <w:sz w:val="34"/>
          <w:szCs w:val="34"/>
        </w:rPr>
        <w:t>3.7 Descriptive Mapping</w:t>
      </w:r>
      <w:bookmarkEnd w:id="90"/>
    </w:p>
    <w:p w14:paraId="0000011A" w14:textId="77777777" w:rsidR="003D2C5F" w:rsidRDefault="00000000">
      <w:pPr>
        <w:spacing w:before="240" w:after="240" w:line="360" w:lineRule="auto"/>
        <w:jc w:val="both"/>
        <w:rPr>
          <w:rFonts w:ascii="Arial" w:eastAsia="Arial" w:hAnsi="Arial" w:cs="Arial"/>
        </w:rPr>
      </w:pPr>
      <w:r>
        <w:rPr>
          <w:rFonts w:ascii="Arial" w:eastAsia="Arial" w:hAnsi="Arial" w:cs="Arial"/>
        </w:rPr>
        <w:t>For the descriptive strand, basic counts are taken from the corpus log: the number of primary posts by type and date (relative to key dispute dates), how often each descriptive and interpretive code occurs in the corpus, and, where available, summaries of historical engagement indicators. Consistent with the qualitative-dominant design set out in Section 3.2, these counts are reported only as frequencies and proportions. They document and support the qualitative findings in Chapters Four and Five, but do not provide any quantitative causal or correlational claims.</w:t>
      </w:r>
    </w:p>
    <w:p w14:paraId="0000011B" w14:textId="77777777" w:rsidR="003D2C5F" w:rsidRDefault="00000000">
      <w:pPr>
        <w:pStyle w:val="Heading2"/>
        <w:keepNext w:val="0"/>
        <w:keepLines w:val="0"/>
        <w:spacing w:after="80" w:line="360" w:lineRule="auto"/>
        <w:rPr>
          <w:b w:val="0"/>
          <w:bCs w:val="0"/>
          <w:sz w:val="34"/>
          <w:szCs w:val="34"/>
        </w:rPr>
      </w:pPr>
      <w:bookmarkStart w:id="91" w:name="_t7tn7ziquetv" w:colFirst="0" w:colLast="0"/>
      <w:bookmarkStart w:id="92" w:name="_Toc241144194"/>
      <w:bookmarkEnd w:id="91"/>
      <w:r>
        <w:rPr>
          <w:sz w:val="34"/>
          <w:szCs w:val="34"/>
        </w:rPr>
        <w:t>3.8 Research Quality and Trustworthiness</w:t>
      </w:r>
      <w:bookmarkEnd w:id="92"/>
    </w:p>
    <w:p w14:paraId="0000011C"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As a qualitative, interpretive design, the quality of this research is assessed against the trustworthiness criteria proposed by Lincoln and Guba (1985) rather than positivist criteria of validity and reliability, and follows Tracy’s (2010) broader “big-tent” criteria for judging qualitative research quality, which include worthy topic, rich </w:t>
      </w:r>
      <w:proofErr w:type="spellStart"/>
      <w:r>
        <w:rPr>
          <w:rFonts w:ascii="Arial" w:eastAsia="Arial" w:hAnsi="Arial" w:cs="Arial"/>
        </w:rPr>
        <w:t>rigour</w:t>
      </w:r>
      <w:proofErr w:type="spellEnd"/>
      <w:r>
        <w:rPr>
          <w:rFonts w:ascii="Arial" w:eastAsia="Arial" w:hAnsi="Arial" w:cs="Arial"/>
        </w:rPr>
        <w:t xml:space="preserve"> and credibility.</w:t>
      </w:r>
    </w:p>
    <w:p w14:paraId="0000011D" w14:textId="77777777" w:rsidR="003D2C5F" w:rsidRDefault="00000000">
      <w:pPr>
        <w:spacing w:before="180" w:after="180" w:line="360" w:lineRule="auto"/>
        <w:jc w:val="both"/>
        <w:rPr>
          <w:rFonts w:ascii="Arial" w:eastAsia="Arial" w:hAnsi="Arial" w:cs="Arial"/>
        </w:rPr>
      </w:pPr>
      <w:r>
        <w:rPr>
          <w:rFonts w:ascii="Arial" w:eastAsia="Arial" w:hAnsi="Arial" w:cs="Arial"/>
        </w:rPr>
        <w:t>Credibility is supported through triangulation between the primary corpus and the secondary strand of contemporaneous coverage, checking interpretive statements about tone and positioning, where possible, against independent contemporaneous observers of the same material.</w:t>
      </w:r>
    </w:p>
    <w:p w14:paraId="0000011E"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Transferability is supported through the thick description of the case boundaries, corpus and coding procedure set out in this chapter, which allows another researcher to form </w:t>
      </w:r>
      <w:r>
        <w:rPr>
          <w:rFonts w:ascii="Arial" w:eastAsia="Arial" w:hAnsi="Arial" w:cs="Arial"/>
        </w:rPr>
        <w:lastRenderedPageBreak/>
        <w:t>their own judgement about whether the findings transfer to a different, though comparable, case (Silverman, 2013).</w:t>
      </w:r>
    </w:p>
    <w:p w14:paraId="0000011F" w14:textId="77777777" w:rsidR="003D2C5F" w:rsidRDefault="00000000">
      <w:pPr>
        <w:spacing w:before="180" w:after="180" w:line="360" w:lineRule="auto"/>
        <w:jc w:val="both"/>
        <w:rPr>
          <w:rFonts w:ascii="Arial" w:eastAsia="Arial" w:hAnsi="Arial" w:cs="Arial"/>
        </w:rPr>
      </w:pPr>
      <w:r>
        <w:rPr>
          <w:rFonts w:ascii="Arial" w:eastAsia="Arial" w:hAnsi="Arial" w:cs="Arial"/>
        </w:rPr>
        <w:t>Dependability is supported by the documented, spreadsheet-based audit trail of coding decisions described in Section 3.6 and reproduced in Appendices D, E and F, which records not only how each unit was coded but the reasoning behind the decision, allowing it to be reviewed and, if necessary, challenged.</w:t>
      </w:r>
    </w:p>
    <w:p w14:paraId="00000120"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Confirmability is supported by a short reflexivity note in which the researcher discloses his position as a non-UK-based postgraduate researcher </w:t>
      </w:r>
      <w:proofErr w:type="spellStart"/>
      <w:r>
        <w:rPr>
          <w:rFonts w:ascii="Arial" w:eastAsia="Arial" w:hAnsi="Arial" w:cs="Arial"/>
        </w:rPr>
        <w:t>analysing</w:t>
      </w:r>
      <w:proofErr w:type="spellEnd"/>
      <w:r>
        <w:rPr>
          <w:rFonts w:ascii="Arial" w:eastAsia="Arial" w:hAnsi="Arial" w:cs="Arial"/>
        </w:rPr>
        <w:t xml:space="preserve"> British cultural </w:t>
      </w:r>
      <w:proofErr w:type="spellStart"/>
      <w:r>
        <w:rPr>
          <w:rFonts w:ascii="Arial" w:eastAsia="Arial" w:hAnsi="Arial" w:cs="Arial"/>
        </w:rPr>
        <w:t>humour</w:t>
      </w:r>
      <w:proofErr w:type="spellEnd"/>
      <w:r>
        <w:rPr>
          <w:rFonts w:ascii="Arial" w:eastAsia="Arial" w:hAnsi="Arial" w:cs="Arial"/>
        </w:rPr>
        <w:t xml:space="preserve"> and British retail competition—an interpretive position rather than a neutral one—and by demonstrating that the corpus was coded directly, using a code-and-justification approach, rather than relying on impressionistic reading.</w:t>
      </w:r>
    </w:p>
    <w:p w14:paraId="00000121" w14:textId="77777777" w:rsidR="003D2C5F" w:rsidRDefault="00000000">
      <w:pPr>
        <w:pStyle w:val="Heading2"/>
        <w:keepNext w:val="0"/>
        <w:keepLines w:val="0"/>
        <w:spacing w:after="80" w:line="360" w:lineRule="auto"/>
        <w:rPr>
          <w:b w:val="0"/>
          <w:bCs w:val="0"/>
          <w:sz w:val="34"/>
          <w:szCs w:val="34"/>
        </w:rPr>
      </w:pPr>
      <w:bookmarkStart w:id="93" w:name="_9rdwwunmdrtt" w:colFirst="0" w:colLast="0"/>
      <w:bookmarkStart w:id="94" w:name="_Toc241144195"/>
      <w:bookmarkEnd w:id="93"/>
      <w:r>
        <w:rPr>
          <w:sz w:val="34"/>
          <w:szCs w:val="34"/>
        </w:rPr>
        <w:t>3.9 Ethical Considerations</w:t>
      </w:r>
      <w:bookmarkEnd w:id="94"/>
    </w:p>
    <w:p w14:paraId="00000122" w14:textId="77777777" w:rsidR="003D2C5F" w:rsidRDefault="00000000">
      <w:pPr>
        <w:spacing w:before="180" w:after="180" w:line="360" w:lineRule="auto"/>
        <w:jc w:val="both"/>
        <w:rPr>
          <w:rFonts w:ascii="Arial" w:eastAsia="Arial" w:hAnsi="Arial" w:cs="Arial"/>
        </w:rPr>
      </w:pPr>
      <w:r>
        <w:rPr>
          <w:rFonts w:ascii="Arial" w:eastAsia="Arial" w:hAnsi="Arial" w:cs="Arial"/>
        </w:rPr>
        <w:t>The study follows the Internet Research: Ethical Guidelines 3.0 (</w:t>
      </w:r>
      <w:proofErr w:type="spellStart"/>
      <w:r>
        <w:rPr>
          <w:rFonts w:ascii="Arial" w:eastAsia="Arial" w:hAnsi="Arial" w:cs="Arial"/>
        </w:rPr>
        <w:t>franzke</w:t>
      </w:r>
      <w:proofErr w:type="spellEnd"/>
      <w:r>
        <w:rPr>
          <w:rFonts w:ascii="Arial" w:eastAsia="Arial" w:hAnsi="Arial" w:cs="Arial"/>
        </w:rPr>
        <w:t xml:space="preserve"> et al., 2020). All primary data come from the brand’s own public communication, published for the widest possible audience; no private accounts, closed groups, comment sections or user-generated content are </w:t>
      </w:r>
      <w:proofErr w:type="spellStart"/>
      <w:r>
        <w:rPr>
          <w:rFonts w:ascii="Arial" w:eastAsia="Arial" w:hAnsi="Arial" w:cs="Arial"/>
        </w:rPr>
        <w:t>analysed</w:t>
      </w:r>
      <w:proofErr w:type="spellEnd"/>
      <w:r>
        <w:rPr>
          <w:rFonts w:ascii="Arial" w:eastAsia="Arial" w:hAnsi="Arial" w:cs="Arial"/>
        </w:rPr>
        <w:t>, and no individual social media user is identified, quoted or profiled. No personal data as defined under UK data protection law is collected, and no paywalled or restricted content is accessed. The research followed the university’s ethics review process for dissertations using publicly available data, consistent with the approval obtained for the project design (Section 1.5).</w:t>
      </w:r>
    </w:p>
    <w:p w14:paraId="00000123" w14:textId="77777777" w:rsidR="003D2C5F" w:rsidRDefault="00000000">
      <w:pPr>
        <w:pStyle w:val="Heading2"/>
        <w:keepNext w:val="0"/>
        <w:keepLines w:val="0"/>
        <w:spacing w:after="80" w:line="360" w:lineRule="auto"/>
        <w:rPr>
          <w:b w:val="0"/>
          <w:bCs w:val="0"/>
          <w:sz w:val="34"/>
          <w:szCs w:val="34"/>
        </w:rPr>
      </w:pPr>
      <w:bookmarkStart w:id="95" w:name="_d660utwaq1xm" w:colFirst="0" w:colLast="0"/>
      <w:bookmarkStart w:id="96" w:name="_Toc241144196"/>
      <w:bookmarkEnd w:id="95"/>
      <w:r>
        <w:rPr>
          <w:sz w:val="34"/>
          <w:szCs w:val="34"/>
        </w:rPr>
        <w:t>3.10 Limitations of the Design</w:t>
      </w:r>
      <w:bookmarkEnd w:id="96"/>
    </w:p>
    <w:p w14:paraId="00000124" w14:textId="77777777" w:rsidR="003D2C5F" w:rsidRDefault="00000000">
      <w:pPr>
        <w:spacing w:before="180" w:after="180" w:line="360" w:lineRule="auto"/>
        <w:jc w:val="both"/>
        <w:rPr>
          <w:rFonts w:ascii="Arial" w:eastAsia="Arial" w:hAnsi="Arial" w:cs="Arial"/>
        </w:rPr>
      </w:pPr>
      <w:r>
        <w:rPr>
          <w:rFonts w:ascii="Arial" w:eastAsia="Arial" w:hAnsi="Arial" w:cs="Arial"/>
        </w:rPr>
        <w:t>In addition to the evidential boundaries provided in Section 1.5, there are three other limitations that follow directly from the design decisions made in this chapter.</w:t>
      </w:r>
    </w:p>
    <w:p w14:paraId="00000125"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First, the results do not lend themselves to statistical </w:t>
      </w:r>
      <w:proofErr w:type="spellStart"/>
      <w:r>
        <w:rPr>
          <w:rFonts w:ascii="Arial" w:eastAsia="Arial" w:hAnsi="Arial" w:cs="Arial"/>
        </w:rPr>
        <w:t>generalisation</w:t>
      </w:r>
      <w:proofErr w:type="spellEnd"/>
      <w:r>
        <w:rPr>
          <w:rFonts w:ascii="Arial" w:eastAsia="Arial" w:hAnsi="Arial" w:cs="Arial"/>
        </w:rPr>
        <w:t xml:space="preserve"> across other brands, other disputes, or other markets; where the results are extended to other international challenger brands, they are offered as suggestions based on the analytical </w:t>
      </w:r>
      <w:proofErr w:type="spellStart"/>
      <w:r>
        <w:rPr>
          <w:rFonts w:ascii="Arial" w:eastAsia="Arial" w:hAnsi="Arial" w:cs="Arial"/>
        </w:rPr>
        <w:t>generalisation</w:t>
      </w:r>
      <w:proofErr w:type="spellEnd"/>
      <w:r>
        <w:rPr>
          <w:rFonts w:ascii="Arial" w:eastAsia="Arial" w:hAnsi="Arial" w:cs="Arial"/>
        </w:rPr>
        <w:t xml:space="preserve"> appropriate to case study research (Yin, 2018).</w:t>
      </w:r>
    </w:p>
    <w:p w14:paraId="00000126" w14:textId="77777777" w:rsidR="003D2C5F" w:rsidRDefault="00000000">
      <w:pPr>
        <w:spacing w:before="180" w:after="180" w:line="360" w:lineRule="auto"/>
        <w:jc w:val="both"/>
        <w:rPr>
          <w:rFonts w:ascii="Arial" w:eastAsia="Arial" w:hAnsi="Arial" w:cs="Arial"/>
        </w:rPr>
      </w:pPr>
      <w:r>
        <w:rPr>
          <w:rFonts w:ascii="Arial" w:eastAsia="Arial" w:hAnsi="Arial" w:cs="Arial"/>
        </w:rPr>
        <w:lastRenderedPageBreak/>
        <w:t>Second, the primary corpus is not necessarily a complete archive of what was published on the platforms in question, and engagement indicators, where available, could not be re-checked against real-time platform data. Because the case is studied several years after the event, the primary corpus is not guaranteed to match what was available on the platforms at the time.</w:t>
      </w:r>
    </w:p>
    <w:p w14:paraId="00000127" w14:textId="77777777" w:rsidR="003D2C5F" w:rsidRDefault="00000000">
      <w:pPr>
        <w:spacing w:before="180" w:after="180" w:line="360" w:lineRule="auto"/>
        <w:jc w:val="both"/>
        <w:rPr>
          <w:rFonts w:ascii="Arial" w:eastAsia="Arial" w:hAnsi="Arial" w:cs="Arial"/>
        </w:rPr>
      </w:pPr>
      <w:r>
        <w:rPr>
          <w:rFonts w:ascii="Arial" w:eastAsia="Arial" w:hAnsi="Arial" w:cs="Arial"/>
        </w:rPr>
        <w:t>Third, thematic coding is an interpretative process, even when it is tightly guided by a conceptual framework and documented with a chain of evidence; the measures of trustworthiness described in Section 3.8 are designed to make this interpretation as transparent and defensible as possible, but do not eliminate the interpretative process from the analysis.</w:t>
      </w:r>
    </w:p>
    <w:p w14:paraId="00000128"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These are not excuses for the qualitative design chosen, but a recognition that interpretation is inherent in the process. </w:t>
      </w:r>
    </w:p>
    <w:p w14:paraId="00000129" w14:textId="77777777" w:rsidR="003D2C5F" w:rsidRDefault="003D2C5F">
      <w:pPr>
        <w:spacing w:before="180" w:after="180" w:line="360" w:lineRule="auto"/>
        <w:jc w:val="both"/>
        <w:rPr>
          <w:rFonts w:ascii="Arial" w:eastAsia="Arial" w:hAnsi="Arial" w:cs="Arial"/>
        </w:rPr>
      </w:pPr>
    </w:p>
    <w:p w14:paraId="0000012A" w14:textId="77777777" w:rsidR="003D2C5F" w:rsidRDefault="003D2C5F">
      <w:pPr>
        <w:spacing w:before="180" w:after="180" w:line="360" w:lineRule="auto"/>
        <w:jc w:val="both"/>
        <w:rPr>
          <w:rFonts w:ascii="Arial" w:eastAsia="Arial" w:hAnsi="Arial" w:cs="Arial"/>
        </w:rPr>
      </w:pPr>
    </w:p>
    <w:p w14:paraId="0000012B" w14:textId="77777777" w:rsidR="003D2C5F" w:rsidRDefault="003D2C5F">
      <w:pPr>
        <w:spacing w:before="180" w:after="180" w:line="360" w:lineRule="auto"/>
        <w:jc w:val="both"/>
        <w:rPr>
          <w:rFonts w:ascii="Arial" w:eastAsia="Arial" w:hAnsi="Arial" w:cs="Arial"/>
        </w:rPr>
      </w:pPr>
    </w:p>
    <w:p w14:paraId="0000012C" w14:textId="77777777" w:rsidR="003D2C5F" w:rsidRDefault="003D2C5F">
      <w:pPr>
        <w:spacing w:before="180" w:after="180" w:line="360" w:lineRule="auto"/>
        <w:jc w:val="both"/>
        <w:rPr>
          <w:rFonts w:ascii="Arial" w:eastAsia="Arial" w:hAnsi="Arial" w:cs="Arial"/>
        </w:rPr>
      </w:pPr>
    </w:p>
    <w:p w14:paraId="0000012D" w14:textId="77777777" w:rsidR="003D2C5F" w:rsidRDefault="003D2C5F">
      <w:pPr>
        <w:spacing w:before="180" w:after="180" w:line="360" w:lineRule="auto"/>
        <w:jc w:val="both"/>
        <w:rPr>
          <w:rFonts w:ascii="Arial" w:eastAsia="Arial" w:hAnsi="Arial" w:cs="Arial"/>
        </w:rPr>
      </w:pPr>
    </w:p>
    <w:p w14:paraId="0000012E" w14:textId="77777777" w:rsidR="003D2C5F" w:rsidRDefault="003D2C5F">
      <w:pPr>
        <w:spacing w:before="180" w:after="180" w:line="360" w:lineRule="auto"/>
        <w:jc w:val="both"/>
        <w:rPr>
          <w:rFonts w:ascii="Arial" w:eastAsia="Arial" w:hAnsi="Arial" w:cs="Arial"/>
        </w:rPr>
      </w:pPr>
    </w:p>
    <w:p w14:paraId="0000012F" w14:textId="77777777" w:rsidR="003D2C5F" w:rsidRDefault="003D2C5F">
      <w:pPr>
        <w:spacing w:before="180" w:after="180" w:line="360" w:lineRule="auto"/>
        <w:jc w:val="both"/>
        <w:rPr>
          <w:rFonts w:ascii="Arial" w:eastAsia="Arial" w:hAnsi="Arial" w:cs="Arial"/>
        </w:rPr>
      </w:pPr>
    </w:p>
    <w:p w14:paraId="00000130" w14:textId="77777777" w:rsidR="003D2C5F" w:rsidRDefault="003D2C5F">
      <w:pPr>
        <w:spacing w:before="180" w:after="180" w:line="360" w:lineRule="auto"/>
        <w:jc w:val="both"/>
        <w:rPr>
          <w:rFonts w:ascii="Arial" w:eastAsia="Arial" w:hAnsi="Arial" w:cs="Arial"/>
        </w:rPr>
      </w:pPr>
    </w:p>
    <w:p w14:paraId="00000131" w14:textId="77777777" w:rsidR="003D2C5F" w:rsidRDefault="003D2C5F">
      <w:pPr>
        <w:spacing w:before="180" w:after="180" w:line="360" w:lineRule="auto"/>
        <w:jc w:val="both"/>
        <w:rPr>
          <w:rFonts w:ascii="Arial" w:eastAsia="Arial" w:hAnsi="Arial" w:cs="Arial"/>
        </w:rPr>
      </w:pPr>
    </w:p>
    <w:p w14:paraId="00000132" w14:textId="77777777" w:rsidR="003D2C5F" w:rsidRDefault="003D2C5F">
      <w:pPr>
        <w:spacing w:before="180" w:after="180" w:line="360" w:lineRule="auto"/>
        <w:jc w:val="both"/>
        <w:rPr>
          <w:rFonts w:ascii="Arial" w:eastAsia="Arial" w:hAnsi="Arial" w:cs="Arial"/>
        </w:rPr>
      </w:pPr>
    </w:p>
    <w:p w14:paraId="00000135" w14:textId="3A51E962" w:rsidR="003D2C5F" w:rsidRDefault="003D2C5F">
      <w:pPr>
        <w:spacing w:before="180" w:after="180" w:line="360" w:lineRule="auto"/>
        <w:jc w:val="both"/>
        <w:rPr>
          <w:rFonts w:ascii="Arial" w:eastAsia="Arial" w:hAnsi="Arial" w:cs="Arial"/>
        </w:rPr>
      </w:pPr>
    </w:p>
    <w:p w14:paraId="00000136" w14:textId="77777777" w:rsidR="003D2C5F" w:rsidRDefault="00000000">
      <w:pPr>
        <w:pStyle w:val="Heading1"/>
      </w:pPr>
      <w:bookmarkStart w:id="97" w:name="_woft2lzb26wh" w:colFirst="0" w:colLast="0"/>
      <w:bookmarkStart w:id="98" w:name="_Toc241144197"/>
      <w:bookmarkEnd w:id="97"/>
      <w:r>
        <w:lastRenderedPageBreak/>
        <w:t>Chapter 4: Findings</w:t>
      </w:r>
      <w:bookmarkEnd w:id="98"/>
    </w:p>
    <w:p w14:paraId="00000137" w14:textId="77777777" w:rsidR="003D2C5F" w:rsidRDefault="00000000">
      <w:pPr>
        <w:pStyle w:val="Heading2"/>
        <w:keepNext w:val="0"/>
        <w:keepLines w:val="0"/>
        <w:spacing w:after="80" w:line="360" w:lineRule="auto"/>
        <w:rPr>
          <w:b w:val="0"/>
          <w:bCs w:val="0"/>
          <w:sz w:val="34"/>
          <w:szCs w:val="34"/>
        </w:rPr>
      </w:pPr>
      <w:bookmarkStart w:id="99" w:name="_m7lzbt4bshnb" w:colFirst="0" w:colLast="0"/>
      <w:bookmarkStart w:id="100" w:name="_Toc241144198"/>
      <w:bookmarkEnd w:id="99"/>
      <w:r>
        <w:rPr>
          <w:sz w:val="34"/>
          <w:szCs w:val="34"/>
        </w:rPr>
        <w:t>4.1 Introduction</w:t>
      </w:r>
      <w:bookmarkEnd w:id="100"/>
    </w:p>
    <w:p w14:paraId="00000138"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chapter presents the thematic analysis of Aldi UK’s social media communication during the Colin and Cuthbert dispute and of contemporaneous external coverage. It follows the framework in Section 2.9: descriptive mapping of what was published and when (RQ1; Section 4.2), interpretive analysis of how the message was constructed (RQ2; Section 4.3), comparison with external framing (RQ3; Section 4.3.5) and evaluative assessment of proportionality (RQ4; Section 4.4). Section 4.5 </w:t>
      </w:r>
      <w:proofErr w:type="spellStart"/>
      <w:r>
        <w:rPr>
          <w:rFonts w:ascii="Arial" w:eastAsia="Arial" w:hAnsi="Arial" w:cs="Arial"/>
        </w:rPr>
        <w:t>summarises</w:t>
      </w:r>
      <w:proofErr w:type="spellEnd"/>
      <w:r>
        <w:rPr>
          <w:rFonts w:ascii="Arial" w:eastAsia="Arial" w:hAnsi="Arial" w:cs="Arial"/>
        </w:rPr>
        <w:t xml:space="preserve"> the findings, and Appendix E links each theme to the coded data on which it rests.</w:t>
      </w:r>
    </w:p>
    <w:p w14:paraId="00000139" w14:textId="77777777" w:rsidR="003D2C5F" w:rsidRDefault="00000000">
      <w:pPr>
        <w:spacing w:before="180" w:after="180" w:line="360" w:lineRule="auto"/>
        <w:jc w:val="both"/>
        <w:rPr>
          <w:rFonts w:ascii="Arial" w:eastAsia="Arial" w:hAnsi="Arial" w:cs="Arial"/>
        </w:rPr>
      </w:pPr>
      <w:r>
        <w:rPr>
          <w:rFonts w:ascii="Arial" w:eastAsia="Arial" w:hAnsi="Arial" w:cs="Arial"/>
        </w:rPr>
        <w:t>All findings are drawn from openly accessible material, and interpretive statements are offered as readings of the corpus rather than as claims about Aldi UK’s internal decision-making, to which the study had no access.</w:t>
      </w:r>
    </w:p>
    <w:p w14:paraId="0000013A" w14:textId="77777777" w:rsidR="003D2C5F" w:rsidRDefault="00000000">
      <w:pPr>
        <w:pStyle w:val="Heading2"/>
        <w:keepNext w:val="0"/>
        <w:keepLines w:val="0"/>
        <w:spacing w:after="80" w:line="360" w:lineRule="auto"/>
        <w:rPr>
          <w:b w:val="0"/>
          <w:bCs w:val="0"/>
          <w:sz w:val="34"/>
          <w:szCs w:val="34"/>
        </w:rPr>
      </w:pPr>
      <w:bookmarkStart w:id="101" w:name="_npd7q1hctg0i" w:colFirst="0" w:colLast="0"/>
      <w:bookmarkStart w:id="102" w:name="_Toc241144199"/>
      <w:bookmarkEnd w:id="101"/>
      <w:r>
        <w:rPr>
          <w:sz w:val="34"/>
          <w:szCs w:val="34"/>
        </w:rPr>
        <w:t>4.2 Descriptive Mapping: What Was Published and When</w:t>
      </w:r>
      <w:bookmarkEnd w:id="102"/>
    </w:p>
    <w:p w14:paraId="0000013B" w14:textId="77777777" w:rsidR="003D2C5F" w:rsidRDefault="00000000">
      <w:pPr>
        <w:pStyle w:val="Heading3"/>
        <w:keepNext w:val="0"/>
        <w:keepLines w:val="0"/>
        <w:spacing w:before="280" w:line="360" w:lineRule="auto"/>
        <w:jc w:val="both"/>
        <w:rPr>
          <w:b w:val="0"/>
          <w:bCs w:val="0"/>
          <w:sz w:val="26"/>
          <w:szCs w:val="26"/>
        </w:rPr>
      </w:pPr>
      <w:bookmarkStart w:id="103" w:name="_f40or5e7qsuz" w:colFirst="0" w:colLast="0"/>
      <w:bookmarkStart w:id="104" w:name="_Toc241144200"/>
      <w:bookmarkEnd w:id="103"/>
      <w:r>
        <w:rPr>
          <w:sz w:val="26"/>
          <w:szCs w:val="26"/>
        </w:rPr>
        <w:t>4.2.1 Corpus Overview</w:t>
      </w:r>
      <w:bookmarkEnd w:id="104"/>
    </w:p>
    <w:p w14:paraId="0000013C"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primary corpus comprises 16 verified posts on X (formerly Twitter) meeting the inclusion criteria in Section 3.5. This figure represents the posts that could be identified and verified, not necessarily everything Aldi UK published (Section 3.10). Table 4.1 </w:t>
      </w:r>
      <w:proofErr w:type="spellStart"/>
      <w:r>
        <w:rPr>
          <w:rFonts w:ascii="Arial" w:eastAsia="Arial" w:hAnsi="Arial" w:cs="Arial"/>
        </w:rPr>
        <w:t>summarises</w:t>
      </w:r>
      <w:proofErr w:type="spellEnd"/>
      <w:r>
        <w:rPr>
          <w:rFonts w:ascii="Arial" w:eastAsia="Arial" w:hAnsi="Arial" w:cs="Arial"/>
        </w:rPr>
        <w:t xml:space="preserve"> the corpus by date.</w:t>
      </w:r>
    </w:p>
    <w:p w14:paraId="0000013D"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Table 4.1: Primary Corpus by Platform and Date</w:t>
      </w:r>
    </w:p>
    <w:tbl>
      <w:tblPr>
        <w:tblStyle w:val="a0"/>
        <w:tblW w:w="6945"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1290"/>
        <w:gridCol w:w="1545"/>
        <w:gridCol w:w="1500"/>
        <w:gridCol w:w="1890"/>
        <w:gridCol w:w="720"/>
      </w:tblGrid>
      <w:tr w:rsidR="003D2C5F" w14:paraId="7BC87F72" w14:textId="77777777" w:rsidTr="003D2C5F">
        <w:trPr>
          <w:trHeight w:val="435"/>
        </w:trPr>
        <w:tc>
          <w:tcPr>
            <w:tcW w:w="1290" w:type="dxa"/>
          </w:tcPr>
          <w:p w14:paraId="0000013E" w14:textId="77777777" w:rsidR="003D2C5F" w:rsidRDefault="00000000">
            <w:pPr>
              <w:spacing w:before="40" w:after="40" w:line="360" w:lineRule="auto"/>
              <w:jc w:val="both"/>
              <w:rPr>
                <w:rFonts w:ascii="Arial" w:eastAsia="Arial" w:hAnsi="Arial" w:cs="Arial"/>
              </w:rPr>
            </w:pPr>
            <w:r>
              <w:rPr>
                <w:rFonts w:ascii="Arial" w:eastAsia="Arial" w:hAnsi="Arial" w:cs="Arial"/>
              </w:rPr>
              <w:t>Platform</w:t>
            </w:r>
          </w:p>
        </w:tc>
        <w:tc>
          <w:tcPr>
            <w:tcW w:w="1545" w:type="dxa"/>
          </w:tcPr>
          <w:p w14:paraId="0000013F" w14:textId="77777777" w:rsidR="003D2C5F" w:rsidRDefault="00000000">
            <w:pPr>
              <w:spacing w:before="40" w:after="40" w:line="360" w:lineRule="auto"/>
              <w:jc w:val="both"/>
              <w:rPr>
                <w:rFonts w:ascii="Arial" w:eastAsia="Arial" w:hAnsi="Arial" w:cs="Arial"/>
              </w:rPr>
            </w:pPr>
            <w:r>
              <w:rPr>
                <w:rFonts w:ascii="Arial" w:eastAsia="Arial" w:hAnsi="Arial" w:cs="Arial"/>
              </w:rPr>
              <w:t>15 April 2021</w:t>
            </w:r>
          </w:p>
        </w:tc>
        <w:tc>
          <w:tcPr>
            <w:tcW w:w="1500" w:type="dxa"/>
          </w:tcPr>
          <w:p w14:paraId="00000140" w14:textId="77777777" w:rsidR="003D2C5F" w:rsidRDefault="00000000">
            <w:pPr>
              <w:spacing w:before="40" w:after="40" w:line="360" w:lineRule="auto"/>
              <w:jc w:val="both"/>
              <w:rPr>
                <w:rFonts w:ascii="Arial" w:eastAsia="Arial" w:hAnsi="Arial" w:cs="Arial"/>
              </w:rPr>
            </w:pPr>
            <w:r>
              <w:rPr>
                <w:rFonts w:ascii="Arial" w:eastAsia="Arial" w:hAnsi="Arial" w:cs="Arial"/>
              </w:rPr>
              <w:t>16 April 2021</w:t>
            </w:r>
          </w:p>
        </w:tc>
        <w:tc>
          <w:tcPr>
            <w:tcW w:w="1890" w:type="dxa"/>
          </w:tcPr>
          <w:p w14:paraId="00000141" w14:textId="77777777" w:rsidR="003D2C5F" w:rsidRDefault="00000000">
            <w:pPr>
              <w:spacing w:before="40" w:after="40" w:line="360" w:lineRule="auto"/>
              <w:jc w:val="both"/>
              <w:rPr>
                <w:rFonts w:ascii="Arial" w:eastAsia="Arial" w:hAnsi="Arial" w:cs="Arial"/>
              </w:rPr>
            </w:pPr>
            <w:r>
              <w:rPr>
                <w:rFonts w:ascii="Arial" w:eastAsia="Arial" w:hAnsi="Arial" w:cs="Arial"/>
              </w:rPr>
              <w:t>19–20 April 2021</w:t>
            </w:r>
          </w:p>
        </w:tc>
        <w:tc>
          <w:tcPr>
            <w:tcW w:w="720" w:type="dxa"/>
          </w:tcPr>
          <w:p w14:paraId="00000142" w14:textId="77777777" w:rsidR="003D2C5F" w:rsidRDefault="00000000">
            <w:pPr>
              <w:spacing w:before="40" w:after="40" w:line="360" w:lineRule="auto"/>
              <w:jc w:val="both"/>
              <w:rPr>
                <w:rFonts w:ascii="Arial" w:eastAsia="Arial" w:hAnsi="Arial" w:cs="Arial"/>
              </w:rPr>
            </w:pPr>
            <w:r>
              <w:rPr>
                <w:rFonts w:ascii="Arial" w:eastAsia="Arial" w:hAnsi="Arial" w:cs="Arial"/>
              </w:rPr>
              <w:t>Total</w:t>
            </w:r>
          </w:p>
        </w:tc>
      </w:tr>
      <w:tr w:rsidR="003D2C5F" w14:paraId="55CE2715" w14:textId="77777777" w:rsidTr="003D2C5F">
        <w:trPr>
          <w:trHeight w:val="435"/>
        </w:trPr>
        <w:tc>
          <w:tcPr>
            <w:tcW w:w="1290" w:type="dxa"/>
          </w:tcPr>
          <w:p w14:paraId="00000143" w14:textId="77777777" w:rsidR="003D2C5F" w:rsidRDefault="00000000">
            <w:pPr>
              <w:spacing w:before="40" w:after="40" w:line="360" w:lineRule="auto"/>
              <w:jc w:val="both"/>
              <w:rPr>
                <w:rFonts w:ascii="Arial" w:eastAsia="Arial" w:hAnsi="Arial" w:cs="Arial"/>
              </w:rPr>
            </w:pPr>
            <w:r>
              <w:rPr>
                <w:rFonts w:ascii="Arial" w:eastAsia="Arial" w:hAnsi="Arial" w:cs="Arial"/>
              </w:rPr>
              <w:t>Twitter/X</w:t>
            </w:r>
          </w:p>
        </w:tc>
        <w:tc>
          <w:tcPr>
            <w:tcW w:w="1545" w:type="dxa"/>
          </w:tcPr>
          <w:p w14:paraId="00000144" w14:textId="77777777" w:rsidR="003D2C5F" w:rsidRDefault="00000000">
            <w:pPr>
              <w:spacing w:before="40" w:after="40" w:line="360" w:lineRule="auto"/>
              <w:jc w:val="both"/>
              <w:rPr>
                <w:rFonts w:ascii="Arial" w:eastAsia="Arial" w:hAnsi="Arial" w:cs="Arial"/>
              </w:rPr>
            </w:pPr>
            <w:r>
              <w:rPr>
                <w:rFonts w:ascii="Arial" w:eastAsia="Arial" w:hAnsi="Arial" w:cs="Arial"/>
              </w:rPr>
              <w:t>1</w:t>
            </w:r>
          </w:p>
        </w:tc>
        <w:tc>
          <w:tcPr>
            <w:tcW w:w="1500" w:type="dxa"/>
          </w:tcPr>
          <w:p w14:paraId="00000145" w14:textId="77777777" w:rsidR="003D2C5F" w:rsidRDefault="00000000">
            <w:pPr>
              <w:spacing w:before="40" w:after="40" w:line="360" w:lineRule="auto"/>
              <w:jc w:val="both"/>
              <w:rPr>
                <w:rFonts w:ascii="Arial" w:eastAsia="Arial" w:hAnsi="Arial" w:cs="Arial"/>
              </w:rPr>
            </w:pPr>
            <w:r>
              <w:rPr>
                <w:rFonts w:ascii="Arial" w:eastAsia="Arial" w:hAnsi="Arial" w:cs="Arial"/>
              </w:rPr>
              <w:t>11</w:t>
            </w:r>
          </w:p>
        </w:tc>
        <w:tc>
          <w:tcPr>
            <w:tcW w:w="1890" w:type="dxa"/>
          </w:tcPr>
          <w:p w14:paraId="00000146" w14:textId="77777777" w:rsidR="003D2C5F" w:rsidRDefault="00000000">
            <w:pPr>
              <w:spacing w:before="40" w:after="40" w:line="360" w:lineRule="auto"/>
              <w:jc w:val="both"/>
              <w:rPr>
                <w:rFonts w:ascii="Arial" w:eastAsia="Arial" w:hAnsi="Arial" w:cs="Arial"/>
              </w:rPr>
            </w:pPr>
            <w:r>
              <w:rPr>
                <w:rFonts w:ascii="Arial" w:eastAsia="Arial" w:hAnsi="Arial" w:cs="Arial"/>
              </w:rPr>
              <w:t>4</w:t>
            </w:r>
          </w:p>
        </w:tc>
        <w:tc>
          <w:tcPr>
            <w:tcW w:w="720" w:type="dxa"/>
          </w:tcPr>
          <w:p w14:paraId="00000147" w14:textId="77777777" w:rsidR="003D2C5F" w:rsidRDefault="00000000">
            <w:pPr>
              <w:spacing w:before="40" w:after="40" w:line="360" w:lineRule="auto"/>
              <w:jc w:val="both"/>
              <w:rPr>
                <w:rFonts w:ascii="Arial" w:eastAsia="Arial" w:hAnsi="Arial" w:cs="Arial"/>
              </w:rPr>
            </w:pPr>
            <w:r>
              <w:rPr>
                <w:rFonts w:ascii="Arial" w:eastAsia="Arial" w:hAnsi="Arial" w:cs="Arial"/>
              </w:rPr>
              <w:t>16</w:t>
            </w:r>
          </w:p>
        </w:tc>
      </w:tr>
      <w:tr w:rsidR="003D2C5F" w14:paraId="60BE3568" w14:textId="77777777" w:rsidTr="003D2C5F">
        <w:trPr>
          <w:trHeight w:val="435"/>
        </w:trPr>
        <w:tc>
          <w:tcPr>
            <w:tcW w:w="1290" w:type="dxa"/>
          </w:tcPr>
          <w:p w14:paraId="00000152" w14:textId="77777777" w:rsidR="003D2C5F" w:rsidRDefault="00000000">
            <w:pPr>
              <w:spacing w:before="40" w:after="40" w:line="360" w:lineRule="auto"/>
              <w:jc w:val="both"/>
              <w:rPr>
                <w:rFonts w:ascii="Arial" w:eastAsia="Arial" w:hAnsi="Arial" w:cs="Arial"/>
                <w:b/>
                <w:bCs/>
              </w:rPr>
            </w:pPr>
            <w:r>
              <w:rPr>
                <w:rFonts w:ascii="Arial" w:eastAsia="Arial" w:hAnsi="Arial" w:cs="Arial"/>
                <w:b/>
                <w:bCs/>
              </w:rPr>
              <w:t>Total</w:t>
            </w:r>
          </w:p>
        </w:tc>
        <w:tc>
          <w:tcPr>
            <w:tcW w:w="1545" w:type="dxa"/>
          </w:tcPr>
          <w:p w14:paraId="00000153" w14:textId="77777777" w:rsidR="003D2C5F" w:rsidRDefault="00000000">
            <w:pPr>
              <w:spacing w:before="40" w:after="40" w:line="360" w:lineRule="auto"/>
              <w:jc w:val="both"/>
              <w:rPr>
                <w:rFonts w:ascii="Arial" w:eastAsia="Arial" w:hAnsi="Arial" w:cs="Arial"/>
                <w:b/>
                <w:bCs/>
              </w:rPr>
            </w:pPr>
            <w:r>
              <w:rPr>
                <w:rFonts w:ascii="Arial" w:eastAsia="Arial" w:hAnsi="Arial" w:cs="Arial"/>
                <w:b/>
                <w:bCs/>
              </w:rPr>
              <w:t>1</w:t>
            </w:r>
          </w:p>
        </w:tc>
        <w:tc>
          <w:tcPr>
            <w:tcW w:w="1500" w:type="dxa"/>
          </w:tcPr>
          <w:p w14:paraId="00000154" w14:textId="77777777" w:rsidR="003D2C5F" w:rsidRDefault="00000000">
            <w:pPr>
              <w:spacing w:before="40" w:after="40" w:line="360" w:lineRule="auto"/>
              <w:jc w:val="both"/>
              <w:rPr>
                <w:rFonts w:ascii="Arial" w:eastAsia="Arial" w:hAnsi="Arial" w:cs="Arial"/>
                <w:b/>
                <w:bCs/>
              </w:rPr>
            </w:pPr>
            <w:r>
              <w:rPr>
                <w:rFonts w:ascii="Arial" w:eastAsia="Arial" w:hAnsi="Arial" w:cs="Arial"/>
                <w:b/>
                <w:bCs/>
              </w:rPr>
              <w:t>11</w:t>
            </w:r>
          </w:p>
        </w:tc>
        <w:tc>
          <w:tcPr>
            <w:tcW w:w="1890" w:type="dxa"/>
          </w:tcPr>
          <w:p w14:paraId="00000155" w14:textId="77777777" w:rsidR="003D2C5F" w:rsidRDefault="00000000">
            <w:pPr>
              <w:spacing w:before="40" w:after="40" w:line="360" w:lineRule="auto"/>
              <w:jc w:val="both"/>
              <w:rPr>
                <w:rFonts w:ascii="Arial" w:eastAsia="Arial" w:hAnsi="Arial" w:cs="Arial"/>
                <w:b/>
                <w:bCs/>
              </w:rPr>
            </w:pPr>
            <w:r>
              <w:rPr>
                <w:rFonts w:ascii="Arial" w:eastAsia="Arial" w:hAnsi="Arial" w:cs="Arial"/>
                <w:b/>
                <w:bCs/>
              </w:rPr>
              <w:t>4</w:t>
            </w:r>
          </w:p>
        </w:tc>
        <w:tc>
          <w:tcPr>
            <w:tcW w:w="720" w:type="dxa"/>
          </w:tcPr>
          <w:p w14:paraId="00000156" w14:textId="77777777" w:rsidR="003D2C5F" w:rsidRDefault="00000000">
            <w:pPr>
              <w:spacing w:before="40" w:after="40" w:line="360" w:lineRule="auto"/>
              <w:jc w:val="both"/>
              <w:rPr>
                <w:rFonts w:ascii="Arial" w:eastAsia="Arial" w:hAnsi="Arial" w:cs="Arial"/>
                <w:b/>
                <w:bCs/>
              </w:rPr>
            </w:pPr>
            <w:r>
              <w:rPr>
                <w:rFonts w:ascii="Arial" w:eastAsia="Arial" w:hAnsi="Arial" w:cs="Arial"/>
                <w:b/>
                <w:bCs/>
              </w:rPr>
              <w:t>16</w:t>
            </w:r>
          </w:p>
        </w:tc>
      </w:tr>
    </w:tbl>
    <w:p w14:paraId="00000157"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secondary corpus contains eleven verified sources: three from the marketing trade press (Marketing Week, 2021; The Drum, 2021; </w:t>
      </w:r>
      <w:proofErr w:type="spellStart"/>
      <w:r>
        <w:rPr>
          <w:rFonts w:ascii="Arial" w:eastAsia="Arial" w:hAnsi="Arial" w:cs="Arial"/>
        </w:rPr>
        <w:t>eurobest</w:t>
      </w:r>
      <w:proofErr w:type="spellEnd"/>
      <w:r>
        <w:rPr>
          <w:rFonts w:ascii="Arial" w:eastAsia="Arial" w:hAnsi="Arial" w:cs="Arial"/>
        </w:rPr>
        <w:t xml:space="preserve">, 2021), three mainstream news </w:t>
      </w:r>
      <w:r>
        <w:rPr>
          <w:rFonts w:ascii="Arial" w:eastAsia="Arial" w:hAnsi="Arial" w:cs="Arial"/>
        </w:rPr>
        <w:lastRenderedPageBreak/>
        <w:t>reports (ITV News, 2021; LBC, 2021; RTÉ News, 2021) and five legal-professional sources (</w:t>
      </w:r>
      <w:proofErr w:type="spellStart"/>
      <w:r>
        <w:rPr>
          <w:rFonts w:ascii="Arial" w:eastAsia="Arial" w:hAnsi="Arial" w:cs="Arial"/>
        </w:rPr>
        <w:t>Geldards</w:t>
      </w:r>
      <w:proofErr w:type="spellEnd"/>
      <w:r>
        <w:rPr>
          <w:rFonts w:ascii="Arial" w:eastAsia="Arial" w:hAnsi="Arial" w:cs="Arial"/>
        </w:rPr>
        <w:t xml:space="preserve"> LLP, 2021; Harper Macleod LLP, 2021; Hussain, 2021; Swinburne Maddison LLP, 2021; Wilson Gunn, 2021). RTÉ News is an Irish outlet; it is included because it reported the dispute as it unfolded on 16 April 2021.</w:t>
      </w:r>
    </w:p>
    <w:p w14:paraId="00000158" w14:textId="77777777" w:rsidR="003D2C5F" w:rsidRPr="00D47D26" w:rsidRDefault="00000000">
      <w:pPr>
        <w:pStyle w:val="Heading3"/>
        <w:keepNext w:val="0"/>
        <w:keepLines w:val="0"/>
        <w:spacing w:before="280" w:line="360" w:lineRule="auto"/>
        <w:jc w:val="both"/>
        <w:rPr>
          <w:b w:val="0"/>
          <w:bCs w:val="0"/>
          <w:sz w:val="26"/>
          <w:szCs w:val="26"/>
        </w:rPr>
      </w:pPr>
      <w:bookmarkStart w:id="105" w:name="_s2hyal6w2ujc" w:colFirst="0" w:colLast="0"/>
      <w:bookmarkStart w:id="106" w:name="_Toc241144201"/>
      <w:bookmarkEnd w:id="105"/>
      <w:r w:rsidRPr="00D47D26">
        <w:rPr>
          <w:sz w:val="26"/>
          <w:szCs w:val="26"/>
        </w:rPr>
        <w:t>4.2.2 Temporal Distribution and Dispute Timeline</w:t>
      </w:r>
      <w:bookmarkEnd w:id="106"/>
    </w:p>
    <w:p w14:paraId="243F7CEF" w14:textId="5E888924" w:rsidR="00D47D26" w:rsidRPr="00D47D26" w:rsidRDefault="00D47D26">
      <w:pPr>
        <w:spacing w:before="240" w:after="240" w:line="360" w:lineRule="auto"/>
        <w:jc w:val="both"/>
        <w:rPr>
          <w:rFonts w:ascii="Arial" w:eastAsia="Arial" w:hAnsi="Arial" w:cs="Arial"/>
          <w:highlight w:val="yellow"/>
        </w:rPr>
      </w:pPr>
      <w:r w:rsidRPr="00D47D26">
        <w:rPr>
          <w:rFonts w:ascii="Arial" w:eastAsia="Arial" w:hAnsi="Arial" w:cs="Arial"/>
        </w:rPr>
        <w:t>Distributing the time component of the dispute and identifying the temporal distribution of the dispute. A coded temporal analysis reveals that the posts Aldi UK shared on Twitter can be divided into three broad categories, similar to the different public moments in the chronology of the dispute. This kind of structure is evident in the corpus, and it is possible that it is a conscious act of forward planning on Aldi UK's part; however, the public information available does not allow this to be confirmed and is an issue for Chapter Five.</w:t>
      </w:r>
    </w:p>
    <w:p w14:paraId="0000015A" w14:textId="77777777" w:rsidR="003D2C5F" w:rsidRPr="00D47D26" w:rsidRDefault="00000000">
      <w:pPr>
        <w:spacing w:before="180" w:after="180" w:line="360" w:lineRule="auto"/>
        <w:jc w:val="both"/>
        <w:rPr>
          <w:rFonts w:ascii="Arial" w:eastAsia="Arial" w:hAnsi="Arial" w:cs="Arial"/>
          <w:b/>
          <w:bCs/>
        </w:rPr>
      </w:pPr>
      <w:r w:rsidRPr="00D47D26">
        <w:rPr>
          <w:rFonts w:ascii="Arial" w:eastAsia="Arial" w:hAnsi="Arial" w:cs="Arial"/>
          <w:b/>
          <w:bCs/>
        </w:rPr>
        <w:t>Phase 1: Initial Response (15 April 2021)</w:t>
      </w:r>
    </w:p>
    <w:p w14:paraId="088F21D2" w14:textId="31741BB8" w:rsidR="00D47D26" w:rsidRDefault="00D47D26">
      <w:pPr>
        <w:spacing w:before="240" w:after="240" w:line="360" w:lineRule="auto"/>
        <w:jc w:val="both"/>
        <w:rPr>
          <w:rFonts w:ascii="Arial" w:eastAsia="Arial" w:hAnsi="Arial" w:cs="Arial"/>
        </w:rPr>
      </w:pPr>
      <w:r w:rsidRPr="00D47D26">
        <w:rPr>
          <w:rFonts w:ascii="Arial" w:eastAsia="Arial" w:hAnsi="Arial" w:cs="Arial"/>
        </w:rPr>
        <w:t>The initial response stage of the disaster (Phase 1) began on 15 April 2021.Phase 1: Initial Response (15 April 2021). The first identifiable post relating to the dispute appeared on 15 April 2021. This stage is represented by a single post (P01) which mimics the ‘This is not just any court case, this is…’ slogan used by Marks and Spencers, and introduces the #FreeCuthbert story. The post is coded for 7 of the 8 codes, including Legal Sensitivity, and the campaign mentions the court case in all of its posts (Appendix D).</w:t>
      </w:r>
    </w:p>
    <w:p w14:paraId="0000015C"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Phase 2: Campaign Escalation and #FreeCuthbert Development (16 April 2021)</w:t>
      </w:r>
    </w:p>
    <w:p w14:paraId="0000015D"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is the most active period, comprising 11 posts (P02–P12; 68.8% of the corpus), all published on a single day. Posts in this phase are </w:t>
      </w:r>
      <w:proofErr w:type="spellStart"/>
      <w:r>
        <w:rPr>
          <w:rFonts w:ascii="Arial" w:eastAsia="Arial" w:hAnsi="Arial" w:cs="Arial"/>
        </w:rPr>
        <w:t>characterised</w:t>
      </w:r>
      <w:proofErr w:type="spellEnd"/>
      <w:r>
        <w:rPr>
          <w:rFonts w:ascii="Arial" w:eastAsia="Arial" w:hAnsi="Arial" w:cs="Arial"/>
        </w:rPr>
        <w:t xml:space="preserve"> by courtroom </w:t>
      </w:r>
      <w:proofErr w:type="spellStart"/>
      <w:r>
        <w:rPr>
          <w:rFonts w:ascii="Arial" w:eastAsia="Arial" w:hAnsi="Arial" w:cs="Arial"/>
        </w:rPr>
        <w:t>humour</w:t>
      </w:r>
      <w:proofErr w:type="spellEnd"/>
      <w:r>
        <w:rPr>
          <w:rFonts w:ascii="Arial" w:eastAsia="Arial" w:hAnsi="Arial" w:cs="Arial"/>
        </w:rPr>
        <w:t xml:space="preserve"> (“Judge: Show us the evidence! Us: What evidence?”, P05; “Cuthbert has been found GUILTY… of being delicious”, P06), the personification of Cuthbert as a prisoner in a “Packaging update” (P03), direct mockery of Marks and Spencer (“Marks &amp; Snitches more like”, P04) and replies to other brands and public figures, including Judge Rinder, Dulux and BrewDog (P09, P10, P12).</w:t>
      </w:r>
    </w:p>
    <w:p w14:paraId="0000015E"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Phase 3: Charitable Extension and Resolution (19–20 April 2021)</w:t>
      </w:r>
    </w:p>
    <w:p w14:paraId="0000015F" w14:textId="77777777" w:rsidR="003D2C5F" w:rsidRDefault="00000000">
      <w:pPr>
        <w:spacing w:before="180" w:after="180" w:line="360" w:lineRule="auto"/>
        <w:jc w:val="both"/>
        <w:rPr>
          <w:rFonts w:ascii="Arial" w:eastAsia="Arial" w:hAnsi="Arial" w:cs="Arial"/>
        </w:rPr>
      </w:pPr>
      <w:r>
        <w:rPr>
          <w:rFonts w:ascii="Arial" w:eastAsia="Arial" w:hAnsi="Arial" w:cs="Arial"/>
        </w:rPr>
        <w:lastRenderedPageBreak/>
        <w:t xml:space="preserve">The third phase comprises four posts (P13–P16; 25.0% of the corpus). The two posts from 19 April continue the story (“Had a pretty busy weekend </w:t>
      </w:r>
      <w:proofErr w:type="spellStart"/>
      <w:r>
        <w:rPr>
          <w:rFonts w:ascii="Arial" w:eastAsia="Arial" w:hAnsi="Arial" w:cs="Arial"/>
        </w:rPr>
        <w:t>ngl</w:t>
      </w:r>
      <w:proofErr w:type="spellEnd"/>
      <w:r>
        <w:rPr>
          <w:rFonts w:ascii="Arial" w:eastAsia="Arial" w:hAnsi="Arial" w:cs="Arial"/>
        </w:rPr>
        <w:t>”, P13; “.@</w:t>
      </w:r>
      <w:proofErr w:type="spellStart"/>
      <w:r>
        <w:rPr>
          <w:rFonts w:ascii="Arial" w:eastAsia="Arial" w:hAnsi="Arial" w:cs="Arial"/>
        </w:rPr>
        <w:t>MonopolyUK</w:t>
      </w:r>
      <w:proofErr w:type="spellEnd"/>
      <w:r>
        <w:rPr>
          <w:rFonts w:ascii="Arial" w:eastAsia="Arial" w:hAnsi="Arial" w:cs="Arial"/>
        </w:rPr>
        <w:t xml:space="preserve"> Do these work?”, P14), while the two posts from 20 April move the campaign towards charity: one asks Marks and Spencer whether Colin and Cuthbert can be “besties” (P15), and the other calls on rival supermarkets to bring their caterpillars together for charity (P16). These are the only two posts coded for Charity Linkage, and both still refer to the legal dispute (Appendix D).</w:t>
      </w:r>
    </w:p>
    <w:p w14:paraId="00000160" w14:textId="77777777" w:rsidR="003D2C5F" w:rsidRDefault="00000000">
      <w:pPr>
        <w:pStyle w:val="Heading3"/>
        <w:keepNext w:val="0"/>
        <w:keepLines w:val="0"/>
        <w:spacing w:before="280" w:line="360" w:lineRule="auto"/>
        <w:jc w:val="both"/>
        <w:rPr>
          <w:b w:val="0"/>
          <w:bCs w:val="0"/>
          <w:sz w:val="26"/>
          <w:szCs w:val="26"/>
        </w:rPr>
      </w:pPr>
      <w:bookmarkStart w:id="107" w:name="_lzukqfl322uk" w:colFirst="0" w:colLast="0"/>
      <w:bookmarkStart w:id="108" w:name="_Toc241144202"/>
      <w:bookmarkEnd w:id="107"/>
      <w:r>
        <w:rPr>
          <w:sz w:val="26"/>
          <w:szCs w:val="26"/>
        </w:rPr>
        <w:t>4.2.3 Visible Engagement Indicators</w:t>
      </w:r>
      <w:bookmarkEnd w:id="108"/>
    </w:p>
    <w:p w14:paraId="00000161"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Post-level engagement figures from the campaign period (likes and retweets at the time) could not be recovered. When the posts were re-accessed in September 2026 (Appendix A2), X displayed cumulative counts—for example, about 117,000 likes for P04—but these reflect more than five years of accumulated activity rather than engagement during the campaign, and are therefore not </w:t>
      </w:r>
      <w:proofErr w:type="spellStart"/>
      <w:r>
        <w:rPr>
          <w:rFonts w:ascii="Arial" w:eastAsia="Arial" w:hAnsi="Arial" w:cs="Arial"/>
        </w:rPr>
        <w:t>analysed</w:t>
      </w:r>
      <w:proofErr w:type="spellEnd"/>
      <w:r>
        <w:rPr>
          <w:rFonts w:ascii="Arial" w:eastAsia="Arial" w:hAnsi="Arial" w:cs="Arial"/>
        </w:rPr>
        <w:t>. Table 4.2 therefore reports only the engagement indicators given in verified contemporaneous sources.</w:t>
      </w:r>
    </w:p>
    <w:p w14:paraId="00000162"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Table 4.2: Engagement Indicators Reported in Contemporaneous Sources</w:t>
      </w:r>
    </w:p>
    <w:tbl>
      <w:tblPr>
        <w:tblStyle w:val="a1"/>
        <w:tblW w:w="8895"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1290"/>
        <w:gridCol w:w="2475"/>
        <w:gridCol w:w="2610"/>
        <w:gridCol w:w="2520"/>
      </w:tblGrid>
      <w:tr w:rsidR="003D2C5F" w14:paraId="7C13BC61" w14:textId="77777777" w:rsidTr="003D2C5F">
        <w:trPr>
          <w:trHeight w:val="795"/>
        </w:trPr>
        <w:tc>
          <w:tcPr>
            <w:tcW w:w="1290" w:type="dxa"/>
          </w:tcPr>
          <w:p w14:paraId="00000163" w14:textId="77777777" w:rsidR="003D2C5F" w:rsidRDefault="00000000">
            <w:pPr>
              <w:spacing w:before="40" w:after="40" w:line="360" w:lineRule="auto"/>
              <w:jc w:val="both"/>
              <w:rPr>
                <w:rFonts w:ascii="Arial" w:eastAsia="Arial" w:hAnsi="Arial" w:cs="Arial"/>
              </w:rPr>
            </w:pPr>
            <w:r>
              <w:rPr>
                <w:rFonts w:ascii="Arial" w:eastAsia="Arial" w:hAnsi="Arial" w:cs="Arial"/>
              </w:rPr>
              <w:t>Indicator</w:t>
            </w:r>
          </w:p>
        </w:tc>
        <w:tc>
          <w:tcPr>
            <w:tcW w:w="2475" w:type="dxa"/>
          </w:tcPr>
          <w:p w14:paraId="00000164" w14:textId="77777777" w:rsidR="003D2C5F" w:rsidRDefault="00000000">
            <w:pPr>
              <w:spacing w:before="40" w:after="40" w:line="360" w:lineRule="auto"/>
              <w:jc w:val="both"/>
              <w:rPr>
                <w:rFonts w:ascii="Arial" w:eastAsia="Arial" w:hAnsi="Arial" w:cs="Arial"/>
              </w:rPr>
            </w:pPr>
            <w:r>
              <w:rPr>
                <w:rFonts w:ascii="Arial" w:eastAsia="Arial" w:hAnsi="Arial" w:cs="Arial"/>
              </w:rPr>
              <w:t>Reported figure</w:t>
            </w:r>
          </w:p>
        </w:tc>
        <w:tc>
          <w:tcPr>
            <w:tcW w:w="2610" w:type="dxa"/>
          </w:tcPr>
          <w:p w14:paraId="00000165" w14:textId="77777777" w:rsidR="003D2C5F" w:rsidRDefault="00000000">
            <w:pPr>
              <w:spacing w:before="40" w:after="40" w:line="360" w:lineRule="auto"/>
              <w:jc w:val="both"/>
              <w:rPr>
                <w:rFonts w:ascii="Arial" w:eastAsia="Arial" w:hAnsi="Arial" w:cs="Arial"/>
              </w:rPr>
            </w:pPr>
            <w:r>
              <w:rPr>
                <w:rFonts w:ascii="Arial" w:eastAsia="Arial" w:hAnsi="Arial" w:cs="Arial"/>
              </w:rPr>
              <w:t>Source</w:t>
            </w:r>
          </w:p>
        </w:tc>
        <w:tc>
          <w:tcPr>
            <w:tcW w:w="2520" w:type="dxa"/>
          </w:tcPr>
          <w:p w14:paraId="00000166" w14:textId="77777777" w:rsidR="003D2C5F" w:rsidRDefault="00000000">
            <w:pPr>
              <w:spacing w:before="40" w:after="40" w:line="360" w:lineRule="auto"/>
              <w:jc w:val="both"/>
              <w:rPr>
                <w:rFonts w:ascii="Arial" w:eastAsia="Arial" w:hAnsi="Arial" w:cs="Arial"/>
              </w:rPr>
            </w:pPr>
            <w:r>
              <w:rPr>
                <w:rFonts w:ascii="Arial" w:eastAsia="Arial" w:hAnsi="Arial" w:cs="Arial"/>
              </w:rPr>
              <w:t>Related post(s)</w:t>
            </w:r>
          </w:p>
        </w:tc>
      </w:tr>
      <w:tr w:rsidR="003D2C5F" w14:paraId="1C2EE122" w14:textId="77777777" w:rsidTr="003D2C5F">
        <w:trPr>
          <w:trHeight w:val="795"/>
        </w:trPr>
        <w:tc>
          <w:tcPr>
            <w:tcW w:w="1290" w:type="dxa"/>
          </w:tcPr>
          <w:p w14:paraId="00000167" w14:textId="77777777" w:rsidR="003D2C5F" w:rsidRDefault="00000000">
            <w:pPr>
              <w:spacing w:before="40" w:after="40" w:line="360" w:lineRule="auto"/>
              <w:jc w:val="both"/>
              <w:rPr>
                <w:rFonts w:ascii="Arial" w:eastAsia="Arial" w:hAnsi="Arial" w:cs="Arial"/>
              </w:rPr>
            </w:pPr>
            <w:r>
              <w:rPr>
                <w:rFonts w:ascii="Arial" w:eastAsia="Arial" w:hAnsi="Arial" w:cs="Arial"/>
              </w:rPr>
              <w:t>Trending position</w:t>
            </w:r>
          </w:p>
        </w:tc>
        <w:tc>
          <w:tcPr>
            <w:tcW w:w="2475" w:type="dxa"/>
          </w:tcPr>
          <w:p w14:paraId="00000168" w14:textId="77777777" w:rsidR="003D2C5F" w:rsidRDefault="00000000">
            <w:pPr>
              <w:spacing w:before="40" w:after="40" w:line="360" w:lineRule="auto"/>
              <w:jc w:val="both"/>
              <w:rPr>
                <w:rFonts w:ascii="Arial" w:eastAsia="Arial" w:hAnsi="Arial" w:cs="Arial"/>
              </w:rPr>
            </w:pPr>
            <w:r>
              <w:rPr>
                <w:rFonts w:ascii="Arial" w:eastAsia="Arial" w:hAnsi="Arial" w:cs="Arial"/>
              </w:rPr>
              <w:t>Number one trending topic on Twitter within a few hours of the first post</w:t>
            </w:r>
          </w:p>
        </w:tc>
        <w:tc>
          <w:tcPr>
            <w:tcW w:w="2610" w:type="dxa"/>
          </w:tcPr>
          <w:p w14:paraId="00000169" w14:textId="77777777" w:rsidR="003D2C5F" w:rsidRDefault="00000000">
            <w:pPr>
              <w:spacing w:before="40" w:after="40" w:line="360" w:lineRule="auto"/>
              <w:jc w:val="both"/>
              <w:rPr>
                <w:rFonts w:ascii="Arial" w:eastAsia="Arial" w:hAnsi="Arial" w:cs="Arial"/>
              </w:rPr>
            </w:pPr>
            <w:r>
              <w:rPr>
                <w:rFonts w:ascii="Arial" w:eastAsia="Arial" w:hAnsi="Arial" w:cs="Arial"/>
              </w:rPr>
              <w:t>Marketing Week (2021)</w:t>
            </w:r>
          </w:p>
        </w:tc>
        <w:tc>
          <w:tcPr>
            <w:tcW w:w="2520" w:type="dxa"/>
          </w:tcPr>
          <w:p w14:paraId="0000016A" w14:textId="77777777" w:rsidR="003D2C5F" w:rsidRDefault="00000000">
            <w:pPr>
              <w:spacing w:before="40" w:after="40" w:line="360" w:lineRule="auto"/>
              <w:jc w:val="both"/>
              <w:rPr>
                <w:rFonts w:ascii="Arial" w:eastAsia="Arial" w:hAnsi="Arial" w:cs="Arial"/>
              </w:rPr>
            </w:pPr>
            <w:r>
              <w:rPr>
                <w:rFonts w:ascii="Arial" w:eastAsia="Arial" w:hAnsi="Arial" w:cs="Arial"/>
              </w:rPr>
              <w:t>P01</w:t>
            </w:r>
          </w:p>
        </w:tc>
      </w:tr>
      <w:tr w:rsidR="003D2C5F" w14:paraId="42362764" w14:textId="77777777" w:rsidTr="003D2C5F">
        <w:trPr>
          <w:trHeight w:val="795"/>
        </w:trPr>
        <w:tc>
          <w:tcPr>
            <w:tcW w:w="1290" w:type="dxa"/>
          </w:tcPr>
          <w:p w14:paraId="4D7F8D9F" w14:textId="77777777" w:rsidR="003D2C5F" w:rsidRDefault="00000000">
            <w:pPr>
              <w:spacing w:before="40" w:after="40" w:line="360" w:lineRule="auto"/>
              <w:jc w:val="both"/>
              <w:rPr>
                <w:rFonts w:ascii="Arial" w:eastAsia="Arial" w:hAnsi="Arial" w:cs="Arial"/>
              </w:rPr>
            </w:pPr>
            <w:r>
              <w:rPr>
                <w:rFonts w:ascii="Arial" w:eastAsia="Arial" w:hAnsi="Arial" w:cs="Arial"/>
              </w:rPr>
              <w:t>Likes and retweets</w:t>
            </w:r>
          </w:p>
        </w:tc>
        <w:tc>
          <w:tcPr>
            <w:tcW w:w="2475" w:type="dxa"/>
          </w:tcPr>
          <w:p w14:paraId="3168F669" w14:textId="77777777" w:rsidR="003D2C5F" w:rsidRDefault="00000000">
            <w:pPr>
              <w:spacing w:before="40" w:after="40" w:line="360" w:lineRule="auto"/>
              <w:jc w:val="both"/>
              <w:rPr>
                <w:rFonts w:ascii="Arial" w:eastAsia="Arial" w:hAnsi="Arial" w:cs="Arial"/>
              </w:rPr>
            </w:pPr>
            <w:r>
              <w:rPr>
                <w:rFonts w:ascii="Arial" w:eastAsia="Arial" w:hAnsi="Arial" w:cs="Arial"/>
              </w:rPr>
              <w:t>Thousands of likes and retweets</w:t>
            </w:r>
          </w:p>
        </w:tc>
        <w:tc>
          <w:tcPr>
            <w:tcW w:w="2610" w:type="dxa"/>
          </w:tcPr>
          <w:p w14:paraId="22C1F855" w14:textId="77777777" w:rsidR="003D2C5F" w:rsidRDefault="00000000">
            <w:pPr>
              <w:spacing w:before="40" w:after="40" w:line="360" w:lineRule="auto"/>
              <w:jc w:val="both"/>
              <w:rPr>
                <w:rFonts w:ascii="Arial" w:eastAsia="Arial" w:hAnsi="Arial" w:cs="Arial"/>
              </w:rPr>
            </w:pPr>
            <w:proofErr w:type="spellStart"/>
            <w:r>
              <w:rPr>
                <w:rFonts w:ascii="Arial" w:eastAsia="Arial" w:hAnsi="Arial" w:cs="Arial"/>
              </w:rPr>
              <w:t>Geldards</w:t>
            </w:r>
            <w:proofErr w:type="spellEnd"/>
            <w:r>
              <w:rPr>
                <w:rFonts w:ascii="Arial" w:eastAsia="Arial" w:hAnsi="Arial" w:cs="Arial"/>
              </w:rPr>
              <w:t xml:space="preserve"> LLP (2021)</w:t>
            </w:r>
          </w:p>
        </w:tc>
        <w:tc>
          <w:tcPr>
            <w:tcW w:w="2520" w:type="dxa"/>
          </w:tcPr>
          <w:p w14:paraId="066094B9" w14:textId="77777777" w:rsidR="003D2C5F" w:rsidRDefault="00000000">
            <w:pPr>
              <w:spacing w:before="40" w:after="40" w:line="360" w:lineRule="auto"/>
              <w:jc w:val="both"/>
              <w:rPr>
                <w:rFonts w:ascii="Arial" w:eastAsia="Arial" w:hAnsi="Arial" w:cs="Arial"/>
              </w:rPr>
            </w:pPr>
            <w:r>
              <w:rPr>
                <w:rFonts w:ascii="Arial" w:eastAsia="Arial" w:hAnsi="Arial" w:cs="Arial"/>
              </w:rPr>
              <w:t>#FreeCuthbert tweets overall</w:t>
            </w:r>
          </w:p>
        </w:tc>
      </w:tr>
      <w:tr w:rsidR="003D2C5F" w14:paraId="69B1229E" w14:textId="77777777" w:rsidTr="003D2C5F">
        <w:trPr>
          <w:trHeight w:val="795"/>
        </w:trPr>
        <w:tc>
          <w:tcPr>
            <w:tcW w:w="1290" w:type="dxa"/>
          </w:tcPr>
          <w:p w14:paraId="32920B49" w14:textId="77777777" w:rsidR="003D2C5F" w:rsidRDefault="00000000">
            <w:pPr>
              <w:spacing w:before="40" w:after="40" w:line="360" w:lineRule="auto"/>
              <w:jc w:val="both"/>
              <w:rPr>
                <w:rFonts w:ascii="Arial" w:eastAsia="Arial" w:hAnsi="Arial" w:cs="Arial"/>
              </w:rPr>
            </w:pPr>
            <w:r>
              <w:rPr>
                <w:rFonts w:ascii="Arial" w:eastAsia="Arial" w:hAnsi="Arial" w:cs="Arial"/>
              </w:rPr>
              <w:t>User-generated video views</w:t>
            </w:r>
          </w:p>
        </w:tc>
        <w:tc>
          <w:tcPr>
            <w:tcW w:w="2475" w:type="dxa"/>
          </w:tcPr>
          <w:p w14:paraId="27C7AED6" w14:textId="77777777" w:rsidR="003D2C5F" w:rsidRDefault="00000000">
            <w:pPr>
              <w:spacing w:before="40" w:after="40" w:line="360" w:lineRule="auto"/>
              <w:jc w:val="both"/>
              <w:rPr>
                <w:rFonts w:ascii="Arial" w:eastAsia="Arial" w:hAnsi="Arial" w:cs="Arial"/>
              </w:rPr>
            </w:pPr>
            <w:r>
              <w:rPr>
                <w:rFonts w:ascii="Arial" w:eastAsia="Arial" w:hAnsi="Arial" w:cs="Arial"/>
              </w:rPr>
              <w:t>More than 30 million views across social media</w:t>
            </w:r>
          </w:p>
        </w:tc>
        <w:tc>
          <w:tcPr>
            <w:tcW w:w="2610" w:type="dxa"/>
          </w:tcPr>
          <w:p w14:paraId="328B0DE0" w14:textId="77777777" w:rsidR="003D2C5F" w:rsidRDefault="00000000">
            <w:pPr>
              <w:spacing w:before="40" w:after="40" w:line="360" w:lineRule="auto"/>
              <w:jc w:val="both"/>
              <w:rPr>
                <w:rFonts w:ascii="Arial" w:eastAsia="Arial" w:hAnsi="Arial" w:cs="Arial"/>
              </w:rPr>
            </w:pPr>
            <w:r>
              <w:rPr>
                <w:rFonts w:ascii="Arial" w:eastAsia="Arial" w:hAnsi="Arial" w:cs="Arial"/>
              </w:rPr>
              <w:t>Marketing Week (2021)</w:t>
            </w:r>
          </w:p>
        </w:tc>
        <w:tc>
          <w:tcPr>
            <w:tcW w:w="2520" w:type="dxa"/>
          </w:tcPr>
          <w:p w14:paraId="1BA024D1" w14:textId="77777777" w:rsidR="003D2C5F" w:rsidRDefault="00000000">
            <w:pPr>
              <w:spacing w:before="40" w:after="40" w:line="360" w:lineRule="auto"/>
              <w:jc w:val="both"/>
              <w:rPr>
                <w:rFonts w:ascii="Arial" w:eastAsia="Arial" w:hAnsi="Arial" w:cs="Arial"/>
              </w:rPr>
            </w:pPr>
            <w:r>
              <w:rPr>
                <w:rFonts w:ascii="Arial" w:eastAsia="Arial" w:hAnsi="Arial" w:cs="Arial"/>
              </w:rPr>
              <w:t>Campaign as a whole</w:t>
            </w:r>
          </w:p>
        </w:tc>
      </w:tr>
    </w:tbl>
    <w:p w14:paraId="00000173" w14:textId="77777777" w:rsidR="003D2C5F" w:rsidRDefault="00000000">
      <w:pPr>
        <w:spacing w:before="180" w:after="180" w:line="360" w:lineRule="auto"/>
        <w:jc w:val="both"/>
        <w:rPr>
          <w:rFonts w:ascii="Arial" w:eastAsia="Arial" w:hAnsi="Arial" w:cs="Arial"/>
          <w:i/>
          <w:iCs/>
        </w:rPr>
      </w:pPr>
      <w:r>
        <w:rPr>
          <w:rFonts w:ascii="Arial" w:eastAsia="Arial" w:hAnsi="Arial" w:cs="Arial"/>
          <w:i/>
          <w:iCs/>
        </w:rPr>
        <w:t xml:space="preserve">Sources: Marketing Week (2021); </w:t>
      </w:r>
      <w:proofErr w:type="spellStart"/>
      <w:r>
        <w:rPr>
          <w:rFonts w:ascii="Arial" w:eastAsia="Arial" w:hAnsi="Arial" w:cs="Arial"/>
          <w:i/>
          <w:iCs/>
        </w:rPr>
        <w:t>Geldards</w:t>
      </w:r>
      <w:proofErr w:type="spellEnd"/>
      <w:r>
        <w:rPr>
          <w:rFonts w:ascii="Arial" w:eastAsia="Arial" w:hAnsi="Arial" w:cs="Arial"/>
          <w:i/>
          <w:iCs/>
        </w:rPr>
        <w:t xml:space="preserve"> LLP (2021).</w:t>
      </w:r>
    </w:p>
    <w:p w14:paraId="00000174" w14:textId="77777777" w:rsidR="003D2C5F" w:rsidRDefault="00000000">
      <w:pPr>
        <w:spacing w:before="240" w:after="240" w:line="360" w:lineRule="auto"/>
        <w:jc w:val="both"/>
        <w:rPr>
          <w:rFonts w:ascii="Arial" w:eastAsia="Arial" w:hAnsi="Arial" w:cs="Arial"/>
        </w:rPr>
      </w:pPr>
      <w:r>
        <w:rPr>
          <w:rFonts w:ascii="Arial" w:eastAsia="Arial" w:hAnsi="Arial" w:cs="Arial"/>
        </w:rPr>
        <w:lastRenderedPageBreak/>
        <w:t>These figures are illustrative context only. In line with Sections 1.5 and 3.4, they are not treated as measures of consumer attitude, engagement or purchase intent, and they cannot show which content features produced the attention the campaign received.</w:t>
      </w:r>
    </w:p>
    <w:p w14:paraId="00000175" w14:textId="77777777" w:rsidR="003D2C5F" w:rsidRDefault="00000000">
      <w:pPr>
        <w:pStyle w:val="Heading3"/>
        <w:keepNext w:val="0"/>
        <w:keepLines w:val="0"/>
        <w:spacing w:before="280" w:line="360" w:lineRule="auto"/>
        <w:jc w:val="both"/>
        <w:rPr>
          <w:b w:val="0"/>
          <w:bCs w:val="0"/>
          <w:sz w:val="26"/>
          <w:szCs w:val="26"/>
        </w:rPr>
      </w:pPr>
      <w:bookmarkStart w:id="109" w:name="_4kr166fuj5py" w:colFirst="0" w:colLast="0"/>
      <w:bookmarkStart w:id="110" w:name="_Toc241144203"/>
      <w:bookmarkEnd w:id="109"/>
      <w:r>
        <w:rPr>
          <w:sz w:val="26"/>
          <w:szCs w:val="26"/>
        </w:rPr>
        <w:t>4.2.4 Coded Theme Frequency</w:t>
      </w:r>
      <w:bookmarkEnd w:id="110"/>
    </w:p>
    <w:p w14:paraId="00000176" w14:textId="77777777" w:rsidR="003D2C5F" w:rsidRDefault="00000000">
      <w:pPr>
        <w:spacing w:before="240" w:after="240" w:line="360" w:lineRule="auto"/>
        <w:jc w:val="both"/>
        <w:rPr>
          <w:rFonts w:ascii="Arial" w:eastAsia="Arial" w:hAnsi="Arial" w:cs="Arial"/>
        </w:rPr>
      </w:pPr>
      <w:r>
        <w:rPr>
          <w:rFonts w:ascii="Arial" w:eastAsia="Arial" w:hAnsi="Arial" w:cs="Arial"/>
        </w:rPr>
        <w:t>The frequencies of interpretive codes across the primary corpus were produced through the thematic coding process outlined in Section 3.6 (Appendix D).</w:t>
      </w:r>
    </w:p>
    <w:p w14:paraId="00000177"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Table 4.3: Interpretive Code Frequencies Across Primary Corpus</w:t>
      </w:r>
    </w:p>
    <w:tbl>
      <w:tblPr>
        <w:tblStyle w:val="a2"/>
        <w:tblW w:w="8295"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3570"/>
        <w:gridCol w:w="2175"/>
        <w:gridCol w:w="2550"/>
      </w:tblGrid>
      <w:tr w:rsidR="003D2C5F" w14:paraId="4B89E62F" w14:textId="77777777" w:rsidTr="003D2C5F">
        <w:trPr>
          <w:trHeight w:val="435"/>
        </w:trPr>
        <w:tc>
          <w:tcPr>
            <w:tcW w:w="3570" w:type="dxa"/>
          </w:tcPr>
          <w:p w14:paraId="00000178" w14:textId="77777777" w:rsidR="003D2C5F" w:rsidRDefault="00000000">
            <w:pPr>
              <w:spacing w:before="40" w:after="40" w:line="360" w:lineRule="auto"/>
              <w:jc w:val="both"/>
              <w:rPr>
                <w:rFonts w:ascii="Arial" w:eastAsia="Arial" w:hAnsi="Arial" w:cs="Arial"/>
              </w:rPr>
            </w:pPr>
            <w:r>
              <w:rPr>
                <w:rFonts w:ascii="Arial" w:eastAsia="Arial" w:hAnsi="Arial" w:cs="Arial"/>
              </w:rPr>
              <w:t>Interpretive Code</w:t>
            </w:r>
          </w:p>
        </w:tc>
        <w:tc>
          <w:tcPr>
            <w:tcW w:w="2175" w:type="dxa"/>
          </w:tcPr>
          <w:p w14:paraId="00000179" w14:textId="77777777" w:rsidR="003D2C5F" w:rsidRDefault="00000000">
            <w:pPr>
              <w:spacing w:before="40" w:after="40" w:line="360" w:lineRule="auto"/>
              <w:jc w:val="both"/>
              <w:rPr>
                <w:rFonts w:ascii="Arial" w:eastAsia="Arial" w:hAnsi="Arial" w:cs="Arial"/>
              </w:rPr>
            </w:pPr>
            <w:r>
              <w:rPr>
                <w:rFonts w:ascii="Arial" w:eastAsia="Arial" w:hAnsi="Arial" w:cs="Arial"/>
              </w:rPr>
              <w:t>Frequency (Posts)</w:t>
            </w:r>
          </w:p>
        </w:tc>
        <w:tc>
          <w:tcPr>
            <w:tcW w:w="2550" w:type="dxa"/>
          </w:tcPr>
          <w:p w14:paraId="0000017A" w14:textId="77777777" w:rsidR="003D2C5F" w:rsidRDefault="00000000">
            <w:pPr>
              <w:spacing w:before="40" w:after="40" w:line="360" w:lineRule="auto"/>
              <w:jc w:val="both"/>
              <w:rPr>
                <w:rFonts w:ascii="Arial" w:eastAsia="Arial" w:hAnsi="Arial" w:cs="Arial"/>
              </w:rPr>
            </w:pPr>
            <w:r>
              <w:rPr>
                <w:rFonts w:ascii="Arial" w:eastAsia="Arial" w:hAnsi="Arial" w:cs="Arial"/>
              </w:rPr>
              <w:t>Percentage of Corpus</w:t>
            </w:r>
          </w:p>
        </w:tc>
      </w:tr>
      <w:tr w:rsidR="003D2C5F" w14:paraId="04506A4D" w14:textId="77777777" w:rsidTr="003D2C5F">
        <w:trPr>
          <w:trHeight w:val="435"/>
        </w:trPr>
        <w:tc>
          <w:tcPr>
            <w:tcW w:w="3570" w:type="dxa"/>
          </w:tcPr>
          <w:p w14:paraId="0000017B" w14:textId="77777777" w:rsidR="003D2C5F" w:rsidRDefault="00000000">
            <w:pPr>
              <w:spacing w:before="40" w:after="40" w:line="360" w:lineRule="auto"/>
              <w:jc w:val="both"/>
              <w:rPr>
                <w:rFonts w:ascii="Arial" w:eastAsia="Arial" w:hAnsi="Arial" w:cs="Arial"/>
              </w:rPr>
            </w:pPr>
            <w:proofErr w:type="spellStart"/>
            <w:r>
              <w:rPr>
                <w:rFonts w:ascii="Arial" w:eastAsia="Arial" w:hAnsi="Arial" w:cs="Arial"/>
              </w:rPr>
              <w:t>Humour</w:t>
            </w:r>
            <w:proofErr w:type="spellEnd"/>
          </w:p>
        </w:tc>
        <w:tc>
          <w:tcPr>
            <w:tcW w:w="2175" w:type="dxa"/>
          </w:tcPr>
          <w:p w14:paraId="0000017C" w14:textId="77777777" w:rsidR="003D2C5F" w:rsidRDefault="00000000">
            <w:pPr>
              <w:spacing w:before="40" w:after="40" w:line="360" w:lineRule="auto"/>
              <w:jc w:val="both"/>
              <w:rPr>
                <w:rFonts w:ascii="Arial" w:eastAsia="Arial" w:hAnsi="Arial" w:cs="Arial"/>
              </w:rPr>
            </w:pPr>
            <w:r>
              <w:rPr>
                <w:rFonts w:ascii="Arial" w:eastAsia="Arial" w:hAnsi="Arial" w:cs="Arial"/>
              </w:rPr>
              <w:t>16</w:t>
            </w:r>
          </w:p>
        </w:tc>
        <w:tc>
          <w:tcPr>
            <w:tcW w:w="2550" w:type="dxa"/>
          </w:tcPr>
          <w:p w14:paraId="0000017D" w14:textId="77777777" w:rsidR="003D2C5F" w:rsidRDefault="00000000">
            <w:pPr>
              <w:spacing w:before="40" w:after="40" w:line="360" w:lineRule="auto"/>
              <w:jc w:val="both"/>
              <w:rPr>
                <w:rFonts w:ascii="Arial" w:eastAsia="Arial" w:hAnsi="Arial" w:cs="Arial"/>
              </w:rPr>
            </w:pPr>
            <w:r>
              <w:rPr>
                <w:rFonts w:ascii="Arial" w:eastAsia="Arial" w:hAnsi="Arial" w:cs="Arial"/>
              </w:rPr>
              <w:t>100.0%</w:t>
            </w:r>
          </w:p>
        </w:tc>
      </w:tr>
      <w:tr w:rsidR="003D2C5F" w14:paraId="1C0ABB8E" w14:textId="77777777" w:rsidTr="003D2C5F">
        <w:trPr>
          <w:trHeight w:val="435"/>
        </w:trPr>
        <w:tc>
          <w:tcPr>
            <w:tcW w:w="3570" w:type="dxa"/>
          </w:tcPr>
          <w:p w14:paraId="0000017E" w14:textId="77777777" w:rsidR="003D2C5F" w:rsidRDefault="00000000">
            <w:pPr>
              <w:spacing w:before="40" w:after="40" w:line="360" w:lineRule="auto"/>
              <w:jc w:val="both"/>
              <w:rPr>
                <w:rFonts w:ascii="Arial" w:eastAsia="Arial" w:hAnsi="Arial" w:cs="Arial"/>
              </w:rPr>
            </w:pPr>
            <w:r>
              <w:rPr>
                <w:rFonts w:ascii="Arial" w:eastAsia="Arial" w:hAnsi="Arial" w:cs="Arial"/>
              </w:rPr>
              <w:t>Personification</w:t>
            </w:r>
          </w:p>
        </w:tc>
        <w:tc>
          <w:tcPr>
            <w:tcW w:w="2175" w:type="dxa"/>
          </w:tcPr>
          <w:p w14:paraId="0000017F" w14:textId="77777777" w:rsidR="003D2C5F" w:rsidRDefault="00000000">
            <w:pPr>
              <w:spacing w:before="40" w:after="40" w:line="360" w:lineRule="auto"/>
              <w:jc w:val="both"/>
              <w:rPr>
                <w:rFonts w:ascii="Arial" w:eastAsia="Arial" w:hAnsi="Arial" w:cs="Arial"/>
              </w:rPr>
            </w:pPr>
            <w:r>
              <w:rPr>
                <w:rFonts w:ascii="Arial" w:eastAsia="Arial" w:hAnsi="Arial" w:cs="Arial"/>
              </w:rPr>
              <w:t>12</w:t>
            </w:r>
          </w:p>
        </w:tc>
        <w:tc>
          <w:tcPr>
            <w:tcW w:w="2550" w:type="dxa"/>
          </w:tcPr>
          <w:p w14:paraId="00000180" w14:textId="77777777" w:rsidR="003D2C5F" w:rsidRDefault="00000000">
            <w:pPr>
              <w:spacing w:before="40" w:after="40" w:line="360" w:lineRule="auto"/>
              <w:jc w:val="both"/>
              <w:rPr>
                <w:rFonts w:ascii="Arial" w:eastAsia="Arial" w:hAnsi="Arial" w:cs="Arial"/>
              </w:rPr>
            </w:pPr>
            <w:r>
              <w:rPr>
                <w:rFonts w:ascii="Arial" w:eastAsia="Arial" w:hAnsi="Arial" w:cs="Arial"/>
              </w:rPr>
              <w:t>75.0%</w:t>
            </w:r>
          </w:p>
        </w:tc>
      </w:tr>
      <w:tr w:rsidR="003D2C5F" w14:paraId="62C9F72C" w14:textId="77777777" w:rsidTr="003D2C5F">
        <w:trPr>
          <w:trHeight w:val="435"/>
        </w:trPr>
        <w:tc>
          <w:tcPr>
            <w:tcW w:w="3570" w:type="dxa"/>
          </w:tcPr>
          <w:p w14:paraId="00000181" w14:textId="77777777" w:rsidR="003D2C5F" w:rsidRDefault="00000000">
            <w:pPr>
              <w:spacing w:before="40" w:after="40" w:line="360" w:lineRule="auto"/>
              <w:jc w:val="both"/>
              <w:rPr>
                <w:rFonts w:ascii="Arial" w:eastAsia="Arial" w:hAnsi="Arial" w:cs="Arial"/>
              </w:rPr>
            </w:pPr>
            <w:r>
              <w:rPr>
                <w:rFonts w:ascii="Arial" w:eastAsia="Arial" w:hAnsi="Arial" w:cs="Arial"/>
              </w:rPr>
              <w:t>Narrative Progression</w:t>
            </w:r>
          </w:p>
        </w:tc>
        <w:tc>
          <w:tcPr>
            <w:tcW w:w="2175" w:type="dxa"/>
          </w:tcPr>
          <w:p w14:paraId="00000182" w14:textId="77777777" w:rsidR="003D2C5F" w:rsidRDefault="00000000">
            <w:pPr>
              <w:spacing w:before="40" w:after="40" w:line="360" w:lineRule="auto"/>
              <w:jc w:val="both"/>
              <w:rPr>
                <w:rFonts w:ascii="Arial" w:eastAsia="Arial" w:hAnsi="Arial" w:cs="Arial"/>
              </w:rPr>
            </w:pPr>
            <w:r>
              <w:rPr>
                <w:rFonts w:ascii="Arial" w:eastAsia="Arial" w:hAnsi="Arial" w:cs="Arial"/>
              </w:rPr>
              <w:t>16</w:t>
            </w:r>
          </w:p>
        </w:tc>
        <w:tc>
          <w:tcPr>
            <w:tcW w:w="2550" w:type="dxa"/>
          </w:tcPr>
          <w:p w14:paraId="00000183" w14:textId="77777777" w:rsidR="003D2C5F" w:rsidRDefault="00000000">
            <w:pPr>
              <w:spacing w:before="40" w:after="40" w:line="360" w:lineRule="auto"/>
              <w:jc w:val="both"/>
              <w:rPr>
                <w:rFonts w:ascii="Arial" w:eastAsia="Arial" w:hAnsi="Arial" w:cs="Arial"/>
              </w:rPr>
            </w:pPr>
            <w:r>
              <w:rPr>
                <w:rFonts w:ascii="Arial" w:eastAsia="Arial" w:hAnsi="Arial" w:cs="Arial"/>
              </w:rPr>
              <w:t>100.0%</w:t>
            </w:r>
          </w:p>
        </w:tc>
      </w:tr>
      <w:tr w:rsidR="003D2C5F" w14:paraId="791C42D9" w14:textId="77777777" w:rsidTr="003D2C5F">
        <w:trPr>
          <w:trHeight w:val="435"/>
        </w:trPr>
        <w:tc>
          <w:tcPr>
            <w:tcW w:w="3570" w:type="dxa"/>
          </w:tcPr>
          <w:p w14:paraId="00000184" w14:textId="77777777" w:rsidR="003D2C5F" w:rsidRDefault="00000000">
            <w:pPr>
              <w:spacing w:before="40" w:after="40" w:line="360" w:lineRule="auto"/>
              <w:jc w:val="both"/>
              <w:rPr>
                <w:rFonts w:ascii="Arial" w:eastAsia="Arial" w:hAnsi="Arial" w:cs="Arial"/>
              </w:rPr>
            </w:pPr>
            <w:r>
              <w:rPr>
                <w:rFonts w:ascii="Arial" w:eastAsia="Arial" w:hAnsi="Arial" w:cs="Arial"/>
              </w:rPr>
              <w:t>Challenger Positioning</w:t>
            </w:r>
          </w:p>
        </w:tc>
        <w:tc>
          <w:tcPr>
            <w:tcW w:w="2175" w:type="dxa"/>
          </w:tcPr>
          <w:p w14:paraId="00000185" w14:textId="77777777" w:rsidR="003D2C5F" w:rsidRDefault="00000000">
            <w:pPr>
              <w:spacing w:before="40" w:after="40" w:line="360" w:lineRule="auto"/>
              <w:jc w:val="both"/>
              <w:rPr>
                <w:rFonts w:ascii="Arial" w:eastAsia="Arial" w:hAnsi="Arial" w:cs="Arial"/>
              </w:rPr>
            </w:pPr>
            <w:r>
              <w:rPr>
                <w:rFonts w:ascii="Arial" w:eastAsia="Arial" w:hAnsi="Arial" w:cs="Arial"/>
              </w:rPr>
              <w:t>10</w:t>
            </w:r>
          </w:p>
        </w:tc>
        <w:tc>
          <w:tcPr>
            <w:tcW w:w="2550" w:type="dxa"/>
          </w:tcPr>
          <w:p w14:paraId="00000186" w14:textId="77777777" w:rsidR="003D2C5F" w:rsidRDefault="00000000">
            <w:pPr>
              <w:spacing w:before="40" w:after="40" w:line="360" w:lineRule="auto"/>
              <w:jc w:val="both"/>
              <w:rPr>
                <w:rFonts w:ascii="Arial" w:eastAsia="Arial" w:hAnsi="Arial" w:cs="Arial"/>
              </w:rPr>
            </w:pPr>
            <w:r>
              <w:rPr>
                <w:rFonts w:ascii="Arial" w:eastAsia="Arial" w:hAnsi="Arial" w:cs="Arial"/>
              </w:rPr>
              <w:t>62.5%</w:t>
            </w:r>
          </w:p>
        </w:tc>
      </w:tr>
      <w:tr w:rsidR="003D2C5F" w14:paraId="4C3D864D" w14:textId="77777777" w:rsidTr="003D2C5F">
        <w:trPr>
          <w:trHeight w:val="435"/>
        </w:trPr>
        <w:tc>
          <w:tcPr>
            <w:tcW w:w="3570" w:type="dxa"/>
          </w:tcPr>
          <w:p w14:paraId="00000187" w14:textId="77777777" w:rsidR="003D2C5F" w:rsidRDefault="00000000">
            <w:pPr>
              <w:spacing w:before="40" w:after="40" w:line="360" w:lineRule="auto"/>
              <w:jc w:val="both"/>
              <w:rPr>
                <w:rFonts w:ascii="Arial" w:eastAsia="Arial" w:hAnsi="Arial" w:cs="Arial"/>
              </w:rPr>
            </w:pPr>
            <w:r>
              <w:rPr>
                <w:rFonts w:ascii="Arial" w:eastAsia="Arial" w:hAnsi="Arial" w:cs="Arial"/>
              </w:rPr>
              <w:t>Cultural Reference</w:t>
            </w:r>
          </w:p>
        </w:tc>
        <w:tc>
          <w:tcPr>
            <w:tcW w:w="2175" w:type="dxa"/>
          </w:tcPr>
          <w:p w14:paraId="00000188" w14:textId="77777777" w:rsidR="003D2C5F" w:rsidRDefault="00000000">
            <w:pPr>
              <w:spacing w:before="40" w:after="40" w:line="360" w:lineRule="auto"/>
              <w:jc w:val="both"/>
              <w:rPr>
                <w:rFonts w:ascii="Arial" w:eastAsia="Arial" w:hAnsi="Arial" w:cs="Arial"/>
              </w:rPr>
            </w:pPr>
            <w:r>
              <w:rPr>
                <w:rFonts w:ascii="Arial" w:eastAsia="Arial" w:hAnsi="Arial" w:cs="Arial"/>
              </w:rPr>
              <w:t>14</w:t>
            </w:r>
          </w:p>
        </w:tc>
        <w:tc>
          <w:tcPr>
            <w:tcW w:w="2550" w:type="dxa"/>
          </w:tcPr>
          <w:p w14:paraId="00000189" w14:textId="77777777" w:rsidR="003D2C5F" w:rsidRDefault="00000000">
            <w:pPr>
              <w:spacing w:before="40" w:after="40" w:line="360" w:lineRule="auto"/>
              <w:jc w:val="both"/>
              <w:rPr>
                <w:rFonts w:ascii="Arial" w:eastAsia="Arial" w:hAnsi="Arial" w:cs="Arial"/>
              </w:rPr>
            </w:pPr>
            <w:r>
              <w:rPr>
                <w:rFonts w:ascii="Arial" w:eastAsia="Arial" w:hAnsi="Arial" w:cs="Arial"/>
              </w:rPr>
              <w:t>87.5%</w:t>
            </w:r>
          </w:p>
        </w:tc>
      </w:tr>
      <w:tr w:rsidR="003D2C5F" w14:paraId="6F562165" w14:textId="77777777" w:rsidTr="003D2C5F">
        <w:trPr>
          <w:trHeight w:val="435"/>
        </w:trPr>
        <w:tc>
          <w:tcPr>
            <w:tcW w:w="3570" w:type="dxa"/>
          </w:tcPr>
          <w:p w14:paraId="0000018A" w14:textId="77777777" w:rsidR="003D2C5F" w:rsidRDefault="00000000">
            <w:pPr>
              <w:spacing w:before="40" w:after="40" w:line="360" w:lineRule="auto"/>
              <w:jc w:val="both"/>
              <w:rPr>
                <w:rFonts w:ascii="Arial" w:eastAsia="Arial" w:hAnsi="Arial" w:cs="Arial"/>
              </w:rPr>
            </w:pPr>
            <w:r>
              <w:rPr>
                <w:rFonts w:ascii="Arial" w:eastAsia="Arial" w:hAnsi="Arial" w:cs="Arial"/>
              </w:rPr>
              <w:t>Brand Personality Cue</w:t>
            </w:r>
          </w:p>
        </w:tc>
        <w:tc>
          <w:tcPr>
            <w:tcW w:w="2175" w:type="dxa"/>
          </w:tcPr>
          <w:p w14:paraId="0000018B" w14:textId="77777777" w:rsidR="003D2C5F" w:rsidRDefault="00000000">
            <w:pPr>
              <w:spacing w:before="40" w:after="40" w:line="360" w:lineRule="auto"/>
              <w:jc w:val="both"/>
              <w:rPr>
                <w:rFonts w:ascii="Arial" w:eastAsia="Arial" w:hAnsi="Arial" w:cs="Arial"/>
              </w:rPr>
            </w:pPr>
            <w:r>
              <w:rPr>
                <w:rFonts w:ascii="Arial" w:eastAsia="Arial" w:hAnsi="Arial" w:cs="Arial"/>
              </w:rPr>
              <w:t>16</w:t>
            </w:r>
          </w:p>
        </w:tc>
        <w:tc>
          <w:tcPr>
            <w:tcW w:w="2550" w:type="dxa"/>
          </w:tcPr>
          <w:p w14:paraId="0000018C" w14:textId="77777777" w:rsidR="003D2C5F" w:rsidRDefault="00000000">
            <w:pPr>
              <w:spacing w:before="40" w:after="40" w:line="360" w:lineRule="auto"/>
              <w:jc w:val="both"/>
              <w:rPr>
                <w:rFonts w:ascii="Arial" w:eastAsia="Arial" w:hAnsi="Arial" w:cs="Arial"/>
              </w:rPr>
            </w:pPr>
            <w:r>
              <w:rPr>
                <w:rFonts w:ascii="Arial" w:eastAsia="Arial" w:hAnsi="Arial" w:cs="Arial"/>
              </w:rPr>
              <w:t>100.0%</w:t>
            </w:r>
          </w:p>
        </w:tc>
      </w:tr>
      <w:tr w:rsidR="003D2C5F" w14:paraId="564C0F55" w14:textId="77777777" w:rsidTr="003D2C5F">
        <w:trPr>
          <w:trHeight w:val="435"/>
        </w:trPr>
        <w:tc>
          <w:tcPr>
            <w:tcW w:w="3570" w:type="dxa"/>
          </w:tcPr>
          <w:p w14:paraId="0000018D" w14:textId="77777777" w:rsidR="003D2C5F" w:rsidRDefault="00000000">
            <w:pPr>
              <w:spacing w:before="40" w:after="40" w:line="360" w:lineRule="auto"/>
              <w:jc w:val="both"/>
              <w:rPr>
                <w:rFonts w:ascii="Arial" w:eastAsia="Arial" w:hAnsi="Arial" w:cs="Arial"/>
              </w:rPr>
            </w:pPr>
            <w:r>
              <w:rPr>
                <w:rFonts w:ascii="Arial" w:eastAsia="Arial" w:hAnsi="Arial" w:cs="Arial"/>
              </w:rPr>
              <w:t>Charity Linkage</w:t>
            </w:r>
          </w:p>
        </w:tc>
        <w:tc>
          <w:tcPr>
            <w:tcW w:w="2175" w:type="dxa"/>
          </w:tcPr>
          <w:p w14:paraId="0000018E" w14:textId="77777777" w:rsidR="003D2C5F" w:rsidRDefault="00000000">
            <w:pPr>
              <w:spacing w:before="40" w:after="40" w:line="360" w:lineRule="auto"/>
              <w:jc w:val="both"/>
              <w:rPr>
                <w:rFonts w:ascii="Arial" w:eastAsia="Arial" w:hAnsi="Arial" w:cs="Arial"/>
              </w:rPr>
            </w:pPr>
            <w:r>
              <w:rPr>
                <w:rFonts w:ascii="Arial" w:eastAsia="Arial" w:hAnsi="Arial" w:cs="Arial"/>
              </w:rPr>
              <w:t>2</w:t>
            </w:r>
          </w:p>
        </w:tc>
        <w:tc>
          <w:tcPr>
            <w:tcW w:w="2550" w:type="dxa"/>
          </w:tcPr>
          <w:p w14:paraId="0000018F" w14:textId="77777777" w:rsidR="003D2C5F" w:rsidRDefault="00000000">
            <w:pPr>
              <w:spacing w:before="40" w:after="40" w:line="360" w:lineRule="auto"/>
              <w:jc w:val="both"/>
              <w:rPr>
                <w:rFonts w:ascii="Arial" w:eastAsia="Arial" w:hAnsi="Arial" w:cs="Arial"/>
              </w:rPr>
            </w:pPr>
            <w:r>
              <w:rPr>
                <w:rFonts w:ascii="Arial" w:eastAsia="Arial" w:hAnsi="Arial" w:cs="Arial"/>
              </w:rPr>
              <w:t>12.5%</w:t>
            </w:r>
          </w:p>
        </w:tc>
      </w:tr>
      <w:tr w:rsidR="003D2C5F" w14:paraId="3EF52298" w14:textId="77777777" w:rsidTr="003D2C5F">
        <w:trPr>
          <w:trHeight w:val="435"/>
        </w:trPr>
        <w:tc>
          <w:tcPr>
            <w:tcW w:w="3570" w:type="dxa"/>
          </w:tcPr>
          <w:p w14:paraId="00000190" w14:textId="77777777" w:rsidR="003D2C5F" w:rsidRDefault="00000000">
            <w:pPr>
              <w:spacing w:before="40" w:after="40" w:line="360" w:lineRule="auto"/>
              <w:jc w:val="both"/>
              <w:rPr>
                <w:rFonts w:ascii="Arial" w:eastAsia="Arial" w:hAnsi="Arial" w:cs="Arial"/>
              </w:rPr>
            </w:pPr>
            <w:r>
              <w:rPr>
                <w:rFonts w:ascii="Arial" w:eastAsia="Arial" w:hAnsi="Arial" w:cs="Arial"/>
              </w:rPr>
              <w:t>Legal Sensitivity</w:t>
            </w:r>
          </w:p>
        </w:tc>
        <w:tc>
          <w:tcPr>
            <w:tcW w:w="2175" w:type="dxa"/>
          </w:tcPr>
          <w:p w14:paraId="00000191" w14:textId="77777777" w:rsidR="003D2C5F" w:rsidRDefault="00000000">
            <w:pPr>
              <w:spacing w:before="40" w:after="40" w:line="360" w:lineRule="auto"/>
              <w:jc w:val="both"/>
              <w:rPr>
                <w:rFonts w:ascii="Arial" w:eastAsia="Arial" w:hAnsi="Arial" w:cs="Arial"/>
              </w:rPr>
            </w:pPr>
            <w:r>
              <w:rPr>
                <w:rFonts w:ascii="Arial" w:eastAsia="Arial" w:hAnsi="Arial" w:cs="Arial"/>
              </w:rPr>
              <w:t>9</w:t>
            </w:r>
          </w:p>
        </w:tc>
        <w:tc>
          <w:tcPr>
            <w:tcW w:w="2550" w:type="dxa"/>
          </w:tcPr>
          <w:p w14:paraId="00000192" w14:textId="77777777" w:rsidR="003D2C5F" w:rsidRDefault="00000000">
            <w:pPr>
              <w:spacing w:before="40" w:after="40" w:line="360" w:lineRule="auto"/>
              <w:jc w:val="both"/>
              <w:rPr>
                <w:rFonts w:ascii="Arial" w:eastAsia="Arial" w:hAnsi="Arial" w:cs="Arial"/>
              </w:rPr>
            </w:pPr>
            <w:r>
              <w:rPr>
                <w:rFonts w:ascii="Arial" w:eastAsia="Arial" w:hAnsi="Arial" w:cs="Arial"/>
              </w:rPr>
              <w:t>56.3%</w:t>
            </w:r>
          </w:p>
        </w:tc>
      </w:tr>
    </w:tbl>
    <w:p w14:paraId="00000193" w14:textId="77777777" w:rsidR="003D2C5F" w:rsidRDefault="00000000">
      <w:pPr>
        <w:spacing w:before="180" w:after="180" w:line="360" w:lineRule="auto"/>
        <w:jc w:val="both"/>
        <w:rPr>
          <w:rFonts w:ascii="Arial" w:eastAsia="Arial" w:hAnsi="Arial" w:cs="Arial"/>
        </w:rPr>
      </w:pPr>
      <w:r>
        <w:rPr>
          <w:rFonts w:ascii="Arial" w:eastAsia="Arial" w:hAnsi="Arial" w:cs="Arial"/>
          <w:i/>
          <w:iCs/>
        </w:rPr>
        <w:t>Interpretive note on frequencies</w:t>
      </w:r>
      <w:r>
        <w:rPr>
          <w:rFonts w:ascii="Arial" w:eastAsia="Arial" w:hAnsi="Arial" w:cs="Arial"/>
        </w:rPr>
        <w:t>: These frequencies indicate presence, not significance or effectiveness. A low-frequency code such as Charity Linkage may be analytically important if it appears at a pivotal point, while a code present in every post is not necessarily the main feature of each. Three codes—</w:t>
      </w:r>
      <w:proofErr w:type="spellStart"/>
      <w:r>
        <w:rPr>
          <w:rFonts w:ascii="Arial" w:eastAsia="Arial" w:hAnsi="Arial" w:cs="Arial"/>
        </w:rPr>
        <w:t>Humour</w:t>
      </w:r>
      <w:proofErr w:type="spellEnd"/>
      <w:r>
        <w:rPr>
          <w:rFonts w:ascii="Arial" w:eastAsia="Arial" w:hAnsi="Arial" w:cs="Arial"/>
        </w:rPr>
        <w:t>, Narrative Progression and Brand Personality Cue—were applied to all 16 posts; they therefore describe the campaign as a whole rather than distinguishing between posts, so Section 4.3 concentrates on how these features vary in form and function.</w:t>
      </w:r>
    </w:p>
    <w:p w14:paraId="00000194" w14:textId="77777777" w:rsidR="003D2C5F" w:rsidRDefault="00000000">
      <w:pPr>
        <w:pStyle w:val="Heading3"/>
        <w:keepNext w:val="0"/>
        <w:keepLines w:val="0"/>
        <w:spacing w:before="280" w:line="360" w:lineRule="auto"/>
        <w:jc w:val="both"/>
        <w:rPr>
          <w:b w:val="0"/>
          <w:bCs w:val="0"/>
          <w:sz w:val="26"/>
          <w:szCs w:val="26"/>
        </w:rPr>
      </w:pPr>
      <w:bookmarkStart w:id="111" w:name="_g3de3eq0f6ui" w:colFirst="0" w:colLast="0"/>
      <w:bookmarkStart w:id="112" w:name="_Toc241144204"/>
      <w:bookmarkEnd w:id="111"/>
      <w:r>
        <w:rPr>
          <w:sz w:val="26"/>
          <w:szCs w:val="26"/>
        </w:rPr>
        <w:t>4.2.5 Secondary Corpus Composition</w:t>
      </w:r>
      <w:bookmarkEnd w:id="112"/>
    </w:p>
    <w:p w14:paraId="00000195" w14:textId="77777777" w:rsidR="003D2C5F" w:rsidRDefault="00000000">
      <w:pPr>
        <w:spacing w:before="240" w:after="240" w:line="360" w:lineRule="auto"/>
        <w:jc w:val="both"/>
        <w:rPr>
          <w:rFonts w:ascii="Arial" w:eastAsia="Arial" w:hAnsi="Arial" w:cs="Arial"/>
        </w:rPr>
      </w:pPr>
      <w:r>
        <w:rPr>
          <w:rFonts w:ascii="Arial" w:eastAsia="Arial" w:hAnsi="Arial" w:cs="Arial"/>
        </w:rPr>
        <w:lastRenderedPageBreak/>
        <w:t xml:space="preserve">The secondary corpus of contemporaneous external coverage is </w:t>
      </w:r>
      <w:proofErr w:type="spellStart"/>
      <w:r>
        <w:rPr>
          <w:rFonts w:ascii="Arial" w:eastAsia="Arial" w:hAnsi="Arial" w:cs="Arial"/>
        </w:rPr>
        <w:t>summarised</w:t>
      </w:r>
      <w:proofErr w:type="spellEnd"/>
      <w:r>
        <w:rPr>
          <w:rFonts w:ascii="Arial" w:eastAsia="Arial" w:hAnsi="Arial" w:cs="Arial"/>
        </w:rPr>
        <w:t xml:space="preserve"> in Table 4.4; each source is coded in Appendix F. </w:t>
      </w:r>
    </w:p>
    <w:p w14:paraId="00000196" w14:textId="77777777" w:rsidR="003D2C5F" w:rsidRDefault="00000000">
      <w:pPr>
        <w:spacing w:before="180" w:after="180" w:line="360" w:lineRule="auto"/>
        <w:jc w:val="both"/>
        <w:rPr>
          <w:rFonts w:ascii="Arial" w:eastAsia="Arial" w:hAnsi="Arial" w:cs="Arial"/>
          <w:b/>
          <w:bCs/>
        </w:rPr>
      </w:pPr>
      <w:r>
        <w:rPr>
          <w:rFonts w:ascii="Arial" w:eastAsia="Arial" w:hAnsi="Arial" w:cs="Arial"/>
          <w:b/>
          <w:bCs/>
        </w:rPr>
        <w:t>Table 4.4: Secondary Corpus by Source Type</w:t>
      </w:r>
    </w:p>
    <w:tbl>
      <w:tblPr>
        <w:tblStyle w:val="a3"/>
        <w:tblW w:w="891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00" w:firstRow="0" w:lastRow="0" w:firstColumn="0" w:lastColumn="0" w:noHBand="1" w:noVBand="1"/>
      </w:tblPr>
      <w:tblGrid>
        <w:gridCol w:w="2025"/>
        <w:gridCol w:w="1965"/>
        <w:gridCol w:w="4920"/>
      </w:tblGrid>
      <w:tr w:rsidR="003D2C5F" w14:paraId="5D3CFE94" w14:textId="77777777" w:rsidTr="003D2C5F">
        <w:trPr>
          <w:trHeight w:val="795"/>
        </w:trPr>
        <w:tc>
          <w:tcPr>
            <w:tcW w:w="2025" w:type="dxa"/>
          </w:tcPr>
          <w:p w14:paraId="00000197" w14:textId="77777777" w:rsidR="003D2C5F" w:rsidRDefault="00000000">
            <w:pPr>
              <w:spacing w:before="40" w:after="40" w:line="360" w:lineRule="auto"/>
              <w:jc w:val="both"/>
              <w:rPr>
                <w:rFonts w:ascii="Arial" w:eastAsia="Arial" w:hAnsi="Arial" w:cs="Arial"/>
              </w:rPr>
            </w:pPr>
            <w:r>
              <w:rPr>
                <w:rFonts w:ascii="Arial" w:eastAsia="Arial" w:hAnsi="Arial" w:cs="Arial"/>
              </w:rPr>
              <w:t>Source Type</w:t>
            </w:r>
          </w:p>
        </w:tc>
        <w:tc>
          <w:tcPr>
            <w:tcW w:w="1965" w:type="dxa"/>
          </w:tcPr>
          <w:p w14:paraId="00000198" w14:textId="77777777" w:rsidR="003D2C5F" w:rsidRDefault="00000000">
            <w:pPr>
              <w:spacing w:before="40" w:after="40" w:line="360" w:lineRule="auto"/>
              <w:jc w:val="both"/>
              <w:rPr>
                <w:rFonts w:ascii="Arial" w:eastAsia="Arial" w:hAnsi="Arial" w:cs="Arial"/>
              </w:rPr>
            </w:pPr>
            <w:r>
              <w:rPr>
                <w:rFonts w:ascii="Arial" w:eastAsia="Arial" w:hAnsi="Arial" w:cs="Arial"/>
              </w:rPr>
              <w:t>Number of Sources</w:t>
            </w:r>
          </w:p>
        </w:tc>
        <w:tc>
          <w:tcPr>
            <w:tcW w:w="4920" w:type="dxa"/>
          </w:tcPr>
          <w:p w14:paraId="00000199" w14:textId="77777777" w:rsidR="003D2C5F" w:rsidRDefault="00000000">
            <w:pPr>
              <w:spacing w:before="40" w:after="40" w:line="360" w:lineRule="auto"/>
              <w:jc w:val="both"/>
              <w:rPr>
                <w:rFonts w:ascii="Arial" w:eastAsia="Arial" w:hAnsi="Arial" w:cs="Arial"/>
              </w:rPr>
            </w:pPr>
            <w:r>
              <w:rPr>
                <w:rFonts w:ascii="Arial" w:eastAsia="Arial" w:hAnsi="Arial" w:cs="Arial"/>
              </w:rPr>
              <w:t>Key Publications</w:t>
            </w:r>
          </w:p>
        </w:tc>
      </w:tr>
      <w:tr w:rsidR="003D2C5F" w14:paraId="07FF5A0C" w14:textId="77777777" w:rsidTr="003D2C5F">
        <w:trPr>
          <w:trHeight w:val="795"/>
        </w:trPr>
        <w:tc>
          <w:tcPr>
            <w:tcW w:w="2025" w:type="dxa"/>
          </w:tcPr>
          <w:p w14:paraId="0000019A" w14:textId="77777777" w:rsidR="003D2C5F" w:rsidRDefault="00000000">
            <w:pPr>
              <w:spacing w:before="40" w:after="40" w:line="360" w:lineRule="auto"/>
              <w:jc w:val="both"/>
              <w:rPr>
                <w:rFonts w:ascii="Arial" w:eastAsia="Arial" w:hAnsi="Arial" w:cs="Arial"/>
              </w:rPr>
            </w:pPr>
            <w:r>
              <w:rPr>
                <w:rFonts w:ascii="Arial" w:eastAsia="Arial" w:hAnsi="Arial" w:cs="Arial"/>
              </w:rPr>
              <w:t>Marketing Trade</w:t>
            </w:r>
          </w:p>
        </w:tc>
        <w:tc>
          <w:tcPr>
            <w:tcW w:w="1965" w:type="dxa"/>
          </w:tcPr>
          <w:p w14:paraId="0000019B" w14:textId="77777777" w:rsidR="003D2C5F" w:rsidRDefault="00000000">
            <w:pPr>
              <w:spacing w:before="40" w:after="40" w:line="360" w:lineRule="auto"/>
              <w:jc w:val="both"/>
              <w:rPr>
                <w:rFonts w:ascii="Arial" w:eastAsia="Arial" w:hAnsi="Arial" w:cs="Arial"/>
              </w:rPr>
            </w:pPr>
            <w:r>
              <w:rPr>
                <w:rFonts w:ascii="Arial" w:eastAsia="Arial" w:hAnsi="Arial" w:cs="Arial"/>
              </w:rPr>
              <w:t>3</w:t>
            </w:r>
          </w:p>
        </w:tc>
        <w:tc>
          <w:tcPr>
            <w:tcW w:w="4920" w:type="dxa"/>
          </w:tcPr>
          <w:p w14:paraId="0000019C" w14:textId="77777777" w:rsidR="003D2C5F" w:rsidRDefault="00000000">
            <w:pPr>
              <w:spacing w:before="40" w:after="40" w:line="360" w:lineRule="auto"/>
              <w:jc w:val="both"/>
              <w:rPr>
                <w:rFonts w:ascii="Arial" w:eastAsia="Arial" w:hAnsi="Arial" w:cs="Arial"/>
              </w:rPr>
            </w:pPr>
            <w:r>
              <w:rPr>
                <w:rFonts w:ascii="Arial" w:eastAsia="Arial" w:hAnsi="Arial" w:cs="Arial"/>
              </w:rPr>
              <w:t xml:space="preserve">Marketing Week, The Drum, </w:t>
            </w:r>
            <w:proofErr w:type="spellStart"/>
            <w:r>
              <w:rPr>
                <w:rFonts w:ascii="Arial" w:eastAsia="Arial" w:hAnsi="Arial" w:cs="Arial"/>
              </w:rPr>
              <w:t>eurobest</w:t>
            </w:r>
            <w:proofErr w:type="spellEnd"/>
          </w:p>
        </w:tc>
      </w:tr>
      <w:tr w:rsidR="003D2C5F" w14:paraId="3527AE7F" w14:textId="77777777" w:rsidTr="003D2C5F">
        <w:trPr>
          <w:trHeight w:val="795"/>
        </w:trPr>
        <w:tc>
          <w:tcPr>
            <w:tcW w:w="2025" w:type="dxa"/>
          </w:tcPr>
          <w:p w14:paraId="6A2E2F83" w14:textId="77777777" w:rsidR="003D2C5F" w:rsidRDefault="00000000">
            <w:pPr>
              <w:spacing w:before="40" w:after="40" w:line="360" w:lineRule="auto"/>
              <w:jc w:val="both"/>
              <w:rPr>
                <w:rFonts w:ascii="Arial" w:eastAsia="Arial" w:hAnsi="Arial" w:cs="Arial"/>
              </w:rPr>
            </w:pPr>
            <w:r>
              <w:rPr>
                <w:rFonts w:ascii="Arial" w:eastAsia="Arial" w:hAnsi="Arial" w:cs="Arial"/>
              </w:rPr>
              <w:t>Mainstream News</w:t>
            </w:r>
          </w:p>
        </w:tc>
        <w:tc>
          <w:tcPr>
            <w:tcW w:w="1965" w:type="dxa"/>
          </w:tcPr>
          <w:p w14:paraId="08E1946D" w14:textId="77777777" w:rsidR="003D2C5F" w:rsidRDefault="00000000">
            <w:pPr>
              <w:spacing w:before="40" w:after="40" w:line="360" w:lineRule="auto"/>
              <w:jc w:val="both"/>
              <w:rPr>
                <w:rFonts w:ascii="Arial" w:eastAsia="Arial" w:hAnsi="Arial" w:cs="Arial"/>
              </w:rPr>
            </w:pPr>
            <w:r>
              <w:rPr>
                <w:rFonts w:ascii="Arial" w:eastAsia="Arial" w:hAnsi="Arial" w:cs="Arial"/>
              </w:rPr>
              <w:t>3</w:t>
            </w:r>
          </w:p>
        </w:tc>
        <w:tc>
          <w:tcPr>
            <w:tcW w:w="4920" w:type="dxa"/>
          </w:tcPr>
          <w:p w14:paraId="5107D949" w14:textId="77777777" w:rsidR="003D2C5F" w:rsidRDefault="00000000">
            <w:pPr>
              <w:spacing w:before="40" w:after="40" w:line="360" w:lineRule="auto"/>
              <w:jc w:val="both"/>
              <w:rPr>
                <w:rFonts w:ascii="Arial" w:eastAsia="Arial" w:hAnsi="Arial" w:cs="Arial"/>
              </w:rPr>
            </w:pPr>
            <w:r>
              <w:rPr>
                <w:rFonts w:ascii="Arial" w:eastAsia="Arial" w:hAnsi="Arial" w:cs="Arial"/>
              </w:rPr>
              <w:t>ITV News, LBC, RTÉ News</w:t>
            </w:r>
          </w:p>
        </w:tc>
      </w:tr>
      <w:tr w:rsidR="003D2C5F" w14:paraId="4E5E03F8" w14:textId="77777777" w:rsidTr="003D2C5F">
        <w:trPr>
          <w:trHeight w:val="795"/>
        </w:trPr>
        <w:tc>
          <w:tcPr>
            <w:tcW w:w="2025" w:type="dxa"/>
          </w:tcPr>
          <w:p w14:paraId="000001A0" w14:textId="77777777" w:rsidR="003D2C5F" w:rsidRDefault="00000000">
            <w:pPr>
              <w:spacing w:before="40" w:after="40" w:line="360" w:lineRule="auto"/>
              <w:jc w:val="both"/>
              <w:rPr>
                <w:rFonts w:ascii="Arial" w:eastAsia="Arial" w:hAnsi="Arial" w:cs="Arial"/>
              </w:rPr>
            </w:pPr>
            <w:r>
              <w:rPr>
                <w:rFonts w:ascii="Arial" w:eastAsia="Arial" w:hAnsi="Arial" w:cs="Arial"/>
              </w:rPr>
              <w:t>Legal-Professional</w:t>
            </w:r>
          </w:p>
        </w:tc>
        <w:tc>
          <w:tcPr>
            <w:tcW w:w="1965" w:type="dxa"/>
          </w:tcPr>
          <w:p w14:paraId="000001A1" w14:textId="77777777" w:rsidR="003D2C5F" w:rsidRDefault="00000000">
            <w:pPr>
              <w:spacing w:before="40" w:after="40" w:line="360" w:lineRule="auto"/>
              <w:jc w:val="both"/>
              <w:rPr>
                <w:rFonts w:ascii="Arial" w:eastAsia="Arial" w:hAnsi="Arial" w:cs="Arial"/>
              </w:rPr>
            </w:pPr>
            <w:r>
              <w:rPr>
                <w:rFonts w:ascii="Arial" w:eastAsia="Arial" w:hAnsi="Arial" w:cs="Arial"/>
              </w:rPr>
              <w:t>5</w:t>
            </w:r>
          </w:p>
        </w:tc>
        <w:tc>
          <w:tcPr>
            <w:tcW w:w="4920" w:type="dxa"/>
          </w:tcPr>
          <w:p w14:paraId="000001A2" w14:textId="77777777" w:rsidR="003D2C5F" w:rsidRDefault="00000000">
            <w:pPr>
              <w:spacing w:before="40" w:after="40" w:line="360" w:lineRule="auto"/>
              <w:jc w:val="both"/>
              <w:rPr>
                <w:rFonts w:ascii="Arial" w:eastAsia="Arial" w:hAnsi="Arial" w:cs="Arial"/>
              </w:rPr>
            </w:pPr>
            <w:proofErr w:type="spellStart"/>
            <w:r>
              <w:rPr>
                <w:rFonts w:ascii="Arial" w:eastAsia="Arial" w:hAnsi="Arial" w:cs="Arial"/>
              </w:rPr>
              <w:t>Geldards</w:t>
            </w:r>
            <w:proofErr w:type="spellEnd"/>
            <w:r>
              <w:rPr>
                <w:rFonts w:ascii="Arial" w:eastAsia="Arial" w:hAnsi="Arial" w:cs="Arial"/>
              </w:rPr>
              <w:t xml:space="preserve"> LLP, Wilson Gunn, Harper Macleod LLP, Swinburne Maddison LLP, Legal Cheek</w:t>
            </w:r>
          </w:p>
        </w:tc>
      </w:tr>
      <w:tr w:rsidR="003D2C5F" w14:paraId="07CB2607" w14:textId="77777777" w:rsidTr="003D2C5F">
        <w:trPr>
          <w:trHeight w:val="435"/>
        </w:trPr>
        <w:tc>
          <w:tcPr>
            <w:tcW w:w="2025" w:type="dxa"/>
          </w:tcPr>
          <w:p w14:paraId="000001A3" w14:textId="77777777" w:rsidR="003D2C5F" w:rsidRDefault="00000000">
            <w:pPr>
              <w:spacing w:before="40" w:after="40" w:line="360" w:lineRule="auto"/>
              <w:jc w:val="both"/>
              <w:rPr>
                <w:rFonts w:ascii="Arial" w:eastAsia="Arial" w:hAnsi="Arial" w:cs="Arial"/>
                <w:b/>
                <w:bCs/>
              </w:rPr>
            </w:pPr>
            <w:r>
              <w:rPr>
                <w:rFonts w:ascii="Arial" w:eastAsia="Arial" w:hAnsi="Arial" w:cs="Arial"/>
                <w:b/>
                <w:bCs/>
              </w:rPr>
              <w:t>Total</w:t>
            </w:r>
          </w:p>
        </w:tc>
        <w:tc>
          <w:tcPr>
            <w:tcW w:w="1965" w:type="dxa"/>
          </w:tcPr>
          <w:p w14:paraId="000001A4" w14:textId="77777777" w:rsidR="003D2C5F" w:rsidRDefault="00000000">
            <w:pPr>
              <w:spacing w:before="40" w:after="40" w:line="360" w:lineRule="auto"/>
              <w:jc w:val="both"/>
              <w:rPr>
                <w:rFonts w:ascii="Arial" w:eastAsia="Arial" w:hAnsi="Arial" w:cs="Arial"/>
                <w:b/>
                <w:bCs/>
              </w:rPr>
            </w:pPr>
            <w:r>
              <w:rPr>
                <w:rFonts w:ascii="Arial" w:eastAsia="Arial" w:hAnsi="Arial" w:cs="Arial"/>
                <w:b/>
                <w:bCs/>
              </w:rPr>
              <w:t>11</w:t>
            </w:r>
          </w:p>
        </w:tc>
        <w:tc>
          <w:tcPr>
            <w:tcW w:w="4920" w:type="dxa"/>
          </w:tcPr>
          <w:p w14:paraId="000001A5" w14:textId="77777777" w:rsidR="003D2C5F" w:rsidRDefault="00000000">
            <w:pPr>
              <w:spacing w:before="40" w:after="40" w:line="360" w:lineRule="auto"/>
              <w:jc w:val="both"/>
              <w:rPr>
                <w:rFonts w:ascii="Arial" w:eastAsia="Arial" w:hAnsi="Arial" w:cs="Arial"/>
              </w:rPr>
            </w:pPr>
            <w:r>
              <w:rPr>
                <w:rFonts w:ascii="Arial" w:eastAsia="Arial" w:hAnsi="Arial" w:cs="Arial"/>
              </w:rPr>
              <w:t xml:space="preserve"> </w:t>
            </w:r>
          </w:p>
        </w:tc>
      </w:tr>
    </w:tbl>
    <w:p w14:paraId="000001A6" w14:textId="77777777" w:rsidR="003D2C5F" w:rsidRDefault="00000000">
      <w:pPr>
        <w:pStyle w:val="Heading2"/>
        <w:keepNext w:val="0"/>
        <w:keepLines w:val="0"/>
        <w:spacing w:after="80" w:line="360" w:lineRule="auto"/>
        <w:rPr>
          <w:b w:val="0"/>
          <w:bCs w:val="0"/>
          <w:sz w:val="34"/>
          <w:szCs w:val="34"/>
        </w:rPr>
      </w:pPr>
      <w:bookmarkStart w:id="113" w:name="_d3orq91o03jd" w:colFirst="0" w:colLast="0"/>
      <w:bookmarkStart w:id="114" w:name="_Toc241144205"/>
      <w:bookmarkEnd w:id="113"/>
      <w:r>
        <w:rPr>
          <w:sz w:val="34"/>
          <w:szCs w:val="34"/>
        </w:rPr>
        <w:t>4.3 Interpretive Analysis: How the Message Was Constructed</w:t>
      </w:r>
      <w:bookmarkEnd w:id="114"/>
    </w:p>
    <w:p w14:paraId="000001A7" w14:textId="77777777" w:rsidR="003D2C5F" w:rsidRDefault="00000000">
      <w:pPr>
        <w:pStyle w:val="Heading3"/>
        <w:keepNext w:val="0"/>
        <w:keepLines w:val="0"/>
        <w:spacing w:before="280" w:line="360" w:lineRule="auto"/>
        <w:jc w:val="both"/>
        <w:rPr>
          <w:b w:val="0"/>
          <w:bCs w:val="0"/>
          <w:sz w:val="26"/>
          <w:szCs w:val="26"/>
        </w:rPr>
      </w:pPr>
      <w:bookmarkStart w:id="115" w:name="_nqmn8upmpbw3" w:colFirst="0" w:colLast="0"/>
      <w:bookmarkStart w:id="116" w:name="_Toc241144206"/>
      <w:bookmarkEnd w:id="115"/>
      <w:r>
        <w:rPr>
          <w:sz w:val="26"/>
          <w:szCs w:val="26"/>
        </w:rPr>
        <w:t xml:space="preserve">4.3.1 </w:t>
      </w:r>
      <w:proofErr w:type="spellStart"/>
      <w:r>
        <w:rPr>
          <w:sz w:val="26"/>
          <w:szCs w:val="26"/>
        </w:rPr>
        <w:t>Humour</w:t>
      </w:r>
      <w:proofErr w:type="spellEnd"/>
      <w:r>
        <w:rPr>
          <w:sz w:val="26"/>
          <w:szCs w:val="26"/>
        </w:rPr>
        <w:t>: Forms, Functions and Limitations</w:t>
      </w:r>
      <w:bookmarkEnd w:id="116"/>
    </w:p>
    <w:p w14:paraId="000001A8" w14:textId="77777777" w:rsidR="003D2C5F" w:rsidRDefault="00000000">
      <w:pPr>
        <w:spacing w:before="180" w:after="180" w:line="360" w:lineRule="auto"/>
        <w:jc w:val="both"/>
        <w:rPr>
          <w:rFonts w:ascii="Arial" w:eastAsia="Arial" w:hAnsi="Arial" w:cs="Arial"/>
        </w:rPr>
      </w:pPr>
      <w:proofErr w:type="spellStart"/>
      <w:r>
        <w:rPr>
          <w:rFonts w:ascii="Arial" w:eastAsia="Arial" w:hAnsi="Arial" w:cs="Arial"/>
        </w:rPr>
        <w:t>Humour</w:t>
      </w:r>
      <w:proofErr w:type="spellEnd"/>
      <w:r>
        <w:rPr>
          <w:rFonts w:ascii="Arial" w:eastAsia="Arial" w:hAnsi="Arial" w:cs="Arial"/>
        </w:rPr>
        <w:t xml:space="preserve"> is present in all 16 posts in the corpus (100%) and takes three broadly distinguishable forms, each associated with a different communicative function.</w:t>
      </w:r>
    </w:p>
    <w:p w14:paraId="000001A9" w14:textId="77777777" w:rsidR="003D2C5F" w:rsidRDefault="00000000">
      <w:pPr>
        <w:spacing w:before="180" w:after="180" w:line="360" w:lineRule="auto"/>
        <w:jc w:val="both"/>
        <w:rPr>
          <w:rFonts w:ascii="Arial" w:eastAsia="Arial" w:hAnsi="Arial" w:cs="Arial"/>
        </w:rPr>
      </w:pPr>
      <w:r>
        <w:rPr>
          <w:rFonts w:ascii="Arial" w:eastAsia="Arial" w:hAnsi="Arial" w:cs="Arial"/>
          <w:b/>
          <w:bCs/>
        </w:rPr>
        <w:t xml:space="preserve">Self-deprecating </w:t>
      </w:r>
      <w:proofErr w:type="spellStart"/>
      <w:r>
        <w:rPr>
          <w:rFonts w:ascii="Arial" w:eastAsia="Arial" w:hAnsi="Arial" w:cs="Arial"/>
          <w:b/>
          <w:bCs/>
        </w:rPr>
        <w:t>humour</w:t>
      </w:r>
      <w:proofErr w:type="spellEnd"/>
      <w:r>
        <w:rPr>
          <w:rFonts w:ascii="Arial" w:eastAsia="Arial" w:hAnsi="Arial" w:cs="Arial"/>
          <w:b/>
          <w:bCs/>
        </w:rPr>
        <w:t>.</w:t>
      </w:r>
      <w:r>
        <w:rPr>
          <w:rFonts w:ascii="Arial" w:eastAsia="Arial" w:hAnsi="Arial" w:cs="Arial"/>
        </w:rPr>
        <w:t xml:space="preserve"> Some posts use self-deprecation, typically when commenting on public reaction or on the dispute itself. One post asks Dulux “How do we delete tweets?” (P10), a self-aware joke about Aldi’s own posting that appears to soften potential criticism.</w:t>
      </w:r>
    </w:p>
    <w:p w14:paraId="000001AA" w14:textId="77777777" w:rsidR="003D2C5F" w:rsidRDefault="00000000">
      <w:pPr>
        <w:spacing w:before="180" w:after="180" w:line="360" w:lineRule="auto"/>
        <w:jc w:val="both"/>
        <w:rPr>
          <w:rFonts w:ascii="Arial" w:eastAsia="Arial" w:hAnsi="Arial" w:cs="Arial"/>
        </w:rPr>
      </w:pPr>
      <w:r>
        <w:rPr>
          <w:rFonts w:ascii="Arial" w:eastAsia="Arial" w:hAnsi="Arial" w:cs="Arial"/>
          <w:b/>
          <w:bCs/>
        </w:rPr>
        <w:t xml:space="preserve">Character-based </w:t>
      </w:r>
      <w:proofErr w:type="spellStart"/>
      <w:r>
        <w:rPr>
          <w:rFonts w:ascii="Arial" w:eastAsia="Arial" w:hAnsi="Arial" w:cs="Arial"/>
          <w:b/>
          <w:bCs/>
        </w:rPr>
        <w:t>humour</w:t>
      </w:r>
      <w:proofErr w:type="spellEnd"/>
      <w:r>
        <w:rPr>
          <w:rFonts w:ascii="Arial" w:eastAsia="Arial" w:hAnsi="Arial" w:cs="Arial"/>
          <w:b/>
          <w:bCs/>
        </w:rPr>
        <w:t>.</w:t>
      </w:r>
      <w:r>
        <w:rPr>
          <w:rFonts w:ascii="Arial" w:eastAsia="Arial" w:hAnsi="Arial" w:cs="Arial"/>
        </w:rPr>
        <w:t xml:space="preserve"> Most of the humorous posts rely on character-based comedy </w:t>
      </w:r>
      <w:proofErr w:type="spellStart"/>
      <w:r>
        <w:rPr>
          <w:rFonts w:ascii="Arial" w:eastAsia="Arial" w:hAnsi="Arial" w:cs="Arial"/>
        </w:rPr>
        <w:t>centred</w:t>
      </w:r>
      <w:proofErr w:type="spellEnd"/>
      <w:r>
        <w:rPr>
          <w:rFonts w:ascii="Arial" w:eastAsia="Arial" w:hAnsi="Arial" w:cs="Arial"/>
        </w:rPr>
        <w:t xml:space="preserve"> on the personified Cuthbert, showing him behind bars in a “Packaging update” (P03), declaring him “found GUILTY… of being delicious” (P06) and placing him in a mock courtroom exchange (P05). This </w:t>
      </w:r>
      <w:proofErr w:type="spellStart"/>
      <w:r>
        <w:rPr>
          <w:rFonts w:ascii="Arial" w:eastAsia="Arial" w:hAnsi="Arial" w:cs="Arial"/>
        </w:rPr>
        <w:t>humour</w:t>
      </w:r>
      <w:proofErr w:type="spellEnd"/>
      <w:r>
        <w:rPr>
          <w:rFonts w:ascii="Arial" w:eastAsia="Arial" w:hAnsi="Arial" w:cs="Arial"/>
        </w:rPr>
        <w:t xml:space="preserve"> is consistent with the benign violation principle </w:t>
      </w:r>
      <w:r>
        <w:rPr>
          <w:rFonts w:ascii="Arial" w:eastAsia="Arial" w:hAnsi="Arial" w:cs="Arial"/>
        </w:rPr>
        <w:lastRenderedPageBreak/>
        <w:t xml:space="preserve">(Béal, Lécuyer and Guitart, 2025): the “violation” is the legal dispute and its implicit accusation of copying, while the presence of a cake character, a familiar supermarket product and a </w:t>
      </w:r>
      <w:proofErr w:type="spellStart"/>
      <w:r>
        <w:rPr>
          <w:rFonts w:ascii="Arial" w:eastAsia="Arial" w:hAnsi="Arial" w:cs="Arial"/>
        </w:rPr>
        <w:t>recognisably</w:t>
      </w:r>
      <w:proofErr w:type="spellEnd"/>
      <w:r>
        <w:rPr>
          <w:rFonts w:ascii="Arial" w:eastAsia="Arial" w:hAnsi="Arial" w:cs="Arial"/>
        </w:rPr>
        <w:t xml:space="preserve"> British comic tone </w:t>
      </w:r>
      <w:proofErr w:type="gramStart"/>
      <w:r>
        <w:rPr>
          <w:rFonts w:ascii="Arial" w:eastAsia="Arial" w:hAnsi="Arial" w:cs="Arial"/>
        </w:rPr>
        <w:t>appears</w:t>
      </w:r>
      <w:proofErr w:type="gramEnd"/>
      <w:r>
        <w:rPr>
          <w:rFonts w:ascii="Arial" w:eastAsia="Arial" w:hAnsi="Arial" w:cs="Arial"/>
        </w:rPr>
        <w:t xml:space="preserve"> to render that violation benign.</w:t>
      </w:r>
    </w:p>
    <w:p w14:paraId="000001AB" w14:textId="77777777" w:rsidR="003D2C5F" w:rsidRDefault="00000000">
      <w:pPr>
        <w:spacing w:before="180" w:after="180" w:line="360" w:lineRule="auto"/>
        <w:jc w:val="both"/>
        <w:rPr>
          <w:rFonts w:ascii="Arial" w:eastAsia="Arial" w:hAnsi="Arial" w:cs="Arial"/>
        </w:rPr>
      </w:pPr>
      <w:r>
        <w:rPr>
          <w:rFonts w:ascii="Arial" w:eastAsia="Arial" w:hAnsi="Arial" w:cs="Arial"/>
          <w:b/>
          <w:bCs/>
        </w:rPr>
        <w:t xml:space="preserve">Observational </w:t>
      </w:r>
      <w:proofErr w:type="spellStart"/>
      <w:r>
        <w:rPr>
          <w:rFonts w:ascii="Arial" w:eastAsia="Arial" w:hAnsi="Arial" w:cs="Arial"/>
          <w:b/>
          <w:bCs/>
        </w:rPr>
        <w:t>humour</w:t>
      </w:r>
      <w:proofErr w:type="spellEnd"/>
      <w:r>
        <w:rPr>
          <w:rFonts w:ascii="Arial" w:eastAsia="Arial" w:hAnsi="Arial" w:cs="Arial"/>
          <w:b/>
          <w:bCs/>
        </w:rPr>
        <w:t>.</w:t>
      </w:r>
      <w:r>
        <w:rPr>
          <w:rFonts w:ascii="Arial" w:eastAsia="Arial" w:hAnsi="Arial" w:cs="Arial"/>
        </w:rPr>
        <w:t xml:space="preserve"> Four posts use </w:t>
      </w:r>
      <w:proofErr w:type="spellStart"/>
      <w:r>
        <w:rPr>
          <w:rFonts w:ascii="Arial" w:eastAsia="Arial" w:hAnsi="Arial" w:cs="Arial"/>
        </w:rPr>
        <w:t>humour</w:t>
      </w:r>
      <w:proofErr w:type="spellEnd"/>
      <w:r>
        <w:rPr>
          <w:rFonts w:ascii="Arial" w:eastAsia="Arial" w:hAnsi="Arial" w:cs="Arial"/>
        </w:rPr>
        <w:t xml:space="preserve"> without personifying Cuthbert (P04, P10, P11, P14), commenting on the situation from outside the story — for example, proposing a documentary with the “Working title: Making a Caterpillar” (P11). This style of </w:t>
      </w:r>
      <w:proofErr w:type="spellStart"/>
      <w:r>
        <w:rPr>
          <w:rFonts w:ascii="Arial" w:eastAsia="Arial" w:hAnsi="Arial" w:cs="Arial"/>
        </w:rPr>
        <w:t>humour</w:t>
      </w:r>
      <w:proofErr w:type="spellEnd"/>
      <w:r>
        <w:rPr>
          <w:rFonts w:ascii="Arial" w:eastAsia="Arial" w:hAnsi="Arial" w:cs="Arial"/>
        </w:rPr>
        <w:t xml:space="preserve"> presents Aldi UK as a bemused bystander rather than an engaged combatant.</w:t>
      </w:r>
    </w:p>
    <w:p w14:paraId="000001AC" w14:textId="77777777" w:rsidR="003D2C5F" w:rsidRDefault="00000000">
      <w:pPr>
        <w:spacing w:before="240" w:after="240" w:line="360" w:lineRule="auto"/>
        <w:jc w:val="both"/>
        <w:rPr>
          <w:rFonts w:ascii="Arial" w:eastAsia="Arial" w:hAnsi="Arial" w:cs="Arial"/>
        </w:rPr>
      </w:pPr>
      <w:proofErr w:type="spellStart"/>
      <w:r>
        <w:rPr>
          <w:rFonts w:ascii="Arial" w:eastAsia="Arial" w:hAnsi="Arial" w:cs="Arial"/>
        </w:rPr>
        <w:t>Humour</w:t>
      </w:r>
      <w:proofErr w:type="spellEnd"/>
      <w:r>
        <w:rPr>
          <w:rFonts w:ascii="Arial" w:eastAsia="Arial" w:hAnsi="Arial" w:cs="Arial"/>
        </w:rPr>
        <w:t xml:space="preserve"> is present in every phase, including the two charity-linked posts of Phase 3 (P15, P16). This appears consistent with </w:t>
      </w:r>
      <w:proofErr w:type="spellStart"/>
      <w:r>
        <w:rPr>
          <w:rFonts w:ascii="Arial" w:eastAsia="Arial" w:hAnsi="Arial" w:cs="Arial"/>
        </w:rPr>
        <w:t>humour</w:t>
      </w:r>
      <w:proofErr w:type="spellEnd"/>
      <w:r>
        <w:rPr>
          <w:rFonts w:ascii="Arial" w:eastAsia="Arial" w:hAnsi="Arial" w:cs="Arial"/>
        </w:rPr>
        <w:t xml:space="preserve"> functioning as an executional tool of the campaign rather than as a fixed brand personality trait; the implications for brand personality theory (Aaker, 1997) are explored in Chapter Five.</w:t>
      </w:r>
    </w:p>
    <w:p w14:paraId="000001AD" w14:textId="77777777" w:rsidR="003D2C5F" w:rsidRPr="00874F25" w:rsidRDefault="00000000">
      <w:pPr>
        <w:pStyle w:val="Heading3"/>
        <w:keepNext w:val="0"/>
        <w:keepLines w:val="0"/>
        <w:spacing w:before="280" w:line="360" w:lineRule="auto"/>
        <w:jc w:val="both"/>
        <w:rPr>
          <w:b w:val="0"/>
          <w:bCs w:val="0"/>
          <w:sz w:val="26"/>
          <w:szCs w:val="26"/>
        </w:rPr>
      </w:pPr>
      <w:bookmarkStart w:id="117" w:name="_92ukb3gdjnkn" w:colFirst="0" w:colLast="0"/>
      <w:bookmarkStart w:id="118" w:name="_Toc241144207"/>
      <w:bookmarkEnd w:id="117"/>
      <w:r w:rsidRPr="00874F25">
        <w:rPr>
          <w:sz w:val="26"/>
          <w:szCs w:val="26"/>
        </w:rPr>
        <w:t>4.3.2 Narrative: Character, Conflict and Resolution</w:t>
      </w:r>
      <w:bookmarkEnd w:id="118"/>
    </w:p>
    <w:p w14:paraId="040A13AB"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b/>
          <w:bCs/>
        </w:rPr>
        <w:t xml:space="preserve">Phase 1: </w:t>
      </w:r>
      <w:r w:rsidRPr="00874F25">
        <w:rPr>
          <w:rFonts w:ascii="Arial" w:eastAsia="Arial" w:hAnsi="Arial" w:cs="Arial"/>
        </w:rPr>
        <w:t>Character introduction. Cuthbert is not given as a product but as a person, outside of the legal battle between the two companies. The one Phase 1 post (P01) sets up the disagreement as a “court case” using a mock-up of the slogan of Marks and Spencer's: “This is not just any court case, this is…”.</w:t>
      </w:r>
    </w:p>
    <w:p w14:paraId="11A132CF"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b/>
          <w:bCs/>
        </w:rPr>
        <w:t xml:space="preserve">Phase 2: </w:t>
      </w:r>
      <w:r w:rsidRPr="00874F25">
        <w:rPr>
          <w:rFonts w:ascii="Arial" w:eastAsia="Arial" w:hAnsi="Arial" w:cs="Arial"/>
        </w:rPr>
        <w:t>Escalation and conflict. The story of Injustice is for the record, as Cuthbert is put behind bars in a “Packaging update” (P03), “found GUILTY… of being delicious” (P06) and trial even faces him (“Judge: Show us the evidence!”, P05; “Live from inside the courtroom”, P07). The hashtag #FreeCuthbert invites the public to join in, as it is presented as a call to action for the “release” of Cuthbert. Legal language is not completely ignored: six of the eleven Phase 2 posts are coded for Legal Sensitivity, but the courtroom doesn't serve as a place for lawyering, but as a site for jokes (Appendix D). This is an interpretation that frames the controversy as a moral tale in legalese.</w:t>
      </w:r>
    </w:p>
    <w:p w14:paraId="7026DEB3"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b/>
          <w:bCs/>
        </w:rPr>
        <w:t xml:space="preserve">Phase 3: </w:t>
      </w:r>
      <w:r w:rsidRPr="00874F25">
        <w:rPr>
          <w:rFonts w:ascii="Arial" w:eastAsia="Arial" w:hAnsi="Arial" w:cs="Arial"/>
        </w:rPr>
        <w:t xml:space="preserve">Resolution. The ending of this story is positive and hopeful – Aldi asks Marks and Spencer if they can be “besties” (P15) and invites rival supermarkets to get involved in a charitable campaign (P16). This provides a definite end point to the narrative, while at the same time accounting for the dispute by comparing the cost of lawyers and giving </w:t>
      </w:r>
      <w:r w:rsidRPr="00874F25">
        <w:rPr>
          <w:rFonts w:ascii="Arial" w:eastAsia="Arial" w:hAnsi="Arial" w:cs="Arial"/>
        </w:rPr>
        <w:lastRenderedPageBreak/>
        <w:t>charity (P15, P16), which can be interpreted as consistent with a risk averse approach to campaign closure (Section 4.4).</w:t>
      </w:r>
    </w:p>
    <w:p w14:paraId="1E3A7F60"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rPr>
        <w:t>The wrangle then becomes a tale of salvation coming from the release of a sympathetic character instead of a court ruling, and one in which Aldi UK are not depicted as a company being taken to court for trademark infringement.</w:t>
      </w:r>
    </w:p>
    <w:p w14:paraId="45355393"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rPr>
        <w:t>In this module, students will learn the importance of brand positioning for brand success through the lens of brand personality, specifically sincerity, excitement and challenger positioning.</w:t>
      </w:r>
    </w:p>
    <w:p w14:paraId="000001B2" w14:textId="77777777" w:rsidR="003D2C5F" w:rsidRPr="00874F25" w:rsidRDefault="00000000">
      <w:pPr>
        <w:pStyle w:val="Heading3"/>
        <w:keepNext w:val="0"/>
        <w:keepLines w:val="0"/>
        <w:spacing w:before="280" w:line="360" w:lineRule="auto"/>
        <w:jc w:val="both"/>
        <w:rPr>
          <w:b w:val="0"/>
          <w:bCs w:val="0"/>
          <w:sz w:val="26"/>
          <w:szCs w:val="26"/>
        </w:rPr>
      </w:pPr>
      <w:bookmarkStart w:id="119" w:name="_wne36ybj8g2b" w:colFirst="0" w:colLast="0"/>
      <w:bookmarkStart w:id="120" w:name="_Toc241144208"/>
      <w:bookmarkEnd w:id="119"/>
      <w:r w:rsidRPr="00874F25">
        <w:rPr>
          <w:sz w:val="26"/>
          <w:szCs w:val="26"/>
        </w:rPr>
        <w:t>4.3.3 Brand Personality: Sincerity, Excitement and Challenger Positioning</w:t>
      </w:r>
      <w:bookmarkEnd w:id="120"/>
    </w:p>
    <w:p w14:paraId="2326E90B"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rPr>
        <w:t>With the framework of Aaker (1997) two major personality dimensions were found in the corpus.</w:t>
      </w:r>
    </w:p>
    <w:p w14:paraId="26C7139A"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rPr>
        <w:t>Sincerity. There is some evidence of warmth and good will in some posts, such as the idea that Colin and Cuthbert should become “besties” (P15) and that rival supermarkets should unite for charity (P16); the brand is also defined by its low-cost and normal pricing. The dimension may be seen as a counterweight to cynicism or opportunism that a lighthearted reaction to a lawsuit might foster.</w:t>
      </w:r>
    </w:p>
    <w:p w14:paraId="3E47D529"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rPr>
        <w:t>Excitement. Other posts involve excitement (as in “Marks &amp; Snitches more like”, P04) and confidence in relation to a bigger player, and the adventure suggested by the #FreeCuthbert story. This size is related to the “underdog” positioning of challenger-brand theory (Section 2.5) in which boldness becomes an asset over resources.</w:t>
      </w:r>
    </w:p>
    <w:p w14:paraId="64C9540B"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rPr>
        <w:t>The sincerity-excitement tension. Some of the posts have more than one dimension and offer some tension within the post. The idea of “besties” in P15, for instance, is a friendly proposition that is directed squarely at the brand Aldi is up in arms against: @marksandspencer. Both goodwill and comedic boldness. Not all posts strike this balance so well, some are sincere, others are just playing along with the joke.</w:t>
      </w:r>
    </w:p>
    <w:p w14:paraId="533A0A8B" w14:textId="09F9FC8B" w:rsidR="00874F25" w:rsidRPr="00874F25" w:rsidRDefault="00874F25" w:rsidP="00874F25">
      <w:pPr>
        <w:spacing w:before="240" w:after="240" w:line="360" w:lineRule="auto"/>
        <w:jc w:val="both"/>
        <w:rPr>
          <w:rFonts w:ascii="Arial" w:eastAsia="Arial" w:hAnsi="Arial" w:cs="Arial"/>
          <w:highlight w:val="yellow"/>
        </w:rPr>
      </w:pPr>
      <w:r w:rsidRPr="00874F25">
        <w:rPr>
          <w:rFonts w:ascii="Arial" w:eastAsia="Arial" w:hAnsi="Arial" w:cs="Arial"/>
        </w:rPr>
        <w:lastRenderedPageBreak/>
        <w:t>Challenger positioning. In 10 of 16 posts (62.5%) the challenge was made explicit or implicit. The explicit positioning is direct comparison (“Marks &amp; Snitches more like”, P04) and the implicit is from the broader story of a discount challenger of an established and heritage brand. It persists in Phase 3 (P13, P15, P16) in a gentler, less competitive manner, with P15 seeking to position itself as friends rather than rivals to Marks and Spencer, implying positioning as a challenger was more a tactic than a reflection of the overall brand positioning of Aldi UK (Chapter Five).</w:t>
      </w:r>
    </w:p>
    <w:p w14:paraId="000001B8" w14:textId="77777777" w:rsidR="003D2C5F" w:rsidRPr="00874F25" w:rsidRDefault="00000000">
      <w:pPr>
        <w:pStyle w:val="Heading3"/>
        <w:keepNext w:val="0"/>
        <w:keepLines w:val="0"/>
        <w:spacing w:before="280" w:line="360" w:lineRule="auto"/>
        <w:jc w:val="both"/>
        <w:rPr>
          <w:b w:val="0"/>
          <w:bCs w:val="0"/>
          <w:sz w:val="26"/>
          <w:szCs w:val="26"/>
        </w:rPr>
      </w:pPr>
      <w:bookmarkStart w:id="121" w:name="_nbw1uyse02lm" w:colFirst="0" w:colLast="0"/>
      <w:bookmarkStart w:id="122" w:name="_Toc241144209"/>
      <w:bookmarkEnd w:id="121"/>
      <w:r w:rsidRPr="00874F25">
        <w:rPr>
          <w:sz w:val="26"/>
          <w:szCs w:val="26"/>
        </w:rPr>
        <w:t>4.3.4 Cultural References and Local Relevance</w:t>
      </w:r>
      <w:bookmarkEnd w:id="122"/>
    </w:p>
    <w:p w14:paraId="58131024" w14:textId="77777777" w:rsidR="00874F25" w:rsidRPr="00874F25" w:rsidRDefault="00874F25" w:rsidP="00874F25">
      <w:pPr>
        <w:spacing w:before="240" w:after="240" w:line="360" w:lineRule="auto"/>
        <w:jc w:val="both"/>
        <w:rPr>
          <w:rFonts w:ascii="Arial" w:eastAsia="Arial" w:hAnsi="Arial" w:cs="Arial"/>
        </w:rPr>
      </w:pPr>
      <w:r w:rsidRPr="00874F25">
        <w:rPr>
          <w:rFonts w:ascii="Arial" w:eastAsia="Arial" w:hAnsi="Arial" w:cs="Arial"/>
        </w:rPr>
        <w:t xml:space="preserve">87.5% of 16 posts is found to include </w:t>
      </w:r>
      <w:proofErr w:type="spellStart"/>
      <w:r w:rsidRPr="00874F25">
        <w:rPr>
          <w:rFonts w:ascii="Arial" w:eastAsia="Arial" w:hAnsi="Arial" w:cs="Arial"/>
        </w:rPr>
        <w:t>recognisable</w:t>
      </w:r>
      <w:proofErr w:type="spellEnd"/>
      <w:r w:rsidRPr="00874F25">
        <w:rPr>
          <w:rFonts w:ascii="Arial" w:eastAsia="Arial" w:hAnsi="Arial" w:cs="Arial"/>
        </w:rPr>
        <w:t xml:space="preserve"> cultural references. They are especially relevant to Objective 2 of this study which provides further insight into how Aldi UK were able to develop messages relevant to their local audiences whilst appealing to the multinational brand.</w:t>
      </w:r>
    </w:p>
    <w:p w14:paraId="59BCDD9E" w14:textId="6E5F0CD1" w:rsidR="00874F25" w:rsidRDefault="00874F25" w:rsidP="00874F25">
      <w:pPr>
        <w:spacing w:before="240" w:after="240" w:line="360" w:lineRule="auto"/>
        <w:jc w:val="both"/>
        <w:rPr>
          <w:rFonts w:ascii="Arial" w:eastAsia="Arial" w:hAnsi="Arial" w:cs="Arial"/>
        </w:rPr>
      </w:pPr>
      <w:r w:rsidRPr="00874F25">
        <w:rPr>
          <w:rFonts w:ascii="Arial" w:eastAsia="Arial" w:hAnsi="Arial" w:cs="Arial"/>
        </w:rPr>
        <w:t xml:space="preserve">The corpus is based on the British culture in three ways. In the first place it is a comic voice that is clearly British, the same as those used by other creators within the series, relying on the </w:t>
      </w:r>
      <w:proofErr w:type="spellStart"/>
      <w:r w:rsidRPr="00874F25">
        <w:rPr>
          <w:rFonts w:ascii="Arial" w:eastAsia="Arial" w:hAnsi="Arial" w:cs="Arial"/>
        </w:rPr>
        <w:t>recognisable</w:t>
      </w:r>
      <w:proofErr w:type="spellEnd"/>
      <w:r w:rsidRPr="00874F25">
        <w:rPr>
          <w:rFonts w:ascii="Arial" w:eastAsia="Arial" w:hAnsi="Arial" w:cs="Arial"/>
        </w:rPr>
        <w:t xml:space="preserve"> tone and tone of voice that is common in British comics (as Holt [2004] suggests brands use meaning already in culture). Second, it is based on a common cultural trope—the “David and Goliath” concept of a challenger confronting a stronger adversary. Thirdly, it's about common British names and brands, such as Judge Rinder (P09), Dulux (P10), BrewDog (P12), Monopoly (P14), Tesco, Sainsbury's and Asda (P16). These decisions combine to give the brand a cultural presence in the UK market.</w:t>
      </w:r>
    </w:p>
    <w:p w14:paraId="000001BC" w14:textId="77777777" w:rsidR="003D2C5F" w:rsidRDefault="00000000">
      <w:pPr>
        <w:pStyle w:val="Heading3"/>
        <w:keepNext w:val="0"/>
        <w:keepLines w:val="0"/>
        <w:spacing w:before="280" w:line="360" w:lineRule="auto"/>
        <w:jc w:val="both"/>
        <w:rPr>
          <w:b w:val="0"/>
          <w:bCs w:val="0"/>
          <w:sz w:val="26"/>
          <w:szCs w:val="26"/>
        </w:rPr>
      </w:pPr>
      <w:bookmarkStart w:id="123" w:name="_yd6c42p38x5a" w:colFirst="0" w:colLast="0"/>
      <w:bookmarkStart w:id="124" w:name="_Toc241144210"/>
      <w:bookmarkEnd w:id="123"/>
      <w:r>
        <w:rPr>
          <w:sz w:val="26"/>
          <w:szCs w:val="26"/>
        </w:rPr>
        <w:t>4.3.5 Comparison with Contemporary External Coverage</w:t>
      </w:r>
      <w:bookmarkEnd w:id="124"/>
    </w:p>
    <w:p w14:paraId="000001BD"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This section addresses RQ3 by comparing how marketing trade, mainstream news and legal-professional coverage framed the campaign (coding in Appendix F, Tables F1–F3). Framing differed consistently by source type, although the secondary corpus is too small (eleven sources) to </w:t>
      </w:r>
      <w:proofErr w:type="spellStart"/>
      <w:r>
        <w:rPr>
          <w:rFonts w:ascii="Arial" w:eastAsia="Arial" w:hAnsi="Arial" w:cs="Arial"/>
        </w:rPr>
        <w:t>generalise</w:t>
      </w:r>
      <w:proofErr w:type="spellEnd"/>
      <w:r>
        <w:rPr>
          <w:rFonts w:ascii="Arial" w:eastAsia="Arial" w:hAnsi="Arial" w:cs="Arial"/>
        </w:rPr>
        <w:t xml:space="preserve"> about whole professional communities.</w:t>
      </w:r>
    </w:p>
    <w:p w14:paraId="000001BE" w14:textId="77777777" w:rsidR="003D2C5F" w:rsidRDefault="00000000">
      <w:pPr>
        <w:spacing w:before="180" w:after="180" w:line="360" w:lineRule="auto"/>
        <w:jc w:val="both"/>
        <w:rPr>
          <w:rFonts w:ascii="Arial" w:eastAsia="Arial" w:hAnsi="Arial" w:cs="Arial"/>
        </w:rPr>
      </w:pPr>
      <w:r>
        <w:rPr>
          <w:rFonts w:ascii="Arial" w:eastAsia="Arial" w:hAnsi="Arial" w:cs="Arial"/>
          <w:b/>
          <w:bCs/>
        </w:rPr>
        <w:lastRenderedPageBreak/>
        <w:t>Marketing trade coverage (3 sources).</w:t>
      </w:r>
      <w:r>
        <w:rPr>
          <w:rFonts w:ascii="Arial" w:eastAsia="Arial" w:hAnsi="Arial" w:cs="Arial"/>
        </w:rPr>
        <w:t xml:space="preserve"> The marketing trade press frames the campaign very </w:t>
      </w:r>
      <w:proofErr w:type="spellStart"/>
      <w:r>
        <w:rPr>
          <w:rFonts w:ascii="Arial" w:eastAsia="Arial" w:hAnsi="Arial" w:cs="Arial"/>
        </w:rPr>
        <w:t>favourably</w:t>
      </w:r>
      <w:proofErr w:type="spellEnd"/>
      <w:r>
        <w:rPr>
          <w:rFonts w:ascii="Arial" w:eastAsia="Arial" w:hAnsi="Arial" w:cs="Arial"/>
        </w:rPr>
        <w:t xml:space="preserve">. The Drum (2021) describes it as a “masterclass in reactive social media marketing”, and the chair of its awards jury called it a great example of crisis management. Marketing Week (2021) links the campaign to Aldi’s ‘lovable disrupter’ reputation and reports that it became Aldi’s biggest news story to date, while the </w:t>
      </w:r>
      <w:proofErr w:type="spellStart"/>
      <w:r>
        <w:rPr>
          <w:rFonts w:ascii="Arial" w:eastAsia="Arial" w:hAnsi="Arial" w:cs="Arial"/>
        </w:rPr>
        <w:t>eurobest</w:t>
      </w:r>
      <w:proofErr w:type="spellEnd"/>
      <w:r>
        <w:rPr>
          <w:rFonts w:ascii="Arial" w:eastAsia="Arial" w:hAnsi="Arial" w:cs="Arial"/>
        </w:rPr>
        <w:t xml:space="preserve"> (2021) awards entry, written by the campaign’s creators, presents it as agile and super-responsive. This coverage focuses on creative and strategic success and pays very little attention to reputational or legal risk. All three sources were published later in 2021 in an awards context (Section 3.4), which may partly explain their </w:t>
      </w:r>
      <w:proofErr w:type="spellStart"/>
      <w:r>
        <w:rPr>
          <w:rFonts w:ascii="Arial" w:eastAsia="Arial" w:hAnsi="Arial" w:cs="Arial"/>
        </w:rPr>
        <w:t>favourable</w:t>
      </w:r>
      <w:proofErr w:type="spellEnd"/>
      <w:r>
        <w:rPr>
          <w:rFonts w:ascii="Arial" w:eastAsia="Arial" w:hAnsi="Arial" w:cs="Arial"/>
        </w:rPr>
        <w:t>, outcome-focused framing.</w:t>
      </w:r>
    </w:p>
    <w:p w14:paraId="000001BF" w14:textId="4F7BA2AA" w:rsidR="003D2C5F" w:rsidRDefault="00000000">
      <w:pPr>
        <w:spacing w:before="180" w:after="180" w:line="360" w:lineRule="auto"/>
        <w:jc w:val="both"/>
        <w:rPr>
          <w:rFonts w:ascii="Arial" w:eastAsia="Arial" w:hAnsi="Arial" w:cs="Arial"/>
        </w:rPr>
      </w:pPr>
      <w:r>
        <w:rPr>
          <w:rFonts w:ascii="Arial" w:eastAsia="Arial" w:hAnsi="Arial" w:cs="Arial"/>
          <w:b/>
          <w:bCs/>
        </w:rPr>
        <w:t xml:space="preserve">Mainstream news coverage (3 sources). </w:t>
      </w:r>
      <w:r>
        <w:rPr>
          <w:rFonts w:ascii="Arial" w:eastAsia="Arial" w:hAnsi="Arial" w:cs="Arial"/>
          <w:bCs/>
        </w:rPr>
        <w:t>Mainstream news reports present the campaign mainly as a humorous and viral reaction to the legal action, while reporting Marks and Spencer’s legal arguments in a factual way. ITV News (2021) notes that Aldi’s social media team had responded to the legal action “with a stream of mocking posts and memes” and reports the later move towards charity, and LBC (2021) similarly describes a stream of posts about the legal challenge, including a sketch of Cuthbert in court. RTÉ News (2021), an Irish outlet, presents the dispute as a viral social media story in which the public, Aldi and other supermarkets joined in with jokes. None of these reports assesses the legal or reputational risks of Aldi’s approach.</w:t>
      </w:r>
    </w:p>
    <w:p w14:paraId="000001C1" w14:textId="77777777" w:rsidR="003D2C5F" w:rsidRDefault="00000000">
      <w:pPr>
        <w:spacing w:before="180" w:after="180" w:line="360" w:lineRule="auto"/>
        <w:jc w:val="both"/>
        <w:rPr>
          <w:rFonts w:ascii="Arial" w:eastAsia="Arial" w:hAnsi="Arial" w:cs="Arial"/>
        </w:rPr>
      </w:pPr>
      <w:r>
        <w:rPr>
          <w:rFonts w:ascii="Arial" w:eastAsia="Arial" w:hAnsi="Arial" w:cs="Arial"/>
          <w:b/>
          <w:bCs/>
        </w:rPr>
        <w:t>Legal-professional coverage (5 sources).</w:t>
      </w:r>
      <w:r>
        <w:rPr>
          <w:rFonts w:ascii="Arial" w:eastAsia="Arial" w:hAnsi="Arial" w:cs="Arial"/>
        </w:rPr>
        <w:t xml:space="preserve"> These sources focus mainly on the legal merits but differ in how they treat the campaign. Wilson Gunn (2021) analyses the trade mark and passing-off arguments without discussing the campaign, while </w:t>
      </w:r>
      <w:proofErr w:type="spellStart"/>
      <w:r>
        <w:rPr>
          <w:rFonts w:ascii="Arial" w:eastAsia="Arial" w:hAnsi="Arial" w:cs="Arial"/>
        </w:rPr>
        <w:t>Geldards</w:t>
      </w:r>
      <w:proofErr w:type="spellEnd"/>
      <w:r>
        <w:rPr>
          <w:rFonts w:ascii="Arial" w:eastAsia="Arial" w:hAnsi="Arial" w:cs="Arial"/>
        </w:rPr>
        <w:t xml:space="preserve"> LLP (2021) separately describes Aldi’s Twitter response as an exceptionally successful PR campaign. Two commentaries link the campaign to the case: Harper Macleod LLP (2021) suggests that Marks and Spencer may have misjudged the moment given public support for Aldi, and Swinburne Maddison LLP (2021) asks whether the campaign, by drawing in other retailers, highlighted how many similar cakes exist and so weakened Marks and Spencer’s case. Legal Cheek (Hussain, 2021) reports the dispute light-heartedly without legal analysis.</w:t>
      </w:r>
    </w:p>
    <w:p w14:paraId="000001C2" w14:textId="77777777" w:rsidR="003D2C5F" w:rsidRDefault="00000000">
      <w:pPr>
        <w:spacing w:before="180" w:after="180" w:line="360" w:lineRule="auto"/>
        <w:jc w:val="both"/>
        <w:rPr>
          <w:rFonts w:ascii="Arial" w:eastAsia="Arial" w:hAnsi="Arial" w:cs="Arial"/>
        </w:rPr>
      </w:pPr>
      <w:r>
        <w:rPr>
          <w:rFonts w:ascii="Arial" w:eastAsia="Arial" w:hAnsi="Arial" w:cs="Arial"/>
          <w:b/>
          <w:bCs/>
        </w:rPr>
        <w:lastRenderedPageBreak/>
        <w:t>Framing discrepancies.</w:t>
      </w:r>
      <w:r>
        <w:rPr>
          <w:rFonts w:ascii="Arial" w:eastAsia="Arial" w:hAnsi="Arial" w:cs="Arial"/>
        </w:rPr>
        <w:t xml:space="preserve"> Marketing trade coverage stresses creative and strategic success; mainstream news presents the campaign as a humorous, viral story while reporting the legal claim factually; and legal-professional commentary focuses mainly on the legal merits, with some commentators linking the campaign to the reputational and legal stakes of the dispute. This pattern suggests that the campaign was interpreted through distinct professional lenses, and that even some legal observers did not see it as entirely separate from the case. These differences in framing are revisited in the evaluative assessment in Section 4.4.</w:t>
      </w:r>
    </w:p>
    <w:p w14:paraId="000001C3" w14:textId="77777777" w:rsidR="003D2C5F" w:rsidRDefault="00000000">
      <w:pPr>
        <w:pStyle w:val="Heading2"/>
        <w:keepNext w:val="0"/>
        <w:keepLines w:val="0"/>
        <w:spacing w:after="80" w:line="360" w:lineRule="auto"/>
        <w:rPr>
          <w:b w:val="0"/>
          <w:bCs w:val="0"/>
          <w:sz w:val="34"/>
          <w:szCs w:val="34"/>
        </w:rPr>
      </w:pPr>
      <w:bookmarkStart w:id="125" w:name="_cwa0msbqpuog" w:colFirst="0" w:colLast="0"/>
      <w:bookmarkStart w:id="126" w:name="_Toc241144211"/>
      <w:bookmarkEnd w:id="125"/>
      <w:r>
        <w:rPr>
          <w:sz w:val="34"/>
          <w:szCs w:val="34"/>
        </w:rPr>
        <w:t>4.4 Evaluative Assessment: Proportionality to Reputational and Legal Risks</w:t>
      </w:r>
      <w:bookmarkEnd w:id="126"/>
    </w:p>
    <w:p w14:paraId="000001C4" w14:textId="77777777" w:rsidR="003D2C5F" w:rsidRDefault="00000000">
      <w:pPr>
        <w:pStyle w:val="Heading3"/>
        <w:keepNext w:val="0"/>
        <w:keepLines w:val="0"/>
        <w:spacing w:before="280" w:line="360" w:lineRule="auto"/>
        <w:jc w:val="both"/>
        <w:rPr>
          <w:b w:val="0"/>
          <w:bCs w:val="0"/>
          <w:sz w:val="26"/>
          <w:szCs w:val="26"/>
        </w:rPr>
      </w:pPr>
      <w:bookmarkStart w:id="127" w:name="_fxq2v55nq9uh" w:colFirst="0" w:colLast="0"/>
      <w:bookmarkStart w:id="128" w:name="_Toc241144212"/>
      <w:bookmarkEnd w:id="127"/>
      <w:r>
        <w:rPr>
          <w:sz w:val="26"/>
          <w:szCs w:val="26"/>
        </w:rPr>
        <w:t>4.4.1 Reputational Risk Management</w:t>
      </w:r>
      <w:bookmarkEnd w:id="128"/>
    </w:p>
    <w:p w14:paraId="31467062" w14:textId="32CAE5A1" w:rsidR="00874F25" w:rsidRPr="00874F25" w:rsidRDefault="00874F25">
      <w:pPr>
        <w:spacing w:before="240" w:after="240" w:line="360" w:lineRule="auto"/>
        <w:jc w:val="both"/>
        <w:rPr>
          <w:rFonts w:ascii="Arial" w:eastAsia="Arial" w:hAnsi="Arial" w:cs="Arial"/>
          <w:highlight w:val="yellow"/>
        </w:rPr>
      </w:pPr>
      <w:r w:rsidRPr="00874F25">
        <w:rPr>
          <w:rFonts w:ascii="Arial" w:eastAsia="Arial" w:hAnsi="Arial" w:cs="Arial"/>
        </w:rPr>
        <w:t xml:space="preserve">The evaluative strand employs the framework of the </w:t>
      </w:r>
      <w:proofErr w:type="spellStart"/>
      <w:r w:rsidRPr="00874F25">
        <w:rPr>
          <w:rFonts w:ascii="Arial" w:eastAsia="Arial" w:hAnsi="Arial" w:cs="Arial"/>
        </w:rPr>
        <w:t>paracrisis</w:t>
      </w:r>
      <w:proofErr w:type="spellEnd"/>
      <w:r w:rsidRPr="00874F25">
        <w:rPr>
          <w:rFonts w:ascii="Arial" w:eastAsia="Arial" w:hAnsi="Arial" w:cs="Arial"/>
        </w:rPr>
        <w:t xml:space="preserve"> concept (Coombs and Holladay, 2012) to determine the appropriateness of Aldi UK's response in terms of its reputational commitment. While these are readings of the corpus, rather than evidence of Aldi </w:t>
      </w:r>
      <w:r>
        <w:rPr>
          <w:rFonts w:ascii="Arial" w:eastAsia="Arial" w:hAnsi="Arial" w:cs="Arial"/>
        </w:rPr>
        <w:t>UK's</w:t>
      </w:r>
      <w:r w:rsidRPr="00874F25">
        <w:rPr>
          <w:rFonts w:ascii="Arial" w:eastAsia="Arial" w:hAnsi="Arial" w:cs="Arial"/>
        </w:rPr>
        <w:t xml:space="preserve"> internal risk-management processes, they are four recurring features of the corpus that suggest risk-aware communication (Table 4.3, Appendix E).</w:t>
      </w:r>
    </w:p>
    <w:p w14:paraId="0AC0267C" w14:textId="4E4E1387" w:rsidR="00874F25" w:rsidRPr="00874F25" w:rsidRDefault="00874F25" w:rsidP="00874F25">
      <w:pPr>
        <w:spacing w:before="180" w:after="180" w:line="360" w:lineRule="auto"/>
        <w:jc w:val="both"/>
        <w:rPr>
          <w:rFonts w:ascii="Arial" w:eastAsia="Arial" w:hAnsi="Arial" w:cs="Arial"/>
        </w:rPr>
      </w:pPr>
      <w:r w:rsidRPr="00874F25">
        <w:rPr>
          <w:rFonts w:ascii="Arial" w:eastAsia="Arial" w:hAnsi="Arial" w:cs="Arial"/>
          <w:b/>
          <w:bCs/>
        </w:rPr>
        <w:t xml:space="preserve">Feature 1: </w:t>
      </w:r>
      <w:r w:rsidRPr="00874F25">
        <w:rPr>
          <w:rFonts w:ascii="Arial" w:eastAsia="Arial" w:hAnsi="Arial" w:cs="Arial"/>
        </w:rPr>
        <w:t>Displacement of conflict from brand to character. In most posts (12/16, 75.0%)</w:t>
      </w:r>
      <w:r>
        <w:rPr>
          <w:rFonts w:ascii="Arial" w:eastAsia="Arial" w:hAnsi="Arial" w:cs="Arial"/>
        </w:rPr>
        <w:t>,</w:t>
      </w:r>
      <w:r w:rsidRPr="00874F25">
        <w:rPr>
          <w:rFonts w:ascii="Arial" w:eastAsia="Arial" w:hAnsi="Arial" w:cs="Arial"/>
        </w:rPr>
        <w:t xml:space="preserve"> Cuthbert is described as a person. This moves the focus away from the legal argument and from Aldi UK being a defendant to Cuthbert being a character, and enables members of the public to interact with the story without interacting with any legal argument.</w:t>
      </w:r>
    </w:p>
    <w:p w14:paraId="08911DF2" w14:textId="7DE147D8" w:rsidR="00874F25" w:rsidRPr="00874F25" w:rsidRDefault="00874F25" w:rsidP="00874F25">
      <w:pPr>
        <w:spacing w:before="180" w:after="180" w:line="360" w:lineRule="auto"/>
        <w:jc w:val="both"/>
        <w:rPr>
          <w:rFonts w:ascii="Arial" w:eastAsia="Arial" w:hAnsi="Arial" w:cs="Arial"/>
        </w:rPr>
      </w:pPr>
      <w:r w:rsidRPr="00874F25">
        <w:rPr>
          <w:rFonts w:ascii="Arial" w:eastAsia="Arial" w:hAnsi="Arial" w:cs="Arial"/>
          <w:b/>
          <w:bCs/>
        </w:rPr>
        <w:t xml:space="preserve">Feature 2: </w:t>
      </w:r>
      <w:proofErr w:type="spellStart"/>
      <w:r w:rsidRPr="00874F25">
        <w:rPr>
          <w:rFonts w:ascii="Arial" w:eastAsia="Arial" w:hAnsi="Arial" w:cs="Arial"/>
        </w:rPr>
        <w:t>Humour</w:t>
      </w:r>
      <w:proofErr w:type="spellEnd"/>
      <w:r w:rsidRPr="00874F25">
        <w:rPr>
          <w:rFonts w:ascii="Arial" w:eastAsia="Arial" w:hAnsi="Arial" w:cs="Arial"/>
        </w:rPr>
        <w:t xml:space="preserve"> as a de-escalation device. This </w:t>
      </w:r>
      <w:proofErr w:type="spellStart"/>
      <w:r w:rsidRPr="00874F25">
        <w:rPr>
          <w:rFonts w:ascii="Arial" w:eastAsia="Arial" w:hAnsi="Arial" w:cs="Arial"/>
        </w:rPr>
        <w:t>humour</w:t>
      </w:r>
      <w:proofErr w:type="spellEnd"/>
      <w:r w:rsidRPr="00874F25">
        <w:rPr>
          <w:rFonts w:ascii="Arial" w:eastAsia="Arial" w:hAnsi="Arial" w:cs="Arial"/>
        </w:rPr>
        <w:t xml:space="preserve"> is present in all 16 posts and is generally light throughout the campaign, with no post directly </w:t>
      </w:r>
      <w:proofErr w:type="spellStart"/>
      <w:r w:rsidRPr="00874F25">
        <w:rPr>
          <w:rFonts w:ascii="Arial" w:eastAsia="Arial" w:hAnsi="Arial" w:cs="Arial"/>
        </w:rPr>
        <w:t>criticising</w:t>
      </w:r>
      <w:proofErr w:type="spellEnd"/>
      <w:r w:rsidRPr="00874F25">
        <w:rPr>
          <w:rFonts w:ascii="Arial" w:eastAsia="Arial" w:hAnsi="Arial" w:cs="Arial"/>
        </w:rPr>
        <w:t xml:space="preserve"> the product or legal position of Marks and </w:t>
      </w:r>
      <w:r>
        <w:rPr>
          <w:rFonts w:ascii="Arial" w:eastAsia="Arial" w:hAnsi="Arial" w:cs="Arial"/>
        </w:rPr>
        <w:t>Spencer</w:t>
      </w:r>
      <w:r w:rsidRPr="00874F25">
        <w:rPr>
          <w:rFonts w:ascii="Arial" w:eastAsia="Arial" w:hAnsi="Arial" w:cs="Arial"/>
        </w:rPr>
        <w:t xml:space="preserve">, but with one post mocking the brand by name, “Marks &amp; Snitches more like” (P04). It's a pattern to be reported as the use of </w:t>
      </w:r>
      <w:proofErr w:type="spellStart"/>
      <w:r w:rsidRPr="00874F25">
        <w:rPr>
          <w:rFonts w:ascii="Arial" w:eastAsia="Arial" w:hAnsi="Arial" w:cs="Arial"/>
        </w:rPr>
        <w:t>humour</w:t>
      </w:r>
      <w:proofErr w:type="spellEnd"/>
      <w:r w:rsidRPr="00874F25">
        <w:rPr>
          <w:rFonts w:ascii="Arial" w:eastAsia="Arial" w:hAnsi="Arial" w:cs="Arial"/>
        </w:rPr>
        <w:t xml:space="preserve"> to manage, not to escalate the conflict, as is common in public rivalry (Beard, 2010).</w:t>
      </w:r>
    </w:p>
    <w:p w14:paraId="4236778C" w14:textId="77777777" w:rsidR="00874F25" w:rsidRPr="00874F25" w:rsidRDefault="00874F25" w:rsidP="00874F25">
      <w:pPr>
        <w:spacing w:before="180" w:after="180" w:line="360" w:lineRule="auto"/>
        <w:jc w:val="both"/>
        <w:rPr>
          <w:rFonts w:ascii="Arial" w:eastAsia="Arial" w:hAnsi="Arial" w:cs="Arial"/>
        </w:rPr>
      </w:pPr>
      <w:r w:rsidRPr="00874F25">
        <w:rPr>
          <w:rFonts w:ascii="Arial" w:eastAsia="Arial" w:hAnsi="Arial" w:cs="Arial"/>
          <w:b/>
          <w:bCs/>
        </w:rPr>
        <w:lastRenderedPageBreak/>
        <w:t xml:space="preserve">Feature 3: </w:t>
      </w:r>
      <w:r w:rsidRPr="00874F25">
        <w:rPr>
          <w:rFonts w:ascii="Arial" w:eastAsia="Arial" w:hAnsi="Arial" w:cs="Arial"/>
        </w:rPr>
        <w:t>Charitable extension as reputational cover. The Phase 3 charitable effort is part of an increasing trend in open-ended, pro-social messaging, providing the campaign with a means to avoid a narrowly commercial interpretation. It is not surprising to have it come four days after the first post, as that seems to mark a move from conflict management to 'resolving' the conflict while maintaining goodwill with the public.</w:t>
      </w:r>
    </w:p>
    <w:p w14:paraId="2D95764A" w14:textId="7FAEB2D4" w:rsidR="00874F25" w:rsidRPr="00874F25" w:rsidRDefault="00874F25" w:rsidP="00874F25">
      <w:pPr>
        <w:spacing w:before="180" w:after="180" w:line="360" w:lineRule="auto"/>
        <w:jc w:val="both"/>
        <w:rPr>
          <w:rFonts w:ascii="Arial" w:eastAsia="Arial" w:hAnsi="Arial" w:cs="Arial"/>
          <w:highlight w:val="yellow"/>
        </w:rPr>
      </w:pPr>
      <w:r w:rsidRPr="00874F25">
        <w:rPr>
          <w:rFonts w:ascii="Arial" w:eastAsia="Arial" w:hAnsi="Arial" w:cs="Arial"/>
          <w:b/>
          <w:bCs/>
        </w:rPr>
        <w:t xml:space="preserve">Feature 4: </w:t>
      </w:r>
      <w:r w:rsidRPr="00874F25">
        <w:rPr>
          <w:rFonts w:ascii="Arial" w:eastAsia="Arial" w:hAnsi="Arial" w:cs="Arial"/>
        </w:rPr>
        <w:t xml:space="preserve">No direct legal involvement. None of the posts contradict the law's responsibility or directly </w:t>
      </w:r>
      <w:r>
        <w:rPr>
          <w:rFonts w:ascii="Arial" w:eastAsia="Arial" w:hAnsi="Arial" w:cs="Arial"/>
        </w:rPr>
        <w:t>contest</w:t>
      </w:r>
      <w:r w:rsidRPr="00874F25">
        <w:rPr>
          <w:rFonts w:ascii="Arial" w:eastAsia="Arial" w:hAnsi="Arial" w:cs="Arial"/>
        </w:rPr>
        <w:t xml:space="preserve"> the claims of Marks and Spencer's, but the court case is discussed openly, only as a topic for jokes (see P01, P05 and P07). This is aligned with a non-escalatory response, which the literature in </w:t>
      </w:r>
      <w:proofErr w:type="spellStart"/>
      <w:r w:rsidRPr="00874F25">
        <w:rPr>
          <w:rFonts w:ascii="Arial" w:eastAsia="Arial" w:hAnsi="Arial" w:cs="Arial"/>
        </w:rPr>
        <w:t>paracrisis</w:t>
      </w:r>
      <w:proofErr w:type="spellEnd"/>
      <w:r w:rsidRPr="00874F25">
        <w:rPr>
          <w:rFonts w:ascii="Arial" w:eastAsia="Arial" w:hAnsi="Arial" w:cs="Arial"/>
        </w:rPr>
        <w:t xml:space="preserve"> connects with actual reputational threats (Coombs and Holladay, 2012), but cannot determine whether this was an intentional choice or an avoidance of the legal problem.</w:t>
      </w:r>
    </w:p>
    <w:p w14:paraId="000001CA" w14:textId="77777777" w:rsidR="003D2C5F" w:rsidRPr="00874F25" w:rsidRDefault="00000000">
      <w:pPr>
        <w:pStyle w:val="Heading3"/>
        <w:keepNext w:val="0"/>
        <w:keepLines w:val="0"/>
        <w:spacing w:before="280" w:line="360" w:lineRule="auto"/>
        <w:jc w:val="both"/>
        <w:rPr>
          <w:b w:val="0"/>
          <w:bCs w:val="0"/>
          <w:sz w:val="26"/>
          <w:szCs w:val="26"/>
        </w:rPr>
      </w:pPr>
      <w:bookmarkStart w:id="129" w:name="_v36oogk1ecwt" w:colFirst="0" w:colLast="0"/>
      <w:bookmarkStart w:id="130" w:name="_Toc241144213"/>
      <w:bookmarkEnd w:id="129"/>
      <w:r w:rsidRPr="00874F25">
        <w:rPr>
          <w:sz w:val="26"/>
          <w:szCs w:val="26"/>
        </w:rPr>
        <w:t>4.4.2 Legal Risk Assessment</w:t>
      </w:r>
      <w:bookmarkEnd w:id="130"/>
    </w:p>
    <w:p w14:paraId="368F38F9" w14:textId="0DA7F734" w:rsidR="00874F25" w:rsidRDefault="00874F25">
      <w:pPr>
        <w:spacing w:before="240" w:after="240" w:line="360" w:lineRule="auto"/>
        <w:jc w:val="both"/>
        <w:rPr>
          <w:rFonts w:ascii="Arial" w:eastAsia="Arial" w:hAnsi="Arial" w:cs="Arial"/>
        </w:rPr>
      </w:pPr>
      <w:r w:rsidRPr="00874F25">
        <w:rPr>
          <w:rFonts w:ascii="Arial" w:eastAsia="Arial" w:hAnsi="Arial" w:cs="Arial"/>
        </w:rPr>
        <w:t xml:space="preserve">This analysis is inherently limited as the dissertation does not examine legal liability nor the validity of the trademark's claim, and cannot assert that Aldi UK reduced their legal liability. It </w:t>
      </w:r>
      <w:r>
        <w:rPr>
          <w:rFonts w:ascii="Arial" w:eastAsia="Arial" w:hAnsi="Arial" w:cs="Arial"/>
        </w:rPr>
        <w:t>analyses</w:t>
      </w:r>
      <w:r w:rsidRPr="00874F25">
        <w:rPr>
          <w:rFonts w:ascii="Arial" w:eastAsia="Arial" w:hAnsi="Arial" w:cs="Arial"/>
        </w:rPr>
        <w:t xml:space="preserve"> just what the communication options and legal-professional coverage </w:t>
      </w:r>
      <w:r>
        <w:rPr>
          <w:rFonts w:ascii="Arial" w:eastAsia="Arial" w:hAnsi="Arial" w:cs="Arial"/>
        </w:rPr>
        <w:t>disclose</w:t>
      </w:r>
      <w:r w:rsidRPr="00874F25">
        <w:rPr>
          <w:rFonts w:ascii="Arial" w:eastAsia="Arial" w:hAnsi="Arial" w:cs="Arial"/>
        </w:rPr>
        <w:t xml:space="preserve"> about sensitivity to legal risk.</w:t>
      </w:r>
    </w:p>
    <w:p w14:paraId="000001CC" w14:textId="77777777" w:rsidR="003D2C5F" w:rsidRDefault="00000000">
      <w:pPr>
        <w:spacing w:before="180" w:after="180" w:line="360" w:lineRule="auto"/>
        <w:jc w:val="both"/>
        <w:rPr>
          <w:rFonts w:ascii="Arial" w:eastAsia="Arial" w:hAnsi="Arial" w:cs="Arial"/>
        </w:rPr>
      </w:pPr>
      <w:r>
        <w:rPr>
          <w:rFonts w:ascii="Arial" w:eastAsia="Arial" w:hAnsi="Arial" w:cs="Arial"/>
          <w:b/>
          <w:bCs/>
        </w:rPr>
        <w:t>Communication-level legal sensitivity appears evident.</w:t>
      </w:r>
      <w:r>
        <w:rPr>
          <w:rFonts w:ascii="Arial" w:eastAsia="Arial" w:hAnsi="Arial" w:cs="Arial"/>
        </w:rPr>
        <w:t xml:space="preserve"> The absence from the corpus of any direct legal engagement supports a communicative approach that avoids statements that might be credibly interpreted as admissions or otherwise exploited in the underlying proceedings. This keeps the communication well away from legal argument, as it is built around a character and an expectation of </w:t>
      </w:r>
      <w:proofErr w:type="spellStart"/>
      <w:r>
        <w:rPr>
          <w:rFonts w:ascii="Arial" w:eastAsia="Arial" w:hAnsi="Arial" w:cs="Arial"/>
        </w:rPr>
        <w:t>humour</w:t>
      </w:r>
      <w:proofErr w:type="spellEnd"/>
      <w:r>
        <w:rPr>
          <w:rFonts w:ascii="Arial" w:eastAsia="Arial" w:hAnsi="Arial" w:cs="Arial"/>
        </w:rPr>
        <w:t>, and the charitable extension offers a positive frame that is separate from the eventual legal outcome or any settlement of the dispute.</w:t>
      </w:r>
    </w:p>
    <w:p w14:paraId="000001CD" w14:textId="77777777" w:rsidR="003D2C5F" w:rsidRDefault="00000000">
      <w:pPr>
        <w:spacing w:before="180" w:after="180" w:line="360" w:lineRule="auto"/>
        <w:jc w:val="both"/>
        <w:rPr>
          <w:rFonts w:ascii="Arial" w:eastAsia="Arial" w:hAnsi="Arial" w:cs="Arial"/>
        </w:rPr>
      </w:pPr>
      <w:r>
        <w:rPr>
          <w:rFonts w:ascii="Arial" w:eastAsia="Arial" w:hAnsi="Arial" w:cs="Arial"/>
          <w:b/>
          <w:bCs/>
        </w:rPr>
        <w:t>Legal risk was not the dominant framing in external coverage.</w:t>
      </w:r>
      <w:r>
        <w:rPr>
          <w:rFonts w:ascii="Arial" w:eastAsia="Arial" w:hAnsi="Arial" w:cs="Arial"/>
        </w:rPr>
        <w:t xml:space="preserve"> Most legal-professional sources </w:t>
      </w:r>
      <w:proofErr w:type="spellStart"/>
      <w:r>
        <w:rPr>
          <w:rFonts w:ascii="Arial" w:eastAsia="Arial" w:hAnsi="Arial" w:cs="Arial"/>
        </w:rPr>
        <w:t>analyse</w:t>
      </w:r>
      <w:proofErr w:type="spellEnd"/>
      <w:r>
        <w:rPr>
          <w:rFonts w:ascii="Arial" w:eastAsia="Arial" w:hAnsi="Arial" w:cs="Arial"/>
        </w:rPr>
        <w:t xml:space="preserve"> the claim on its merits, and none suggests that the campaign created new liability for Aldi; two link it to the case, suggesting that the public reaction made Marks and Spencer’s action look misjudged (Harper Macleod LLP, 2021) or even supported Aldi’s position (Swinburne Maddison LLP, 2021).</w:t>
      </w:r>
    </w:p>
    <w:p w14:paraId="000001CE" w14:textId="77777777" w:rsidR="003D2C5F" w:rsidRDefault="00000000">
      <w:pPr>
        <w:spacing w:before="180" w:after="180" w:line="360" w:lineRule="auto"/>
        <w:jc w:val="both"/>
        <w:rPr>
          <w:rFonts w:ascii="Arial" w:eastAsia="Arial" w:hAnsi="Arial" w:cs="Arial"/>
        </w:rPr>
      </w:pPr>
      <w:r>
        <w:rPr>
          <w:rFonts w:ascii="Arial" w:eastAsia="Arial" w:hAnsi="Arial" w:cs="Arial"/>
          <w:b/>
          <w:bCs/>
        </w:rPr>
        <w:lastRenderedPageBreak/>
        <w:t>What cannot be established.</w:t>
      </w:r>
      <w:r>
        <w:rPr>
          <w:rFonts w:ascii="Arial" w:eastAsia="Arial" w:hAnsi="Arial" w:cs="Arial"/>
        </w:rPr>
        <w:t xml:space="preserve"> The pattern is consistent with awareness of legal risk, but the corpus cannot show that it reflects a formal internal risk-management process or that it affected the trademark proceedings. The study supports a claim only about how legal risk was handled at the level of the message.</w:t>
      </w:r>
    </w:p>
    <w:p w14:paraId="000001CF" w14:textId="77777777" w:rsidR="003D2C5F" w:rsidRDefault="00000000">
      <w:pPr>
        <w:pStyle w:val="Heading3"/>
        <w:keepNext w:val="0"/>
        <w:keepLines w:val="0"/>
        <w:spacing w:before="280" w:line="360" w:lineRule="auto"/>
        <w:jc w:val="both"/>
        <w:rPr>
          <w:b w:val="0"/>
          <w:bCs w:val="0"/>
          <w:sz w:val="26"/>
          <w:szCs w:val="26"/>
        </w:rPr>
      </w:pPr>
      <w:bookmarkStart w:id="131" w:name="_my3xnd96o4ss" w:colFirst="0" w:colLast="0"/>
      <w:bookmarkStart w:id="132" w:name="_Toc241144214"/>
      <w:bookmarkEnd w:id="131"/>
      <w:r>
        <w:rPr>
          <w:sz w:val="26"/>
          <w:szCs w:val="26"/>
        </w:rPr>
        <w:t>4.4.3 The Proportionality Question: Opportunity or Overreach?</w:t>
      </w:r>
      <w:bookmarkEnd w:id="132"/>
    </w:p>
    <w:p w14:paraId="000001D0" w14:textId="77777777" w:rsidR="003D2C5F" w:rsidRDefault="00000000">
      <w:pPr>
        <w:spacing w:before="240" w:after="240" w:line="360" w:lineRule="auto"/>
        <w:jc w:val="both"/>
        <w:rPr>
          <w:rFonts w:ascii="Arial" w:eastAsia="Arial" w:hAnsi="Arial" w:cs="Arial"/>
        </w:rPr>
      </w:pPr>
      <w:r>
        <w:rPr>
          <w:rFonts w:ascii="Arial" w:eastAsia="Arial" w:hAnsi="Arial" w:cs="Arial"/>
        </w:rPr>
        <w:t>Bringing together the descriptive, interpretive and evaluative strands, several lines of evidence are consistent with a proportionate response, although they cannot prove it.</w:t>
      </w:r>
    </w:p>
    <w:p w14:paraId="000001D1" w14:textId="77777777" w:rsidR="003D2C5F" w:rsidRDefault="00000000">
      <w:pPr>
        <w:spacing w:before="180" w:after="180" w:line="360" w:lineRule="auto"/>
        <w:jc w:val="both"/>
        <w:rPr>
          <w:rFonts w:ascii="Arial" w:eastAsia="Arial" w:hAnsi="Arial" w:cs="Arial"/>
        </w:rPr>
      </w:pPr>
      <w:r>
        <w:rPr>
          <w:rFonts w:ascii="Arial" w:eastAsia="Arial" w:hAnsi="Arial" w:cs="Arial"/>
          <w:b/>
          <w:bCs/>
        </w:rPr>
        <w:t>The identified features are consistent with risk-aware communication.</w:t>
      </w:r>
      <w:r>
        <w:rPr>
          <w:rFonts w:ascii="Arial" w:eastAsia="Arial" w:hAnsi="Arial" w:cs="Arial"/>
        </w:rPr>
        <w:t xml:space="preserve"> The four features from Section 4.4.1—displacement, </w:t>
      </w:r>
      <w:proofErr w:type="spellStart"/>
      <w:r>
        <w:rPr>
          <w:rFonts w:ascii="Arial" w:eastAsia="Arial" w:hAnsi="Arial" w:cs="Arial"/>
        </w:rPr>
        <w:t>humour</w:t>
      </w:r>
      <w:proofErr w:type="spellEnd"/>
      <w:r>
        <w:rPr>
          <w:rFonts w:ascii="Arial" w:eastAsia="Arial" w:hAnsi="Arial" w:cs="Arial"/>
        </w:rPr>
        <w:t>, charitable extension and legal abstention—are jointly consistent with avoiding aggressive legal argument and personal attack, while keeping enough control of the narrative to shift from a conflict framing to one of resolution.</w:t>
      </w:r>
    </w:p>
    <w:p w14:paraId="000001D2" w14:textId="77777777" w:rsidR="003D2C5F" w:rsidRDefault="00000000">
      <w:pPr>
        <w:spacing w:before="180" w:after="180" w:line="360" w:lineRule="auto"/>
        <w:jc w:val="both"/>
        <w:rPr>
          <w:rFonts w:ascii="Arial" w:eastAsia="Arial" w:hAnsi="Arial" w:cs="Arial"/>
        </w:rPr>
      </w:pPr>
      <w:r>
        <w:rPr>
          <w:rFonts w:ascii="Arial" w:eastAsia="Arial" w:hAnsi="Arial" w:cs="Arial"/>
          <w:b/>
          <w:bCs/>
        </w:rPr>
        <w:t>The campaign did not foreclose alternative outcomes.</w:t>
      </w:r>
      <w:r>
        <w:rPr>
          <w:rFonts w:ascii="Arial" w:eastAsia="Arial" w:hAnsi="Arial" w:cs="Arial"/>
        </w:rPr>
        <w:t xml:space="preserve"> The charitable extension in Phase 3 supports the suggestion that the campaign narrative, rather than the legal outcome of the trademark dispute, provided closure; this is also consistent with the literature on proportionate response, since more than one pathway to a positive conclusion remained open regardless of how the legal case developed.</w:t>
      </w:r>
    </w:p>
    <w:p w14:paraId="00D4F7FB"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b/>
          <w:bCs/>
        </w:rPr>
        <w:t xml:space="preserve">The pattern is more fitting of a thoughtful response than an off-the-cuff one. </w:t>
      </w:r>
      <w:r w:rsidRPr="00CA2914">
        <w:rPr>
          <w:rFonts w:ascii="Arial" w:eastAsia="Arial" w:hAnsi="Arial" w:cs="Arial"/>
        </w:rPr>
        <w:t>No one can prove it from the corpus, but this is the most likely explanation of the findings, that the campaign has been shaped by a careful rather than a hasty reaction, by continued cultural references, and by the absence of legally incriminatory speech.</w:t>
      </w:r>
    </w:p>
    <w:p w14:paraId="000001D4" w14:textId="1F038263" w:rsidR="003D2C5F" w:rsidRDefault="00CA2914" w:rsidP="00CA2914">
      <w:pPr>
        <w:spacing w:before="240" w:after="240" w:line="360" w:lineRule="auto"/>
        <w:jc w:val="both"/>
        <w:rPr>
          <w:rFonts w:ascii="Arial" w:eastAsia="Arial" w:hAnsi="Arial" w:cs="Arial"/>
        </w:rPr>
      </w:pPr>
      <w:r w:rsidRPr="00CA2914">
        <w:rPr>
          <w:rFonts w:ascii="Arial" w:eastAsia="Arial" w:hAnsi="Arial" w:cs="Arial"/>
          <w:b/>
          <w:bCs/>
        </w:rPr>
        <w:t>The results are not 100% “safe” from the campaign.</w:t>
      </w:r>
      <w:r>
        <w:rPr>
          <w:rFonts w:ascii="Arial" w:eastAsia="Arial" w:hAnsi="Arial" w:cs="Arial"/>
          <w:b/>
          <w:bCs/>
        </w:rPr>
        <w:t xml:space="preserve"> </w:t>
      </w:r>
      <w:r w:rsidR="00000000">
        <w:rPr>
          <w:rFonts w:ascii="Arial" w:eastAsia="Arial" w:hAnsi="Arial" w:cs="Arial"/>
        </w:rPr>
        <w:t>The dispute was unresolved during the analysis window, the campaign relied on public goodwill rather than any legal right, and longer-term reputational effects fall outside this study (Section 1.5). The most that can be said is that the response appears proportionate on the available evidence.</w:t>
      </w:r>
    </w:p>
    <w:p w14:paraId="000001D5" w14:textId="77777777" w:rsidR="003D2C5F" w:rsidRDefault="00000000">
      <w:pPr>
        <w:pStyle w:val="Heading2"/>
        <w:keepNext w:val="0"/>
        <w:keepLines w:val="0"/>
        <w:spacing w:after="80" w:line="360" w:lineRule="auto"/>
        <w:rPr>
          <w:b w:val="0"/>
          <w:bCs w:val="0"/>
          <w:sz w:val="34"/>
          <w:szCs w:val="34"/>
        </w:rPr>
      </w:pPr>
      <w:bookmarkStart w:id="133" w:name="_5lrec42nc1mj" w:colFirst="0" w:colLast="0"/>
      <w:bookmarkStart w:id="134" w:name="_Toc241144215"/>
      <w:bookmarkEnd w:id="133"/>
      <w:r>
        <w:rPr>
          <w:sz w:val="34"/>
          <w:szCs w:val="34"/>
        </w:rPr>
        <w:lastRenderedPageBreak/>
        <w:t>4.5 Summary of Findings in Relation to Research Questions</w:t>
      </w:r>
      <w:bookmarkEnd w:id="134"/>
    </w:p>
    <w:p w14:paraId="000001D6" w14:textId="77777777" w:rsidR="003D2C5F" w:rsidRDefault="00000000">
      <w:pPr>
        <w:spacing w:before="180" w:after="180" w:line="360" w:lineRule="auto"/>
        <w:jc w:val="both"/>
        <w:rPr>
          <w:rFonts w:ascii="Arial" w:eastAsia="Arial" w:hAnsi="Arial" w:cs="Arial"/>
        </w:rPr>
      </w:pPr>
      <w:r>
        <w:rPr>
          <w:rFonts w:ascii="Arial" w:eastAsia="Arial" w:hAnsi="Arial" w:cs="Arial"/>
          <w:b/>
          <w:bCs/>
        </w:rPr>
        <w:t>RQ1</w:t>
      </w:r>
      <w:r>
        <w:rPr>
          <w:rFonts w:ascii="Arial" w:eastAsia="Arial" w:hAnsi="Arial" w:cs="Arial"/>
        </w:rPr>
        <w:t xml:space="preserve">: The corpus contains 16 verified posts published on X between 15 and 20 April 2021, in three phases (Initial Response: n=1, 15 April; Campaign Escalation: n=11, 16 April; Charitable Extension: n=4, 19–20 April). </w:t>
      </w:r>
      <w:proofErr w:type="spellStart"/>
      <w:r>
        <w:rPr>
          <w:rFonts w:ascii="Arial" w:eastAsia="Arial" w:hAnsi="Arial" w:cs="Arial"/>
        </w:rPr>
        <w:t>Humour</w:t>
      </w:r>
      <w:proofErr w:type="spellEnd"/>
      <w:r>
        <w:rPr>
          <w:rFonts w:ascii="Arial" w:eastAsia="Arial" w:hAnsi="Arial" w:cs="Arial"/>
        </w:rPr>
        <w:t>, Narrative Progression and Brand Personality Cue were each coded in all posts, followed by Cultural Reference (87.5%), Personification (75.0%), Challenger Positioning (62.5%) and Legal Sensitivity (56.3%). Campaign-period engagement figures could not be recovered, but Aldi was reported to be trending at number one on Twitter within hours of the first post (Marketing Week, 2021).</w:t>
      </w:r>
    </w:p>
    <w:p w14:paraId="000001D7" w14:textId="77777777" w:rsidR="003D2C5F" w:rsidRDefault="00000000">
      <w:pPr>
        <w:spacing w:before="180" w:after="180" w:line="360" w:lineRule="auto"/>
        <w:jc w:val="both"/>
        <w:rPr>
          <w:rFonts w:ascii="Arial" w:eastAsia="Arial" w:hAnsi="Arial" w:cs="Arial"/>
        </w:rPr>
      </w:pPr>
      <w:r>
        <w:rPr>
          <w:rFonts w:ascii="Arial" w:eastAsia="Arial" w:hAnsi="Arial" w:cs="Arial"/>
          <w:b/>
          <w:bCs/>
        </w:rPr>
        <w:t>RQ2</w:t>
      </w:r>
      <w:r>
        <w:rPr>
          <w:rFonts w:ascii="Arial" w:eastAsia="Arial" w:hAnsi="Arial" w:cs="Arial"/>
        </w:rPr>
        <w:t xml:space="preserve">: </w:t>
      </w:r>
      <w:proofErr w:type="spellStart"/>
      <w:r>
        <w:rPr>
          <w:rFonts w:ascii="Arial" w:eastAsia="Arial" w:hAnsi="Arial" w:cs="Arial"/>
        </w:rPr>
        <w:t>Humour</w:t>
      </w:r>
      <w:proofErr w:type="spellEnd"/>
      <w:r>
        <w:rPr>
          <w:rFonts w:ascii="Arial" w:eastAsia="Arial" w:hAnsi="Arial" w:cs="Arial"/>
        </w:rPr>
        <w:t xml:space="preserve"> takes three forms—self-deprecating, character-based and observational—with character-based </w:t>
      </w:r>
      <w:proofErr w:type="spellStart"/>
      <w:r>
        <w:rPr>
          <w:rFonts w:ascii="Arial" w:eastAsia="Arial" w:hAnsi="Arial" w:cs="Arial"/>
        </w:rPr>
        <w:t>humour</w:t>
      </w:r>
      <w:proofErr w:type="spellEnd"/>
      <w:r>
        <w:rPr>
          <w:rFonts w:ascii="Arial" w:eastAsia="Arial" w:hAnsi="Arial" w:cs="Arial"/>
        </w:rPr>
        <w:t xml:space="preserve"> most common and consistent with benign violation theory. The campaign follows a three-part narrative arc of introduction, conflict and resolution that reframes the legal dispute as a moral drama. Brand personality cues reflect sincerity and excitement, in some tension, and cultural references (87.5%) draw on British </w:t>
      </w:r>
      <w:proofErr w:type="spellStart"/>
      <w:r>
        <w:rPr>
          <w:rFonts w:ascii="Arial" w:eastAsia="Arial" w:hAnsi="Arial" w:cs="Arial"/>
        </w:rPr>
        <w:t>humour</w:t>
      </w:r>
      <w:proofErr w:type="spellEnd"/>
      <w:r>
        <w:rPr>
          <w:rFonts w:ascii="Arial" w:eastAsia="Arial" w:hAnsi="Arial" w:cs="Arial"/>
        </w:rPr>
        <w:t>, familiar scripts, brands and public figures.</w:t>
      </w:r>
    </w:p>
    <w:p w14:paraId="000001D8" w14:textId="77777777" w:rsidR="003D2C5F" w:rsidRDefault="00000000">
      <w:pPr>
        <w:spacing w:before="180" w:after="180" w:line="360" w:lineRule="auto"/>
        <w:jc w:val="both"/>
        <w:rPr>
          <w:rFonts w:ascii="Arial" w:eastAsia="Arial" w:hAnsi="Arial" w:cs="Arial"/>
        </w:rPr>
      </w:pPr>
      <w:r>
        <w:rPr>
          <w:rFonts w:ascii="Arial" w:eastAsia="Arial" w:hAnsi="Arial" w:cs="Arial"/>
          <w:b/>
          <w:bCs/>
        </w:rPr>
        <w:t>RQ3</w:t>
      </w:r>
      <w:r>
        <w:rPr>
          <w:rFonts w:ascii="Arial" w:eastAsia="Arial" w:hAnsi="Arial" w:cs="Arial"/>
        </w:rPr>
        <w:t xml:space="preserve">: Marketing trade coverage frames the campaign as a creative and strategic success; mainstream news presents it as a humorous, viral response; and legal-professional commentary focuses on the legal merits, although two commentaries link the campaign to the stakes of the case. Given the small secondary corpus, this pattern should not be </w:t>
      </w:r>
      <w:proofErr w:type="spellStart"/>
      <w:r>
        <w:rPr>
          <w:rFonts w:ascii="Arial" w:eastAsia="Arial" w:hAnsi="Arial" w:cs="Arial"/>
        </w:rPr>
        <w:t>generalised</w:t>
      </w:r>
      <w:proofErr w:type="spellEnd"/>
      <w:r>
        <w:rPr>
          <w:rFonts w:ascii="Arial" w:eastAsia="Arial" w:hAnsi="Arial" w:cs="Arial"/>
        </w:rPr>
        <w:t>.</w:t>
      </w:r>
    </w:p>
    <w:p w14:paraId="000001D9" w14:textId="77777777" w:rsidR="003D2C5F" w:rsidRDefault="00000000">
      <w:pPr>
        <w:spacing w:before="180" w:after="180" w:line="360" w:lineRule="auto"/>
        <w:jc w:val="both"/>
        <w:rPr>
          <w:rFonts w:ascii="Arial" w:eastAsia="Arial" w:hAnsi="Arial" w:cs="Arial"/>
        </w:rPr>
      </w:pPr>
      <w:r>
        <w:rPr>
          <w:rFonts w:ascii="Arial" w:eastAsia="Arial" w:hAnsi="Arial" w:cs="Arial"/>
          <w:b/>
          <w:bCs/>
        </w:rPr>
        <w:t>RQ4</w:t>
      </w:r>
      <w:r>
        <w:rPr>
          <w:rFonts w:ascii="Arial" w:eastAsia="Arial" w:hAnsi="Arial" w:cs="Arial"/>
        </w:rPr>
        <w:t xml:space="preserve">: The case suggests that reactive marketing can manage a legally sensitive situation by displacing conflict onto a character, sustaining controlled </w:t>
      </w:r>
      <w:proofErr w:type="spellStart"/>
      <w:r>
        <w:rPr>
          <w:rFonts w:ascii="Arial" w:eastAsia="Arial" w:hAnsi="Arial" w:cs="Arial"/>
        </w:rPr>
        <w:t>humour</w:t>
      </w:r>
      <w:proofErr w:type="spellEnd"/>
      <w:r>
        <w:rPr>
          <w:rFonts w:ascii="Arial" w:eastAsia="Arial" w:hAnsi="Arial" w:cs="Arial"/>
        </w:rPr>
        <w:t xml:space="preserve">, offering charity as a route to resolution and avoiding legal argument. This is consistent with challenger positioning being feasible in a legally sensitive context without obvious reputational damage, but it rests on culturally specific </w:t>
      </w:r>
      <w:proofErr w:type="spellStart"/>
      <w:r>
        <w:rPr>
          <w:rFonts w:ascii="Arial" w:eastAsia="Arial" w:hAnsi="Arial" w:cs="Arial"/>
        </w:rPr>
        <w:t>humour</w:t>
      </w:r>
      <w:proofErr w:type="spellEnd"/>
      <w:r>
        <w:rPr>
          <w:rFonts w:ascii="Arial" w:eastAsia="Arial" w:hAnsi="Arial" w:cs="Arial"/>
        </w:rPr>
        <w:t>, sustained narrative control and a single case.</w:t>
      </w:r>
    </w:p>
    <w:p w14:paraId="000001DA" w14:textId="77777777" w:rsidR="003D2C5F" w:rsidRDefault="00000000">
      <w:pPr>
        <w:spacing w:before="240" w:after="240" w:line="360" w:lineRule="auto"/>
        <w:jc w:val="both"/>
        <w:rPr>
          <w:rFonts w:ascii="Arial" w:eastAsia="Arial" w:hAnsi="Arial" w:cs="Arial"/>
        </w:rPr>
      </w:pPr>
      <w:r>
        <w:rPr>
          <w:rFonts w:ascii="Arial" w:eastAsia="Arial" w:hAnsi="Arial" w:cs="Arial"/>
        </w:rPr>
        <w:lastRenderedPageBreak/>
        <w:t xml:space="preserve">Chapter Five discusses the implications of these findings in relation to the literature and the conceptual framework, while Chapter Six presents the conclusions and recommendations for practice and future research. </w:t>
      </w:r>
    </w:p>
    <w:p w14:paraId="000001DB" w14:textId="77777777" w:rsidR="003D2C5F" w:rsidRDefault="003D2C5F">
      <w:pPr>
        <w:spacing w:before="240" w:after="240" w:line="360" w:lineRule="auto"/>
        <w:jc w:val="both"/>
        <w:rPr>
          <w:rFonts w:ascii="Arial" w:eastAsia="Arial" w:hAnsi="Arial" w:cs="Arial"/>
        </w:rPr>
      </w:pPr>
    </w:p>
    <w:p w14:paraId="000001DC" w14:textId="77777777" w:rsidR="003D2C5F" w:rsidRDefault="003D2C5F">
      <w:pPr>
        <w:spacing w:before="240" w:after="240" w:line="360" w:lineRule="auto"/>
        <w:jc w:val="both"/>
        <w:rPr>
          <w:rFonts w:ascii="Arial" w:eastAsia="Arial" w:hAnsi="Arial" w:cs="Arial"/>
        </w:rPr>
      </w:pPr>
    </w:p>
    <w:p w14:paraId="000001DD" w14:textId="77777777" w:rsidR="003D2C5F" w:rsidRDefault="003D2C5F">
      <w:pPr>
        <w:spacing w:before="240" w:after="240" w:line="360" w:lineRule="auto"/>
        <w:jc w:val="both"/>
        <w:rPr>
          <w:rFonts w:ascii="Arial" w:eastAsia="Arial" w:hAnsi="Arial" w:cs="Arial"/>
        </w:rPr>
      </w:pPr>
    </w:p>
    <w:p w14:paraId="16E332B1" w14:textId="77777777" w:rsidR="00CA2914" w:rsidRDefault="00CA2914">
      <w:pPr>
        <w:spacing w:before="240" w:after="240" w:line="360" w:lineRule="auto"/>
        <w:jc w:val="both"/>
        <w:rPr>
          <w:rFonts w:ascii="Arial" w:eastAsia="Arial" w:hAnsi="Arial" w:cs="Arial"/>
        </w:rPr>
      </w:pPr>
    </w:p>
    <w:p w14:paraId="4EC7A878" w14:textId="77777777" w:rsidR="00CA2914" w:rsidRDefault="00CA2914">
      <w:pPr>
        <w:spacing w:before="240" w:after="240" w:line="360" w:lineRule="auto"/>
        <w:jc w:val="both"/>
        <w:rPr>
          <w:rFonts w:ascii="Arial" w:eastAsia="Arial" w:hAnsi="Arial" w:cs="Arial"/>
        </w:rPr>
      </w:pPr>
    </w:p>
    <w:p w14:paraId="48E5381B" w14:textId="77777777" w:rsidR="00CA2914" w:rsidRDefault="00CA2914">
      <w:pPr>
        <w:spacing w:before="240" w:after="240" w:line="360" w:lineRule="auto"/>
        <w:jc w:val="both"/>
        <w:rPr>
          <w:rFonts w:ascii="Arial" w:eastAsia="Arial" w:hAnsi="Arial" w:cs="Arial"/>
        </w:rPr>
      </w:pPr>
    </w:p>
    <w:p w14:paraId="2269678B" w14:textId="77777777" w:rsidR="00CA2914" w:rsidRDefault="00CA2914">
      <w:pPr>
        <w:spacing w:before="240" w:after="240" w:line="360" w:lineRule="auto"/>
        <w:jc w:val="both"/>
        <w:rPr>
          <w:rFonts w:ascii="Arial" w:eastAsia="Arial" w:hAnsi="Arial" w:cs="Arial"/>
        </w:rPr>
      </w:pPr>
    </w:p>
    <w:p w14:paraId="2B2706DB" w14:textId="77777777" w:rsidR="00CA2914" w:rsidRDefault="00CA2914">
      <w:pPr>
        <w:spacing w:before="240" w:after="240" w:line="360" w:lineRule="auto"/>
        <w:jc w:val="both"/>
        <w:rPr>
          <w:rFonts w:ascii="Arial" w:eastAsia="Arial" w:hAnsi="Arial" w:cs="Arial"/>
        </w:rPr>
      </w:pPr>
    </w:p>
    <w:p w14:paraId="27AD013A" w14:textId="77777777" w:rsidR="00CA2914" w:rsidRDefault="00CA2914">
      <w:pPr>
        <w:spacing w:before="240" w:after="240" w:line="360" w:lineRule="auto"/>
        <w:jc w:val="both"/>
        <w:rPr>
          <w:rFonts w:ascii="Arial" w:eastAsia="Arial" w:hAnsi="Arial" w:cs="Arial"/>
        </w:rPr>
      </w:pPr>
    </w:p>
    <w:p w14:paraId="1AB0B0EF" w14:textId="77777777" w:rsidR="00CA2914" w:rsidRDefault="00CA2914">
      <w:pPr>
        <w:spacing w:before="240" w:after="240" w:line="360" w:lineRule="auto"/>
        <w:jc w:val="both"/>
        <w:rPr>
          <w:rFonts w:ascii="Arial" w:eastAsia="Arial" w:hAnsi="Arial" w:cs="Arial"/>
        </w:rPr>
      </w:pPr>
    </w:p>
    <w:p w14:paraId="0DF88A39" w14:textId="77777777" w:rsidR="00CA2914" w:rsidRDefault="00CA2914">
      <w:pPr>
        <w:spacing w:before="240" w:after="240" w:line="360" w:lineRule="auto"/>
        <w:jc w:val="both"/>
        <w:rPr>
          <w:rFonts w:ascii="Arial" w:eastAsia="Arial" w:hAnsi="Arial" w:cs="Arial"/>
        </w:rPr>
      </w:pPr>
    </w:p>
    <w:p w14:paraId="759BC16C" w14:textId="77777777" w:rsidR="00CA2914" w:rsidRDefault="00CA2914">
      <w:pPr>
        <w:spacing w:before="240" w:after="240" w:line="360" w:lineRule="auto"/>
        <w:jc w:val="both"/>
        <w:rPr>
          <w:rFonts w:ascii="Arial" w:eastAsia="Arial" w:hAnsi="Arial" w:cs="Arial"/>
        </w:rPr>
      </w:pPr>
    </w:p>
    <w:p w14:paraId="698EFA62" w14:textId="77777777" w:rsidR="00CA2914" w:rsidRDefault="00CA2914">
      <w:pPr>
        <w:spacing w:before="240" w:after="240" w:line="360" w:lineRule="auto"/>
        <w:jc w:val="both"/>
        <w:rPr>
          <w:rFonts w:ascii="Arial" w:eastAsia="Arial" w:hAnsi="Arial" w:cs="Arial"/>
        </w:rPr>
      </w:pPr>
    </w:p>
    <w:p w14:paraId="13C7A5C8" w14:textId="77777777" w:rsidR="00CA2914" w:rsidRDefault="00CA2914">
      <w:pPr>
        <w:spacing w:before="240" w:after="240" w:line="360" w:lineRule="auto"/>
        <w:jc w:val="both"/>
        <w:rPr>
          <w:rFonts w:ascii="Arial" w:eastAsia="Arial" w:hAnsi="Arial" w:cs="Arial"/>
        </w:rPr>
      </w:pPr>
    </w:p>
    <w:p w14:paraId="27925BB0" w14:textId="77777777" w:rsidR="00CA2914" w:rsidRDefault="00CA2914">
      <w:pPr>
        <w:spacing w:before="240" w:after="240" w:line="360" w:lineRule="auto"/>
        <w:jc w:val="both"/>
        <w:rPr>
          <w:rFonts w:ascii="Arial" w:eastAsia="Arial" w:hAnsi="Arial" w:cs="Arial"/>
        </w:rPr>
      </w:pPr>
    </w:p>
    <w:p w14:paraId="2ACFFA98" w14:textId="77777777" w:rsidR="00CA2914" w:rsidRDefault="00CA2914">
      <w:pPr>
        <w:spacing w:before="240" w:after="240" w:line="360" w:lineRule="auto"/>
        <w:jc w:val="both"/>
        <w:rPr>
          <w:rFonts w:ascii="Arial" w:eastAsia="Arial" w:hAnsi="Arial" w:cs="Arial"/>
        </w:rPr>
      </w:pPr>
    </w:p>
    <w:p w14:paraId="000001DE" w14:textId="77777777" w:rsidR="003D2C5F" w:rsidRDefault="00000000">
      <w:pPr>
        <w:pStyle w:val="Heading1"/>
      </w:pPr>
      <w:bookmarkStart w:id="135" w:name="_7u2tqkg5jp26" w:colFirst="0" w:colLast="0"/>
      <w:bookmarkStart w:id="136" w:name="_Toc241144216"/>
      <w:bookmarkEnd w:id="135"/>
      <w:r>
        <w:lastRenderedPageBreak/>
        <w:t>Chapter 5: Discussion</w:t>
      </w:r>
      <w:bookmarkEnd w:id="136"/>
    </w:p>
    <w:p w14:paraId="000001DF" w14:textId="77777777" w:rsidR="003D2C5F" w:rsidRDefault="00000000">
      <w:pPr>
        <w:pStyle w:val="Heading2"/>
        <w:keepNext w:val="0"/>
        <w:keepLines w:val="0"/>
        <w:spacing w:after="80" w:line="360" w:lineRule="auto"/>
        <w:rPr>
          <w:b w:val="0"/>
          <w:bCs w:val="0"/>
          <w:sz w:val="34"/>
          <w:szCs w:val="34"/>
        </w:rPr>
      </w:pPr>
      <w:bookmarkStart w:id="137" w:name="_r6p16dfmtxau" w:colFirst="0" w:colLast="0"/>
      <w:bookmarkStart w:id="138" w:name="_Toc241144217"/>
      <w:bookmarkEnd w:id="137"/>
      <w:r>
        <w:rPr>
          <w:sz w:val="34"/>
          <w:szCs w:val="34"/>
        </w:rPr>
        <w:t>5.1 Introduction</w:t>
      </w:r>
      <w:bookmarkEnd w:id="138"/>
    </w:p>
    <w:p w14:paraId="000001E0"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This chapter relates the findings of Chapter Four to the literature and conceptual framework in Chapter Two. It is </w:t>
      </w:r>
      <w:proofErr w:type="spellStart"/>
      <w:r>
        <w:rPr>
          <w:rFonts w:ascii="Arial" w:eastAsia="Arial" w:hAnsi="Arial" w:cs="Arial"/>
        </w:rPr>
        <w:t>organised</w:t>
      </w:r>
      <w:proofErr w:type="spellEnd"/>
      <w:r>
        <w:rPr>
          <w:rFonts w:ascii="Arial" w:eastAsia="Arial" w:hAnsi="Arial" w:cs="Arial"/>
        </w:rPr>
        <w:t xml:space="preserve"> around the three tensions (Sections 5.2–5.4), which are brought together in Section 5.5, before Section 5.6 considers the implications for international business. Throughout, a distinction is kept between what the case suggests and what the corpus directly demonstrates (Section 3.6).</w:t>
      </w:r>
    </w:p>
    <w:p w14:paraId="000001E2" w14:textId="77777777" w:rsidR="003D2C5F" w:rsidRDefault="00000000">
      <w:pPr>
        <w:pStyle w:val="Heading2"/>
        <w:keepNext w:val="0"/>
        <w:keepLines w:val="0"/>
        <w:spacing w:after="80" w:line="360" w:lineRule="auto"/>
        <w:rPr>
          <w:b w:val="0"/>
          <w:bCs w:val="0"/>
          <w:sz w:val="34"/>
          <w:szCs w:val="34"/>
        </w:rPr>
      </w:pPr>
      <w:bookmarkStart w:id="139" w:name="_y4b58s9d4l1a" w:colFirst="0" w:colLast="0"/>
      <w:bookmarkStart w:id="140" w:name="_Toc241144218"/>
      <w:bookmarkEnd w:id="139"/>
      <w:r>
        <w:rPr>
          <w:sz w:val="34"/>
          <w:szCs w:val="34"/>
        </w:rPr>
        <w:t>5.2 Tension One: Timing, Improvisation and the Execution-Quality Question</w:t>
      </w:r>
      <w:bookmarkEnd w:id="140"/>
    </w:p>
    <w:p w14:paraId="000001E3" w14:textId="77777777" w:rsidR="003D2C5F" w:rsidRDefault="00000000">
      <w:pPr>
        <w:pStyle w:val="Heading3"/>
        <w:keepNext w:val="0"/>
        <w:keepLines w:val="0"/>
        <w:spacing w:before="280" w:line="360" w:lineRule="auto"/>
        <w:jc w:val="both"/>
        <w:rPr>
          <w:b w:val="0"/>
          <w:bCs w:val="0"/>
          <w:sz w:val="26"/>
          <w:szCs w:val="26"/>
        </w:rPr>
      </w:pPr>
      <w:bookmarkStart w:id="141" w:name="_nac5n41zr4n3" w:colFirst="0" w:colLast="0"/>
      <w:bookmarkStart w:id="142" w:name="_Toc241144219"/>
      <w:bookmarkEnd w:id="141"/>
      <w:r>
        <w:rPr>
          <w:sz w:val="26"/>
          <w:szCs w:val="26"/>
        </w:rPr>
        <w:t>5.2.1 From Fast Relevance to Execution Quality</w:t>
      </w:r>
      <w:bookmarkEnd w:id="142"/>
    </w:p>
    <w:p w14:paraId="000001E4" w14:textId="77777777" w:rsidR="003D2C5F" w:rsidRDefault="00000000">
      <w:pPr>
        <w:spacing w:before="180" w:after="180" w:line="360" w:lineRule="auto"/>
        <w:jc w:val="both"/>
        <w:rPr>
          <w:rFonts w:ascii="Arial" w:eastAsia="Arial" w:hAnsi="Arial" w:cs="Arial"/>
        </w:rPr>
      </w:pPr>
      <w:r>
        <w:rPr>
          <w:rFonts w:ascii="Arial" w:eastAsia="Arial" w:hAnsi="Arial" w:cs="Arial"/>
        </w:rPr>
        <w:t>Aldi UK’s first identifiable post appeared within 48 hours of the dispute becoming public (Section 4.2), consistent with Borah et al.’s (2020) description of improvised marketing interventions as executed close in time to a triggering event. The campaign’s creators describe it as something that “could only have happened on social” (</w:t>
      </w:r>
      <w:proofErr w:type="spellStart"/>
      <w:r>
        <w:rPr>
          <w:rFonts w:ascii="Arial" w:eastAsia="Arial" w:hAnsi="Arial" w:cs="Arial"/>
        </w:rPr>
        <w:t>eurobest</w:t>
      </w:r>
      <w:proofErr w:type="spellEnd"/>
      <w:r>
        <w:rPr>
          <w:rFonts w:ascii="Arial" w:eastAsia="Arial" w:hAnsi="Arial" w:cs="Arial"/>
        </w:rPr>
        <w:t>, 2021), and public attention was, on the available evidence, concentrated in the period immediately after the first legal reporting.</w:t>
      </w:r>
    </w:p>
    <w:p w14:paraId="000001E5"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The literature, however, identifies a trade-off between timeliness and execution quality: event-linked, humorous content is associated with </w:t>
      </w:r>
      <w:proofErr w:type="spellStart"/>
      <w:r>
        <w:rPr>
          <w:rFonts w:ascii="Arial" w:eastAsia="Arial" w:hAnsi="Arial" w:cs="Arial"/>
        </w:rPr>
        <w:t>favourable</w:t>
      </w:r>
      <w:proofErr w:type="spellEnd"/>
      <w:r>
        <w:rPr>
          <w:rFonts w:ascii="Arial" w:eastAsia="Arial" w:hAnsi="Arial" w:cs="Arial"/>
        </w:rPr>
        <w:t xml:space="preserve"> attitudes (Borah et al., 2020; Angell et al., 2019), yet improvised real-time messaging generally underperforms planned content (Chae, Rodríguez-</w:t>
      </w:r>
      <w:proofErr w:type="spellStart"/>
      <w:r>
        <w:rPr>
          <w:rFonts w:ascii="Arial" w:eastAsia="Arial" w:hAnsi="Arial" w:cs="Arial"/>
        </w:rPr>
        <w:t>Vilá</w:t>
      </w:r>
      <w:proofErr w:type="spellEnd"/>
      <w:r>
        <w:rPr>
          <w:rFonts w:ascii="Arial" w:eastAsia="Arial" w:hAnsi="Arial" w:cs="Arial"/>
        </w:rPr>
        <w:t xml:space="preserve"> and Bharadwaj, 2025). The #FreeCuthbert case is informative because it is consistent with a rapid response combined with a high degree of narrative and tonal control.</w:t>
      </w:r>
    </w:p>
    <w:p w14:paraId="4F5A17A0" w14:textId="3ABD7166" w:rsidR="00CA2914" w:rsidRPr="00CA2914" w:rsidRDefault="00CA2914">
      <w:pPr>
        <w:spacing w:before="240" w:after="240" w:line="360" w:lineRule="auto"/>
        <w:jc w:val="both"/>
        <w:rPr>
          <w:rFonts w:ascii="Arial" w:eastAsia="Arial" w:hAnsi="Arial" w:cs="Arial"/>
          <w:highlight w:val="yellow"/>
        </w:rPr>
      </w:pPr>
      <w:r w:rsidRPr="00CA2914">
        <w:rPr>
          <w:rFonts w:ascii="Arial" w:eastAsia="Arial" w:hAnsi="Arial" w:cs="Arial"/>
        </w:rPr>
        <w:t>Given that the campaign's makers claim the ‘Cuthbert approach' – adopting a ‘public opinion' stance, as opposed to a legal one – was determined within the first 24 hours (Marketing Week, 2021), such interventions could also be based on existing strategic or creative skills rather than being a purely instinctive decision.</w:t>
      </w:r>
    </w:p>
    <w:p w14:paraId="000001E7" w14:textId="77777777" w:rsidR="003D2C5F" w:rsidRPr="00CA2914" w:rsidRDefault="00000000">
      <w:pPr>
        <w:pStyle w:val="Heading3"/>
        <w:keepNext w:val="0"/>
        <w:keepLines w:val="0"/>
        <w:spacing w:before="280" w:line="360" w:lineRule="auto"/>
        <w:jc w:val="both"/>
        <w:rPr>
          <w:b w:val="0"/>
          <w:bCs w:val="0"/>
          <w:sz w:val="26"/>
          <w:szCs w:val="26"/>
        </w:rPr>
      </w:pPr>
      <w:bookmarkStart w:id="143" w:name="_udky567jnxqv" w:colFirst="0" w:colLast="0"/>
      <w:bookmarkStart w:id="144" w:name="_Toc241144220"/>
      <w:bookmarkEnd w:id="143"/>
      <w:r w:rsidRPr="00CA2914">
        <w:rPr>
          <w:sz w:val="26"/>
          <w:szCs w:val="26"/>
        </w:rPr>
        <w:lastRenderedPageBreak/>
        <w:t>5.2.2 Three-Phase Structure and Strategic Control</w:t>
      </w:r>
      <w:bookmarkEnd w:id="144"/>
    </w:p>
    <w:p w14:paraId="13D6669D"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The three-phase nature in the temporal analysis (Initial Response, Campaign Escalation, Charitable Extension (Section 4.2.2) indicates that there is some degree of strategic control over what is otherwise an unpredictable communication event. The corpus is not a single reactive burst, but is rather structured – or at least structured in appearance – as it has a beginning, middle and end.</w:t>
      </w:r>
    </w:p>
    <w:p w14:paraId="232B4990"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 xml:space="preserve">This pattern needs to be read carefully. The </w:t>
      </w:r>
      <w:proofErr w:type="gramStart"/>
      <w:r w:rsidRPr="00CA2914">
        <w:rPr>
          <w:rFonts w:ascii="Arial" w:eastAsia="Arial" w:hAnsi="Arial" w:cs="Arial"/>
        </w:rPr>
        <w:t>three phase</w:t>
      </w:r>
      <w:proofErr w:type="gramEnd"/>
      <w:r w:rsidRPr="00CA2914">
        <w:rPr>
          <w:rFonts w:ascii="Arial" w:eastAsia="Arial" w:hAnsi="Arial" w:cs="Arial"/>
        </w:rPr>
        <w:t xml:space="preserve"> structure is identified solely from the corpus and does not, on its own, provide any evidence of the intention of Aldi UK to implement these three phases; there are no internal campaign plans, interviews, or other direct evidence of intention. We can only say that the pattern looks like structured improvisation and not an elaborately planned concertation. That qualification was in line with Angell et al.’s (2019) claim that </w:t>
      </w:r>
      <w:proofErr w:type="spellStart"/>
      <w:r w:rsidRPr="00CA2914">
        <w:rPr>
          <w:rFonts w:ascii="Arial" w:eastAsia="Arial" w:hAnsi="Arial" w:cs="Arial"/>
        </w:rPr>
        <w:t>recognisability</w:t>
      </w:r>
      <w:proofErr w:type="spellEnd"/>
      <w:r w:rsidRPr="00CA2914">
        <w:rPr>
          <w:rFonts w:ascii="Arial" w:eastAsia="Arial" w:hAnsi="Arial" w:cs="Arial"/>
        </w:rPr>
        <w:t xml:space="preserve"> is significant when it comes to successful newsjacking content, as Aldi UK's continued interaction was built around a dispute that was already </w:t>
      </w:r>
      <w:proofErr w:type="spellStart"/>
      <w:r w:rsidRPr="00CA2914">
        <w:rPr>
          <w:rFonts w:ascii="Arial" w:eastAsia="Arial" w:hAnsi="Arial" w:cs="Arial"/>
        </w:rPr>
        <w:t>recognisable</w:t>
      </w:r>
      <w:proofErr w:type="spellEnd"/>
      <w:r w:rsidRPr="00CA2914">
        <w:rPr>
          <w:rFonts w:ascii="Arial" w:eastAsia="Arial" w:hAnsi="Arial" w:cs="Arial"/>
        </w:rPr>
        <w:t>, rather than an individual post. The campaign's own creators state an escalatory logic, ‘very shortly after the initial 48 hours we decided that rather than pulling back and going dark, we would turn up the volume in this debate’ (</w:t>
      </w:r>
      <w:proofErr w:type="spellStart"/>
      <w:r w:rsidRPr="00CA2914">
        <w:rPr>
          <w:rFonts w:ascii="Arial" w:eastAsia="Arial" w:hAnsi="Arial" w:cs="Arial"/>
        </w:rPr>
        <w:t>eurobest</w:t>
      </w:r>
      <w:proofErr w:type="spellEnd"/>
      <w:r w:rsidRPr="00CA2914">
        <w:rPr>
          <w:rFonts w:ascii="Arial" w:eastAsia="Arial" w:hAnsi="Arial" w:cs="Arial"/>
        </w:rPr>
        <w:t>, 2021), which aligns with a sustained engagement strategy as opposed to just a reactive touch point, though that is the campaign team's account of the logic, and not necessarily independently verifiable proof of motive.</w:t>
      </w:r>
    </w:p>
    <w:p w14:paraId="441818A0" w14:textId="4EB1D973" w:rsidR="00CA2914" w:rsidRPr="00CA2914" w:rsidRDefault="00CA2914" w:rsidP="00CA2914">
      <w:pPr>
        <w:spacing w:before="240" w:after="240" w:line="360" w:lineRule="auto"/>
        <w:jc w:val="both"/>
        <w:rPr>
          <w:rFonts w:ascii="Arial" w:eastAsia="Arial" w:hAnsi="Arial" w:cs="Arial"/>
          <w:highlight w:val="yellow"/>
        </w:rPr>
      </w:pPr>
      <w:r w:rsidRPr="00CA2914">
        <w:rPr>
          <w:rFonts w:ascii="Arial" w:eastAsia="Arial" w:hAnsi="Arial" w:cs="Arial"/>
        </w:rPr>
        <w:t>The move to the Charitable Extension phase moves from the Conflict framing to a resolution that is not tied to the outcome of the litigation. This setup indicates that there could be a role for reactive marketing in legally significant instances, as long as there is a specific way to resolution, even if the initial response is more spontaneous.</w:t>
      </w:r>
    </w:p>
    <w:p w14:paraId="000001EB" w14:textId="77777777" w:rsidR="003D2C5F" w:rsidRPr="00CA2914" w:rsidRDefault="00000000">
      <w:pPr>
        <w:pStyle w:val="Heading3"/>
        <w:keepNext w:val="0"/>
        <w:keepLines w:val="0"/>
        <w:spacing w:before="280" w:line="360" w:lineRule="auto"/>
        <w:jc w:val="both"/>
        <w:rPr>
          <w:b w:val="0"/>
          <w:bCs w:val="0"/>
          <w:sz w:val="26"/>
          <w:szCs w:val="26"/>
        </w:rPr>
      </w:pPr>
      <w:bookmarkStart w:id="145" w:name="_s1ypb7ry7n28" w:colFirst="0" w:colLast="0"/>
      <w:bookmarkStart w:id="146" w:name="_Toc241144221"/>
      <w:bookmarkEnd w:id="145"/>
      <w:r w:rsidRPr="00CA2914">
        <w:rPr>
          <w:sz w:val="26"/>
          <w:szCs w:val="26"/>
        </w:rPr>
        <w:t>5.2.3 Implications of the Tension Between Improvisation and Timeliness</w:t>
      </w:r>
      <w:bookmarkEnd w:id="146"/>
    </w:p>
    <w:p w14:paraId="000001EC" w14:textId="20861A8A" w:rsidR="003D2C5F" w:rsidRDefault="00CA2914">
      <w:pPr>
        <w:spacing w:before="240" w:after="240" w:line="360" w:lineRule="auto"/>
        <w:jc w:val="both"/>
        <w:rPr>
          <w:rFonts w:ascii="Arial" w:eastAsia="Arial" w:hAnsi="Arial" w:cs="Arial"/>
        </w:rPr>
      </w:pPr>
      <w:r w:rsidRPr="00CA2914">
        <w:rPr>
          <w:rFonts w:ascii="Arial" w:eastAsia="Arial" w:hAnsi="Arial" w:cs="Arial"/>
        </w:rPr>
        <w:t>It's in line with the benefits of rapid topical content found in Borah et al. (2020) and Angell et al. (2019) and offers a solution to (but not a contradiction of) Chae, Rodríguez-</w:t>
      </w:r>
      <w:proofErr w:type="spellStart"/>
      <w:r w:rsidRPr="00CA2914">
        <w:rPr>
          <w:rFonts w:ascii="Arial" w:eastAsia="Arial" w:hAnsi="Arial" w:cs="Arial"/>
        </w:rPr>
        <w:t>Vilá</w:t>
      </w:r>
      <w:proofErr w:type="spellEnd"/>
      <w:r w:rsidRPr="00CA2914">
        <w:rPr>
          <w:rFonts w:ascii="Arial" w:eastAsia="Arial" w:hAnsi="Arial" w:cs="Arial"/>
        </w:rPr>
        <w:t xml:space="preserve"> and Bharadwaj's (2025) caution about unplanned improvisation. The results of this study can be </w:t>
      </w:r>
      <w:proofErr w:type="spellStart"/>
      <w:r w:rsidRPr="00CA2914">
        <w:rPr>
          <w:rFonts w:ascii="Arial" w:eastAsia="Arial" w:hAnsi="Arial" w:cs="Arial"/>
        </w:rPr>
        <w:t>summarised</w:t>
      </w:r>
      <w:proofErr w:type="spellEnd"/>
      <w:r w:rsidRPr="00CA2914">
        <w:rPr>
          <w:rFonts w:ascii="Arial" w:eastAsia="Arial" w:hAnsi="Arial" w:cs="Arial"/>
        </w:rPr>
        <w:t xml:space="preserve"> as “prepared improvisation”, that is, rapid reply in pre-planned strategic </w:t>
      </w:r>
      <w:r w:rsidRPr="00CA2914">
        <w:rPr>
          <w:rFonts w:ascii="Arial" w:eastAsia="Arial" w:hAnsi="Arial" w:cs="Arial"/>
        </w:rPr>
        <w:lastRenderedPageBreak/>
        <w:t>parameters.</w:t>
      </w:r>
      <w:r>
        <w:rPr>
          <w:rFonts w:ascii="Arial" w:eastAsia="Arial" w:hAnsi="Arial" w:cs="Arial"/>
        </w:rPr>
        <w:t xml:space="preserve"> </w:t>
      </w:r>
      <w:r w:rsidR="00000000">
        <w:rPr>
          <w:rFonts w:ascii="Arial" w:eastAsia="Arial" w:hAnsi="Arial" w:cs="Arial"/>
        </w:rPr>
        <w:t>The evidence for prior preparation is indirect—Marketing Week (2021) shows only that the approach was settled within 24 hours, and the claim rests mainly on the campaign team’s own account (</w:t>
      </w:r>
      <w:proofErr w:type="spellStart"/>
      <w:r w:rsidR="00000000">
        <w:rPr>
          <w:rFonts w:ascii="Arial" w:eastAsia="Arial" w:hAnsi="Arial" w:cs="Arial"/>
        </w:rPr>
        <w:t>eurobest</w:t>
      </w:r>
      <w:proofErr w:type="spellEnd"/>
      <w:r w:rsidR="00000000">
        <w:rPr>
          <w:rFonts w:ascii="Arial" w:eastAsia="Arial" w:hAnsi="Arial" w:cs="Arial"/>
        </w:rPr>
        <w:t>, 2021)—so this remains a working hypothesis to be tested through further cases.</w:t>
      </w:r>
    </w:p>
    <w:p w14:paraId="000001ED" w14:textId="77777777" w:rsidR="003D2C5F" w:rsidRDefault="00000000">
      <w:pPr>
        <w:spacing w:before="240" w:after="240" w:line="360" w:lineRule="auto"/>
        <w:jc w:val="both"/>
        <w:rPr>
          <w:rFonts w:ascii="Arial" w:eastAsia="Arial" w:hAnsi="Arial" w:cs="Arial"/>
        </w:rPr>
      </w:pPr>
      <w:r>
        <w:rPr>
          <w:rFonts w:ascii="Arial" w:eastAsia="Arial" w:hAnsi="Arial" w:cs="Arial"/>
        </w:rPr>
        <w:t>In practice, it points to brands building reusable strategic frameworks that allow them to react at speed rather than relying on spontaneous creativity in the moment.</w:t>
      </w:r>
    </w:p>
    <w:p w14:paraId="000001EE" w14:textId="77777777" w:rsidR="003D2C5F" w:rsidRDefault="00000000">
      <w:pPr>
        <w:pStyle w:val="Heading2"/>
        <w:keepNext w:val="0"/>
        <w:keepLines w:val="0"/>
        <w:spacing w:after="80" w:line="360" w:lineRule="auto"/>
        <w:rPr>
          <w:b w:val="0"/>
          <w:bCs w:val="0"/>
          <w:sz w:val="34"/>
          <w:szCs w:val="34"/>
        </w:rPr>
      </w:pPr>
      <w:bookmarkStart w:id="147" w:name="_k3czjmsl08xo" w:colFirst="0" w:colLast="0"/>
      <w:bookmarkStart w:id="148" w:name="_Toc241144222"/>
      <w:bookmarkEnd w:id="147"/>
      <w:r>
        <w:rPr>
          <w:sz w:val="34"/>
          <w:szCs w:val="34"/>
        </w:rPr>
        <w:t>5.3 Tension Two: Open Rivalry as Opportunity or Escalation</w:t>
      </w:r>
      <w:bookmarkEnd w:id="148"/>
    </w:p>
    <w:p w14:paraId="000001EF" w14:textId="77777777" w:rsidR="003D2C5F" w:rsidRDefault="00000000">
      <w:pPr>
        <w:pStyle w:val="Heading3"/>
        <w:keepNext w:val="0"/>
        <w:keepLines w:val="0"/>
        <w:spacing w:before="280" w:line="360" w:lineRule="auto"/>
        <w:jc w:val="both"/>
        <w:rPr>
          <w:b w:val="0"/>
          <w:bCs w:val="0"/>
          <w:sz w:val="26"/>
          <w:szCs w:val="26"/>
        </w:rPr>
      </w:pPr>
      <w:bookmarkStart w:id="149" w:name="_kx3ywuay35lq" w:colFirst="0" w:colLast="0"/>
      <w:bookmarkStart w:id="150" w:name="_Toc241144223"/>
      <w:bookmarkEnd w:id="149"/>
      <w:r>
        <w:rPr>
          <w:sz w:val="26"/>
          <w:szCs w:val="26"/>
        </w:rPr>
        <w:t xml:space="preserve">5.3.1 </w:t>
      </w:r>
      <w:proofErr w:type="spellStart"/>
      <w:r>
        <w:rPr>
          <w:sz w:val="26"/>
          <w:szCs w:val="26"/>
        </w:rPr>
        <w:t>Humour</w:t>
      </w:r>
      <w:proofErr w:type="spellEnd"/>
      <w:r>
        <w:rPr>
          <w:sz w:val="26"/>
          <w:szCs w:val="26"/>
        </w:rPr>
        <w:t xml:space="preserve"> as a Strategic Response Device</w:t>
      </w:r>
      <w:bookmarkEnd w:id="150"/>
    </w:p>
    <w:p w14:paraId="000001F0" w14:textId="77777777" w:rsidR="003D2C5F" w:rsidRDefault="00000000">
      <w:pPr>
        <w:spacing w:before="180" w:after="180" w:line="360" w:lineRule="auto"/>
        <w:jc w:val="both"/>
        <w:rPr>
          <w:rFonts w:ascii="Arial" w:eastAsia="Arial" w:hAnsi="Arial" w:cs="Arial"/>
        </w:rPr>
      </w:pPr>
      <w:proofErr w:type="spellStart"/>
      <w:r>
        <w:rPr>
          <w:rFonts w:ascii="Arial" w:eastAsia="Arial" w:hAnsi="Arial" w:cs="Arial"/>
        </w:rPr>
        <w:t>Humour’s</w:t>
      </w:r>
      <w:proofErr w:type="spellEnd"/>
      <w:r>
        <w:rPr>
          <w:rFonts w:ascii="Arial" w:eastAsia="Arial" w:hAnsi="Arial" w:cs="Arial"/>
        </w:rPr>
        <w:t xml:space="preserve"> presence in all 16 posts is consistent with </w:t>
      </w:r>
      <w:proofErr w:type="spellStart"/>
      <w:r>
        <w:rPr>
          <w:rFonts w:ascii="Arial" w:eastAsia="Arial" w:hAnsi="Arial" w:cs="Arial"/>
        </w:rPr>
        <w:t>Eisend’s</w:t>
      </w:r>
      <w:proofErr w:type="spellEnd"/>
      <w:r>
        <w:rPr>
          <w:rFonts w:ascii="Arial" w:eastAsia="Arial" w:hAnsi="Arial" w:cs="Arial"/>
        </w:rPr>
        <w:t xml:space="preserve"> (2011) view of </w:t>
      </w:r>
      <w:proofErr w:type="spellStart"/>
      <w:r>
        <w:rPr>
          <w:rFonts w:ascii="Arial" w:eastAsia="Arial" w:hAnsi="Arial" w:cs="Arial"/>
        </w:rPr>
        <w:t>humour</w:t>
      </w:r>
      <w:proofErr w:type="spellEnd"/>
      <w:r>
        <w:rPr>
          <w:rFonts w:ascii="Arial" w:eastAsia="Arial" w:hAnsi="Arial" w:cs="Arial"/>
        </w:rPr>
        <w:t xml:space="preserve"> as a context-dependent device. The three forms identified in Chapter Four, with character-based </w:t>
      </w:r>
      <w:proofErr w:type="spellStart"/>
      <w:r>
        <w:rPr>
          <w:rFonts w:ascii="Arial" w:eastAsia="Arial" w:hAnsi="Arial" w:cs="Arial"/>
        </w:rPr>
        <w:t>humour</w:t>
      </w:r>
      <w:proofErr w:type="spellEnd"/>
      <w:r>
        <w:rPr>
          <w:rFonts w:ascii="Arial" w:eastAsia="Arial" w:hAnsi="Arial" w:cs="Arial"/>
        </w:rPr>
        <w:t xml:space="preserve"> predominant, are consistent with benign violation theory (Béal, Lécuyer and Guitart, 2025): the legal dispute supplies the “violation”, while the personification of Cuthbert and a British comic tone make it “benign”.</w:t>
      </w:r>
    </w:p>
    <w:p w14:paraId="000001F1"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This offers a plausible explanation for why the </w:t>
      </w:r>
      <w:proofErr w:type="spellStart"/>
      <w:r>
        <w:rPr>
          <w:rFonts w:ascii="Arial" w:eastAsia="Arial" w:hAnsi="Arial" w:cs="Arial"/>
        </w:rPr>
        <w:t>humour</w:t>
      </w:r>
      <w:proofErr w:type="spellEnd"/>
      <w:r>
        <w:rPr>
          <w:rFonts w:ascii="Arial" w:eastAsia="Arial" w:hAnsi="Arial" w:cs="Arial"/>
        </w:rPr>
        <w:t xml:space="preserve"> appears to have been well received. By shifting the framing from an adversarial contest between two national retailers onto a cake character, Aldi UK’s communication is consistent with reducing the apparent severity of the “violation” while retaining its entertainment value. This broadly fits Yu et al.’s (2022) finding that </w:t>
      </w:r>
      <w:proofErr w:type="spellStart"/>
      <w:r>
        <w:rPr>
          <w:rFonts w:ascii="Arial" w:eastAsia="Arial" w:hAnsi="Arial" w:cs="Arial"/>
        </w:rPr>
        <w:t>humour</w:t>
      </w:r>
      <w:proofErr w:type="spellEnd"/>
      <w:r>
        <w:rPr>
          <w:rFonts w:ascii="Arial" w:eastAsia="Arial" w:hAnsi="Arial" w:cs="Arial"/>
        </w:rPr>
        <w:t xml:space="preserve"> can soften reactions to negative events on social media, although that study examined a different context and a single case cannot establish causation.</w:t>
      </w:r>
    </w:p>
    <w:p w14:paraId="000001F2"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Because </w:t>
      </w:r>
      <w:proofErr w:type="spellStart"/>
      <w:r>
        <w:rPr>
          <w:rFonts w:ascii="Arial" w:eastAsia="Arial" w:hAnsi="Arial" w:cs="Arial"/>
        </w:rPr>
        <w:t>humour</w:t>
      </w:r>
      <w:proofErr w:type="spellEnd"/>
      <w:r>
        <w:rPr>
          <w:rFonts w:ascii="Arial" w:eastAsia="Arial" w:hAnsi="Arial" w:cs="Arial"/>
        </w:rPr>
        <w:t xml:space="preserve"> appeared across all three phases, it is consistent with a campaign device rather than an enduring brand trait. Applying Aaker’s (1997) framework is therefore difficult: both sincerity and excitement cues appeared, and the corpus cannot show whether they reflect lasting characteristics or campaign-specific choices.</w:t>
      </w:r>
    </w:p>
    <w:p w14:paraId="5E432105" w14:textId="77777777" w:rsidR="00CA2914" w:rsidRDefault="00CA2914">
      <w:pPr>
        <w:spacing w:before="240" w:after="240" w:line="360" w:lineRule="auto"/>
        <w:jc w:val="both"/>
        <w:rPr>
          <w:rFonts w:ascii="Arial" w:eastAsia="Arial" w:hAnsi="Arial" w:cs="Arial"/>
        </w:rPr>
      </w:pPr>
    </w:p>
    <w:p w14:paraId="000001F3" w14:textId="77777777" w:rsidR="003D2C5F" w:rsidRDefault="00000000">
      <w:pPr>
        <w:pStyle w:val="Heading3"/>
        <w:keepNext w:val="0"/>
        <w:keepLines w:val="0"/>
        <w:spacing w:before="280" w:line="360" w:lineRule="auto"/>
        <w:jc w:val="both"/>
        <w:rPr>
          <w:b w:val="0"/>
          <w:bCs w:val="0"/>
          <w:sz w:val="26"/>
          <w:szCs w:val="26"/>
        </w:rPr>
      </w:pPr>
      <w:bookmarkStart w:id="151" w:name="_iu0ffio4uzxd" w:colFirst="0" w:colLast="0"/>
      <w:bookmarkStart w:id="152" w:name="_Toc241144224"/>
      <w:bookmarkEnd w:id="151"/>
      <w:r>
        <w:rPr>
          <w:sz w:val="26"/>
          <w:szCs w:val="26"/>
        </w:rPr>
        <w:lastRenderedPageBreak/>
        <w:t>5.3.2 Challenger-Brand Positioning: The Underdog Narrative</w:t>
      </w:r>
      <w:bookmarkEnd w:id="152"/>
    </w:p>
    <w:p w14:paraId="767E2D60"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These are the results from the challenger-brand perspective that public competition can be a golden opportunity for a challenger. Marketing Week (2021) calls Aldi UK a lovable disrupter, while challenger positioning (62.5% of posts) portrays the fighting as one between a low-cost challenger and a long-established brand with heritage. The definition of challenger by Morgan (1999) is that challenger brands compete on attitude and culture instead of resources, which is a concept that we have been following.</w:t>
      </w:r>
    </w:p>
    <w:p w14:paraId="619FB63B"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The campaign's creators claim that the campaign sought to win through attitude, not resources, and that “the goal of the campaign was to win in ‘the court of public opinion, not (in) the High Court'” (</w:t>
      </w:r>
      <w:proofErr w:type="spellStart"/>
      <w:r w:rsidRPr="00CA2914">
        <w:rPr>
          <w:rFonts w:ascii="Arial" w:eastAsia="Arial" w:hAnsi="Arial" w:cs="Arial"/>
        </w:rPr>
        <w:t>eurobest</w:t>
      </w:r>
      <w:proofErr w:type="spellEnd"/>
      <w:r w:rsidRPr="00CA2914">
        <w:rPr>
          <w:rFonts w:ascii="Arial" w:eastAsia="Arial" w:hAnsi="Arial" w:cs="Arial"/>
        </w:rPr>
        <w:t>, 2021). The “Aldi and the People vs M&amp;S” (</w:t>
      </w:r>
      <w:proofErr w:type="spellStart"/>
      <w:r w:rsidRPr="00CA2914">
        <w:rPr>
          <w:rFonts w:ascii="Arial" w:eastAsia="Arial" w:hAnsi="Arial" w:cs="Arial"/>
        </w:rPr>
        <w:t>eurobest</w:t>
      </w:r>
      <w:proofErr w:type="spellEnd"/>
      <w:r w:rsidRPr="00CA2914">
        <w:rPr>
          <w:rFonts w:ascii="Arial" w:eastAsia="Arial" w:hAnsi="Arial" w:cs="Arial"/>
        </w:rPr>
        <w:t>, 2021) framing also positions Aldi UK as the underdog, backed by a public opinion against a bigger entity.</w:t>
      </w:r>
    </w:p>
    <w:p w14:paraId="471EE71A"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 xml:space="preserve">The results also support the findings of Béal, Lécuyer and Guitart (2025) who concluded that market leaders and challengers receive </w:t>
      </w:r>
      <w:proofErr w:type="spellStart"/>
      <w:r w:rsidRPr="00CA2914">
        <w:rPr>
          <w:rFonts w:ascii="Arial" w:eastAsia="Arial" w:hAnsi="Arial" w:cs="Arial"/>
        </w:rPr>
        <w:t>humour</w:t>
      </w:r>
      <w:proofErr w:type="spellEnd"/>
      <w:r w:rsidRPr="00CA2914">
        <w:rPr>
          <w:rFonts w:ascii="Arial" w:eastAsia="Arial" w:hAnsi="Arial" w:cs="Arial"/>
        </w:rPr>
        <w:t xml:space="preserve"> differently. Aldi UK's challenger framing might have provided a more accommodating platform for </w:t>
      </w:r>
      <w:proofErr w:type="spellStart"/>
      <w:r w:rsidRPr="00CA2914">
        <w:rPr>
          <w:rFonts w:ascii="Arial" w:eastAsia="Arial" w:hAnsi="Arial" w:cs="Arial"/>
        </w:rPr>
        <w:t>humour</w:t>
      </w:r>
      <w:proofErr w:type="spellEnd"/>
      <w:r w:rsidRPr="00CA2914">
        <w:rPr>
          <w:rFonts w:ascii="Arial" w:eastAsia="Arial" w:hAnsi="Arial" w:cs="Arial"/>
        </w:rPr>
        <w:t xml:space="preserve"> than Marks and Spencer would have had, but this can only be tested via a single case design (Section 3.3).</w:t>
      </w:r>
    </w:p>
    <w:p w14:paraId="375D7C92" w14:textId="079498FB" w:rsidR="00CA2914" w:rsidRDefault="00CA2914" w:rsidP="00CA2914">
      <w:pPr>
        <w:spacing w:before="240" w:after="240" w:line="360" w:lineRule="auto"/>
        <w:jc w:val="both"/>
        <w:rPr>
          <w:rFonts w:ascii="Arial" w:eastAsia="Arial" w:hAnsi="Arial" w:cs="Arial"/>
        </w:rPr>
      </w:pPr>
      <w:r w:rsidRPr="00CA2914">
        <w:rPr>
          <w:rFonts w:ascii="Arial" w:eastAsia="Arial" w:hAnsi="Arial" w:cs="Arial"/>
        </w:rPr>
        <w:t>Challenger positioning occurs in all 3 phases but is used in P3 in conjunction with charitable, cooperative framing (P15, P16). This implies that it was more about an issue and not necessarily a part of Aldi UK's identity, thus international challenger brands would have to think about if this is a sustainable approach beyond one dispute.</w:t>
      </w:r>
    </w:p>
    <w:p w14:paraId="000001F8" w14:textId="77777777" w:rsidR="003D2C5F" w:rsidRDefault="00000000">
      <w:pPr>
        <w:pStyle w:val="Heading3"/>
        <w:keepNext w:val="0"/>
        <w:keepLines w:val="0"/>
        <w:spacing w:before="280" w:line="360" w:lineRule="auto"/>
        <w:jc w:val="both"/>
        <w:rPr>
          <w:b w:val="0"/>
          <w:bCs w:val="0"/>
          <w:sz w:val="26"/>
          <w:szCs w:val="26"/>
        </w:rPr>
      </w:pPr>
      <w:bookmarkStart w:id="153" w:name="_u3h79m639x2u" w:colFirst="0" w:colLast="0"/>
      <w:bookmarkStart w:id="154" w:name="_Toc241144225"/>
      <w:bookmarkEnd w:id="153"/>
      <w:r>
        <w:rPr>
          <w:sz w:val="26"/>
          <w:szCs w:val="26"/>
        </w:rPr>
        <w:t xml:space="preserve">5.3.3 Cultural Context and </w:t>
      </w:r>
      <w:proofErr w:type="spellStart"/>
      <w:r>
        <w:rPr>
          <w:sz w:val="26"/>
          <w:szCs w:val="26"/>
        </w:rPr>
        <w:t>Localisation</w:t>
      </w:r>
      <w:bookmarkEnd w:id="154"/>
      <w:proofErr w:type="spellEnd"/>
    </w:p>
    <w:p w14:paraId="6F0A6F9E"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 xml:space="preserve">The results are consistent with cultural relevance that is created through British </w:t>
      </w:r>
      <w:proofErr w:type="spellStart"/>
      <w:r w:rsidRPr="00CA2914">
        <w:rPr>
          <w:rFonts w:ascii="Arial" w:eastAsia="Arial" w:hAnsi="Arial" w:cs="Arial"/>
        </w:rPr>
        <w:t>humour</w:t>
      </w:r>
      <w:proofErr w:type="spellEnd"/>
      <w:r w:rsidRPr="00CA2914">
        <w:rPr>
          <w:rFonts w:ascii="Arial" w:eastAsia="Arial" w:hAnsi="Arial" w:cs="Arial"/>
        </w:rPr>
        <w:t xml:space="preserve">, familiar cultural references and scripts, and reference to well-known brands and public figures (Section 4.3.4). This aligns with Holt's (2004) description of brands tapping into culturally available meaning and Cayla and Arnould's (2008) finding that global brands can be successful locally when they mean different things in different cultures, and the </w:t>
      </w:r>
      <w:r w:rsidRPr="00CA2914">
        <w:rPr>
          <w:rFonts w:ascii="Arial" w:eastAsia="Arial" w:hAnsi="Arial" w:cs="Arial"/>
        </w:rPr>
        <w:lastRenderedPageBreak/>
        <w:t>makers' own characterization of the caterpillar cake as “a national institution” (</w:t>
      </w:r>
      <w:proofErr w:type="spellStart"/>
      <w:r w:rsidRPr="00CA2914">
        <w:rPr>
          <w:rFonts w:ascii="Arial" w:eastAsia="Arial" w:hAnsi="Arial" w:cs="Arial"/>
        </w:rPr>
        <w:t>eurobest</w:t>
      </w:r>
      <w:proofErr w:type="spellEnd"/>
      <w:r w:rsidRPr="00CA2914">
        <w:rPr>
          <w:rFonts w:ascii="Arial" w:eastAsia="Arial" w:hAnsi="Arial" w:cs="Arial"/>
        </w:rPr>
        <w:t>, 2021).</w:t>
      </w:r>
    </w:p>
    <w:p w14:paraId="7E68ECF7"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 xml:space="preserve">The informal “Had a pretty busy weekend </w:t>
      </w:r>
      <w:proofErr w:type="spellStart"/>
      <w:r w:rsidRPr="00CA2914">
        <w:rPr>
          <w:rFonts w:ascii="Arial" w:eastAsia="Arial" w:hAnsi="Arial" w:cs="Arial"/>
        </w:rPr>
        <w:t>ngl</w:t>
      </w:r>
      <w:proofErr w:type="spellEnd"/>
      <w:r w:rsidRPr="00CA2914">
        <w:rPr>
          <w:rFonts w:ascii="Arial" w:eastAsia="Arial" w:hAnsi="Arial" w:cs="Arial"/>
        </w:rPr>
        <w:t xml:space="preserve">” (P13) and the wordplay of “Marks &amp; Snitches more like” (P04) and familiarity with British brands makes the brand culturally-rooted in the UK. This is an adaptation approach as opposed to a </w:t>
      </w:r>
      <w:proofErr w:type="spellStart"/>
      <w:r w:rsidRPr="00CA2914">
        <w:rPr>
          <w:rFonts w:ascii="Arial" w:eastAsia="Arial" w:hAnsi="Arial" w:cs="Arial"/>
        </w:rPr>
        <w:t>standardisation</w:t>
      </w:r>
      <w:proofErr w:type="spellEnd"/>
      <w:r w:rsidRPr="00CA2914">
        <w:rPr>
          <w:rFonts w:ascii="Arial" w:eastAsia="Arial" w:hAnsi="Arial" w:cs="Arial"/>
        </w:rPr>
        <w:t xml:space="preserve"> approach (Theodosiou and </w:t>
      </w:r>
      <w:proofErr w:type="spellStart"/>
      <w:r w:rsidRPr="00CA2914">
        <w:rPr>
          <w:rFonts w:ascii="Arial" w:eastAsia="Arial" w:hAnsi="Arial" w:cs="Arial"/>
        </w:rPr>
        <w:t>Leonidou</w:t>
      </w:r>
      <w:proofErr w:type="spellEnd"/>
      <w:r w:rsidRPr="00CA2914">
        <w:rPr>
          <w:rFonts w:ascii="Arial" w:eastAsia="Arial" w:hAnsi="Arial" w:cs="Arial"/>
        </w:rPr>
        <w:t>, 2003; Douglas and Craig, 2011) and the local references would require extensive adaptation to be transferred to other markets.</w:t>
      </w:r>
    </w:p>
    <w:p w14:paraId="03339873" w14:textId="1A57C794" w:rsidR="00CA2914" w:rsidRDefault="00CA2914" w:rsidP="00CA2914">
      <w:pPr>
        <w:spacing w:before="240" w:after="240" w:line="360" w:lineRule="auto"/>
        <w:jc w:val="both"/>
        <w:rPr>
          <w:rFonts w:ascii="Arial" w:eastAsia="Arial" w:hAnsi="Arial" w:cs="Arial"/>
        </w:rPr>
      </w:pPr>
      <w:r w:rsidRPr="00CA2914">
        <w:rPr>
          <w:rFonts w:ascii="Arial" w:eastAsia="Arial" w:hAnsi="Arial" w:cs="Arial"/>
        </w:rPr>
        <w:t>For global challenger brands, this means that such marketing can—and, as an exploratory hypothesis, must—sometimes rely on culturally resonant symbols and scripts which are not equally available in all markets. Although the lessons learned from Aldi UK can be assumed to be applicable to other national settings, the cultural context and law differ.</w:t>
      </w:r>
    </w:p>
    <w:p w14:paraId="000001FC" w14:textId="77777777" w:rsidR="003D2C5F" w:rsidRDefault="00000000">
      <w:pPr>
        <w:pStyle w:val="Heading3"/>
        <w:keepNext w:val="0"/>
        <w:keepLines w:val="0"/>
        <w:spacing w:before="280" w:line="360" w:lineRule="auto"/>
        <w:jc w:val="both"/>
        <w:rPr>
          <w:b w:val="0"/>
          <w:bCs w:val="0"/>
          <w:sz w:val="26"/>
          <w:szCs w:val="26"/>
        </w:rPr>
      </w:pPr>
      <w:bookmarkStart w:id="155" w:name="_v9kurawswfuh" w:colFirst="0" w:colLast="0"/>
      <w:bookmarkStart w:id="156" w:name="_Toc241144226"/>
      <w:bookmarkEnd w:id="155"/>
      <w:r>
        <w:rPr>
          <w:sz w:val="26"/>
          <w:szCs w:val="26"/>
        </w:rPr>
        <w:t>5.3.4 Tension Two Revisited: Open Rivalry Implications</w:t>
      </w:r>
      <w:bookmarkEnd w:id="156"/>
    </w:p>
    <w:p w14:paraId="000001FD"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case is consistent with Berendt, Uhrich and Thompson’s (2018) finding that public rivalry can improve a challenger’s distinctiveness, and with Béal, Lécuyer and Guitart’s (2025) evidence that </w:t>
      </w:r>
      <w:proofErr w:type="spellStart"/>
      <w:r>
        <w:rPr>
          <w:rFonts w:ascii="Arial" w:eastAsia="Arial" w:hAnsi="Arial" w:cs="Arial"/>
        </w:rPr>
        <w:t>humour</w:t>
      </w:r>
      <w:proofErr w:type="spellEnd"/>
      <w:r>
        <w:rPr>
          <w:rFonts w:ascii="Arial" w:eastAsia="Arial" w:hAnsi="Arial" w:cs="Arial"/>
        </w:rPr>
        <w:t xml:space="preserve"> is received differently from leaders and underdogs. It does not overturn Beard’s (2010) warning about escalation; rather, Aldi UK’s communication shows </w:t>
      </w:r>
      <w:proofErr w:type="gramStart"/>
      <w:r>
        <w:rPr>
          <w:rFonts w:ascii="Arial" w:eastAsia="Arial" w:hAnsi="Arial" w:cs="Arial"/>
        </w:rPr>
        <w:t>features</w:t>
      </w:r>
      <w:proofErr w:type="gramEnd"/>
      <w:r>
        <w:rPr>
          <w:rFonts w:ascii="Arial" w:eastAsia="Arial" w:hAnsi="Arial" w:cs="Arial"/>
        </w:rPr>
        <w:t xml:space="preserve"> consistent with avoiding it—character displacement, humorous de-escalation and a charitable resolution. Open rivalry may therefore be pursued without unpredictable escalation, but this appears to depend on sustained narrative control and a route to resolution rather than being a low-risk default.</w:t>
      </w:r>
    </w:p>
    <w:p w14:paraId="000001FE" w14:textId="77777777" w:rsidR="003D2C5F" w:rsidRDefault="00000000">
      <w:pPr>
        <w:pStyle w:val="Heading2"/>
        <w:keepNext w:val="0"/>
        <w:keepLines w:val="0"/>
        <w:spacing w:after="80" w:line="360" w:lineRule="auto"/>
        <w:rPr>
          <w:b w:val="0"/>
          <w:bCs w:val="0"/>
          <w:sz w:val="34"/>
          <w:szCs w:val="34"/>
        </w:rPr>
      </w:pPr>
      <w:bookmarkStart w:id="157" w:name="_3ot3ktb5mumn" w:colFirst="0" w:colLast="0"/>
      <w:bookmarkStart w:id="158" w:name="_Toc241144227"/>
      <w:bookmarkEnd w:id="157"/>
      <w:r>
        <w:rPr>
          <w:sz w:val="34"/>
          <w:szCs w:val="34"/>
        </w:rPr>
        <w:t>5.4 Tension Three: Evaluative Assessment—Proportionality and Risk Management</w:t>
      </w:r>
      <w:bookmarkEnd w:id="158"/>
    </w:p>
    <w:p w14:paraId="000001FF" w14:textId="77777777" w:rsidR="003D2C5F" w:rsidRDefault="00000000">
      <w:pPr>
        <w:pStyle w:val="Heading3"/>
        <w:keepNext w:val="0"/>
        <w:keepLines w:val="0"/>
        <w:spacing w:before="280" w:line="360" w:lineRule="auto"/>
        <w:jc w:val="both"/>
        <w:rPr>
          <w:b w:val="0"/>
          <w:bCs w:val="0"/>
          <w:sz w:val="26"/>
          <w:szCs w:val="26"/>
        </w:rPr>
      </w:pPr>
      <w:bookmarkStart w:id="159" w:name="_6lwbn61bxvwn" w:colFirst="0" w:colLast="0"/>
      <w:bookmarkStart w:id="160" w:name="_Toc241144228"/>
      <w:bookmarkEnd w:id="159"/>
      <w:r>
        <w:rPr>
          <w:sz w:val="26"/>
          <w:szCs w:val="26"/>
        </w:rPr>
        <w:t xml:space="preserve">5.4.1 The </w:t>
      </w:r>
      <w:proofErr w:type="spellStart"/>
      <w:r>
        <w:rPr>
          <w:sz w:val="26"/>
          <w:szCs w:val="26"/>
        </w:rPr>
        <w:t>Paracrisis</w:t>
      </w:r>
      <w:proofErr w:type="spellEnd"/>
      <w:r>
        <w:rPr>
          <w:sz w:val="26"/>
          <w:szCs w:val="26"/>
        </w:rPr>
        <w:t xml:space="preserve"> Lens and the #FreeCuthbert Campaign</w:t>
      </w:r>
      <w:bookmarkEnd w:id="160"/>
    </w:p>
    <w:p w14:paraId="00000200"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results suggest that the </w:t>
      </w:r>
      <w:proofErr w:type="spellStart"/>
      <w:r>
        <w:rPr>
          <w:rFonts w:ascii="Arial" w:eastAsia="Arial" w:hAnsi="Arial" w:cs="Arial"/>
        </w:rPr>
        <w:t>paracrisis</w:t>
      </w:r>
      <w:proofErr w:type="spellEnd"/>
      <w:r>
        <w:rPr>
          <w:rFonts w:ascii="Arial" w:eastAsia="Arial" w:hAnsi="Arial" w:cs="Arial"/>
        </w:rPr>
        <w:t xml:space="preserve"> concept (Coombs and Holladay, 2012) frames the reputational threat behind the #FreeCuthbert response better than an acute crisis-</w:t>
      </w:r>
      <w:r>
        <w:rPr>
          <w:rFonts w:ascii="Arial" w:eastAsia="Arial" w:hAnsi="Arial" w:cs="Arial"/>
        </w:rPr>
        <w:lastRenderedPageBreak/>
        <w:t xml:space="preserve">responsibility account. The dispute did not involve an operational failure, a safety concern or the kind of event that Coombs’s (2007) situational crisis communication theory was designed to address (Section 2.7). Instead, the </w:t>
      </w:r>
      <w:proofErr w:type="spellStart"/>
      <w:r>
        <w:rPr>
          <w:rFonts w:ascii="Arial" w:eastAsia="Arial" w:hAnsi="Arial" w:cs="Arial"/>
        </w:rPr>
        <w:t>paracrisis</w:t>
      </w:r>
      <w:proofErr w:type="spellEnd"/>
      <w:r>
        <w:rPr>
          <w:rFonts w:ascii="Arial" w:eastAsia="Arial" w:hAnsi="Arial" w:cs="Arial"/>
        </w:rPr>
        <w:t xml:space="preserve"> lens frames it as a reputational risk that is out in the open and needs managing publicly but does not reach the level of crisis response.</w:t>
      </w:r>
    </w:p>
    <w:p w14:paraId="00000201"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The four features identified in Section 4.4.1—displacement onto a character, </w:t>
      </w:r>
      <w:proofErr w:type="spellStart"/>
      <w:r>
        <w:rPr>
          <w:rFonts w:ascii="Arial" w:eastAsia="Arial" w:hAnsi="Arial" w:cs="Arial"/>
        </w:rPr>
        <w:t>humour</w:t>
      </w:r>
      <w:proofErr w:type="spellEnd"/>
      <w:r>
        <w:rPr>
          <w:rFonts w:ascii="Arial" w:eastAsia="Arial" w:hAnsi="Arial" w:cs="Arial"/>
        </w:rPr>
        <w:t xml:space="preserve"> as de-escalation, the charitable extension and abstention from legal engagement—are jointly consistent with managing this risk while keeping public attention on the story, and Marketing Week (2021) reports that the trade press saw the campaign as seizing control of the narrative. Extending the campaign across three phases, rather than stopping at the peak of virality, also fits Men and Tsai’s (2013) view that public relationships are built through sustained interaction, although this remains a conjecture.</w:t>
      </w:r>
    </w:p>
    <w:p w14:paraId="00000202" w14:textId="77777777" w:rsidR="003D2C5F" w:rsidRDefault="00000000">
      <w:pPr>
        <w:pStyle w:val="Heading3"/>
        <w:keepNext w:val="0"/>
        <w:keepLines w:val="0"/>
        <w:spacing w:before="280" w:line="360" w:lineRule="auto"/>
        <w:jc w:val="both"/>
        <w:rPr>
          <w:b w:val="0"/>
          <w:bCs w:val="0"/>
          <w:sz w:val="26"/>
          <w:szCs w:val="26"/>
        </w:rPr>
      </w:pPr>
      <w:bookmarkStart w:id="161" w:name="_a9tori87qm1x" w:colFirst="0" w:colLast="0"/>
      <w:bookmarkStart w:id="162" w:name="_Toc241144229"/>
      <w:bookmarkEnd w:id="161"/>
      <w:r>
        <w:rPr>
          <w:sz w:val="26"/>
          <w:szCs w:val="26"/>
        </w:rPr>
        <w:t>5.4.2 Legal Risk and Communication Choices</w:t>
      </w:r>
      <w:bookmarkEnd w:id="162"/>
    </w:p>
    <w:p w14:paraId="056CD14C"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The corpus is never brought to the crux of the legal claims; neither party admits nor denies responsibility for the situation in Aldi UK, and the court case is merely used as the basis for jokes, making the legal dispute a moral one. The legal-professional coverage reviewed (Section 4.3.5) does not indicate that the campaign increased the legal risk, and a single commentary implies that it may have benefited Aldi's legal position (Swinburne Maddison LLP, 2021), confirming the impression that the communication decisions will not have led to a new legal risk.</w:t>
      </w:r>
    </w:p>
    <w:p w14:paraId="3AA60390" w14:textId="77777777" w:rsidR="00CA2914" w:rsidRPr="00CA2914" w:rsidRDefault="00CA2914" w:rsidP="00CA2914">
      <w:pPr>
        <w:spacing w:before="240" w:after="240" w:line="360" w:lineRule="auto"/>
        <w:jc w:val="both"/>
        <w:rPr>
          <w:rFonts w:ascii="Arial" w:eastAsia="Arial" w:hAnsi="Arial" w:cs="Arial"/>
        </w:rPr>
      </w:pPr>
      <w:r w:rsidRPr="00CA2914">
        <w:rPr>
          <w:rFonts w:ascii="Arial" w:eastAsia="Arial" w:hAnsi="Arial" w:cs="Arial"/>
        </w:rPr>
        <w:t xml:space="preserve">This correlates with the proportionate, non-escalatory response that is linked to visible reputational threat in the </w:t>
      </w:r>
      <w:proofErr w:type="spellStart"/>
      <w:r w:rsidRPr="00CA2914">
        <w:rPr>
          <w:rFonts w:ascii="Arial" w:eastAsia="Arial" w:hAnsi="Arial" w:cs="Arial"/>
        </w:rPr>
        <w:t>paracrisis</w:t>
      </w:r>
      <w:proofErr w:type="spellEnd"/>
      <w:r w:rsidRPr="00CA2914">
        <w:rPr>
          <w:rFonts w:ascii="Arial" w:eastAsia="Arial" w:hAnsi="Arial" w:cs="Arial"/>
        </w:rPr>
        <w:t xml:space="preserve"> literature (Coombs and Holladay, 2012). It implies that a legally sensitive event could potentially be a culturally significant event when presented in this way, but it doesn't imply that the campaign reduced Aldi UK's liability in the underlying proceedings which is outside the scope of this study.</w:t>
      </w:r>
    </w:p>
    <w:p w14:paraId="229CC7ED" w14:textId="0DE37293" w:rsidR="00CA2914" w:rsidRDefault="00CA2914" w:rsidP="00CA2914">
      <w:pPr>
        <w:spacing w:before="240" w:after="240" w:line="360" w:lineRule="auto"/>
        <w:jc w:val="both"/>
        <w:rPr>
          <w:rFonts w:ascii="Arial" w:eastAsia="Arial" w:hAnsi="Arial" w:cs="Arial"/>
        </w:rPr>
      </w:pPr>
      <w:r w:rsidRPr="00CA2914">
        <w:rPr>
          <w:rFonts w:ascii="Arial" w:eastAsia="Arial" w:hAnsi="Arial" w:cs="Arial"/>
        </w:rPr>
        <w:t>The analysis cannot substantiate that the campaign was “safe”, since the conflict was left unresolved, the campaign was built on goodwill and the reputational impact of the campaign was not assessed.</w:t>
      </w:r>
    </w:p>
    <w:p w14:paraId="00000206" w14:textId="77777777" w:rsidR="003D2C5F" w:rsidRDefault="00000000">
      <w:pPr>
        <w:pStyle w:val="Heading3"/>
        <w:keepNext w:val="0"/>
        <w:keepLines w:val="0"/>
        <w:spacing w:before="280" w:line="360" w:lineRule="auto"/>
        <w:jc w:val="both"/>
        <w:rPr>
          <w:b w:val="0"/>
          <w:bCs w:val="0"/>
          <w:sz w:val="26"/>
          <w:szCs w:val="26"/>
        </w:rPr>
      </w:pPr>
      <w:bookmarkStart w:id="163" w:name="_do0vigw8l4x9" w:colFirst="0" w:colLast="0"/>
      <w:bookmarkStart w:id="164" w:name="_Toc241144230"/>
      <w:bookmarkEnd w:id="163"/>
      <w:r>
        <w:rPr>
          <w:sz w:val="26"/>
          <w:szCs w:val="26"/>
        </w:rPr>
        <w:lastRenderedPageBreak/>
        <w:t>5.4.3 Implications for the Crisis-Versus-</w:t>
      </w:r>
      <w:proofErr w:type="spellStart"/>
      <w:r>
        <w:rPr>
          <w:sz w:val="26"/>
          <w:szCs w:val="26"/>
        </w:rPr>
        <w:t>Paracrisis</w:t>
      </w:r>
      <w:proofErr w:type="spellEnd"/>
      <w:r>
        <w:rPr>
          <w:sz w:val="26"/>
          <w:szCs w:val="26"/>
        </w:rPr>
        <w:t xml:space="preserve"> Tension</w:t>
      </w:r>
      <w:bookmarkEnd w:id="164"/>
    </w:p>
    <w:p w14:paraId="7DA84E9B" w14:textId="445BE9DD" w:rsidR="00CA2914" w:rsidRDefault="00CA2914">
      <w:pPr>
        <w:spacing w:before="240" w:after="240" w:line="360" w:lineRule="auto"/>
        <w:jc w:val="both"/>
        <w:rPr>
          <w:rFonts w:ascii="Arial" w:eastAsia="Arial" w:hAnsi="Arial" w:cs="Arial"/>
        </w:rPr>
      </w:pPr>
      <w:r w:rsidRPr="00CA2914">
        <w:rPr>
          <w:rFonts w:ascii="Arial" w:eastAsia="Arial" w:hAnsi="Arial" w:cs="Arial"/>
        </w:rPr>
        <w:t xml:space="preserve">In this case, the threat to reputation was visible, thus enabling proportionate, not full-scale, crisis responses (as in the </w:t>
      </w:r>
      <w:proofErr w:type="spellStart"/>
      <w:r w:rsidRPr="00CA2914">
        <w:rPr>
          <w:rFonts w:ascii="Arial" w:eastAsia="Arial" w:hAnsi="Arial" w:cs="Arial"/>
        </w:rPr>
        <w:t>paracrisis</w:t>
      </w:r>
      <w:proofErr w:type="spellEnd"/>
      <w:r w:rsidRPr="00CA2914">
        <w:rPr>
          <w:rFonts w:ascii="Arial" w:eastAsia="Arial" w:hAnsi="Arial" w:cs="Arial"/>
        </w:rPr>
        <w:t xml:space="preserve"> literature; Coombs and Holladay, 2012). The features identified did not lead to an overly cautious attitude or to an overly aggressive attitude, but rather to an optimum cultural attitude. In such a </w:t>
      </w:r>
      <w:proofErr w:type="spellStart"/>
      <w:r w:rsidRPr="00CA2914">
        <w:rPr>
          <w:rFonts w:ascii="Arial" w:eastAsia="Arial" w:hAnsi="Arial" w:cs="Arial"/>
        </w:rPr>
        <w:t>paraprisis</w:t>
      </w:r>
      <w:proofErr w:type="spellEnd"/>
      <w:r w:rsidRPr="00CA2914">
        <w:rPr>
          <w:rFonts w:ascii="Arial" w:eastAsia="Arial" w:hAnsi="Arial" w:cs="Arial"/>
        </w:rPr>
        <w:t xml:space="preserve"> setting, a self-assured and funny reply seems fitting as long as it is appropriate and there is a strategy for the turn to resolution. This is a qualification, rather than a replacement, of Coombs's (2007) SCCT and is still a single-case finding.</w:t>
      </w:r>
    </w:p>
    <w:p w14:paraId="00000209" w14:textId="77777777" w:rsidR="003D2C5F" w:rsidRDefault="00000000">
      <w:pPr>
        <w:pStyle w:val="Heading2"/>
        <w:keepNext w:val="0"/>
        <w:keepLines w:val="0"/>
        <w:spacing w:after="80" w:line="360" w:lineRule="auto"/>
        <w:rPr>
          <w:b w:val="0"/>
          <w:bCs w:val="0"/>
          <w:sz w:val="34"/>
          <w:szCs w:val="34"/>
        </w:rPr>
      </w:pPr>
      <w:bookmarkStart w:id="165" w:name="_v7czbw21nept" w:colFirst="0" w:colLast="0"/>
      <w:bookmarkStart w:id="166" w:name="_Toc241144231"/>
      <w:bookmarkEnd w:id="165"/>
      <w:r>
        <w:rPr>
          <w:sz w:val="34"/>
          <w:szCs w:val="34"/>
        </w:rPr>
        <w:t>5.5 The Three Tensions Revisited: Confirmed, Qualified or Challenged?</w:t>
      </w:r>
      <w:bookmarkEnd w:id="166"/>
    </w:p>
    <w:p w14:paraId="0000020A" w14:textId="2C7AA7B4" w:rsidR="003D2C5F" w:rsidRDefault="00000000">
      <w:pPr>
        <w:spacing w:before="180" w:after="180" w:line="360" w:lineRule="auto"/>
        <w:jc w:val="both"/>
        <w:rPr>
          <w:rFonts w:ascii="Arial" w:eastAsia="Arial" w:hAnsi="Arial" w:cs="Arial"/>
        </w:rPr>
      </w:pPr>
      <w:r>
        <w:rPr>
          <w:rFonts w:ascii="Arial" w:eastAsia="Arial" w:hAnsi="Arial" w:cs="Arial"/>
          <w:b/>
          <w:bCs/>
        </w:rPr>
        <w:t>Tension 1 — Improvisation vs. Timeliness.</w:t>
      </w:r>
      <w:r>
        <w:rPr>
          <w:rFonts w:ascii="Arial" w:eastAsia="Arial" w:hAnsi="Arial" w:cs="Arial"/>
        </w:rPr>
        <w:t xml:space="preserve"> </w:t>
      </w:r>
      <w:r w:rsidR="00AB5845" w:rsidRPr="00AB5845">
        <w:rPr>
          <w:rFonts w:ascii="Arial" w:eastAsia="Arial" w:hAnsi="Arial" w:cs="Arial"/>
        </w:rPr>
        <w:t>The case is broadly in line with Borah et al. (2020) and Angell et al. (2019) in highlighting the advantage of fast, topical and humorous content, but does not oppose, but rather qualifies, Chae, Rodríguez-</w:t>
      </w:r>
      <w:proofErr w:type="spellStart"/>
      <w:r w:rsidR="00AB5845" w:rsidRPr="00AB5845">
        <w:rPr>
          <w:rFonts w:ascii="Arial" w:eastAsia="Arial" w:hAnsi="Arial" w:cs="Arial"/>
        </w:rPr>
        <w:t>Vilá</w:t>
      </w:r>
      <w:proofErr w:type="spellEnd"/>
      <w:r w:rsidR="00AB5845" w:rsidRPr="00AB5845">
        <w:rPr>
          <w:rFonts w:ascii="Arial" w:eastAsia="Arial" w:hAnsi="Arial" w:cs="Arial"/>
        </w:rPr>
        <w:t xml:space="preserve"> and Bharadwaj's (2025) caution about the danger of unplanned improvisation. This campaign—the apparent success of which is the reason for this study’s title—has focused more on speed and strategic clarity (what this study calls “prepared improvisation”) than on speed alone. </w:t>
      </w:r>
      <w:r>
        <w:rPr>
          <w:rFonts w:ascii="Arial" w:eastAsia="Arial" w:hAnsi="Arial" w:cs="Arial"/>
        </w:rPr>
        <w:t xml:space="preserve">The implication is that the capacity for effective reactive marketing may depend less on raw speed than on the ability to execute quickly from prior strategic preparation, though this remains a proposition drawn from a single case rather than an established </w:t>
      </w:r>
      <w:proofErr w:type="spellStart"/>
      <w:r>
        <w:rPr>
          <w:rFonts w:ascii="Arial" w:eastAsia="Arial" w:hAnsi="Arial" w:cs="Arial"/>
        </w:rPr>
        <w:t>generalisation</w:t>
      </w:r>
      <w:proofErr w:type="spellEnd"/>
      <w:r>
        <w:rPr>
          <w:rFonts w:ascii="Arial" w:eastAsia="Arial" w:hAnsi="Arial" w:cs="Arial"/>
        </w:rPr>
        <w:t>.</w:t>
      </w:r>
    </w:p>
    <w:p w14:paraId="0000020B" w14:textId="2DBB8F38" w:rsidR="003D2C5F" w:rsidRDefault="00000000">
      <w:pPr>
        <w:spacing w:before="180" w:after="180" w:line="360" w:lineRule="auto"/>
        <w:jc w:val="both"/>
        <w:rPr>
          <w:rFonts w:ascii="Arial" w:eastAsia="Arial" w:hAnsi="Arial" w:cs="Arial"/>
        </w:rPr>
      </w:pPr>
      <w:r>
        <w:rPr>
          <w:rFonts w:ascii="Arial" w:eastAsia="Arial" w:hAnsi="Arial" w:cs="Arial"/>
          <w:b/>
          <w:bCs/>
        </w:rPr>
        <w:t>Tension 2 — Open Rivalry: Opportunity vs. Escalation.</w:t>
      </w:r>
      <w:r>
        <w:rPr>
          <w:rFonts w:ascii="Arial" w:eastAsia="Arial" w:hAnsi="Arial" w:cs="Arial"/>
        </w:rPr>
        <w:t xml:space="preserve"> This is in line with the findings of Berendt, Uhrich and Thompson (2018) that public rivalry can increase distinctiveness for a small brand and Béal, Lécuyer and Guitart (2025) that </w:t>
      </w:r>
      <w:proofErr w:type="spellStart"/>
      <w:r>
        <w:rPr>
          <w:rFonts w:ascii="Arial" w:eastAsia="Arial" w:hAnsi="Arial" w:cs="Arial"/>
        </w:rPr>
        <w:t>humour</w:t>
      </w:r>
      <w:proofErr w:type="spellEnd"/>
      <w:r>
        <w:rPr>
          <w:rFonts w:ascii="Arial" w:eastAsia="Arial" w:hAnsi="Arial" w:cs="Arial"/>
        </w:rPr>
        <w:t xml:space="preserve"> is received differently depending on whether it comes from a top dog or an underdog. Aldi UK’s communication shows </w:t>
      </w:r>
      <w:proofErr w:type="gramStart"/>
      <w:r>
        <w:rPr>
          <w:rFonts w:ascii="Arial" w:eastAsia="Arial" w:hAnsi="Arial" w:cs="Arial"/>
        </w:rPr>
        <w:t>features</w:t>
      </w:r>
      <w:proofErr w:type="gramEnd"/>
      <w:r>
        <w:rPr>
          <w:rFonts w:ascii="Arial" w:eastAsia="Arial" w:hAnsi="Arial" w:cs="Arial"/>
        </w:rPr>
        <w:t xml:space="preserve"> consistent with avoiding the escalation Beard describes—character displacement, humorous de-escalation and a charitable resolution. This suggests that, in this case at least, open rivalry was pursued without visible escalation, and that doing so may depend on effective control of the narrative and a clear way out.</w:t>
      </w:r>
    </w:p>
    <w:p w14:paraId="0000020C" w14:textId="77777777" w:rsidR="003D2C5F" w:rsidRDefault="00000000">
      <w:pPr>
        <w:spacing w:before="180" w:after="180" w:line="360" w:lineRule="auto"/>
        <w:jc w:val="both"/>
        <w:rPr>
          <w:rFonts w:ascii="Arial" w:eastAsia="Arial" w:hAnsi="Arial" w:cs="Arial"/>
        </w:rPr>
      </w:pPr>
      <w:r>
        <w:rPr>
          <w:rFonts w:ascii="Arial" w:eastAsia="Arial" w:hAnsi="Arial" w:cs="Arial"/>
          <w:b/>
          <w:bCs/>
        </w:rPr>
        <w:lastRenderedPageBreak/>
        <w:t xml:space="preserve">Tension 3 — Seriousness of Reputation: Crisis vs. </w:t>
      </w:r>
      <w:proofErr w:type="spellStart"/>
      <w:r>
        <w:rPr>
          <w:rFonts w:ascii="Arial" w:eastAsia="Arial" w:hAnsi="Arial" w:cs="Arial"/>
          <w:b/>
          <w:bCs/>
        </w:rPr>
        <w:t>Paracrisis</w:t>
      </w:r>
      <w:proofErr w:type="spellEnd"/>
      <w:r>
        <w:rPr>
          <w:rFonts w:ascii="Arial" w:eastAsia="Arial" w:hAnsi="Arial" w:cs="Arial"/>
          <w:b/>
          <w:bCs/>
        </w:rPr>
        <w:t>.</w:t>
      </w:r>
      <w:r>
        <w:rPr>
          <w:rFonts w:ascii="Arial" w:eastAsia="Arial" w:hAnsi="Arial" w:cs="Arial"/>
        </w:rPr>
        <w:t xml:space="preserve"> The case supports the view, drawn from the </w:t>
      </w:r>
      <w:proofErr w:type="spellStart"/>
      <w:r>
        <w:rPr>
          <w:rFonts w:ascii="Arial" w:eastAsia="Arial" w:hAnsi="Arial" w:cs="Arial"/>
        </w:rPr>
        <w:t>paracrisis</w:t>
      </w:r>
      <w:proofErr w:type="spellEnd"/>
      <w:r>
        <w:rPr>
          <w:rFonts w:ascii="Arial" w:eastAsia="Arial" w:hAnsi="Arial" w:cs="Arial"/>
        </w:rPr>
        <w:t xml:space="preserve"> literature (Coombs and Holladay, 2012), that publicly visible reputational risks are often better managed through a response proportionate to the risk than through a full crisis response. Aldi UK’s response is consistent with balancing the risk of appearing overly cautious—and losing the cultural moment—against the risk of appearing aggressive and inviting further reputational exposure. The case suggests that, within a </w:t>
      </w:r>
      <w:proofErr w:type="spellStart"/>
      <w:r>
        <w:rPr>
          <w:rFonts w:ascii="Arial" w:eastAsia="Arial" w:hAnsi="Arial" w:cs="Arial"/>
        </w:rPr>
        <w:t>paracrisis</w:t>
      </w:r>
      <w:proofErr w:type="spellEnd"/>
      <w:r>
        <w:rPr>
          <w:rFonts w:ascii="Arial" w:eastAsia="Arial" w:hAnsi="Arial" w:cs="Arial"/>
        </w:rPr>
        <w:t xml:space="preserve"> framing, a humorous response can be appropriate provided it is controlled and paired with a planned exit into resolution.</w:t>
      </w:r>
    </w:p>
    <w:p w14:paraId="0000020D" w14:textId="77777777" w:rsidR="003D2C5F" w:rsidRDefault="00000000">
      <w:pPr>
        <w:pStyle w:val="Heading2"/>
        <w:keepNext w:val="0"/>
        <w:keepLines w:val="0"/>
        <w:spacing w:after="80" w:line="360" w:lineRule="auto"/>
        <w:rPr>
          <w:b w:val="0"/>
          <w:bCs w:val="0"/>
          <w:sz w:val="34"/>
          <w:szCs w:val="34"/>
        </w:rPr>
      </w:pPr>
      <w:bookmarkStart w:id="167" w:name="_a1o0bnih7g91" w:colFirst="0" w:colLast="0"/>
      <w:bookmarkStart w:id="168" w:name="_Toc241144232"/>
      <w:bookmarkEnd w:id="167"/>
      <w:r>
        <w:rPr>
          <w:sz w:val="34"/>
          <w:szCs w:val="34"/>
        </w:rPr>
        <w:t>5.6 Implications for International Business</w:t>
      </w:r>
      <w:bookmarkEnd w:id="168"/>
    </w:p>
    <w:p w14:paraId="0000020E" w14:textId="77777777" w:rsidR="003D2C5F" w:rsidRDefault="00000000">
      <w:pPr>
        <w:spacing w:before="180" w:after="180" w:line="360" w:lineRule="auto"/>
        <w:jc w:val="both"/>
        <w:rPr>
          <w:rFonts w:ascii="Arial" w:eastAsia="Arial" w:hAnsi="Arial" w:cs="Arial"/>
        </w:rPr>
      </w:pPr>
      <w:r>
        <w:rPr>
          <w:rFonts w:ascii="Arial" w:eastAsia="Arial" w:hAnsi="Arial" w:cs="Arial"/>
        </w:rPr>
        <w:t>The following implications are offered as conditional propositions suggested by this single UK case, to be tested against further evidence, rather than as established rules for international marketing practice.</w:t>
      </w:r>
    </w:p>
    <w:p w14:paraId="0000020F" w14:textId="77777777" w:rsidR="003D2C5F" w:rsidRDefault="00000000">
      <w:pPr>
        <w:spacing w:before="180" w:after="180" w:line="360" w:lineRule="auto"/>
        <w:jc w:val="both"/>
        <w:rPr>
          <w:rFonts w:ascii="Arial" w:eastAsia="Arial" w:hAnsi="Arial" w:cs="Arial"/>
        </w:rPr>
      </w:pPr>
      <w:r>
        <w:rPr>
          <w:rFonts w:ascii="Arial" w:eastAsia="Arial" w:hAnsi="Arial" w:cs="Arial"/>
          <w:b/>
          <w:bCs/>
        </w:rPr>
        <w:t>Implication 1: Cultural relevance appears to depend on local cultural insight.</w:t>
      </w:r>
      <w:r>
        <w:rPr>
          <w:rFonts w:ascii="Arial" w:eastAsia="Arial" w:hAnsi="Arial" w:cs="Arial"/>
        </w:rPr>
        <w:t xml:space="preserve"> British comic understatement, shared vocabulary and the cultural significance of the caterpillar cake appear central to the campaign’s resonance. Brands seeking a similar approach elsewhere would need market-specific cultural knowledge, consistent with the </w:t>
      </w:r>
      <w:proofErr w:type="spellStart"/>
      <w:r>
        <w:rPr>
          <w:rFonts w:ascii="Arial" w:eastAsia="Arial" w:hAnsi="Arial" w:cs="Arial"/>
        </w:rPr>
        <w:t>standardisation</w:t>
      </w:r>
      <w:proofErr w:type="spellEnd"/>
      <w:r>
        <w:rPr>
          <w:rFonts w:ascii="Arial" w:eastAsia="Arial" w:hAnsi="Arial" w:cs="Arial"/>
        </w:rPr>
        <w:t xml:space="preserve">-adaptation literature (Levitt, 1983; Theodosiou and </w:t>
      </w:r>
      <w:proofErr w:type="spellStart"/>
      <w:r>
        <w:rPr>
          <w:rFonts w:ascii="Arial" w:eastAsia="Arial" w:hAnsi="Arial" w:cs="Arial"/>
        </w:rPr>
        <w:t>Leonidou</w:t>
      </w:r>
      <w:proofErr w:type="spellEnd"/>
      <w:r>
        <w:rPr>
          <w:rFonts w:ascii="Arial" w:eastAsia="Arial" w:hAnsi="Arial" w:cs="Arial"/>
        </w:rPr>
        <w:t>, 2003; Douglas and Craig, 2011).</w:t>
      </w:r>
    </w:p>
    <w:p w14:paraId="00000210" w14:textId="77777777" w:rsidR="003D2C5F" w:rsidRDefault="00000000">
      <w:pPr>
        <w:spacing w:before="180" w:after="180" w:line="360" w:lineRule="auto"/>
        <w:jc w:val="both"/>
        <w:rPr>
          <w:rFonts w:ascii="Arial" w:eastAsia="Arial" w:hAnsi="Arial" w:cs="Arial"/>
        </w:rPr>
      </w:pPr>
      <w:r>
        <w:rPr>
          <w:rFonts w:ascii="Arial" w:eastAsia="Arial" w:hAnsi="Arial" w:cs="Arial"/>
          <w:b/>
          <w:bCs/>
        </w:rPr>
        <w:t>Implication 2: Challenger positioning is not universally available.</w:t>
      </w:r>
      <w:r>
        <w:rPr>
          <w:rFonts w:ascii="Arial" w:eastAsia="Arial" w:hAnsi="Arial" w:cs="Arial"/>
        </w:rPr>
        <w:t xml:space="preserve"> Because the reception of </w:t>
      </w:r>
      <w:proofErr w:type="spellStart"/>
      <w:r>
        <w:rPr>
          <w:rFonts w:ascii="Arial" w:eastAsia="Arial" w:hAnsi="Arial" w:cs="Arial"/>
        </w:rPr>
        <w:t>humour</w:t>
      </w:r>
      <w:proofErr w:type="spellEnd"/>
      <w:r>
        <w:rPr>
          <w:rFonts w:ascii="Arial" w:eastAsia="Arial" w:hAnsi="Arial" w:cs="Arial"/>
        </w:rPr>
        <w:t xml:space="preserve"> and rivalry depends on whether a brand is seen as a leader or an underdog (Béal, Lécuyer and Guitart, 2025), international brands would first need to assess whether a challenger position is credible in the local market and how it would be received.</w:t>
      </w:r>
    </w:p>
    <w:p w14:paraId="371D0386" w14:textId="77777777" w:rsidR="00AB5845" w:rsidRDefault="00000000">
      <w:pPr>
        <w:spacing w:before="180" w:after="180" w:line="360" w:lineRule="auto"/>
        <w:jc w:val="both"/>
        <w:rPr>
          <w:rFonts w:ascii="Arial" w:eastAsia="Arial" w:hAnsi="Arial" w:cs="Arial"/>
        </w:rPr>
      </w:pPr>
      <w:r>
        <w:rPr>
          <w:rFonts w:ascii="Arial" w:eastAsia="Arial" w:hAnsi="Arial" w:cs="Arial"/>
          <w:b/>
          <w:bCs/>
        </w:rPr>
        <w:t>Implication 3: Legal risk requires deliberate communication design.</w:t>
      </w:r>
      <w:r>
        <w:rPr>
          <w:rFonts w:ascii="Arial" w:eastAsia="Arial" w:hAnsi="Arial" w:cs="Arial"/>
        </w:rPr>
        <w:t xml:space="preserve"> </w:t>
      </w:r>
      <w:r w:rsidR="00AB5845" w:rsidRPr="00AB5845">
        <w:rPr>
          <w:rFonts w:ascii="Arial" w:eastAsia="Arial" w:hAnsi="Arial" w:cs="Arial"/>
        </w:rPr>
        <w:t>In the case of a live legal issue, this suggests that there is a way to reduce the legal risk at the communication level, which is to try to shift the conflict to the character level, instead of playing the legal game, and to find an end that is not dependent upon the outcome of the legal case. There is no evidence that these decisions mitigate Aldi UK's legal liability and local law in relation to marketing during live disputes is highly divergent.</w:t>
      </w:r>
    </w:p>
    <w:p w14:paraId="00000213" w14:textId="6F1CF64E" w:rsidR="003D2C5F" w:rsidRDefault="00000000">
      <w:pPr>
        <w:spacing w:before="180" w:after="180" w:line="360" w:lineRule="auto"/>
        <w:jc w:val="both"/>
        <w:rPr>
          <w:rFonts w:ascii="Arial" w:eastAsia="Arial" w:hAnsi="Arial" w:cs="Arial"/>
        </w:rPr>
      </w:pPr>
      <w:r>
        <w:rPr>
          <w:rFonts w:ascii="Arial" w:eastAsia="Arial" w:hAnsi="Arial" w:cs="Arial"/>
          <w:b/>
          <w:bCs/>
        </w:rPr>
        <w:lastRenderedPageBreak/>
        <w:t>Implication 4: Structured phasing may support sustained, controlled campaigns.</w:t>
      </w:r>
      <w:r>
        <w:rPr>
          <w:rFonts w:ascii="Arial" w:eastAsia="Arial" w:hAnsi="Arial" w:cs="Arial"/>
        </w:rPr>
        <w:t xml:space="preserve"> The three phases observed are consistent with an approach that sustains public engagement while retaining narrative control, suggesting value in frameworks that can be triggered quickly and followed through to resolution.</w:t>
      </w:r>
    </w:p>
    <w:p w14:paraId="00000214" w14:textId="77777777" w:rsidR="003D2C5F" w:rsidRDefault="00000000">
      <w:pPr>
        <w:pStyle w:val="Heading1"/>
      </w:pPr>
      <w:bookmarkStart w:id="169" w:name="_x4eixch5z7wq" w:colFirst="0" w:colLast="0"/>
      <w:bookmarkStart w:id="170" w:name="_Toc241144233"/>
      <w:bookmarkEnd w:id="169"/>
      <w:r>
        <w:t>Chapter 6: Conclusion and Recommendations</w:t>
      </w:r>
      <w:bookmarkEnd w:id="170"/>
    </w:p>
    <w:p w14:paraId="00000215" w14:textId="77777777" w:rsidR="003D2C5F" w:rsidRDefault="00000000">
      <w:pPr>
        <w:pStyle w:val="Heading2"/>
        <w:keepNext w:val="0"/>
        <w:keepLines w:val="0"/>
        <w:spacing w:after="80" w:line="360" w:lineRule="auto"/>
        <w:rPr>
          <w:b w:val="0"/>
          <w:bCs w:val="0"/>
          <w:sz w:val="34"/>
          <w:szCs w:val="34"/>
        </w:rPr>
      </w:pPr>
      <w:bookmarkStart w:id="171" w:name="_2qb6bgvbqkx" w:colFirst="0" w:colLast="0"/>
      <w:bookmarkStart w:id="172" w:name="_Toc241144234"/>
      <w:bookmarkEnd w:id="171"/>
      <w:r>
        <w:rPr>
          <w:sz w:val="34"/>
          <w:szCs w:val="34"/>
        </w:rPr>
        <w:t>6.1 Summary of the Study</w:t>
      </w:r>
      <w:bookmarkEnd w:id="172"/>
    </w:p>
    <w:p w14:paraId="00000216" w14:textId="77777777" w:rsidR="003D2C5F" w:rsidRDefault="00000000">
      <w:pPr>
        <w:spacing w:before="240" w:after="240" w:line="360" w:lineRule="auto"/>
        <w:jc w:val="both"/>
        <w:rPr>
          <w:rFonts w:ascii="Arial" w:eastAsia="Arial" w:hAnsi="Arial" w:cs="Arial"/>
        </w:rPr>
      </w:pPr>
      <w:r>
        <w:rPr>
          <w:rFonts w:ascii="Arial" w:eastAsia="Arial" w:hAnsi="Arial" w:cs="Arial"/>
        </w:rPr>
        <w:t>This dissertation examines Aldi UK’s reactive social media marketing in the Colin and Cuthbert Caterpillar Cake dispute with Marks and Spencer. It employed a qualitative, interpretivist single bounded case study design (Section 3.2), using the descriptive-interpretive-evaluative framework developed in Chapter Two to inform thematic analysis on a corpus of 16 verified primary social media posts published between 15 and 20 April 2021, together with eleven verified contemporaneous external sources.</w:t>
      </w:r>
    </w:p>
    <w:p w14:paraId="00000217" w14:textId="77777777" w:rsidR="003D2C5F" w:rsidRDefault="00000000">
      <w:pPr>
        <w:spacing w:before="180" w:after="180" w:line="360" w:lineRule="auto"/>
        <w:jc w:val="both"/>
        <w:rPr>
          <w:rFonts w:ascii="Arial" w:eastAsia="Arial" w:hAnsi="Arial" w:cs="Arial"/>
        </w:rPr>
      </w:pPr>
      <w:r>
        <w:rPr>
          <w:rFonts w:ascii="Arial" w:eastAsia="Arial" w:hAnsi="Arial" w:cs="Arial"/>
        </w:rPr>
        <w:t xml:space="preserve">Against RQ1, the descriptive mapping found 16 posts distributed across three phases, with the most frequently coded themes being </w:t>
      </w:r>
      <w:proofErr w:type="spellStart"/>
      <w:r>
        <w:rPr>
          <w:rFonts w:ascii="Arial" w:eastAsia="Arial" w:hAnsi="Arial" w:cs="Arial"/>
        </w:rPr>
        <w:t>Humour</w:t>
      </w:r>
      <w:proofErr w:type="spellEnd"/>
      <w:r>
        <w:rPr>
          <w:rFonts w:ascii="Arial" w:eastAsia="Arial" w:hAnsi="Arial" w:cs="Arial"/>
        </w:rPr>
        <w:t xml:space="preserve"> (100%), Personification (75.0%), Narrative Progression (100%) and Challenger Positioning (62.5%), alongside Brand Personality Cue (100%) and Cultural Reference (87.5%); contemporaneous sources report that the campaign was trending at number one on Twitter within hours of the first post. Against RQ2, the interpretive analysis found that </w:t>
      </w:r>
      <w:proofErr w:type="spellStart"/>
      <w:r>
        <w:rPr>
          <w:rFonts w:ascii="Arial" w:eastAsia="Arial" w:hAnsi="Arial" w:cs="Arial"/>
        </w:rPr>
        <w:t>humour</w:t>
      </w:r>
      <w:proofErr w:type="spellEnd"/>
      <w:r>
        <w:rPr>
          <w:rFonts w:ascii="Arial" w:eastAsia="Arial" w:hAnsi="Arial" w:cs="Arial"/>
        </w:rPr>
        <w:t xml:space="preserve"> operated through three distinguishable forms; that the narrative followed a three-phase arc of introduction, conflict and resolution; that brand personality cues </w:t>
      </w:r>
      <w:proofErr w:type="spellStart"/>
      <w:r>
        <w:rPr>
          <w:rFonts w:ascii="Arial" w:eastAsia="Arial" w:hAnsi="Arial" w:cs="Arial"/>
        </w:rPr>
        <w:t>centred</w:t>
      </w:r>
      <w:proofErr w:type="spellEnd"/>
      <w:r>
        <w:rPr>
          <w:rFonts w:ascii="Arial" w:eastAsia="Arial" w:hAnsi="Arial" w:cs="Arial"/>
        </w:rPr>
        <w:t xml:space="preserve"> on sincerity and excitement, in some tension with each other; and that cultural relevance was constructed through British </w:t>
      </w:r>
      <w:proofErr w:type="spellStart"/>
      <w:r>
        <w:rPr>
          <w:rFonts w:ascii="Arial" w:eastAsia="Arial" w:hAnsi="Arial" w:cs="Arial"/>
        </w:rPr>
        <w:t>humour</w:t>
      </w:r>
      <w:proofErr w:type="spellEnd"/>
      <w:r>
        <w:rPr>
          <w:rFonts w:ascii="Arial" w:eastAsia="Arial" w:hAnsi="Arial" w:cs="Arial"/>
        </w:rPr>
        <w:t xml:space="preserve">, familiar cultural scripts and familiar brands and public figures. Against RQ3, marketing trade coverage framed the campaign </w:t>
      </w:r>
      <w:proofErr w:type="spellStart"/>
      <w:r>
        <w:rPr>
          <w:rFonts w:ascii="Arial" w:eastAsia="Arial" w:hAnsi="Arial" w:cs="Arial"/>
        </w:rPr>
        <w:t>favourably</w:t>
      </w:r>
      <w:proofErr w:type="spellEnd"/>
      <w:r>
        <w:rPr>
          <w:rFonts w:ascii="Arial" w:eastAsia="Arial" w:hAnsi="Arial" w:cs="Arial"/>
        </w:rPr>
        <w:t xml:space="preserve"> as a “masterclass” in reactive marketing, mainstream news presented it as a humorous, viral response, and legal-professional commentary focused mainly on the legal merits, although some commentators linked the campaign to the reputational and legal stakes of the case—a pattern suggesting that the campaign’s significance was read differently depending on professional perspective. Against RQ4, the case suggests that reactive marketing may </w:t>
      </w:r>
      <w:r>
        <w:rPr>
          <w:rFonts w:ascii="Arial" w:eastAsia="Arial" w:hAnsi="Arial" w:cs="Arial"/>
        </w:rPr>
        <w:lastRenderedPageBreak/>
        <w:t xml:space="preserve">be able to manage legally sensitive situations through displacement of conflict onto a character, </w:t>
      </w:r>
      <w:proofErr w:type="spellStart"/>
      <w:r>
        <w:rPr>
          <w:rFonts w:ascii="Arial" w:eastAsia="Arial" w:hAnsi="Arial" w:cs="Arial"/>
        </w:rPr>
        <w:t>humour</w:t>
      </w:r>
      <w:proofErr w:type="spellEnd"/>
      <w:r>
        <w:rPr>
          <w:rFonts w:ascii="Arial" w:eastAsia="Arial" w:hAnsi="Arial" w:cs="Arial"/>
        </w:rPr>
        <w:t xml:space="preserve"> as de-escalation, a charitable extension offering an alternative resolution, and abstention from direct legal engagement, while depending on culturally specific </w:t>
      </w:r>
      <w:proofErr w:type="spellStart"/>
      <w:r>
        <w:rPr>
          <w:rFonts w:ascii="Arial" w:eastAsia="Arial" w:hAnsi="Arial" w:cs="Arial"/>
        </w:rPr>
        <w:t>humour</w:t>
      </w:r>
      <w:proofErr w:type="spellEnd"/>
      <w:r>
        <w:rPr>
          <w:rFonts w:ascii="Arial" w:eastAsia="Arial" w:hAnsi="Arial" w:cs="Arial"/>
        </w:rPr>
        <w:t xml:space="preserve"> and sustained narrative control.</w:t>
      </w:r>
    </w:p>
    <w:p w14:paraId="00000218" w14:textId="77777777" w:rsidR="003D2C5F" w:rsidRDefault="003D2C5F">
      <w:pPr>
        <w:spacing w:before="180" w:after="180" w:line="360" w:lineRule="auto"/>
        <w:jc w:val="both"/>
        <w:rPr>
          <w:rFonts w:ascii="Arial" w:eastAsia="Arial" w:hAnsi="Arial" w:cs="Arial"/>
        </w:rPr>
      </w:pPr>
    </w:p>
    <w:p w14:paraId="00000219" w14:textId="77777777" w:rsidR="003D2C5F" w:rsidRDefault="00000000">
      <w:pPr>
        <w:pStyle w:val="Heading2"/>
        <w:keepNext w:val="0"/>
        <w:keepLines w:val="0"/>
        <w:spacing w:after="80" w:line="360" w:lineRule="auto"/>
        <w:rPr>
          <w:b w:val="0"/>
          <w:bCs w:val="0"/>
          <w:sz w:val="34"/>
          <w:szCs w:val="34"/>
        </w:rPr>
      </w:pPr>
      <w:bookmarkStart w:id="173" w:name="_vyj034jwuktd" w:colFirst="0" w:colLast="0"/>
      <w:bookmarkStart w:id="174" w:name="_Toc241144235"/>
      <w:bookmarkEnd w:id="173"/>
      <w:r>
        <w:rPr>
          <w:sz w:val="34"/>
          <w:szCs w:val="34"/>
        </w:rPr>
        <w:t>6.2 Contribution to Knowledge</w:t>
      </w:r>
      <w:bookmarkEnd w:id="174"/>
    </w:p>
    <w:p w14:paraId="0000021A" w14:textId="77777777" w:rsidR="003D2C5F" w:rsidRDefault="00000000">
      <w:pPr>
        <w:spacing w:before="240" w:after="240" w:line="360" w:lineRule="auto"/>
        <w:jc w:val="both"/>
        <w:rPr>
          <w:rFonts w:ascii="Arial" w:eastAsia="Arial" w:hAnsi="Arial" w:cs="Arial"/>
        </w:rPr>
      </w:pPr>
      <w:r>
        <w:rPr>
          <w:rFonts w:ascii="Arial" w:eastAsia="Arial" w:hAnsi="Arial" w:cs="Arial"/>
        </w:rPr>
        <w:t>Three contributions are presented in modest terms, framed as a case-based synthesis rather than as a new field or theory.</w:t>
      </w:r>
    </w:p>
    <w:p w14:paraId="0000021B"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Contribution 1: An integrated interpretation of reactive marketing, challenger-brand positioning and </w:t>
      </w:r>
      <w:proofErr w:type="spellStart"/>
      <w:r>
        <w:rPr>
          <w:rFonts w:ascii="Arial" w:eastAsia="Arial" w:hAnsi="Arial" w:cs="Arial"/>
        </w:rPr>
        <w:t>paracrisis</w:t>
      </w:r>
      <w:proofErr w:type="spellEnd"/>
      <w:r>
        <w:rPr>
          <w:rFonts w:ascii="Arial" w:eastAsia="Arial" w:hAnsi="Arial" w:cs="Arial"/>
        </w:rPr>
        <w:t>. The study brings together three largely separate literatures and shows how they intersect in a single legally sensitive event. The descriptive-interpretive-evaluative framework (Section 2.9) is offered as a template to be tested against further cases, not as a universal model.</w:t>
      </w:r>
    </w:p>
    <w:p w14:paraId="0000021C" w14:textId="77777777" w:rsidR="003D2C5F" w:rsidRDefault="00000000">
      <w:pPr>
        <w:spacing w:before="240" w:after="240" w:line="360" w:lineRule="auto"/>
        <w:jc w:val="both"/>
        <w:rPr>
          <w:rFonts w:ascii="Arial" w:eastAsia="Arial" w:hAnsi="Arial" w:cs="Arial"/>
        </w:rPr>
      </w:pPr>
      <w:r>
        <w:rPr>
          <w:rFonts w:ascii="Arial" w:eastAsia="Arial" w:hAnsi="Arial" w:cs="Arial"/>
        </w:rPr>
        <w:t xml:space="preserve">Contribution 2: Case evidence for the </w:t>
      </w:r>
      <w:proofErr w:type="spellStart"/>
      <w:r>
        <w:rPr>
          <w:rFonts w:ascii="Arial" w:eastAsia="Arial" w:hAnsi="Arial" w:cs="Arial"/>
        </w:rPr>
        <w:t>paracrisis</w:t>
      </w:r>
      <w:proofErr w:type="spellEnd"/>
      <w:r>
        <w:rPr>
          <w:rFonts w:ascii="Arial" w:eastAsia="Arial" w:hAnsi="Arial" w:cs="Arial"/>
        </w:rPr>
        <w:t xml:space="preserve"> lens in a legally sensitive context. The case suggests that, for a reactive campaign during an active lawsuit, the </w:t>
      </w:r>
      <w:proofErr w:type="spellStart"/>
      <w:r>
        <w:rPr>
          <w:rFonts w:ascii="Arial" w:eastAsia="Arial" w:hAnsi="Arial" w:cs="Arial"/>
        </w:rPr>
        <w:t>paracrisis</w:t>
      </w:r>
      <w:proofErr w:type="spellEnd"/>
      <w:r>
        <w:rPr>
          <w:rFonts w:ascii="Arial" w:eastAsia="Arial" w:hAnsi="Arial" w:cs="Arial"/>
        </w:rPr>
        <w:t xml:space="preserve"> lens (Coombs and Holladay, 2012) fits better than the crisis-responsibility logic of Coombs (2007), provided narrative control is sustained and a route out of the dispute exists; whether this holds more widely remains to be tested.</w:t>
      </w:r>
    </w:p>
    <w:p w14:paraId="0000021D" w14:textId="77777777" w:rsidR="003D2C5F" w:rsidRDefault="00000000">
      <w:pPr>
        <w:spacing w:before="240" w:after="240" w:line="360" w:lineRule="auto"/>
        <w:jc w:val="both"/>
        <w:rPr>
          <w:rFonts w:ascii="Arial" w:eastAsia="Arial" w:hAnsi="Arial" w:cs="Arial"/>
        </w:rPr>
      </w:pPr>
      <w:r>
        <w:rPr>
          <w:rFonts w:ascii="Arial" w:eastAsia="Arial" w:hAnsi="Arial" w:cs="Arial"/>
        </w:rPr>
        <w:t>Contribution 3: Timing and execution through “prepared improvisation”. The three-phase structure suggests that reactive marketing may depend less on speed for its own sake than on rapid execution within a clear strategic frame, although the study has no direct evidence that such a frame existed before the dispute (Section 5.2). The concept offers a basis for examining how execution quality and timing interact in real-time marketing.</w:t>
      </w:r>
    </w:p>
    <w:p w14:paraId="0000021E" w14:textId="77777777" w:rsidR="003D2C5F" w:rsidRDefault="00000000">
      <w:pPr>
        <w:spacing w:before="240" w:after="240" w:line="360" w:lineRule="auto"/>
        <w:jc w:val="both"/>
        <w:rPr>
          <w:rFonts w:ascii="Arial" w:eastAsia="Arial" w:hAnsi="Arial" w:cs="Arial"/>
        </w:rPr>
      </w:pPr>
      <w:r>
        <w:rPr>
          <w:rFonts w:ascii="Arial" w:eastAsia="Arial" w:hAnsi="Arial" w:cs="Arial"/>
        </w:rPr>
        <w:t>The study also observed that framing differed between marketing trade and legal-professional coverage (Section 4.3.5); given the small secondary corpus, this is not put forward as a standalone contribution but as warranting further inquiry beyond this study.</w:t>
      </w:r>
    </w:p>
    <w:p w14:paraId="0000021F" w14:textId="77777777" w:rsidR="003D2C5F" w:rsidRDefault="003D2C5F">
      <w:pPr>
        <w:spacing w:before="180" w:after="180" w:line="360" w:lineRule="auto"/>
        <w:jc w:val="both"/>
        <w:rPr>
          <w:rFonts w:ascii="Arial" w:eastAsia="Arial" w:hAnsi="Arial" w:cs="Arial"/>
        </w:rPr>
      </w:pPr>
    </w:p>
    <w:p w14:paraId="00000220" w14:textId="77777777" w:rsidR="003D2C5F" w:rsidRDefault="00000000">
      <w:pPr>
        <w:pStyle w:val="Heading2"/>
        <w:keepNext w:val="0"/>
        <w:keepLines w:val="0"/>
        <w:spacing w:after="80" w:line="360" w:lineRule="auto"/>
        <w:rPr>
          <w:b w:val="0"/>
          <w:bCs w:val="0"/>
          <w:sz w:val="34"/>
          <w:szCs w:val="34"/>
        </w:rPr>
      </w:pPr>
      <w:bookmarkStart w:id="175" w:name="_9s0r8byg0rd3" w:colFirst="0" w:colLast="0"/>
      <w:bookmarkStart w:id="176" w:name="_Toc241144236"/>
      <w:bookmarkEnd w:id="175"/>
      <w:r>
        <w:rPr>
          <w:sz w:val="34"/>
          <w:szCs w:val="34"/>
        </w:rPr>
        <w:t>6.3 Limitations</w:t>
      </w:r>
      <w:bookmarkEnd w:id="176"/>
    </w:p>
    <w:p w14:paraId="00000221" w14:textId="77777777" w:rsidR="003D2C5F" w:rsidRDefault="00000000">
      <w:pPr>
        <w:spacing w:before="180" w:after="180" w:line="360" w:lineRule="auto"/>
        <w:jc w:val="both"/>
        <w:rPr>
          <w:rFonts w:ascii="Arial" w:eastAsia="Arial" w:hAnsi="Arial" w:cs="Arial"/>
        </w:rPr>
      </w:pPr>
      <w:r>
        <w:rPr>
          <w:rFonts w:ascii="Arial" w:eastAsia="Arial" w:hAnsi="Arial" w:cs="Arial"/>
          <w:b/>
          <w:bCs/>
        </w:rPr>
        <w:t>Limitation 1: Single-case design.</w:t>
      </w:r>
      <w:r>
        <w:rPr>
          <w:rFonts w:ascii="Arial" w:eastAsia="Arial" w:hAnsi="Arial" w:cs="Arial"/>
        </w:rPr>
        <w:t xml:space="preserve"> These results are analytically informative but not statistically </w:t>
      </w:r>
      <w:proofErr w:type="spellStart"/>
      <w:r>
        <w:rPr>
          <w:rFonts w:ascii="Arial" w:eastAsia="Arial" w:hAnsi="Arial" w:cs="Arial"/>
        </w:rPr>
        <w:t>generalisable</w:t>
      </w:r>
      <w:proofErr w:type="spellEnd"/>
      <w:r>
        <w:rPr>
          <w:rFonts w:ascii="Arial" w:eastAsia="Arial" w:hAnsi="Arial" w:cs="Arial"/>
        </w:rPr>
        <w:t xml:space="preserve"> beyond this UK case. The implications in Section 5.6 are conditional propositions, and further research is needed to see whether similar patterns occur in other markets, industries or disputes.</w:t>
      </w:r>
    </w:p>
    <w:p w14:paraId="00000222" w14:textId="77777777" w:rsidR="003D2C5F" w:rsidRDefault="00000000">
      <w:pPr>
        <w:spacing w:before="180" w:after="180" w:line="360" w:lineRule="auto"/>
        <w:jc w:val="both"/>
        <w:rPr>
          <w:rFonts w:ascii="Arial" w:eastAsia="Arial" w:hAnsi="Arial" w:cs="Arial"/>
        </w:rPr>
      </w:pPr>
      <w:r>
        <w:rPr>
          <w:rFonts w:ascii="Arial" w:eastAsia="Arial" w:hAnsi="Arial" w:cs="Arial"/>
          <w:b/>
          <w:bCs/>
        </w:rPr>
        <w:t>Limitation 2: Evidence limitations.</w:t>
      </w:r>
      <w:r>
        <w:rPr>
          <w:rFonts w:ascii="Arial" w:eastAsia="Arial" w:hAnsi="Arial" w:cs="Arial"/>
        </w:rPr>
        <w:t xml:space="preserve"> The study relies on public evidence collected several years after the events. Engagement figures from the campaign period could not be recovered, one post (P17) could not be verified, and available coverage tends to </w:t>
      </w:r>
      <w:proofErr w:type="spellStart"/>
      <w:r>
        <w:rPr>
          <w:rFonts w:ascii="Arial" w:eastAsia="Arial" w:hAnsi="Arial" w:cs="Arial"/>
        </w:rPr>
        <w:t>favour</w:t>
      </w:r>
      <w:proofErr w:type="spellEnd"/>
      <w:r>
        <w:rPr>
          <w:rFonts w:ascii="Arial" w:eastAsia="Arial" w:hAnsi="Arial" w:cs="Arial"/>
        </w:rPr>
        <w:t xml:space="preserve"> the more sensational aspects of the story. The primary corpus is therefore a criterion-based collection rather than an exhaustive archive, and the secondary corpus is small (eleven sources, including only three mainstream news reports, one of them Irish). The study cannot explain why audiences reacted as they did, identify Aldi UK’s intentions or measure legal culpability or market impact.</w:t>
      </w:r>
    </w:p>
    <w:p w14:paraId="00000223" w14:textId="77777777" w:rsidR="003D2C5F" w:rsidRDefault="00000000">
      <w:pPr>
        <w:spacing w:before="180" w:after="180" w:line="360" w:lineRule="auto"/>
        <w:jc w:val="both"/>
        <w:rPr>
          <w:rFonts w:ascii="Arial" w:eastAsia="Arial" w:hAnsi="Arial" w:cs="Arial"/>
        </w:rPr>
      </w:pPr>
      <w:r>
        <w:rPr>
          <w:rFonts w:ascii="Arial" w:eastAsia="Arial" w:hAnsi="Arial" w:cs="Arial"/>
          <w:b/>
          <w:bCs/>
        </w:rPr>
        <w:t>Limitation 3: Interpretive nature of the analysis.</w:t>
      </w:r>
      <w:r>
        <w:rPr>
          <w:rFonts w:ascii="Arial" w:eastAsia="Arial" w:hAnsi="Arial" w:cs="Arial"/>
        </w:rPr>
        <w:t xml:space="preserve"> Even with an explicit framework and an auditable chain of evidence (Section 3.6), thematic coding remains interpretive, and the researcher’s position as a non-UK-based postgraduate </w:t>
      </w:r>
      <w:proofErr w:type="spellStart"/>
      <w:r>
        <w:rPr>
          <w:rFonts w:ascii="Arial" w:eastAsia="Arial" w:hAnsi="Arial" w:cs="Arial"/>
        </w:rPr>
        <w:t>analysing</w:t>
      </w:r>
      <w:proofErr w:type="spellEnd"/>
      <w:r>
        <w:rPr>
          <w:rFonts w:ascii="Arial" w:eastAsia="Arial" w:hAnsi="Arial" w:cs="Arial"/>
        </w:rPr>
        <w:t xml:space="preserve"> British </w:t>
      </w:r>
      <w:proofErr w:type="spellStart"/>
      <w:r>
        <w:rPr>
          <w:rFonts w:ascii="Arial" w:eastAsia="Arial" w:hAnsi="Arial" w:cs="Arial"/>
        </w:rPr>
        <w:t>humour</w:t>
      </w:r>
      <w:proofErr w:type="spellEnd"/>
      <w:r>
        <w:rPr>
          <w:rFonts w:ascii="Arial" w:eastAsia="Arial" w:hAnsi="Arial" w:cs="Arial"/>
        </w:rPr>
        <w:t xml:space="preserve"> and retail competition is an interpretive standpoint rather than a neutral one.</w:t>
      </w:r>
    </w:p>
    <w:p w14:paraId="00000224" w14:textId="77777777" w:rsidR="003D2C5F" w:rsidRDefault="00000000">
      <w:pPr>
        <w:spacing w:before="180" w:after="180" w:line="360" w:lineRule="auto"/>
        <w:jc w:val="both"/>
        <w:rPr>
          <w:rFonts w:ascii="Arial" w:eastAsia="Arial" w:hAnsi="Arial" w:cs="Arial"/>
        </w:rPr>
      </w:pPr>
      <w:r>
        <w:rPr>
          <w:rFonts w:ascii="Arial" w:eastAsia="Arial" w:hAnsi="Arial" w:cs="Arial"/>
          <w:b/>
          <w:bCs/>
        </w:rPr>
        <w:t>Limitation 4: Absence of audience perspective.</w:t>
      </w:r>
      <w:r>
        <w:rPr>
          <w:rFonts w:ascii="Arial" w:eastAsia="Arial" w:hAnsi="Arial" w:cs="Arial"/>
        </w:rPr>
        <w:t xml:space="preserve"> Audience comments, user-generated content and consumer views were deliberately excluded (Section 1.5), so the study cannot show how consumers actually perceived the campaign, and recoverable engagement indicators cannot capture psychological engagement (</w:t>
      </w:r>
      <w:proofErr w:type="spellStart"/>
      <w:r>
        <w:rPr>
          <w:rFonts w:ascii="Arial" w:eastAsia="Arial" w:hAnsi="Arial" w:cs="Arial"/>
        </w:rPr>
        <w:t>Hollebeek</w:t>
      </w:r>
      <w:proofErr w:type="spellEnd"/>
      <w:r>
        <w:rPr>
          <w:rFonts w:ascii="Arial" w:eastAsia="Arial" w:hAnsi="Arial" w:cs="Arial"/>
        </w:rPr>
        <w:t>, Glynn and Brodie, 2014).</w:t>
      </w:r>
    </w:p>
    <w:p w14:paraId="00000225" w14:textId="77777777" w:rsidR="003D2C5F" w:rsidRDefault="00000000">
      <w:pPr>
        <w:spacing w:before="180" w:after="180" w:line="360" w:lineRule="auto"/>
        <w:jc w:val="both"/>
        <w:rPr>
          <w:rFonts w:ascii="Arial" w:eastAsia="Arial" w:hAnsi="Arial" w:cs="Arial"/>
        </w:rPr>
      </w:pPr>
      <w:r>
        <w:rPr>
          <w:rFonts w:ascii="Arial" w:eastAsia="Arial" w:hAnsi="Arial" w:cs="Arial"/>
          <w:b/>
          <w:bCs/>
        </w:rPr>
        <w:t>Limitation 5: No assessment of commercial impact.</w:t>
      </w:r>
      <w:r>
        <w:rPr>
          <w:rFonts w:ascii="Arial" w:eastAsia="Arial" w:hAnsi="Arial" w:cs="Arial"/>
        </w:rPr>
        <w:t xml:space="preserve"> The study does not show that the campaign changed consumer </w:t>
      </w:r>
      <w:proofErr w:type="spellStart"/>
      <w:r>
        <w:rPr>
          <w:rFonts w:ascii="Arial" w:eastAsia="Arial" w:hAnsi="Arial" w:cs="Arial"/>
        </w:rPr>
        <w:t>behaviour</w:t>
      </w:r>
      <w:proofErr w:type="spellEnd"/>
      <w:r>
        <w:rPr>
          <w:rFonts w:ascii="Arial" w:eastAsia="Arial" w:hAnsi="Arial" w:cs="Arial"/>
        </w:rPr>
        <w:t>, sales or loyalty; industry awards (The Drum, 2021) are creative judgements rather than evidence of commercial results.</w:t>
      </w:r>
    </w:p>
    <w:p w14:paraId="74DC0A93" w14:textId="77777777" w:rsidR="00AB5845" w:rsidRDefault="00AB5845">
      <w:pPr>
        <w:spacing w:before="180" w:after="180" w:line="360" w:lineRule="auto"/>
        <w:jc w:val="both"/>
        <w:rPr>
          <w:rFonts w:ascii="Arial" w:eastAsia="Arial" w:hAnsi="Arial" w:cs="Arial"/>
        </w:rPr>
      </w:pPr>
    </w:p>
    <w:p w14:paraId="00000226" w14:textId="77777777" w:rsidR="003D2C5F" w:rsidRDefault="00000000">
      <w:pPr>
        <w:pStyle w:val="Heading2"/>
        <w:keepNext w:val="0"/>
        <w:keepLines w:val="0"/>
        <w:spacing w:after="80" w:line="360" w:lineRule="auto"/>
        <w:rPr>
          <w:b w:val="0"/>
          <w:bCs w:val="0"/>
          <w:sz w:val="34"/>
          <w:szCs w:val="34"/>
        </w:rPr>
      </w:pPr>
      <w:bookmarkStart w:id="177" w:name="_pazuws21f4ns" w:colFirst="0" w:colLast="0"/>
      <w:bookmarkStart w:id="178" w:name="_Toc241144237"/>
      <w:bookmarkEnd w:id="177"/>
      <w:r>
        <w:rPr>
          <w:sz w:val="34"/>
          <w:szCs w:val="34"/>
        </w:rPr>
        <w:lastRenderedPageBreak/>
        <w:t>6.4 Recommendations for Practice</w:t>
      </w:r>
      <w:bookmarkEnd w:id="178"/>
    </w:p>
    <w:p w14:paraId="00000227" w14:textId="77777777" w:rsidR="003D2C5F" w:rsidRDefault="00000000">
      <w:pPr>
        <w:spacing w:before="240" w:after="240" w:line="360" w:lineRule="auto"/>
        <w:jc w:val="both"/>
        <w:rPr>
          <w:rFonts w:ascii="Arial" w:eastAsia="Arial" w:hAnsi="Arial" w:cs="Arial"/>
        </w:rPr>
      </w:pPr>
      <w:r>
        <w:rPr>
          <w:rFonts w:ascii="Arial" w:eastAsia="Arial" w:hAnsi="Arial" w:cs="Arial"/>
        </w:rPr>
        <w:t>Recommendations are presented as conditional decision principles, that is, principles that apply in circumstances similar to those supported by the findings.</w:t>
      </w:r>
    </w:p>
    <w:p w14:paraId="00000228" w14:textId="77777777" w:rsidR="003D2C5F" w:rsidRDefault="00000000">
      <w:pPr>
        <w:spacing w:before="180" w:after="180" w:line="360" w:lineRule="auto"/>
        <w:jc w:val="both"/>
        <w:rPr>
          <w:rFonts w:ascii="Arial" w:eastAsia="Arial" w:hAnsi="Arial" w:cs="Arial"/>
        </w:rPr>
      </w:pPr>
      <w:r>
        <w:rPr>
          <w:rFonts w:ascii="Arial" w:eastAsia="Arial" w:hAnsi="Arial" w:cs="Arial"/>
          <w:b/>
          <w:bCs/>
        </w:rPr>
        <w:t>Recommendation 1: Build reusable strategic frameworks for reactive response.</w:t>
      </w:r>
      <w:r>
        <w:rPr>
          <w:rFonts w:ascii="Arial" w:eastAsia="Arial" w:hAnsi="Arial" w:cs="Arial"/>
        </w:rPr>
        <w:t xml:space="preserve"> As this case is consistent with “prepared improvisation” (Section 5.2), brands in legally sensitive situations may wish to develop reusable tone, positioning and narrative structures in advance so that a timely response does not sacrifice execution quality, although a single case cannot show that this outperforms ad hoc reaction.</w:t>
      </w:r>
    </w:p>
    <w:p w14:paraId="00000229" w14:textId="77777777" w:rsidR="003D2C5F" w:rsidRDefault="00000000">
      <w:pPr>
        <w:spacing w:before="180" w:after="180" w:line="360" w:lineRule="auto"/>
        <w:jc w:val="both"/>
        <w:rPr>
          <w:rFonts w:ascii="Arial" w:eastAsia="Arial" w:hAnsi="Arial" w:cs="Arial"/>
        </w:rPr>
      </w:pPr>
      <w:r>
        <w:rPr>
          <w:rFonts w:ascii="Arial" w:eastAsia="Arial" w:hAnsi="Arial" w:cs="Arial"/>
          <w:b/>
          <w:bCs/>
        </w:rPr>
        <w:t>Recommendation 2: Invest in local cultural knowledge before adapting this approach elsewhere.</w:t>
      </w:r>
      <w:r>
        <w:rPr>
          <w:rFonts w:ascii="Arial" w:eastAsia="Arial" w:hAnsi="Arial" w:cs="Arial"/>
        </w:rPr>
        <w:t xml:space="preserve"> Because cultural relevance here (Section 4.3.4) relied on culturally loaded </w:t>
      </w:r>
      <w:proofErr w:type="spellStart"/>
      <w:r>
        <w:rPr>
          <w:rFonts w:ascii="Arial" w:eastAsia="Arial" w:hAnsi="Arial" w:cs="Arial"/>
        </w:rPr>
        <w:t>humour</w:t>
      </w:r>
      <w:proofErr w:type="spellEnd"/>
      <w:r>
        <w:rPr>
          <w:rFonts w:ascii="Arial" w:eastAsia="Arial" w:hAnsi="Arial" w:cs="Arial"/>
        </w:rPr>
        <w:t xml:space="preserve"> and references, international brands should treat local cultural research as a precondition for using this approach in new markets (Theodosiou and </w:t>
      </w:r>
      <w:proofErr w:type="spellStart"/>
      <w:r>
        <w:rPr>
          <w:rFonts w:ascii="Arial" w:eastAsia="Arial" w:hAnsi="Arial" w:cs="Arial"/>
        </w:rPr>
        <w:t>Leonidou</w:t>
      </w:r>
      <w:proofErr w:type="spellEnd"/>
      <w:r>
        <w:rPr>
          <w:rFonts w:ascii="Arial" w:eastAsia="Arial" w:hAnsi="Arial" w:cs="Arial"/>
        </w:rPr>
        <w:t>, 2003; Douglas and Craig, 2011).</w:t>
      </w:r>
    </w:p>
    <w:p w14:paraId="7E8B2DD3" w14:textId="77777777"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3: Keep communication designs simple to avoid creating, not solve, legal issues. </w:t>
      </w:r>
      <w:r w:rsidRPr="00AB5845">
        <w:rPr>
          <w:rFonts w:ascii="Arial" w:eastAsia="Arial" w:hAnsi="Arial" w:cs="Arial"/>
        </w:rPr>
        <w:t>The corpus reveals that legal risk was managed at the level of communication (Section 4.4.2) by shifting the communication of the brand, away from legal argument, without the litigation result. Brands that are targeted in an active dispute should consider reactive marketing as managing communication risk, but not the litigation strategy.</w:t>
      </w:r>
    </w:p>
    <w:p w14:paraId="3C69F934" w14:textId="010C3A6A"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4: Carry out campaigns with a route to resolution. </w:t>
      </w:r>
      <w:r w:rsidRPr="00AB5845">
        <w:rPr>
          <w:rFonts w:ascii="Arial" w:eastAsia="Arial" w:hAnsi="Arial" w:cs="Arial"/>
        </w:rPr>
        <w:t xml:space="preserve">Since the </w:t>
      </w:r>
      <w:r>
        <w:rPr>
          <w:rFonts w:ascii="Arial" w:eastAsia="Arial" w:hAnsi="Arial" w:cs="Arial"/>
        </w:rPr>
        <w:t>three-phase</w:t>
      </w:r>
      <w:r w:rsidRPr="00AB5845">
        <w:rPr>
          <w:rFonts w:ascii="Arial" w:eastAsia="Arial" w:hAnsi="Arial" w:cs="Arial"/>
        </w:rPr>
        <w:t xml:space="preserve"> structure is a retained narrative control, brands need to outline a clear path to end from the initial phase and not just a series of reactions.</w:t>
      </w:r>
    </w:p>
    <w:p w14:paraId="488A1BFA" w14:textId="77777777"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5: Do not use challenger positioning until you have an idea of how credible it is. </w:t>
      </w:r>
      <w:r w:rsidRPr="00AB5845">
        <w:rPr>
          <w:rFonts w:ascii="Arial" w:eastAsia="Arial" w:hAnsi="Arial" w:cs="Arial"/>
        </w:rPr>
        <w:t xml:space="preserve">However, the acceptance of </w:t>
      </w:r>
      <w:proofErr w:type="spellStart"/>
      <w:r w:rsidRPr="00AB5845">
        <w:rPr>
          <w:rFonts w:ascii="Arial" w:eastAsia="Arial" w:hAnsi="Arial" w:cs="Arial"/>
        </w:rPr>
        <w:t>humour</w:t>
      </w:r>
      <w:proofErr w:type="spellEnd"/>
      <w:r w:rsidRPr="00AB5845">
        <w:rPr>
          <w:rFonts w:ascii="Arial" w:eastAsia="Arial" w:hAnsi="Arial" w:cs="Arial"/>
        </w:rPr>
        <w:t xml:space="preserve"> and competition is dependent on market position (Béal, Lécuyer and Guitart, 2025), so a response such as that by Aldi UK may not be appropriate in other markets and should not be assumed to be.</w:t>
      </w:r>
    </w:p>
    <w:p w14:paraId="7C2387C8" w14:textId="756028B9"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lastRenderedPageBreak/>
        <w:t xml:space="preserve">Recommendation 6: Monitor framing in professional and not just public audiences. </w:t>
      </w:r>
      <w:r w:rsidRPr="00AB5845">
        <w:rPr>
          <w:rFonts w:ascii="Arial" w:eastAsia="Arial" w:hAnsi="Arial" w:cs="Arial"/>
        </w:rPr>
        <w:t>Due to the different framings between the marketing trade coverage and the legal-professional coverage (Section 4.3.5), brands should track legal, reputational stakeholders as well as marketing and media audiences.</w:t>
      </w:r>
    </w:p>
    <w:p w14:paraId="0000022E" w14:textId="77777777" w:rsidR="003D2C5F" w:rsidRDefault="00000000">
      <w:pPr>
        <w:pStyle w:val="Heading2"/>
        <w:keepNext w:val="0"/>
        <w:keepLines w:val="0"/>
        <w:spacing w:after="80" w:line="360" w:lineRule="auto"/>
        <w:rPr>
          <w:b w:val="0"/>
          <w:bCs w:val="0"/>
          <w:sz w:val="34"/>
          <w:szCs w:val="34"/>
        </w:rPr>
      </w:pPr>
      <w:bookmarkStart w:id="179" w:name="_4mhjgpkem8rc" w:colFirst="0" w:colLast="0"/>
      <w:bookmarkStart w:id="180" w:name="_Toc241144238"/>
      <w:bookmarkEnd w:id="179"/>
      <w:r>
        <w:rPr>
          <w:sz w:val="34"/>
          <w:szCs w:val="34"/>
        </w:rPr>
        <w:t>6.5 Recommendations for Future Research</w:t>
      </w:r>
      <w:bookmarkEnd w:id="180"/>
    </w:p>
    <w:p w14:paraId="5EBA2504" w14:textId="281F4D12"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1: </w:t>
      </w:r>
      <w:r>
        <w:rPr>
          <w:rFonts w:ascii="Arial" w:eastAsia="Arial" w:hAnsi="Arial" w:cs="Arial"/>
          <w:b/>
          <w:bCs/>
        </w:rPr>
        <w:t>Cross-cultural</w:t>
      </w:r>
      <w:r w:rsidRPr="00AB5845">
        <w:rPr>
          <w:rFonts w:ascii="Arial" w:eastAsia="Arial" w:hAnsi="Arial" w:cs="Arial"/>
          <w:b/>
          <w:bCs/>
        </w:rPr>
        <w:t xml:space="preserve"> and </w:t>
      </w:r>
      <w:r>
        <w:rPr>
          <w:rFonts w:ascii="Arial" w:eastAsia="Arial" w:hAnsi="Arial" w:cs="Arial"/>
          <w:b/>
          <w:bCs/>
        </w:rPr>
        <w:t>cross-legal</w:t>
      </w:r>
      <w:r w:rsidRPr="00AB5845">
        <w:rPr>
          <w:rFonts w:ascii="Arial" w:eastAsia="Arial" w:hAnsi="Arial" w:cs="Arial"/>
          <w:b/>
          <w:bCs/>
        </w:rPr>
        <w:t xml:space="preserve"> comparison. </w:t>
      </w:r>
      <w:r w:rsidRPr="00AB5845">
        <w:rPr>
          <w:rFonts w:ascii="Arial" w:eastAsia="Arial" w:hAnsi="Arial" w:cs="Arial"/>
        </w:rPr>
        <w:t xml:space="preserve">Comparative research between cultural and legal contexts may help to validate these approaches </w:t>
      </w:r>
      <w:r>
        <w:rPr>
          <w:rFonts w:ascii="Arial" w:eastAsia="Arial" w:hAnsi="Arial" w:cs="Arial"/>
        </w:rPr>
        <w:t>outside</w:t>
      </w:r>
      <w:r w:rsidRPr="00AB5845">
        <w:rPr>
          <w:rFonts w:ascii="Arial" w:eastAsia="Arial" w:hAnsi="Arial" w:cs="Arial"/>
        </w:rPr>
        <w:t xml:space="preserve"> the UK and </w:t>
      </w:r>
      <w:r>
        <w:rPr>
          <w:rFonts w:ascii="Arial" w:eastAsia="Arial" w:hAnsi="Arial" w:cs="Arial"/>
        </w:rPr>
        <w:t>beyond</w:t>
      </w:r>
      <w:r w:rsidRPr="00AB5845">
        <w:rPr>
          <w:rFonts w:ascii="Arial" w:eastAsia="Arial" w:hAnsi="Arial" w:cs="Arial"/>
        </w:rPr>
        <w:t xml:space="preserve"> this issue.</w:t>
      </w:r>
    </w:p>
    <w:p w14:paraId="262AF561" w14:textId="77777777"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2: Audience-perspective studies. </w:t>
      </w:r>
      <w:r w:rsidRPr="00AB5845">
        <w:rPr>
          <w:rFonts w:ascii="Arial" w:eastAsia="Arial" w:hAnsi="Arial" w:cs="Arial"/>
        </w:rPr>
        <w:t>This study deliberately avoided a look at how consumers interpreted the campaign, as this could be revealed through interviews, surveys or ethically managed analysis of their own and other consumers' content.</w:t>
      </w:r>
    </w:p>
    <w:p w14:paraId="5914456E" w14:textId="77777777"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3: Conduct longitudinal studies for the effect of reputation. </w:t>
      </w:r>
      <w:r w:rsidRPr="00AB5845">
        <w:rPr>
          <w:rFonts w:ascii="Arial" w:eastAsia="Arial" w:hAnsi="Arial" w:cs="Arial"/>
        </w:rPr>
        <w:t>Long-term studies can monitor the reputation, sentiment and performance before, during and after comparable campaigns to prove long-term results.</w:t>
      </w:r>
    </w:p>
    <w:p w14:paraId="79B879D4" w14:textId="4ABD9246"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4: Quantitative analysis of </w:t>
      </w:r>
      <w:r>
        <w:rPr>
          <w:rFonts w:ascii="Arial" w:eastAsia="Arial" w:hAnsi="Arial" w:cs="Arial"/>
          <w:b/>
          <w:bCs/>
        </w:rPr>
        <w:t xml:space="preserve">a </w:t>
      </w:r>
      <w:r w:rsidRPr="00AB5845">
        <w:rPr>
          <w:rFonts w:ascii="Arial" w:eastAsia="Arial" w:hAnsi="Arial" w:cs="Arial"/>
          <w:b/>
          <w:bCs/>
        </w:rPr>
        <w:t xml:space="preserve">larger sample. </w:t>
      </w:r>
      <w:r w:rsidRPr="00AB5845">
        <w:rPr>
          <w:rFonts w:ascii="Arial" w:eastAsia="Arial" w:hAnsi="Arial" w:cs="Arial"/>
        </w:rPr>
        <w:t xml:space="preserve">More </w:t>
      </w:r>
      <w:proofErr w:type="spellStart"/>
      <w:r w:rsidRPr="00AB5845">
        <w:rPr>
          <w:rFonts w:ascii="Arial" w:eastAsia="Arial" w:hAnsi="Arial" w:cs="Arial"/>
        </w:rPr>
        <w:t>generalisable</w:t>
      </w:r>
      <w:proofErr w:type="spellEnd"/>
      <w:r w:rsidRPr="00AB5845">
        <w:rPr>
          <w:rFonts w:ascii="Arial" w:eastAsia="Arial" w:hAnsi="Arial" w:cs="Arial"/>
        </w:rPr>
        <w:t xml:space="preserve"> findings might be found in a quantitative examination of content, timing and engagement of numerous reactive campaigns.</w:t>
      </w:r>
    </w:p>
    <w:p w14:paraId="3526B74C" w14:textId="3A5E0F07"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5: </w:t>
      </w:r>
      <w:r>
        <w:rPr>
          <w:rFonts w:ascii="Arial" w:eastAsia="Arial" w:hAnsi="Arial" w:cs="Arial"/>
          <w:b/>
          <w:bCs/>
        </w:rPr>
        <w:t>Cross-challenger-brand</w:t>
      </w:r>
      <w:r w:rsidRPr="00AB5845">
        <w:rPr>
          <w:rFonts w:ascii="Arial" w:eastAsia="Arial" w:hAnsi="Arial" w:cs="Arial"/>
          <w:b/>
          <w:bCs/>
        </w:rPr>
        <w:t xml:space="preserve"> comparative studies. </w:t>
      </w:r>
      <w:r w:rsidRPr="00AB5845">
        <w:rPr>
          <w:rFonts w:ascii="Arial" w:eastAsia="Arial" w:hAnsi="Arial" w:cs="Arial"/>
        </w:rPr>
        <w:t>Comparative case studies of other challenger brands in various market situations and sectors could help to determine if these trends are unique to Aldi UK.</w:t>
      </w:r>
    </w:p>
    <w:p w14:paraId="2952AD10" w14:textId="77777777"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Recommendation 6: Legal-outcome research. </w:t>
      </w:r>
      <w:r w:rsidRPr="00AB5845">
        <w:rPr>
          <w:rFonts w:ascii="Arial" w:eastAsia="Arial" w:hAnsi="Arial" w:cs="Arial"/>
        </w:rPr>
        <w:t>This study would not answer the question of how these campaigns relate to litigation strategy, settlements or legal outcomes.</w:t>
      </w:r>
    </w:p>
    <w:p w14:paraId="3F35A661" w14:textId="63C5F91B" w:rsidR="00AB5845" w:rsidRPr="00AB5845" w:rsidRDefault="00AB5845" w:rsidP="00AB5845">
      <w:pPr>
        <w:spacing w:before="180" w:after="180" w:line="360" w:lineRule="auto"/>
        <w:jc w:val="both"/>
        <w:rPr>
          <w:rFonts w:ascii="Arial" w:eastAsia="Arial" w:hAnsi="Arial" w:cs="Arial"/>
        </w:rPr>
      </w:pPr>
      <w:r w:rsidRPr="00AB5845">
        <w:rPr>
          <w:rFonts w:ascii="Arial" w:eastAsia="Arial" w:hAnsi="Arial" w:cs="Arial"/>
          <w:b/>
          <w:bCs/>
        </w:rPr>
        <w:t xml:space="preserve">The Internal </w:t>
      </w:r>
      <w:proofErr w:type="spellStart"/>
      <w:r w:rsidRPr="00AB5845">
        <w:rPr>
          <w:rFonts w:ascii="Arial" w:eastAsia="Arial" w:hAnsi="Arial" w:cs="Arial"/>
          <w:b/>
          <w:bCs/>
        </w:rPr>
        <w:t>organisational</w:t>
      </w:r>
      <w:proofErr w:type="spellEnd"/>
      <w:r w:rsidRPr="00AB5845">
        <w:rPr>
          <w:rFonts w:ascii="Arial" w:eastAsia="Arial" w:hAnsi="Arial" w:cs="Arial"/>
          <w:b/>
          <w:bCs/>
        </w:rPr>
        <w:t xml:space="preserve"> perspective is recommended. </w:t>
      </w:r>
      <w:r w:rsidRPr="00AB5845">
        <w:rPr>
          <w:rFonts w:ascii="Arial" w:eastAsia="Arial" w:hAnsi="Arial" w:cs="Arial"/>
        </w:rPr>
        <w:t xml:space="preserve">This study's external perspective would be complemented by interviews with practitioners to gather insights </w:t>
      </w:r>
      <w:r w:rsidRPr="00AB5845">
        <w:rPr>
          <w:rFonts w:ascii="Arial" w:eastAsia="Arial" w:hAnsi="Arial" w:cs="Arial"/>
        </w:rPr>
        <w:lastRenderedPageBreak/>
        <w:t>into how marketing and legal/communications teams work together during the course of legally-sensitive reactive campaigns.</w:t>
      </w:r>
    </w:p>
    <w:p w14:paraId="00000236" w14:textId="77777777" w:rsidR="003D2C5F" w:rsidRDefault="00000000">
      <w:pPr>
        <w:pStyle w:val="Heading2"/>
        <w:keepNext w:val="0"/>
        <w:keepLines w:val="0"/>
        <w:spacing w:after="80" w:line="360" w:lineRule="auto"/>
        <w:rPr>
          <w:b w:val="0"/>
          <w:bCs w:val="0"/>
          <w:sz w:val="34"/>
          <w:szCs w:val="34"/>
        </w:rPr>
      </w:pPr>
      <w:bookmarkStart w:id="181" w:name="_jdor8dxs11ja" w:colFirst="0" w:colLast="0"/>
      <w:bookmarkStart w:id="182" w:name="_Toc241144239"/>
      <w:bookmarkEnd w:id="181"/>
      <w:r>
        <w:rPr>
          <w:sz w:val="34"/>
          <w:szCs w:val="34"/>
        </w:rPr>
        <w:t>6.6 Concluding Remarks</w:t>
      </w:r>
      <w:bookmarkEnd w:id="182"/>
    </w:p>
    <w:p w14:paraId="39F56447" w14:textId="77777777" w:rsidR="00AB5845" w:rsidRPr="00AB5845" w:rsidRDefault="00AB5845" w:rsidP="00AB5845">
      <w:pPr>
        <w:spacing w:before="240" w:after="240" w:line="360" w:lineRule="auto"/>
        <w:jc w:val="both"/>
        <w:rPr>
          <w:rFonts w:ascii="Arial" w:eastAsia="Arial" w:hAnsi="Arial" w:cs="Arial"/>
        </w:rPr>
      </w:pPr>
      <w:r w:rsidRPr="00AB5845">
        <w:rPr>
          <w:rFonts w:ascii="Arial" w:eastAsia="Arial" w:hAnsi="Arial" w:cs="Arial"/>
        </w:rPr>
        <w:t>The results indicate that public attention was not seen to escalate in this instance, even though the use of social media marketing was reactive and took place in a context where the legal landscape is sensitive. It seemed to be successful, and it was fast and clear, there were culturally relevant references, it was de-escalating, and it was a road to resolution that was largely outside of the legal sphere.</w:t>
      </w:r>
    </w:p>
    <w:p w14:paraId="1614CFC3" w14:textId="77777777" w:rsidR="00AB5845" w:rsidRPr="00AB5845" w:rsidRDefault="00AB5845" w:rsidP="00AB5845">
      <w:pPr>
        <w:spacing w:before="240" w:after="240" w:line="360" w:lineRule="auto"/>
        <w:jc w:val="both"/>
        <w:rPr>
          <w:rFonts w:ascii="Arial" w:eastAsia="Arial" w:hAnsi="Arial" w:cs="Arial"/>
        </w:rPr>
      </w:pPr>
      <w:r w:rsidRPr="00AB5845">
        <w:rPr>
          <w:rFonts w:ascii="Arial" w:eastAsia="Arial" w:hAnsi="Arial" w:cs="Arial"/>
        </w:rPr>
        <w:t>It is the first unified framework that articulates three tensions that have been explored in isolation by previous research: improvisation versus timeliness, open rivalry as opportunity or escalation, and the seriousness of reputational risk. In this instance, they seem to have been handled in a carefully orchestrated manner and further research is required to determine if this is the norm in the larger world (Section 6.5).</w:t>
      </w:r>
    </w:p>
    <w:p w14:paraId="377328C2" w14:textId="77777777" w:rsidR="00AB5845" w:rsidRPr="00AB5845" w:rsidRDefault="00AB5845" w:rsidP="00AB5845">
      <w:pPr>
        <w:spacing w:before="240" w:after="240" w:line="360" w:lineRule="auto"/>
        <w:jc w:val="both"/>
        <w:rPr>
          <w:rFonts w:ascii="Arial" w:eastAsia="Arial" w:hAnsi="Arial" w:cs="Arial"/>
        </w:rPr>
      </w:pPr>
      <w:r w:rsidRPr="00AB5845">
        <w:rPr>
          <w:rFonts w:ascii="Arial" w:eastAsia="Arial" w:hAnsi="Arial" w:cs="Arial"/>
        </w:rPr>
        <w:t>The case points out the importance of local cultural knowledge, communication level legal risk awareness, structured campaign phasing (transferable questions), which are not rules for brands in similar legal and reputational contexts.</w:t>
      </w:r>
    </w:p>
    <w:p w14:paraId="57EF67CD" w14:textId="77777777" w:rsidR="00AB5845" w:rsidRPr="00AB5845" w:rsidRDefault="00AB5845" w:rsidP="00AB5845">
      <w:pPr>
        <w:spacing w:before="240" w:after="240" w:line="360" w:lineRule="auto"/>
        <w:jc w:val="both"/>
        <w:rPr>
          <w:rFonts w:ascii="Arial" w:eastAsia="Arial" w:hAnsi="Arial" w:cs="Arial"/>
        </w:rPr>
      </w:pPr>
      <w:r w:rsidRPr="00AB5845">
        <w:rPr>
          <w:rFonts w:ascii="Arial" w:eastAsia="Arial" w:hAnsi="Arial" w:cs="Arial"/>
        </w:rPr>
        <w:t>Future studies should address these limitations, such as single case design and the lack of evidence of the audience. Comparative and longitudinal research will be useful in finding out what extent the patterns found here exist outside this particular case.</w:t>
      </w:r>
    </w:p>
    <w:p w14:paraId="0000023C" w14:textId="166E0EB3" w:rsidR="003D2C5F" w:rsidRDefault="00AB5845" w:rsidP="00AB5845">
      <w:pPr>
        <w:spacing w:before="240" w:after="240" w:line="360" w:lineRule="auto"/>
        <w:jc w:val="both"/>
        <w:rPr>
          <w:rFonts w:ascii="Arial" w:eastAsia="Arial" w:hAnsi="Arial" w:cs="Arial"/>
        </w:rPr>
      </w:pPr>
      <w:r w:rsidRPr="00AB5845">
        <w:rPr>
          <w:rFonts w:ascii="Arial" w:eastAsia="Arial" w:hAnsi="Arial" w:cs="Arial"/>
        </w:rPr>
        <w:t xml:space="preserve">From the findings of this research, it can be concluded that marketing communication in a sensitive legal situation is not just a creative exercise but it is a strategic process that combines elements of </w:t>
      </w:r>
      <w:proofErr w:type="spellStart"/>
      <w:r w:rsidRPr="00AB5845">
        <w:rPr>
          <w:rFonts w:ascii="Arial" w:eastAsia="Arial" w:hAnsi="Arial" w:cs="Arial"/>
        </w:rPr>
        <w:t>story telling</w:t>
      </w:r>
      <w:proofErr w:type="spellEnd"/>
      <w:r w:rsidRPr="00AB5845">
        <w:rPr>
          <w:rFonts w:ascii="Arial" w:eastAsia="Arial" w:hAnsi="Arial" w:cs="Arial"/>
        </w:rPr>
        <w:t xml:space="preserve"> and positioning that must be done by integrating cultural context, creativity and risk management. It looks like a quick stunt or a funny joke, but #FreeCuthbert's apparent success is more likely a result of the mix of its components than of any single component, particularly when #FreeCuthbert finds itself in a similar situation to other international brands in the legal clash with public opinion.</w:t>
      </w:r>
    </w:p>
    <w:p w14:paraId="0000023D" w14:textId="77777777" w:rsidR="003D2C5F" w:rsidRDefault="003D2C5F">
      <w:pPr>
        <w:spacing w:before="240" w:after="240" w:line="360" w:lineRule="auto"/>
        <w:jc w:val="both"/>
        <w:rPr>
          <w:rFonts w:ascii="Arial" w:eastAsia="Arial" w:hAnsi="Arial" w:cs="Arial"/>
        </w:rPr>
      </w:pPr>
    </w:p>
    <w:p w14:paraId="00000247" w14:textId="77777777" w:rsidR="003D2C5F" w:rsidRDefault="00000000">
      <w:pPr>
        <w:pStyle w:val="Heading1"/>
        <w:keepNext w:val="0"/>
        <w:keepLines w:val="0"/>
        <w:rPr>
          <w:b w:val="0"/>
          <w:bCs w:val="0"/>
          <w:sz w:val="46"/>
          <w:szCs w:val="46"/>
        </w:rPr>
      </w:pPr>
      <w:bookmarkStart w:id="183" w:name="_4tottlbvljcq" w:colFirst="0" w:colLast="0"/>
      <w:bookmarkStart w:id="184" w:name="_Toc241144240"/>
      <w:bookmarkEnd w:id="183"/>
      <w:r>
        <w:rPr>
          <w:sz w:val="46"/>
          <w:szCs w:val="46"/>
        </w:rPr>
        <w:lastRenderedPageBreak/>
        <w:t>References</w:t>
      </w:r>
      <w:bookmarkEnd w:id="184"/>
    </w:p>
    <w:p w14:paraId="00000248" w14:textId="188EFEAE"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Aaker, D.A. (1996) </w:t>
      </w:r>
      <w:r>
        <w:rPr>
          <w:rFonts w:ascii="Arial" w:eastAsia="Arial" w:hAnsi="Arial" w:cs="Arial"/>
          <w:i/>
        </w:rPr>
        <w:t>Building strong brands</w:t>
      </w:r>
      <w:r>
        <w:rPr>
          <w:rFonts w:ascii="Arial" w:eastAsia="Arial" w:hAnsi="Arial" w:cs="Arial"/>
        </w:rPr>
        <w:t xml:space="preserve">. New York: Free Press. Available at: </w:t>
      </w:r>
      <w:hyperlink r:id="rId9">
        <w:r>
          <w:rPr>
            <w:rFonts w:ascii="Arial" w:eastAsia="Arial" w:hAnsi="Arial" w:cs="Arial"/>
            <w:color w:val="0563C1"/>
            <w:u w:val="single"/>
          </w:rPr>
          <w:t>https://archive.org/details/buildingstrongbr00aake</w:t>
        </w:r>
      </w:hyperlink>
      <w:r>
        <w:rPr>
          <w:rFonts w:ascii="Arial" w:eastAsia="Arial" w:hAnsi="Arial" w:cs="Arial"/>
        </w:rPr>
        <w:t xml:space="preserve"> (Accessed: 24 September 2026).</w:t>
      </w:r>
    </w:p>
    <w:p w14:paraId="00000249" w14:textId="1516517E"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Aaker, J.L. (1997) ‘Dimensions of brand personality’, </w:t>
      </w:r>
      <w:r>
        <w:rPr>
          <w:rFonts w:ascii="Arial" w:eastAsia="Arial" w:hAnsi="Arial" w:cs="Arial"/>
          <w:i/>
        </w:rPr>
        <w:t>Journal of Marketing Research</w:t>
      </w:r>
      <w:r>
        <w:rPr>
          <w:rFonts w:ascii="Arial" w:eastAsia="Arial" w:hAnsi="Arial" w:cs="Arial"/>
        </w:rPr>
        <w:t xml:space="preserve">, 34(3), pp. 347–356. </w:t>
      </w:r>
      <w:hyperlink r:id="rId10">
        <w:r>
          <w:rPr>
            <w:rFonts w:ascii="Arial" w:eastAsia="Arial" w:hAnsi="Arial" w:cs="Arial"/>
            <w:color w:val="0563C1"/>
            <w:u w:val="single"/>
          </w:rPr>
          <w:t>https://doi.org/10.1177/002224379703400304</w:t>
        </w:r>
      </w:hyperlink>
    </w:p>
    <w:p w14:paraId="0000024A" w14:textId="1E3694F5"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Angell, R., Gorton, M., Bottomley, P., Marder, B., Bhaskar, S. and White, J. (2019) ‘News you can use! Evaluating the effectiveness of newsjacking based content on social media’, </w:t>
      </w:r>
      <w:r>
        <w:rPr>
          <w:rFonts w:ascii="Arial" w:eastAsia="Arial" w:hAnsi="Arial" w:cs="Arial"/>
          <w:i/>
        </w:rPr>
        <w:t>Information Technology &amp; People</w:t>
      </w:r>
      <w:r>
        <w:rPr>
          <w:rFonts w:ascii="Arial" w:eastAsia="Arial" w:hAnsi="Arial" w:cs="Arial"/>
        </w:rPr>
        <w:t xml:space="preserve">, 33(2), pp. 755–773. </w:t>
      </w:r>
      <w:hyperlink r:id="rId11">
        <w:r>
          <w:rPr>
            <w:rFonts w:ascii="Arial" w:eastAsia="Arial" w:hAnsi="Arial" w:cs="Arial"/>
            <w:color w:val="0563C1"/>
            <w:u w:val="single"/>
          </w:rPr>
          <w:t>https://doi.org/10.1108/ITP-04-2019-0177</w:t>
        </w:r>
      </w:hyperlink>
    </w:p>
    <w:p w14:paraId="0000024B" w14:textId="44261CC0"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Ashley, C. and Tuten, T. (2015) ‘Creative strategies in social media marketing: an exploratory study of branded social content and consumer engagement’, </w:t>
      </w:r>
      <w:r>
        <w:rPr>
          <w:rFonts w:ascii="Arial" w:eastAsia="Arial" w:hAnsi="Arial" w:cs="Arial"/>
          <w:i/>
        </w:rPr>
        <w:t>Psychology &amp; Marketing</w:t>
      </w:r>
      <w:r>
        <w:rPr>
          <w:rFonts w:ascii="Arial" w:eastAsia="Arial" w:hAnsi="Arial" w:cs="Arial"/>
        </w:rPr>
        <w:t xml:space="preserve">, 32(1), pp. 15–27. </w:t>
      </w:r>
      <w:hyperlink r:id="rId12">
        <w:r>
          <w:rPr>
            <w:rFonts w:ascii="Arial" w:eastAsia="Arial" w:hAnsi="Arial" w:cs="Arial"/>
            <w:color w:val="0563C1"/>
            <w:u w:val="single"/>
          </w:rPr>
          <w:t>https://doi.org/10.1002/mar.20761</w:t>
        </w:r>
      </w:hyperlink>
    </w:p>
    <w:p w14:paraId="0000024C" w14:textId="2DD64427"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Beard, F.K. (2010) ‘Comparative advertising wars: an historical analysis of their causes and consequences’, </w:t>
      </w:r>
      <w:r>
        <w:rPr>
          <w:rFonts w:ascii="Arial" w:eastAsia="Arial" w:hAnsi="Arial" w:cs="Arial"/>
          <w:i/>
        </w:rPr>
        <w:t xml:space="preserve">Journal of </w:t>
      </w:r>
      <w:proofErr w:type="spellStart"/>
      <w:r>
        <w:rPr>
          <w:rFonts w:ascii="Arial" w:eastAsia="Arial" w:hAnsi="Arial" w:cs="Arial"/>
          <w:i/>
        </w:rPr>
        <w:t>Macromarketing</w:t>
      </w:r>
      <w:proofErr w:type="spellEnd"/>
      <w:r>
        <w:rPr>
          <w:rFonts w:ascii="Arial" w:eastAsia="Arial" w:hAnsi="Arial" w:cs="Arial"/>
        </w:rPr>
        <w:t xml:space="preserve">, 30(3), pp. 270–286. </w:t>
      </w:r>
      <w:hyperlink r:id="rId13">
        <w:r>
          <w:rPr>
            <w:rFonts w:ascii="Arial" w:eastAsia="Arial" w:hAnsi="Arial" w:cs="Arial"/>
            <w:color w:val="0563C1"/>
            <w:u w:val="single"/>
          </w:rPr>
          <w:t>https://doi.org/10.1177/0276146710367786</w:t>
        </w:r>
      </w:hyperlink>
    </w:p>
    <w:p w14:paraId="0000024D" w14:textId="1D94105A"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Béal, M., Lécuyer, C. and Guitart, I. (2025) ‘Humor in online brand-to-brand dialogues: unveiling the difference between top dog and underdog brands’, </w:t>
      </w:r>
      <w:r>
        <w:rPr>
          <w:rFonts w:ascii="Arial" w:eastAsia="Arial" w:hAnsi="Arial" w:cs="Arial"/>
          <w:i/>
        </w:rPr>
        <w:t>Journal of Interactive Marketing</w:t>
      </w:r>
      <w:r>
        <w:rPr>
          <w:rFonts w:ascii="Arial" w:eastAsia="Arial" w:hAnsi="Arial" w:cs="Arial"/>
        </w:rPr>
        <w:t xml:space="preserve">, 60(2), pp. 196–215. </w:t>
      </w:r>
      <w:hyperlink r:id="rId14">
        <w:r>
          <w:rPr>
            <w:rFonts w:ascii="Arial" w:eastAsia="Arial" w:hAnsi="Arial" w:cs="Arial"/>
            <w:color w:val="0563C1"/>
            <w:u w:val="single"/>
          </w:rPr>
          <w:t>https://doi.org/10.1177/10949968241266828</w:t>
        </w:r>
      </w:hyperlink>
    </w:p>
    <w:p w14:paraId="0000024E" w14:textId="54ACB145"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Berendt, J., Uhrich, S. and Thompson, S.A. (2018) ‘Marketing, get ready to rumble: how rivalry promotes distinctiveness for brands and consumers’, </w:t>
      </w:r>
      <w:r>
        <w:rPr>
          <w:rFonts w:ascii="Arial" w:eastAsia="Arial" w:hAnsi="Arial" w:cs="Arial"/>
          <w:i/>
        </w:rPr>
        <w:t>Journal of Business Research</w:t>
      </w:r>
      <w:r>
        <w:rPr>
          <w:rFonts w:ascii="Arial" w:eastAsia="Arial" w:hAnsi="Arial" w:cs="Arial"/>
        </w:rPr>
        <w:t xml:space="preserve">, 88, pp. 161–172. </w:t>
      </w:r>
      <w:hyperlink r:id="rId15">
        <w:r>
          <w:rPr>
            <w:rFonts w:ascii="Arial" w:eastAsia="Arial" w:hAnsi="Arial" w:cs="Arial"/>
            <w:color w:val="0563C1"/>
            <w:u w:val="single"/>
          </w:rPr>
          <w:t>https://doi.org/10.1016/j.jbusres.2018.03.015</w:t>
        </w:r>
      </w:hyperlink>
    </w:p>
    <w:p w14:paraId="0000024F" w14:textId="6DE034DD"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Berthon, P.R., Pitt, L.F., </w:t>
      </w:r>
      <w:proofErr w:type="spellStart"/>
      <w:r>
        <w:rPr>
          <w:rFonts w:ascii="Arial" w:eastAsia="Arial" w:hAnsi="Arial" w:cs="Arial"/>
        </w:rPr>
        <w:t>Plangger</w:t>
      </w:r>
      <w:proofErr w:type="spellEnd"/>
      <w:r>
        <w:rPr>
          <w:rFonts w:ascii="Arial" w:eastAsia="Arial" w:hAnsi="Arial" w:cs="Arial"/>
        </w:rPr>
        <w:t xml:space="preserve">, K. and Shapiro, D. (2012) ‘Marketing meets Web 2.0, social media, and creative consumers: implications for international marketing strategy’, </w:t>
      </w:r>
      <w:r>
        <w:rPr>
          <w:rFonts w:ascii="Arial" w:eastAsia="Arial" w:hAnsi="Arial" w:cs="Arial"/>
          <w:i/>
        </w:rPr>
        <w:t>Business Horizons</w:t>
      </w:r>
      <w:r>
        <w:rPr>
          <w:rFonts w:ascii="Arial" w:eastAsia="Arial" w:hAnsi="Arial" w:cs="Arial"/>
        </w:rPr>
        <w:t xml:space="preserve">, 55(3), pp. 261–271. </w:t>
      </w:r>
      <w:hyperlink r:id="rId16">
        <w:r>
          <w:rPr>
            <w:rFonts w:ascii="Arial" w:eastAsia="Arial" w:hAnsi="Arial" w:cs="Arial"/>
            <w:color w:val="0563C1"/>
            <w:u w:val="single"/>
          </w:rPr>
          <w:t>https://doi.org/10.1016/j.bushor.2012.01.007</w:t>
        </w:r>
      </w:hyperlink>
    </w:p>
    <w:p w14:paraId="00000250" w14:textId="68826EA8" w:rsidR="003D2C5F" w:rsidRDefault="00000000">
      <w:pPr>
        <w:spacing w:before="180" w:after="180" w:line="360" w:lineRule="auto"/>
        <w:ind w:left="720" w:hanging="720"/>
        <w:jc w:val="both"/>
        <w:rPr>
          <w:rFonts w:ascii="Arial" w:eastAsia="Arial" w:hAnsi="Arial" w:cs="Arial"/>
        </w:rPr>
      </w:pPr>
      <w:r>
        <w:rPr>
          <w:rFonts w:ascii="Arial" w:eastAsia="Arial" w:hAnsi="Arial" w:cs="Arial"/>
        </w:rPr>
        <w:lastRenderedPageBreak/>
        <w:t xml:space="preserve">Borah, A., Banerjee, S., Lin, Y.T., Jain, A. and Eisingerich, A.B. (2020) ‘Improvised marketing interventions in social media’, </w:t>
      </w:r>
      <w:r>
        <w:rPr>
          <w:rFonts w:ascii="Arial" w:eastAsia="Arial" w:hAnsi="Arial" w:cs="Arial"/>
          <w:i/>
        </w:rPr>
        <w:t>Journal of Marketing</w:t>
      </w:r>
      <w:r>
        <w:rPr>
          <w:rFonts w:ascii="Arial" w:eastAsia="Arial" w:hAnsi="Arial" w:cs="Arial"/>
        </w:rPr>
        <w:t xml:space="preserve">, 84(2), pp. 69–91. </w:t>
      </w:r>
      <w:hyperlink r:id="rId17">
        <w:r>
          <w:rPr>
            <w:rFonts w:ascii="Arial" w:eastAsia="Arial" w:hAnsi="Arial" w:cs="Arial"/>
            <w:color w:val="0563C1"/>
            <w:u w:val="single"/>
          </w:rPr>
          <w:t>https://doi.org/10.1177/0022242919899383</w:t>
        </w:r>
      </w:hyperlink>
    </w:p>
    <w:p w14:paraId="00000251" w14:textId="0C99F97C"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Braun, V. and Clarke, V. (2006) ‘Using thematic analysis in psychology’, </w:t>
      </w:r>
      <w:r>
        <w:rPr>
          <w:rFonts w:ascii="Arial" w:eastAsia="Arial" w:hAnsi="Arial" w:cs="Arial"/>
          <w:i/>
        </w:rPr>
        <w:t>Qualitative Research in Psychology</w:t>
      </w:r>
      <w:r>
        <w:rPr>
          <w:rFonts w:ascii="Arial" w:eastAsia="Arial" w:hAnsi="Arial" w:cs="Arial"/>
        </w:rPr>
        <w:t xml:space="preserve">, 3(2), pp. 77–101. </w:t>
      </w:r>
      <w:hyperlink r:id="rId18">
        <w:r>
          <w:rPr>
            <w:rFonts w:ascii="Arial" w:eastAsia="Arial" w:hAnsi="Arial" w:cs="Arial"/>
            <w:color w:val="0563C1"/>
            <w:u w:val="single"/>
          </w:rPr>
          <w:t>https://doi.org/10.1191/1478088706qp063oa</w:t>
        </w:r>
      </w:hyperlink>
    </w:p>
    <w:p w14:paraId="00000252" w14:textId="71A59DD5"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Cayla, J. and Arnould, E.J. (2008) ‘A cultural approach to branding in the global marketplace’, </w:t>
      </w:r>
      <w:r>
        <w:rPr>
          <w:rFonts w:ascii="Arial" w:eastAsia="Arial" w:hAnsi="Arial" w:cs="Arial"/>
          <w:i/>
        </w:rPr>
        <w:t>Journal of International Marketing</w:t>
      </w:r>
      <w:r>
        <w:rPr>
          <w:rFonts w:ascii="Arial" w:eastAsia="Arial" w:hAnsi="Arial" w:cs="Arial"/>
        </w:rPr>
        <w:t xml:space="preserve">, 16(4), pp. 86–112. </w:t>
      </w:r>
      <w:hyperlink r:id="rId19">
        <w:r>
          <w:rPr>
            <w:rFonts w:ascii="Arial" w:eastAsia="Arial" w:hAnsi="Arial" w:cs="Arial"/>
            <w:color w:val="0563C1"/>
            <w:u w:val="single"/>
          </w:rPr>
          <w:t>https://doi.org/10.1509/jimk.16.4.86</w:t>
        </w:r>
      </w:hyperlink>
    </w:p>
    <w:p w14:paraId="00000253" w14:textId="48648895" w:rsidR="003D2C5F" w:rsidRDefault="00000000">
      <w:pPr>
        <w:spacing w:before="180" w:after="180" w:line="360" w:lineRule="auto"/>
        <w:ind w:left="720" w:hanging="720"/>
        <w:jc w:val="both"/>
        <w:rPr>
          <w:rFonts w:ascii="Arial" w:eastAsia="Arial" w:hAnsi="Arial" w:cs="Arial"/>
        </w:rPr>
      </w:pPr>
      <w:r>
        <w:rPr>
          <w:rFonts w:ascii="Arial" w:eastAsia="Arial" w:hAnsi="Arial" w:cs="Arial"/>
        </w:rPr>
        <w:t>Chae, M.-J., Rodríguez-</w:t>
      </w:r>
      <w:proofErr w:type="spellStart"/>
      <w:r>
        <w:rPr>
          <w:rFonts w:ascii="Arial" w:eastAsia="Arial" w:hAnsi="Arial" w:cs="Arial"/>
        </w:rPr>
        <w:t>Vilá</w:t>
      </w:r>
      <w:proofErr w:type="spellEnd"/>
      <w:r>
        <w:rPr>
          <w:rFonts w:ascii="Arial" w:eastAsia="Arial" w:hAnsi="Arial" w:cs="Arial"/>
        </w:rPr>
        <w:t xml:space="preserve">, O. and Bharadwaj, S. (2025) ‘Real-time marketing messages and consumer engagement in social media’, </w:t>
      </w:r>
      <w:r>
        <w:rPr>
          <w:rFonts w:ascii="Arial" w:eastAsia="Arial" w:hAnsi="Arial" w:cs="Arial"/>
          <w:i/>
        </w:rPr>
        <w:t>Journal of Business Research</w:t>
      </w:r>
      <w:r>
        <w:rPr>
          <w:rFonts w:ascii="Arial" w:eastAsia="Arial" w:hAnsi="Arial" w:cs="Arial"/>
        </w:rPr>
        <w:t xml:space="preserve">, 191, article 115266. </w:t>
      </w:r>
      <w:hyperlink r:id="rId20">
        <w:r>
          <w:rPr>
            <w:rFonts w:ascii="Arial" w:eastAsia="Arial" w:hAnsi="Arial" w:cs="Arial"/>
            <w:color w:val="0563C1"/>
            <w:u w:val="single"/>
          </w:rPr>
          <w:t>https://doi.org/10.1016/j.jbusres.2025.115266</w:t>
        </w:r>
      </w:hyperlink>
    </w:p>
    <w:p w14:paraId="00000254" w14:textId="378DD64D"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Colliander, J. and Dahlén, M. (2011) ‘Following the fashionable friend: the power of social media’, </w:t>
      </w:r>
      <w:r>
        <w:rPr>
          <w:rFonts w:ascii="Arial" w:eastAsia="Arial" w:hAnsi="Arial" w:cs="Arial"/>
          <w:i/>
        </w:rPr>
        <w:t>Journal of Advertising Research</w:t>
      </w:r>
      <w:r>
        <w:rPr>
          <w:rFonts w:ascii="Arial" w:eastAsia="Arial" w:hAnsi="Arial" w:cs="Arial"/>
        </w:rPr>
        <w:t xml:space="preserve">, 51(1), pp. 313–320. </w:t>
      </w:r>
      <w:hyperlink r:id="rId21">
        <w:r>
          <w:rPr>
            <w:rFonts w:ascii="Arial" w:eastAsia="Arial" w:hAnsi="Arial" w:cs="Arial"/>
            <w:color w:val="0563C1"/>
            <w:u w:val="single"/>
          </w:rPr>
          <w:t>https://doi.org/10.2501/JAR-51-1-313-320</w:t>
        </w:r>
      </w:hyperlink>
    </w:p>
    <w:p w14:paraId="00000255" w14:textId="0EE19396"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Coombs, W.T. (2007) ‘Protecting organization reputations during a crisis: the development and application of situational crisis communication theory’, </w:t>
      </w:r>
      <w:r>
        <w:rPr>
          <w:rFonts w:ascii="Arial" w:eastAsia="Arial" w:hAnsi="Arial" w:cs="Arial"/>
          <w:i/>
        </w:rPr>
        <w:t>Corporate Reputation Review</w:t>
      </w:r>
      <w:r>
        <w:rPr>
          <w:rFonts w:ascii="Arial" w:eastAsia="Arial" w:hAnsi="Arial" w:cs="Arial"/>
        </w:rPr>
        <w:t xml:space="preserve">, 10(3), pp. 163–176. </w:t>
      </w:r>
      <w:hyperlink r:id="rId22">
        <w:r>
          <w:rPr>
            <w:rFonts w:ascii="Arial" w:eastAsia="Arial" w:hAnsi="Arial" w:cs="Arial"/>
            <w:color w:val="0563C1"/>
            <w:u w:val="single"/>
          </w:rPr>
          <w:t>https://doi.org/10.1057/palgrave.crr.1550049</w:t>
        </w:r>
      </w:hyperlink>
    </w:p>
    <w:p w14:paraId="00000256" w14:textId="1589FCEC"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Coombs, W.T. (2015) </w:t>
      </w:r>
      <w:r>
        <w:rPr>
          <w:rFonts w:ascii="Arial" w:eastAsia="Arial" w:hAnsi="Arial" w:cs="Arial"/>
          <w:i/>
        </w:rPr>
        <w:t>Ongoing crisis communication: planning, managing, and responding</w:t>
      </w:r>
      <w:r>
        <w:rPr>
          <w:rFonts w:ascii="Arial" w:eastAsia="Arial" w:hAnsi="Arial" w:cs="Arial"/>
        </w:rPr>
        <w:t xml:space="preserve">. 4th </w:t>
      </w:r>
      <w:proofErr w:type="spellStart"/>
      <w:r>
        <w:rPr>
          <w:rFonts w:ascii="Arial" w:eastAsia="Arial" w:hAnsi="Arial" w:cs="Arial"/>
        </w:rPr>
        <w:t>edn</w:t>
      </w:r>
      <w:proofErr w:type="spellEnd"/>
      <w:r>
        <w:rPr>
          <w:rFonts w:ascii="Arial" w:eastAsia="Arial" w:hAnsi="Arial" w:cs="Arial"/>
        </w:rPr>
        <w:t xml:space="preserve">. Thousand Oaks, CA: Sage. Available at: </w:t>
      </w:r>
      <w:hyperlink r:id="rId23">
        <w:r>
          <w:rPr>
            <w:rFonts w:ascii="Arial" w:eastAsia="Arial" w:hAnsi="Arial" w:cs="Arial"/>
            <w:color w:val="0563C1"/>
            <w:u w:val="single"/>
          </w:rPr>
          <w:t>https://collegepublishing.sagepub.com/products/ongoing-crisis-communication-4-238868</w:t>
        </w:r>
      </w:hyperlink>
      <w:r>
        <w:rPr>
          <w:rFonts w:ascii="Arial" w:eastAsia="Arial" w:hAnsi="Arial" w:cs="Arial"/>
        </w:rPr>
        <w:t xml:space="preserve"> (Accessed: 24 September 2026).</w:t>
      </w:r>
    </w:p>
    <w:p w14:paraId="00000257" w14:textId="6E0BC8E7"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Coombs, W.T. and Holladay, S.J. (2012) ‘The </w:t>
      </w:r>
      <w:proofErr w:type="spellStart"/>
      <w:r>
        <w:rPr>
          <w:rFonts w:ascii="Arial" w:eastAsia="Arial" w:hAnsi="Arial" w:cs="Arial"/>
        </w:rPr>
        <w:t>paracrisis</w:t>
      </w:r>
      <w:proofErr w:type="spellEnd"/>
      <w:r>
        <w:rPr>
          <w:rFonts w:ascii="Arial" w:eastAsia="Arial" w:hAnsi="Arial" w:cs="Arial"/>
        </w:rPr>
        <w:t xml:space="preserve">: the challenges created by publicly managing crisis prevention’, </w:t>
      </w:r>
      <w:r>
        <w:rPr>
          <w:rFonts w:ascii="Arial" w:eastAsia="Arial" w:hAnsi="Arial" w:cs="Arial"/>
          <w:i/>
        </w:rPr>
        <w:t>Public Relations Review</w:t>
      </w:r>
      <w:r>
        <w:rPr>
          <w:rFonts w:ascii="Arial" w:eastAsia="Arial" w:hAnsi="Arial" w:cs="Arial"/>
        </w:rPr>
        <w:t xml:space="preserve">, 38(3), pp. 408–415. </w:t>
      </w:r>
      <w:hyperlink r:id="rId24">
        <w:r>
          <w:rPr>
            <w:rFonts w:ascii="Arial" w:eastAsia="Arial" w:hAnsi="Arial" w:cs="Arial"/>
            <w:color w:val="0563C1"/>
            <w:u w:val="single"/>
          </w:rPr>
          <w:t>https://doi.org/10.1016/j.pubrev.2012.04.004</w:t>
        </w:r>
      </w:hyperlink>
    </w:p>
    <w:p w14:paraId="00000258" w14:textId="5C80BE9D"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de Vries, L., Gensler, S. and Leeflang, P.S.H. (2012) ‘Popularity of brand posts on brand fan pages: an investigation of the effects of social media marketing’, </w:t>
      </w:r>
      <w:r>
        <w:rPr>
          <w:rFonts w:ascii="Arial" w:eastAsia="Arial" w:hAnsi="Arial" w:cs="Arial"/>
          <w:i/>
        </w:rPr>
        <w:t xml:space="preserve">Journal of </w:t>
      </w:r>
      <w:r>
        <w:rPr>
          <w:rFonts w:ascii="Arial" w:eastAsia="Arial" w:hAnsi="Arial" w:cs="Arial"/>
          <w:i/>
        </w:rPr>
        <w:lastRenderedPageBreak/>
        <w:t>Interactive Marketing</w:t>
      </w:r>
      <w:r>
        <w:rPr>
          <w:rFonts w:ascii="Arial" w:eastAsia="Arial" w:hAnsi="Arial" w:cs="Arial"/>
        </w:rPr>
        <w:t xml:space="preserve">, 26(2), pp. 83–91. </w:t>
      </w:r>
      <w:hyperlink r:id="rId25">
        <w:r>
          <w:rPr>
            <w:rFonts w:ascii="Arial" w:eastAsia="Arial" w:hAnsi="Arial" w:cs="Arial"/>
            <w:color w:val="0563C1"/>
            <w:u w:val="single"/>
          </w:rPr>
          <w:t>https://doi.org/10.1016/j.intmar.2012.01.003</w:t>
        </w:r>
      </w:hyperlink>
    </w:p>
    <w:p w14:paraId="00000259" w14:textId="4F8733F3"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Douglas, S.P. and Craig, C.S. (2011) ‘The role of context in assessing international marketing opportunities’, </w:t>
      </w:r>
      <w:r>
        <w:rPr>
          <w:rFonts w:ascii="Arial" w:eastAsia="Arial" w:hAnsi="Arial" w:cs="Arial"/>
          <w:i/>
        </w:rPr>
        <w:t>International Marketing Review</w:t>
      </w:r>
      <w:r>
        <w:rPr>
          <w:rFonts w:ascii="Arial" w:eastAsia="Arial" w:hAnsi="Arial" w:cs="Arial"/>
        </w:rPr>
        <w:t xml:space="preserve">, 28(2), pp. 150–162. </w:t>
      </w:r>
      <w:hyperlink r:id="rId26">
        <w:r>
          <w:rPr>
            <w:rFonts w:ascii="Arial" w:eastAsia="Arial" w:hAnsi="Arial" w:cs="Arial"/>
            <w:color w:val="0563C1"/>
            <w:u w:val="single"/>
          </w:rPr>
          <w:t>https://doi.org/10.1108/02651331111121954</w:t>
        </w:r>
      </w:hyperlink>
    </w:p>
    <w:p w14:paraId="0000025A" w14:textId="19D1BB9A" w:rsidR="003D2C5F" w:rsidRDefault="00000000">
      <w:pPr>
        <w:spacing w:before="180" w:after="180" w:line="360" w:lineRule="auto"/>
        <w:ind w:left="720" w:hanging="720"/>
        <w:jc w:val="both"/>
        <w:rPr>
          <w:rFonts w:ascii="Arial" w:eastAsia="Arial" w:hAnsi="Arial" w:cs="Arial"/>
        </w:rPr>
      </w:pPr>
      <w:proofErr w:type="spellStart"/>
      <w:r>
        <w:rPr>
          <w:rFonts w:ascii="Arial" w:eastAsia="Arial" w:hAnsi="Arial" w:cs="Arial"/>
        </w:rPr>
        <w:t>Eisend</w:t>
      </w:r>
      <w:proofErr w:type="spellEnd"/>
      <w:r>
        <w:rPr>
          <w:rFonts w:ascii="Arial" w:eastAsia="Arial" w:hAnsi="Arial" w:cs="Arial"/>
        </w:rPr>
        <w:t xml:space="preserve">, M. (2011) ‘How humor in advertising works: a meta-analytic test of alternative models’, </w:t>
      </w:r>
      <w:r>
        <w:rPr>
          <w:rFonts w:ascii="Arial" w:eastAsia="Arial" w:hAnsi="Arial" w:cs="Arial"/>
          <w:i/>
        </w:rPr>
        <w:t>Marketing Letters</w:t>
      </w:r>
      <w:r>
        <w:rPr>
          <w:rFonts w:ascii="Arial" w:eastAsia="Arial" w:hAnsi="Arial" w:cs="Arial"/>
        </w:rPr>
        <w:t xml:space="preserve">, 22(2), pp. 115–132. </w:t>
      </w:r>
      <w:hyperlink r:id="rId27">
        <w:r>
          <w:rPr>
            <w:rFonts w:ascii="Arial" w:eastAsia="Arial" w:hAnsi="Arial" w:cs="Arial"/>
            <w:color w:val="0563C1"/>
            <w:u w:val="single"/>
          </w:rPr>
          <w:t>https://doi.org/10.1007/s11002-010-9116-z</w:t>
        </w:r>
      </w:hyperlink>
    </w:p>
    <w:p w14:paraId="6B355D58" w14:textId="68418054"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Escalas, J.E. (2004) ‘Narrative processing: building consumer connections to brands’, </w:t>
      </w:r>
      <w:r>
        <w:rPr>
          <w:rFonts w:ascii="Arial" w:eastAsia="Arial" w:hAnsi="Arial" w:cs="Arial"/>
          <w:i/>
        </w:rPr>
        <w:t>Journal of Consumer Psychology</w:t>
      </w:r>
      <w:r>
        <w:rPr>
          <w:rFonts w:ascii="Arial" w:eastAsia="Arial" w:hAnsi="Arial" w:cs="Arial"/>
        </w:rPr>
        <w:t xml:space="preserve">, 14(1–2), pp. 168–180. </w:t>
      </w:r>
      <w:hyperlink r:id="rId28">
        <w:r>
          <w:rPr>
            <w:rFonts w:ascii="Arial" w:eastAsia="Arial" w:hAnsi="Arial" w:cs="Arial"/>
            <w:color w:val="0563C1"/>
            <w:u w:val="single"/>
          </w:rPr>
          <w:t>https://doi.org/10.1207/s15327663jcp1401&amp;2_19</w:t>
        </w:r>
      </w:hyperlink>
    </w:p>
    <w:p w14:paraId="0000025B" w14:textId="71DFB97A" w:rsidR="003D2C5F" w:rsidRDefault="00000000">
      <w:pPr>
        <w:spacing w:before="180" w:after="180" w:line="360" w:lineRule="auto"/>
        <w:ind w:left="720" w:hanging="720"/>
        <w:jc w:val="both"/>
        <w:rPr>
          <w:rFonts w:ascii="Arial" w:eastAsia="Arial" w:hAnsi="Arial" w:cs="Arial"/>
        </w:rPr>
      </w:pPr>
      <w:proofErr w:type="spellStart"/>
      <w:r>
        <w:rPr>
          <w:rFonts w:ascii="Arial" w:eastAsia="Arial" w:hAnsi="Arial" w:cs="Arial"/>
        </w:rPr>
        <w:t>eurobest</w:t>
      </w:r>
      <w:proofErr w:type="spellEnd"/>
      <w:r>
        <w:rPr>
          <w:rFonts w:ascii="Arial" w:eastAsia="Arial" w:hAnsi="Arial" w:cs="Arial"/>
        </w:rPr>
        <w:t xml:space="preserve"> (2021) </w:t>
      </w:r>
      <w:r>
        <w:rPr>
          <w:rFonts w:ascii="Arial" w:eastAsia="Arial" w:hAnsi="Arial" w:cs="Arial"/>
          <w:i/>
        </w:rPr>
        <w:t>#FreeCuthbert</w:t>
      </w:r>
      <w:r>
        <w:rPr>
          <w:rFonts w:ascii="Arial" w:eastAsia="Arial" w:hAnsi="Arial" w:cs="Arial"/>
        </w:rPr>
        <w:t xml:space="preserve">. Available at: </w:t>
      </w:r>
      <w:hyperlink r:id="rId29">
        <w:r>
          <w:rPr>
            <w:rFonts w:ascii="Arial" w:eastAsia="Arial" w:hAnsi="Arial" w:cs="Arial"/>
            <w:color w:val="0563C1"/>
            <w:u w:val="single"/>
          </w:rPr>
          <w:t>https://www2.eurobest.com/winners/2021/social_and_influencer/entry.cfm?entryid=3529</w:t>
        </w:r>
      </w:hyperlink>
      <w:r>
        <w:rPr>
          <w:rFonts w:ascii="Arial" w:eastAsia="Arial" w:hAnsi="Arial" w:cs="Arial"/>
        </w:rPr>
        <w:t xml:space="preserve"> (Accessed: 20 August 2026).</w:t>
      </w:r>
    </w:p>
    <w:p w14:paraId="0000025C" w14:textId="335D4705"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Fournier, S. (1998) ‘Consumers and their brands: developing relationship theory in consumer research’, </w:t>
      </w:r>
      <w:r>
        <w:rPr>
          <w:rFonts w:ascii="Arial" w:eastAsia="Arial" w:hAnsi="Arial" w:cs="Arial"/>
          <w:i/>
        </w:rPr>
        <w:t>Journal of Consumer Research</w:t>
      </w:r>
      <w:r>
        <w:rPr>
          <w:rFonts w:ascii="Arial" w:eastAsia="Arial" w:hAnsi="Arial" w:cs="Arial"/>
        </w:rPr>
        <w:t xml:space="preserve">, 24(4), pp. 343–353. </w:t>
      </w:r>
      <w:hyperlink r:id="rId30">
        <w:r>
          <w:rPr>
            <w:rFonts w:ascii="Arial" w:eastAsia="Arial" w:hAnsi="Arial" w:cs="Arial"/>
            <w:color w:val="0563C1"/>
            <w:u w:val="single"/>
          </w:rPr>
          <w:t>https://doi.org/10.1086/209515</w:t>
        </w:r>
      </w:hyperlink>
    </w:p>
    <w:p w14:paraId="0000025D" w14:textId="1C6C0A1D" w:rsidR="003D2C5F" w:rsidRDefault="00000000">
      <w:pPr>
        <w:spacing w:before="180" w:after="180" w:line="360" w:lineRule="auto"/>
        <w:ind w:left="720" w:hanging="720"/>
        <w:jc w:val="both"/>
        <w:rPr>
          <w:rFonts w:ascii="Arial" w:eastAsia="Arial" w:hAnsi="Arial" w:cs="Arial"/>
        </w:rPr>
      </w:pPr>
      <w:proofErr w:type="spellStart"/>
      <w:r>
        <w:rPr>
          <w:rFonts w:ascii="Arial" w:eastAsia="Arial" w:hAnsi="Arial" w:cs="Arial"/>
        </w:rPr>
        <w:t>franzke</w:t>
      </w:r>
      <w:proofErr w:type="spellEnd"/>
      <w:r>
        <w:rPr>
          <w:rFonts w:ascii="Arial" w:eastAsia="Arial" w:hAnsi="Arial" w:cs="Arial"/>
        </w:rPr>
        <w:t xml:space="preserve">, </w:t>
      </w:r>
      <w:proofErr w:type="spellStart"/>
      <w:r>
        <w:rPr>
          <w:rFonts w:ascii="Arial" w:eastAsia="Arial" w:hAnsi="Arial" w:cs="Arial"/>
        </w:rPr>
        <w:t>a.s.</w:t>
      </w:r>
      <w:proofErr w:type="spellEnd"/>
      <w:r>
        <w:rPr>
          <w:rFonts w:ascii="Arial" w:eastAsia="Arial" w:hAnsi="Arial" w:cs="Arial"/>
        </w:rPr>
        <w:t xml:space="preserve">, Bechmann, A., Zimmer, M., Ess, C. and the Association of Internet Researchers (2020) </w:t>
      </w:r>
      <w:r>
        <w:rPr>
          <w:rFonts w:ascii="Arial" w:eastAsia="Arial" w:hAnsi="Arial" w:cs="Arial"/>
          <w:i/>
        </w:rPr>
        <w:t>Internet research: ethical guidelines 3.0</w:t>
      </w:r>
      <w:r>
        <w:rPr>
          <w:rFonts w:ascii="Arial" w:eastAsia="Arial" w:hAnsi="Arial" w:cs="Arial"/>
        </w:rPr>
        <w:t xml:space="preserve">. Available at: </w:t>
      </w:r>
      <w:hyperlink r:id="rId31">
        <w:r>
          <w:rPr>
            <w:rFonts w:ascii="Arial" w:eastAsia="Arial" w:hAnsi="Arial" w:cs="Arial"/>
            <w:color w:val="0563C1"/>
            <w:u w:val="single"/>
          </w:rPr>
          <w:t>https://aoir.org/reports/ethics3.pdf</w:t>
        </w:r>
      </w:hyperlink>
      <w:r>
        <w:rPr>
          <w:rFonts w:ascii="Arial" w:eastAsia="Arial" w:hAnsi="Arial" w:cs="Arial"/>
        </w:rPr>
        <w:t xml:space="preserve"> (Accessed: 15 August 2026).</w:t>
      </w:r>
    </w:p>
    <w:p w14:paraId="0000025E" w14:textId="04B7BE2F" w:rsidR="003D2C5F" w:rsidRDefault="00000000">
      <w:pPr>
        <w:spacing w:before="180" w:after="180" w:line="360" w:lineRule="auto"/>
        <w:ind w:left="720" w:hanging="720"/>
        <w:jc w:val="both"/>
        <w:rPr>
          <w:rFonts w:ascii="Arial" w:eastAsia="Arial" w:hAnsi="Arial" w:cs="Arial"/>
        </w:rPr>
      </w:pPr>
      <w:proofErr w:type="spellStart"/>
      <w:r>
        <w:rPr>
          <w:rFonts w:ascii="Arial" w:eastAsia="Arial" w:hAnsi="Arial" w:cs="Arial"/>
        </w:rPr>
        <w:t>Geldards</w:t>
      </w:r>
      <w:proofErr w:type="spellEnd"/>
      <w:r>
        <w:rPr>
          <w:rFonts w:ascii="Arial" w:eastAsia="Arial" w:hAnsi="Arial" w:cs="Arial"/>
        </w:rPr>
        <w:t xml:space="preserve"> LLP (2021) </w:t>
      </w:r>
      <w:r>
        <w:rPr>
          <w:rFonts w:ascii="Arial" w:eastAsia="Arial" w:hAnsi="Arial" w:cs="Arial"/>
          <w:i/>
        </w:rPr>
        <w:t>Colin v Cuthbert: not just any caterpillar cake…</w:t>
      </w:r>
      <w:r>
        <w:rPr>
          <w:rFonts w:ascii="Arial" w:eastAsia="Arial" w:hAnsi="Arial" w:cs="Arial"/>
        </w:rPr>
        <w:t xml:space="preserve">, 23 April. Available at: </w:t>
      </w:r>
      <w:hyperlink r:id="rId32">
        <w:r>
          <w:rPr>
            <w:rFonts w:ascii="Arial" w:eastAsia="Arial" w:hAnsi="Arial" w:cs="Arial"/>
            <w:color w:val="0563C1"/>
            <w:u w:val="single"/>
          </w:rPr>
          <w:t>https://www.geldards.com/insights/colin-v-cuthbert-not-just-any-caterpillar-cake/</w:t>
        </w:r>
      </w:hyperlink>
      <w:r>
        <w:rPr>
          <w:rFonts w:ascii="Arial" w:eastAsia="Arial" w:hAnsi="Arial" w:cs="Arial"/>
        </w:rPr>
        <w:t xml:space="preserve"> (Accessed: 21 September 2026).</w:t>
      </w:r>
    </w:p>
    <w:p w14:paraId="0000025F" w14:textId="7E7C1656"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Gensler, S., </w:t>
      </w:r>
      <w:proofErr w:type="spellStart"/>
      <w:r>
        <w:rPr>
          <w:rFonts w:ascii="Arial" w:eastAsia="Arial" w:hAnsi="Arial" w:cs="Arial"/>
        </w:rPr>
        <w:t>Völckner</w:t>
      </w:r>
      <w:proofErr w:type="spellEnd"/>
      <w:r>
        <w:rPr>
          <w:rFonts w:ascii="Arial" w:eastAsia="Arial" w:hAnsi="Arial" w:cs="Arial"/>
        </w:rPr>
        <w:t xml:space="preserve">, F., Liu-Thompkins, Y. and </w:t>
      </w:r>
      <w:proofErr w:type="spellStart"/>
      <w:r>
        <w:rPr>
          <w:rFonts w:ascii="Arial" w:eastAsia="Arial" w:hAnsi="Arial" w:cs="Arial"/>
        </w:rPr>
        <w:t>Wiertz</w:t>
      </w:r>
      <w:proofErr w:type="spellEnd"/>
      <w:r>
        <w:rPr>
          <w:rFonts w:ascii="Arial" w:eastAsia="Arial" w:hAnsi="Arial" w:cs="Arial"/>
        </w:rPr>
        <w:t xml:space="preserve">, C. (2013) ‘Managing brands in the social media environment’, </w:t>
      </w:r>
      <w:r>
        <w:rPr>
          <w:rFonts w:ascii="Arial" w:eastAsia="Arial" w:hAnsi="Arial" w:cs="Arial"/>
          <w:i/>
        </w:rPr>
        <w:t>Journal of Interactive Marketing</w:t>
      </w:r>
      <w:r>
        <w:rPr>
          <w:rFonts w:ascii="Arial" w:eastAsia="Arial" w:hAnsi="Arial" w:cs="Arial"/>
        </w:rPr>
        <w:t xml:space="preserve">, 27(4), pp. 242–256. </w:t>
      </w:r>
      <w:hyperlink r:id="rId33">
        <w:r>
          <w:rPr>
            <w:rFonts w:ascii="Arial" w:eastAsia="Arial" w:hAnsi="Arial" w:cs="Arial"/>
            <w:color w:val="0563C1"/>
            <w:u w:val="single"/>
          </w:rPr>
          <w:t>https://doi.org/10.1016/j.intmar.2013.09.004</w:t>
        </w:r>
      </w:hyperlink>
    </w:p>
    <w:p w14:paraId="794AD846" w14:textId="22415463" w:rsidR="003D2C5F" w:rsidRDefault="00000000">
      <w:pPr>
        <w:spacing w:before="180" w:after="180" w:line="360" w:lineRule="auto"/>
        <w:ind w:left="720" w:hanging="720"/>
        <w:jc w:val="both"/>
        <w:rPr>
          <w:rFonts w:ascii="Arial" w:eastAsia="Arial" w:hAnsi="Arial" w:cs="Arial"/>
        </w:rPr>
      </w:pPr>
      <w:r>
        <w:rPr>
          <w:rFonts w:ascii="Arial" w:eastAsia="Arial" w:hAnsi="Arial" w:cs="Arial"/>
        </w:rPr>
        <w:lastRenderedPageBreak/>
        <w:t xml:space="preserve">Goh, K.Y., Heng, C.S. and Lin, Z. (2013) ‘Social media brand community and consumer behavior: quantifying the relative impact of user- and marketer-generated content’, </w:t>
      </w:r>
      <w:r>
        <w:rPr>
          <w:rFonts w:ascii="Arial" w:eastAsia="Arial" w:hAnsi="Arial" w:cs="Arial"/>
          <w:i/>
        </w:rPr>
        <w:t>Information Systems Research</w:t>
      </w:r>
      <w:r>
        <w:rPr>
          <w:rFonts w:ascii="Arial" w:eastAsia="Arial" w:hAnsi="Arial" w:cs="Arial"/>
        </w:rPr>
        <w:t xml:space="preserve">, 24(1), pp. 88–107. </w:t>
      </w:r>
      <w:hyperlink r:id="rId34">
        <w:r>
          <w:rPr>
            <w:rFonts w:ascii="Arial" w:eastAsia="Arial" w:hAnsi="Arial" w:cs="Arial"/>
            <w:color w:val="0563C1"/>
            <w:u w:val="single"/>
          </w:rPr>
          <w:t>https://doi.org/10.1287/isre.1120.0469</w:t>
        </w:r>
      </w:hyperlink>
    </w:p>
    <w:p w14:paraId="4757F76E" w14:textId="42827B1B"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Harper Macleod LLP (2021) </w:t>
      </w:r>
      <w:r>
        <w:rPr>
          <w:rFonts w:ascii="Arial" w:eastAsia="Arial" w:hAnsi="Arial" w:cs="Arial"/>
          <w:i/>
        </w:rPr>
        <w:t>Colin v Cuthbert: the great British cake-off</w:t>
      </w:r>
      <w:r>
        <w:rPr>
          <w:rFonts w:ascii="Arial" w:eastAsia="Arial" w:hAnsi="Arial" w:cs="Arial"/>
        </w:rPr>
        <w:t xml:space="preserve">. Available at: </w:t>
      </w:r>
      <w:hyperlink r:id="rId35">
        <w:r>
          <w:rPr>
            <w:rFonts w:ascii="Arial" w:eastAsia="Arial" w:hAnsi="Arial" w:cs="Arial"/>
            <w:color w:val="0563C1"/>
            <w:u w:val="single"/>
          </w:rPr>
          <w:t>https://www.harpermacleod.co.uk/insights/colin-v-cuthbert-the-great-british-cakeoff/</w:t>
        </w:r>
      </w:hyperlink>
      <w:r>
        <w:rPr>
          <w:rFonts w:ascii="Arial" w:eastAsia="Arial" w:hAnsi="Arial" w:cs="Arial"/>
        </w:rPr>
        <w:t xml:space="preserve"> (Accessed: </w:t>
      </w:r>
      <w:r w:rsidR="00AB5845">
        <w:rPr>
          <w:rFonts w:ascii="Arial" w:eastAsia="Arial" w:hAnsi="Arial" w:cs="Arial"/>
        </w:rPr>
        <w:t>0</w:t>
      </w:r>
      <w:r>
        <w:rPr>
          <w:rFonts w:ascii="Arial" w:eastAsia="Arial" w:hAnsi="Arial" w:cs="Arial"/>
        </w:rPr>
        <w:t>3 September 2026).</w:t>
      </w:r>
    </w:p>
    <w:p w14:paraId="00000260" w14:textId="257E6DB4" w:rsidR="003D2C5F" w:rsidRDefault="00000000">
      <w:pPr>
        <w:spacing w:before="180" w:after="180" w:line="360" w:lineRule="auto"/>
        <w:ind w:left="720" w:hanging="720"/>
        <w:jc w:val="both"/>
        <w:rPr>
          <w:rFonts w:ascii="Arial" w:eastAsia="Arial" w:hAnsi="Arial" w:cs="Arial"/>
        </w:rPr>
      </w:pPr>
      <w:proofErr w:type="spellStart"/>
      <w:r>
        <w:rPr>
          <w:rFonts w:ascii="Arial" w:eastAsia="Arial" w:hAnsi="Arial" w:cs="Arial"/>
        </w:rPr>
        <w:t>Hollebeek</w:t>
      </w:r>
      <w:proofErr w:type="spellEnd"/>
      <w:r>
        <w:rPr>
          <w:rFonts w:ascii="Arial" w:eastAsia="Arial" w:hAnsi="Arial" w:cs="Arial"/>
        </w:rPr>
        <w:t xml:space="preserve">, L.D., Glynn, M.S. and Brodie, R.J. (2014) ‘Consumer brand engagement in social media: conceptualization, scale development and validation’, </w:t>
      </w:r>
      <w:r>
        <w:rPr>
          <w:rFonts w:ascii="Arial" w:eastAsia="Arial" w:hAnsi="Arial" w:cs="Arial"/>
          <w:i/>
        </w:rPr>
        <w:t>Journal of Interactive Marketing</w:t>
      </w:r>
      <w:r>
        <w:rPr>
          <w:rFonts w:ascii="Arial" w:eastAsia="Arial" w:hAnsi="Arial" w:cs="Arial"/>
        </w:rPr>
        <w:t xml:space="preserve">, 28(2), pp. 149–165. </w:t>
      </w:r>
      <w:hyperlink r:id="rId36">
        <w:r>
          <w:rPr>
            <w:rFonts w:ascii="Arial" w:eastAsia="Arial" w:hAnsi="Arial" w:cs="Arial"/>
            <w:color w:val="0563C1"/>
            <w:u w:val="single"/>
          </w:rPr>
          <w:t>https://doi.org/10.1016/j.intmar.2013.12.002</w:t>
        </w:r>
      </w:hyperlink>
    </w:p>
    <w:p w14:paraId="00000261" w14:textId="4A0B3515"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Holt, D.B. (2004) </w:t>
      </w:r>
      <w:r>
        <w:rPr>
          <w:rFonts w:ascii="Arial" w:eastAsia="Arial" w:hAnsi="Arial" w:cs="Arial"/>
          <w:i/>
        </w:rPr>
        <w:t>How brands become icons: the principles of cultural branding</w:t>
      </w:r>
      <w:r>
        <w:rPr>
          <w:rFonts w:ascii="Arial" w:eastAsia="Arial" w:hAnsi="Arial" w:cs="Arial"/>
        </w:rPr>
        <w:t xml:space="preserve">. Boston, MA: Harvard Business School Press. Available at: </w:t>
      </w:r>
      <w:hyperlink r:id="rId37">
        <w:r>
          <w:rPr>
            <w:rFonts w:ascii="Arial" w:eastAsia="Arial" w:hAnsi="Arial" w:cs="Arial"/>
            <w:color w:val="0563C1"/>
            <w:u w:val="single"/>
          </w:rPr>
          <w:t>https://archive.org/details/howbrandsbecomei0000holt</w:t>
        </w:r>
      </w:hyperlink>
      <w:r>
        <w:rPr>
          <w:rFonts w:ascii="Arial" w:eastAsia="Arial" w:hAnsi="Arial" w:cs="Arial"/>
        </w:rPr>
        <w:t xml:space="preserve"> (Accessed: </w:t>
      </w:r>
      <w:r w:rsidR="00AB5845">
        <w:rPr>
          <w:rFonts w:ascii="Arial" w:eastAsia="Arial" w:hAnsi="Arial" w:cs="Arial"/>
        </w:rPr>
        <w:t xml:space="preserve">04 </w:t>
      </w:r>
      <w:r>
        <w:rPr>
          <w:rFonts w:ascii="Arial" w:eastAsia="Arial" w:hAnsi="Arial" w:cs="Arial"/>
        </w:rPr>
        <w:t>September 2026).</w:t>
      </w:r>
    </w:p>
    <w:p w14:paraId="14BC167F" w14:textId="04CE7A9F"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Hussain, A. (2021) ‘Lawyer bakes “Kavanagh Caterpillar QC” cake to “defend” Aldi’s Cuthbert in tasty IP battle’, </w:t>
      </w:r>
      <w:r>
        <w:rPr>
          <w:rFonts w:ascii="Arial" w:eastAsia="Arial" w:hAnsi="Arial" w:cs="Arial"/>
          <w:i/>
        </w:rPr>
        <w:t>Legal Cheek</w:t>
      </w:r>
      <w:r>
        <w:rPr>
          <w:rFonts w:ascii="Arial" w:eastAsia="Arial" w:hAnsi="Arial" w:cs="Arial"/>
        </w:rPr>
        <w:t xml:space="preserve">, 30 April. Available at: </w:t>
      </w:r>
      <w:hyperlink r:id="rId38">
        <w:r>
          <w:rPr>
            <w:rFonts w:ascii="Arial" w:eastAsia="Arial" w:hAnsi="Arial" w:cs="Arial"/>
            <w:color w:val="0563C1"/>
            <w:u w:val="single"/>
          </w:rPr>
          <w:t>https://www.legalcheek.com/2021/04/lawyer-bakes-kavanagh-caterpillar-qc-cake-to-defend-aldis-cuthbert-in-tasty-ip-battle/</w:t>
        </w:r>
      </w:hyperlink>
      <w:r>
        <w:rPr>
          <w:rFonts w:ascii="Arial" w:eastAsia="Arial" w:hAnsi="Arial" w:cs="Arial"/>
        </w:rPr>
        <w:t xml:space="preserve"> (Accessed: </w:t>
      </w:r>
      <w:r w:rsidR="00AB5845">
        <w:rPr>
          <w:rFonts w:ascii="Arial" w:eastAsia="Arial" w:hAnsi="Arial" w:cs="Arial"/>
        </w:rPr>
        <w:t>05</w:t>
      </w:r>
      <w:r>
        <w:rPr>
          <w:rFonts w:ascii="Arial" w:eastAsia="Arial" w:hAnsi="Arial" w:cs="Arial"/>
        </w:rPr>
        <w:t xml:space="preserve"> September 2026).</w:t>
      </w:r>
    </w:p>
    <w:p w14:paraId="0EB7D052" w14:textId="0AC86EC8"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ITV News (2021) </w:t>
      </w:r>
      <w:r>
        <w:rPr>
          <w:rFonts w:ascii="Arial" w:eastAsia="Arial" w:hAnsi="Arial" w:cs="Arial"/>
          <w:i/>
        </w:rPr>
        <w:t>Cuthbert the Caterpillar stages comeback to raise money for charity amid copyright row with M&amp;S</w:t>
      </w:r>
      <w:r>
        <w:rPr>
          <w:rFonts w:ascii="Arial" w:eastAsia="Arial" w:hAnsi="Arial" w:cs="Arial"/>
        </w:rPr>
        <w:t xml:space="preserve">, 20 April. Available at: </w:t>
      </w:r>
      <w:hyperlink r:id="rId39">
        <w:r>
          <w:rPr>
            <w:rFonts w:ascii="Arial" w:eastAsia="Arial" w:hAnsi="Arial" w:cs="Arial"/>
            <w:color w:val="0563C1"/>
            <w:u w:val="single"/>
          </w:rPr>
          <w:t>https://www.itv.com/news/2021-04-20/cuthbert-the-caterpillar-stages-comeback-to-raise-money-for-charity-amid-copyright-row-with-m-and-s</w:t>
        </w:r>
      </w:hyperlink>
      <w:r>
        <w:rPr>
          <w:rFonts w:ascii="Arial" w:eastAsia="Arial" w:hAnsi="Arial" w:cs="Arial"/>
        </w:rPr>
        <w:t xml:space="preserve"> (Accessed: 23 September 2026).</w:t>
      </w:r>
    </w:p>
    <w:p w14:paraId="00000262" w14:textId="50FC8C0A"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Kaplan, A.M. and Haenlein, M. (2010) ‘Users of the world, unite! The challenges and opportunities of social media’, </w:t>
      </w:r>
      <w:r>
        <w:rPr>
          <w:rFonts w:ascii="Arial" w:eastAsia="Arial" w:hAnsi="Arial" w:cs="Arial"/>
          <w:i/>
        </w:rPr>
        <w:t>Business Horizons</w:t>
      </w:r>
      <w:r>
        <w:rPr>
          <w:rFonts w:ascii="Arial" w:eastAsia="Arial" w:hAnsi="Arial" w:cs="Arial"/>
        </w:rPr>
        <w:t xml:space="preserve">, 53(1), pp. 59–68. </w:t>
      </w:r>
      <w:hyperlink r:id="rId40">
        <w:r>
          <w:rPr>
            <w:rFonts w:ascii="Arial" w:eastAsia="Arial" w:hAnsi="Arial" w:cs="Arial"/>
            <w:color w:val="0563C1"/>
            <w:u w:val="single"/>
          </w:rPr>
          <w:t>https://doi.org/10.1016/j.bushor.2009.09.003</w:t>
        </w:r>
      </w:hyperlink>
    </w:p>
    <w:p w14:paraId="00000263" w14:textId="11EB89B2" w:rsidR="003D2C5F" w:rsidRDefault="00000000">
      <w:pPr>
        <w:spacing w:before="180" w:after="180" w:line="360" w:lineRule="auto"/>
        <w:ind w:left="720" w:hanging="720"/>
        <w:jc w:val="both"/>
        <w:rPr>
          <w:rFonts w:ascii="Arial" w:eastAsia="Arial" w:hAnsi="Arial" w:cs="Arial"/>
        </w:rPr>
      </w:pPr>
      <w:r>
        <w:rPr>
          <w:rFonts w:ascii="Arial" w:eastAsia="Arial" w:hAnsi="Arial" w:cs="Arial"/>
        </w:rPr>
        <w:lastRenderedPageBreak/>
        <w:t xml:space="preserve">Keller, K.L. (1993) ‘Conceptualizing, measuring, and managing customer-based brand equity’, </w:t>
      </w:r>
      <w:r>
        <w:rPr>
          <w:rFonts w:ascii="Arial" w:eastAsia="Arial" w:hAnsi="Arial" w:cs="Arial"/>
          <w:i/>
        </w:rPr>
        <w:t>Journal of Marketing</w:t>
      </w:r>
      <w:r>
        <w:rPr>
          <w:rFonts w:ascii="Arial" w:eastAsia="Arial" w:hAnsi="Arial" w:cs="Arial"/>
        </w:rPr>
        <w:t xml:space="preserve">, 57(1), pp. 1–22. </w:t>
      </w:r>
      <w:hyperlink r:id="rId41">
        <w:r>
          <w:rPr>
            <w:rFonts w:ascii="Arial" w:eastAsia="Arial" w:hAnsi="Arial" w:cs="Arial"/>
            <w:color w:val="0563C1"/>
            <w:u w:val="single"/>
          </w:rPr>
          <w:t>https://doi.org/10.1177/002224299305700101</w:t>
        </w:r>
      </w:hyperlink>
    </w:p>
    <w:p w14:paraId="00000264" w14:textId="7F90D247"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Kietzmann, J.H., </w:t>
      </w:r>
      <w:proofErr w:type="spellStart"/>
      <w:r>
        <w:rPr>
          <w:rFonts w:ascii="Arial" w:eastAsia="Arial" w:hAnsi="Arial" w:cs="Arial"/>
        </w:rPr>
        <w:t>Hermkens</w:t>
      </w:r>
      <w:proofErr w:type="spellEnd"/>
      <w:r>
        <w:rPr>
          <w:rFonts w:ascii="Arial" w:eastAsia="Arial" w:hAnsi="Arial" w:cs="Arial"/>
        </w:rPr>
        <w:t xml:space="preserve">, K., McCarthy, I.P. and Silvestre, B.S. (2011) ‘Social media? Get serious! Understanding the functional building blocks of social media’, </w:t>
      </w:r>
      <w:r>
        <w:rPr>
          <w:rFonts w:ascii="Arial" w:eastAsia="Arial" w:hAnsi="Arial" w:cs="Arial"/>
          <w:i/>
        </w:rPr>
        <w:t>Business Horizons</w:t>
      </w:r>
      <w:r>
        <w:rPr>
          <w:rFonts w:ascii="Arial" w:eastAsia="Arial" w:hAnsi="Arial" w:cs="Arial"/>
        </w:rPr>
        <w:t xml:space="preserve">, 54(3), pp. 241–251. </w:t>
      </w:r>
      <w:hyperlink r:id="rId42">
        <w:r>
          <w:rPr>
            <w:rFonts w:ascii="Arial" w:eastAsia="Arial" w:hAnsi="Arial" w:cs="Arial"/>
            <w:color w:val="0563C1"/>
            <w:u w:val="single"/>
          </w:rPr>
          <w:t>https://doi.org/10.1016/j.bushor.2011.01.005</w:t>
        </w:r>
      </w:hyperlink>
    </w:p>
    <w:p w14:paraId="3CBF8686" w14:textId="418EB840"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LBC (2021) </w:t>
      </w:r>
      <w:r>
        <w:rPr>
          <w:rFonts w:ascii="Arial" w:eastAsia="Arial" w:hAnsi="Arial" w:cs="Arial"/>
          <w:i/>
        </w:rPr>
        <w:t>Aldi announces return of Cuthbert the Caterpillar amid copyright row with M&amp;S</w:t>
      </w:r>
      <w:r>
        <w:rPr>
          <w:rFonts w:ascii="Arial" w:eastAsia="Arial" w:hAnsi="Arial" w:cs="Arial"/>
        </w:rPr>
        <w:t xml:space="preserve">, April. Available at: </w:t>
      </w:r>
      <w:hyperlink r:id="rId43">
        <w:r>
          <w:rPr>
            <w:rFonts w:ascii="Arial" w:eastAsia="Arial" w:hAnsi="Arial" w:cs="Arial"/>
            <w:color w:val="0563C1"/>
            <w:u w:val="single"/>
          </w:rPr>
          <w:t>https://www.lbc.co.uk/article/063c59b70fc3458aaaf7da5bcf2e13ab-DWyts5_2/</w:t>
        </w:r>
      </w:hyperlink>
      <w:r>
        <w:rPr>
          <w:rFonts w:ascii="Arial" w:eastAsia="Arial" w:hAnsi="Arial" w:cs="Arial"/>
        </w:rPr>
        <w:t xml:space="preserve"> (Accessed: </w:t>
      </w:r>
      <w:r w:rsidR="00AB5845">
        <w:rPr>
          <w:rFonts w:ascii="Arial" w:eastAsia="Arial" w:hAnsi="Arial" w:cs="Arial"/>
        </w:rPr>
        <w:t>0</w:t>
      </w:r>
      <w:r>
        <w:rPr>
          <w:rFonts w:ascii="Arial" w:eastAsia="Arial" w:hAnsi="Arial" w:cs="Arial"/>
        </w:rPr>
        <w:t>3 September 2026).</w:t>
      </w:r>
    </w:p>
    <w:p w14:paraId="00000265" w14:textId="14CB7391"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Levitt, T. (1983) ‘The globalization of markets’, </w:t>
      </w:r>
      <w:r>
        <w:rPr>
          <w:rFonts w:ascii="Arial" w:eastAsia="Arial" w:hAnsi="Arial" w:cs="Arial"/>
          <w:i/>
        </w:rPr>
        <w:t>Harvard Business Review</w:t>
      </w:r>
      <w:r>
        <w:rPr>
          <w:rFonts w:ascii="Arial" w:eastAsia="Arial" w:hAnsi="Arial" w:cs="Arial"/>
        </w:rPr>
        <w:t xml:space="preserve">, 61(3), pp. 92–102. Available at: </w:t>
      </w:r>
      <w:hyperlink r:id="rId44">
        <w:r>
          <w:rPr>
            <w:rFonts w:ascii="Arial" w:eastAsia="Arial" w:hAnsi="Arial" w:cs="Arial"/>
            <w:color w:val="0563C1"/>
            <w:u w:val="single"/>
          </w:rPr>
          <w:t>https://hbr.org/1983/05/the-globalization-of-markets</w:t>
        </w:r>
      </w:hyperlink>
      <w:r>
        <w:rPr>
          <w:rFonts w:ascii="Arial" w:eastAsia="Arial" w:hAnsi="Arial" w:cs="Arial"/>
        </w:rPr>
        <w:t xml:space="preserve"> (Accessed: 24 September 2026).</w:t>
      </w:r>
    </w:p>
    <w:p w14:paraId="00000266" w14:textId="3C668C10"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Lincoln, Y.S. and Guba, E.G. (1985) </w:t>
      </w:r>
      <w:r>
        <w:rPr>
          <w:rFonts w:ascii="Arial" w:eastAsia="Arial" w:hAnsi="Arial" w:cs="Arial"/>
          <w:i/>
        </w:rPr>
        <w:t>Naturalistic inquiry</w:t>
      </w:r>
      <w:r>
        <w:rPr>
          <w:rFonts w:ascii="Arial" w:eastAsia="Arial" w:hAnsi="Arial" w:cs="Arial"/>
        </w:rPr>
        <w:t xml:space="preserve">. Beverly Hills, CA: Sage. Available at: </w:t>
      </w:r>
      <w:hyperlink r:id="rId45">
        <w:r>
          <w:rPr>
            <w:rFonts w:ascii="Arial" w:eastAsia="Arial" w:hAnsi="Arial" w:cs="Arial"/>
            <w:color w:val="0563C1"/>
            <w:u w:val="single"/>
          </w:rPr>
          <w:t>https://in.sagepub.com/en-in/sas/book/naturalistic-inquiry</w:t>
        </w:r>
      </w:hyperlink>
      <w:r>
        <w:rPr>
          <w:rFonts w:ascii="Arial" w:eastAsia="Arial" w:hAnsi="Arial" w:cs="Arial"/>
        </w:rPr>
        <w:t xml:space="preserve"> (Accessed: </w:t>
      </w:r>
      <w:r w:rsidR="00AB5845">
        <w:rPr>
          <w:rFonts w:ascii="Arial" w:eastAsia="Arial" w:hAnsi="Arial" w:cs="Arial"/>
        </w:rPr>
        <w:t xml:space="preserve">01 </w:t>
      </w:r>
      <w:r>
        <w:rPr>
          <w:rFonts w:ascii="Arial" w:eastAsia="Arial" w:hAnsi="Arial" w:cs="Arial"/>
        </w:rPr>
        <w:t>September 2026).</w:t>
      </w:r>
    </w:p>
    <w:p w14:paraId="00000267" w14:textId="5AA1713B"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Marketing Week (2021) </w:t>
      </w:r>
      <w:r>
        <w:rPr>
          <w:rFonts w:ascii="Arial" w:eastAsia="Arial" w:hAnsi="Arial" w:cs="Arial"/>
          <w:i/>
        </w:rPr>
        <w:t>How Aldi’s ‘Free Cuthbert’ campaign won the supermarket caterpillar wars</w:t>
      </w:r>
      <w:r>
        <w:rPr>
          <w:rFonts w:ascii="Arial" w:eastAsia="Arial" w:hAnsi="Arial" w:cs="Arial"/>
        </w:rPr>
        <w:t xml:space="preserve">, 22 November. Available at: </w:t>
      </w:r>
      <w:hyperlink r:id="rId46">
        <w:r>
          <w:rPr>
            <w:rFonts w:ascii="Arial" w:eastAsia="Arial" w:hAnsi="Arial" w:cs="Arial"/>
            <w:color w:val="0563C1"/>
            <w:u w:val="single"/>
          </w:rPr>
          <w:t>https://www.marketingweek.com/masters-awards-aldi-free-cuthbert/</w:t>
        </w:r>
      </w:hyperlink>
      <w:r>
        <w:rPr>
          <w:rFonts w:ascii="Arial" w:eastAsia="Arial" w:hAnsi="Arial" w:cs="Arial"/>
        </w:rPr>
        <w:t xml:space="preserve"> (Accessed: 10 July 2026).</w:t>
      </w:r>
    </w:p>
    <w:p w14:paraId="00000268" w14:textId="56166AF1"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Men, L.R. and Tsai, W.-H.S. (2013) ‘Toward an integrated model of public engagement on corporate social networking sites: antecedents, the process, and relational outcomes’, </w:t>
      </w:r>
      <w:r>
        <w:rPr>
          <w:rFonts w:ascii="Arial" w:eastAsia="Arial" w:hAnsi="Arial" w:cs="Arial"/>
          <w:i/>
        </w:rPr>
        <w:t>International Journal of Strategic Communication</w:t>
      </w:r>
      <w:r>
        <w:rPr>
          <w:rFonts w:ascii="Arial" w:eastAsia="Arial" w:hAnsi="Arial" w:cs="Arial"/>
        </w:rPr>
        <w:t xml:space="preserve">, 7(4), pp. 257–273. </w:t>
      </w:r>
      <w:hyperlink r:id="rId47">
        <w:r>
          <w:rPr>
            <w:rFonts w:ascii="Arial" w:eastAsia="Arial" w:hAnsi="Arial" w:cs="Arial"/>
            <w:color w:val="0563C1"/>
            <w:u w:val="single"/>
          </w:rPr>
          <w:t>https://doi.org/10.1080/1553118X.2013.822373</w:t>
        </w:r>
      </w:hyperlink>
    </w:p>
    <w:p w14:paraId="00000269" w14:textId="4374B769"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Miles, M.B. and Huberman, A.M. (1994) </w:t>
      </w:r>
      <w:r>
        <w:rPr>
          <w:rFonts w:ascii="Arial" w:eastAsia="Arial" w:hAnsi="Arial" w:cs="Arial"/>
          <w:i/>
        </w:rPr>
        <w:t>Qualitative data analysis: an expanded sourcebook</w:t>
      </w:r>
      <w:r>
        <w:rPr>
          <w:rFonts w:ascii="Arial" w:eastAsia="Arial" w:hAnsi="Arial" w:cs="Arial"/>
        </w:rPr>
        <w:t xml:space="preserve">. 2nd </w:t>
      </w:r>
      <w:proofErr w:type="spellStart"/>
      <w:r>
        <w:rPr>
          <w:rFonts w:ascii="Arial" w:eastAsia="Arial" w:hAnsi="Arial" w:cs="Arial"/>
        </w:rPr>
        <w:t>edn</w:t>
      </w:r>
      <w:proofErr w:type="spellEnd"/>
      <w:r>
        <w:rPr>
          <w:rFonts w:ascii="Arial" w:eastAsia="Arial" w:hAnsi="Arial" w:cs="Arial"/>
        </w:rPr>
        <w:t xml:space="preserve">. Thousand Oaks, CA: Sage. Available at: </w:t>
      </w:r>
      <w:hyperlink r:id="rId48">
        <w:r>
          <w:rPr>
            <w:rFonts w:ascii="Arial" w:eastAsia="Arial" w:hAnsi="Arial" w:cs="Arial"/>
            <w:color w:val="0563C1"/>
            <w:u w:val="single"/>
          </w:rPr>
          <w:t>https://archive.org/details/qualitativedataa00mile</w:t>
        </w:r>
      </w:hyperlink>
      <w:r>
        <w:rPr>
          <w:rFonts w:ascii="Arial" w:eastAsia="Arial" w:hAnsi="Arial" w:cs="Arial"/>
        </w:rPr>
        <w:t xml:space="preserve"> (Accessed: </w:t>
      </w:r>
      <w:r w:rsidR="00AB5845">
        <w:rPr>
          <w:rFonts w:ascii="Arial" w:eastAsia="Arial" w:hAnsi="Arial" w:cs="Arial"/>
        </w:rPr>
        <w:t>02</w:t>
      </w:r>
      <w:r>
        <w:rPr>
          <w:rFonts w:ascii="Arial" w:eastAsia="Arial" w:hAnsi="Arial" w:cs="Arial"/>
        </w:rPr>
        <w:t xml:space="preserve"> September 2026).</w:t>
      </w:r>
    </w:p>
    <w:p w14:paraId="0000026A" w14:textId="0F01B763" w:rsidR="003D2C5F" w:rsidRDefault="00000000">
      <w:pPr>
        <w:spacing w:before="180" w:after="180" w:line="360" w:lineRule="auto"/>
        <w:ind w:left="720" w:hanging="720"/>
        <w:jc w:val="both"/>
        <w:rPr>
          <w:rFonts w:ascii="Arial" w:eastAsia="Arial" w:hAnsi="Arial" w:cs="Arial"/>
        </w:rPr>
      </w:pPr>
      <w:r>
        <w:rPr>
          <w:rFonts w:ascii="Arial" w:eastAsia="Arial" w:hAnsi="Arial" w:cs="Arial"/>
        </w:rPr>
        <w:lastRenderedPageBreak/>
        <w:t xml:space="preserve">Morgan, A. (1999) </w:t>
      </w:r>
      <w:r>
        <w:rPr>
          <w:rFonts w:ascii="Arial" w:eastAsia="Arial" w:hAnsi="Arial" w:cs="Arial"/>
          <w:i/>
        </w:rPr>
        <w:t>Eating the big fish: how challenger brands can compete against brand leaders</w:t>
      </w:r>
      <w:r>
        <w:rPr>
          <w:rFonts w:ascii="Arial" w:eastAsia="Arial" w:hAnsi="Arial" w:cs="Arial"/>
        </w:rPr>
        <w:t xml:space="preserve">. New York: John Wiley. Available at: </w:t>
      </w:r>
      <w:hyperlink r:id="rId49">
        <w:r>
          <w:rPr>
            <w:rFonts w:ascii="Arial" w:eastAsia="Arial" w:hAnsi="Arial" w:cs="Arial"/>
            <w:color w:val="0563C1"/>
            <w:u w:val="single"/>
          </w:rPr>
          <w:t>https://archive.org/details/eatingbigfishhow00morg</w:t>
        </w:r>
      </w:hyperlink>
      <w:r>
        <w:rPr>
          <w:rFonts w:ascii="Arial" w:eastAsia="Arial" w:hAnsi="Arial" w:cs="Arial"/>
        </w:rPr>
        <w:t xml:space="preserve"> (Accessed: 24 September 2026).</w:t>
      </w:r>
    </w:p>
    <w:p w14:paraId="1A988704" w14:textId="6D98DADE"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RTÉ News (2021) </w:t>
      </w:r>
      <w:r>
        <w:rPr>
          <w:rFonts w:ascii="Arial" w:eastAsia="Arial" w:hAnsi="Arial" w:cs="Arial"/>
          <w:i/>
        </w:rPr>
        <w:t>#CaterpillarWars cake dispute takes flight on Twitter</w:t>
      </w:r>
      <w:r>
        <w:rPr>
          <w:rFonts w:ascii="Arial" w:eastAsia="Arial" w:hAnsi="Arial" w:cs="Arial"/>
        </w:rPr>
        <w:t xml:space="preserve">, 16 April. Available at: </w:t>
      </w:r>
      <w:hyperlink r:id="rId50">
        <w:r>
          <w:rPr>
            <w:rFonts w:ascii="Arial" w:eastAsia="Arial" w:hAnsi="Arial" w:cs="Arial"/>
            <w:color w:val="0563C1"/>
            <w:u w:val="single"/>
          </w:rPr>
          <w:t>https://www.rte.ie/news/newslens/2021/0416/1210355-cake-dispute/</w:t>
        </w:r>
      </w:hyperlink>
      <w:r>
        <w:rPr>
          <w:rFonts w:ascii="Arial" w:eastAsia="Arial" w:hAnsi="Arial" w:cs="Arial"/>
        </w:rPr>
        <w:t xml:space="preserve"> (Accessed: 23</w:t>
      </w:r>
      <w:r w:rsidR="00AB5845">
        <w:rPr>
          <w:rFonts w:ascii="Arial" w:eastAsia="Arial" w:hAnsi="Arial" w:cs="Arial"/>
        </w:rPr>
        <w:t xml:space="preserve"> August</w:t>
      </w:r>
      <w:r>
        <w:rPr>
          <w:rFonts w:ascii="Arial" w:eastAsia="Arial" w:hAnsi="Arial" w:cs="Arial"/>
        </w:rPr>
        <w:t xml:space="preserve"> 2026).</w:t>
      </w:r>
    </w:p>
    <w:p w14:paraId="0000026B" w14:textId="2860FFE4"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Silverman, D. (2013) </w:t>
      </w:r>
      <w:r>
        <w:rPr>
          <w:rFonts w:ascii="Arial" w:eastAsia="Arial" w:hAnsi="Arial" w:cs="Arial"/>
          <w:i/>
        </w:rPr>
        <w:t>Doing qualitative research: a practical handbook</w:t>
      </w:r>
      <w:r>
        <w:rPr>
          <w:rFonts w:ascii="Arial" w:eastAsia="Arial" w:hAnsi="Arial" w:cs="Arial"/>
        </w:rPr>
        <w:t xml:space="preserve">. 4th </w:t>
      </w:r>
      <w:proofErr w:type="spellStart"/>
      <w:r>
        <w:rPr>
          <w:rFonts w:ascii="Arial" w:eastAsia="Arial" w:hAnsi="Arial" w:cs="Arial"/>
        </w:rPr>
        <w:t>edn</w:t>
      </w:r>
      <w:proofErr w:type="spellEnd"/>
      <w:r>
        <w:rPr>
          <w:rFonts w:ascii="Arial" w:eastAsia="Arial" w:hAnsi="Arial" w:cs="Arial"/>
        </w:rPr>
        <w:t xml:space="preserve">. London: Sage. Available at: </w:t>
      </w:r>
      <w:hyperlink r:id="rId51">
        <w:r>
          <w:rPr>
            <w:rFonts w:ascii="Arial" w:eastAsia="Arial" w:hAnsi="Arial" w:cs="Arial"/>
            <w:color w:val="0563C1"/>
            <w:u w:val="single"/>
          </w:rPr>
          <w:t>https://archive.org/details/doingqualitative0000silv_r4r5</w:t>
        </w:r>
      </w:hyperlink>
      <w:r>
        <w:rPr>
          <w:rFonts w:ascii="Arial" w:eastAsia="Arial" w:hAnsi="Arial" w:cs="Arial"/>
        </w:rPr>
        <w:t xml:space="preserve"> (Accessed: 2</w:t>
      </w:r>
      <w:r w:rsidR="00AB5845">
        <w:rPr>
          <w:rFonts w:ascii="Arial" w:eastAsia="Arial" w:hAnsi="Arial" w:cs="Arial"/>
        </w:rPr>
        <w:t>9 August</w:t>
      </w:r>
      <w:r>
        <w:rPr>
          <w:rFonts w:ascii="Arial" w:eastAsia="Arial" w:hAnsi="Arial" w:cs="Arial"/>
        </w:rPr>
        <w:t xml:space="preserve"> 2026).</w:t>
      </w:r>
    </w:p>
    <w:p w14:paraId="0000026C" w14:textId="3B5DF30D"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Speck, P.S. (1991) ‘The humorous message taxonomy: a framework for the study of humorous ads’, </w:t>
      </w:r>
      <w:r>
        <w:rPr>
          <w:rFonts w:ascii="Arial" w:eastAsia="Arial" w:hAnsi="Arial" w:cs="Arial"/>
          <w:i/>
        </w:rPr>
        <w:t>Current Issues and Research in Advertising</w:t>
      </w:r>
      <w:r>
        <w:rPr>
          <w:rFonts w:ascii="Arial" w:eastAsia="Arial" w:hAnsi="Arial" w:cs="Arial"/>
        </w:rPr>
        <w:t xml:space="preserve">, 13(1–2), pp. 1–44. </w:t>
      </w:r>
      <w:hyperlink r:id="rId52">
        <w:r>
          <w:rPr>
            <w:rFonts w:ascii="Arial" w:eastAsia="Arial" w:hAnsi="Arial" w:cs="Arial"/>
            <w:color w:val="0563C1"/>
            <w:u w:val="single"/>
          </w:rPr>
          <w:t>https://doi.org/10.1080/01633392.1991.10504957</w:t>
        </w:r>
      </w:hyperlink>
    </w:p>
    <w:p w14:paraId="6880711A" w14:textId="5522BF6C"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Swinburne Maddison LLP (2021) </w:t>
      </w:r>
      <w:r>
        <w:rPr>
          <w:rFonts w:ascii="Arial" w:eastAsia="Arial" w:hAnsi="Arial" w:cs="Arial"/>
          <w:i/>
        </w:rPr>
        <w:t>Key legal considerations in the battle of Colin v Cuthbert</w:t>
      </w:r>
      <w:r>
        <w:rPr>
          <w:rFonts w:ascii="Arial" w:eastAsia="Arial" w:hAnsi="Arial" w:cs="Arial"/>
        </w:rPr>
        <w:t xml:space="preserve">, 10 May. Available at: </w:t>
      </w:r>
      <w:hyperlink r:id="rId53">
        <w:r>
          <w:rPr>
            <w:rFonts w:ascii="Arial" w:eastAsia="Arial" w:hAnsi="Arial" w:cs="Arial"/>
            <w:color w:val="0563C1"/>
            <w:u w:val="single"/>
          </w:rPr>
          <w:t>https://www.swinburnemaddison.co.uk/insights/article/key-legal-considerations-in-the-battle-of-colin-v-cuthbert/</w:t>
        </w:r>
      </w:hyperlink>
      <w:r>
        <w:rPr>
          <w:rFonts w:ascii="Arial" w:eastAsia="Arial" w:hAnsi="Arial" w:cs="Arial"/>
        </w:rPr>
        <w:t xml:space="preserve"> (Accessed: </w:t>
      </w:r>
      <w:r w:rsidR="00AB5845">
        <w:rPr>
          <w:rFonts w:ascii="Arial" w:eastAsia="Arial" w:hAnsi="Arial" w:cs="Arial"/>
        </w:rPr>
        <w:t>13 July</w:t>
      </w:r>
      <w:r>
        <w:rPr>
          <w:rFonts w:ascii="Arial" w:eastAsia="Arial" w:hAnsi="Arial" w:cs="Arial"/>
        </w:rPr>
        <w:t xml:space="preserve"> 2026).</w:t>
      </w:r>
    </w:p>
    <w:p w14:paraId="0000026D" w14:textId="29AE68CA"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The Drum (2021) </w:t>
      </w:r>
      <w:r>
        <w:rPr>
          <w:rFonts w:ascii="Arial" w:eastAsia="Arial" w:hAnsi="Arial" w:cs="Arial"/>
          <w:i/>
        </w:rPr>
        <w:t xml:space="preserve">Aldi’s #FreeCuthbert campaign takes Grand Prix at The Drum Awards for </w:t>
      </w:r>
      <w:proofErr w:type="gramStart"/>
      <w:r>
        <w:rPr>
          <w:rFonts w:ascii="Arial" w:eastAsia="Arial" w:hAnsi="Arial" w:cs="Arial"/>
          <w:i/>
        </w:rPr>
        <w:t>Social Media</w:t>
      </w:r>
      <w:proofErr w:type="gramEnd"/>
      <w:r>
        <w:rPr>
          <w:rFonts w:ascii="Arial" w:eastAsia="Arial" w:hAnsi="Arial" w:cs="Arial"/>
        </w:rPr>
        <w:t xml:space="preserve">, 12 November. Available at: </w:t>
      </w:r>
      <w:hyperlink r:id="rId54">
        <w:r>
          <w:rPr>
            <w:rFonts w:ascii="Arial" w:eastAsia="Arial" w:hAnsi="Arial" w:cs="Arial"/>
            <w:color w:val="0563C1"/>
            <w:u w:val="single"/>
          </w:rPr>
          <w:t>https://www.thedrum.com/news/aldis-freecuthbert-campaign-takes-grand-prix-the-drum-awards-social-media</w:t>
        </w:r>
      </w:hyperlink>
      <w:r>
        <w:rPr>
          <w:rFonts w:ascii="Arial" w:eastAsia="Arial" w:hAnsi="Arial" w:cs="Arial"/>
        </w:rPr>
        <w:t xml:space="preserve"> (Accessed: 10 July 2026).</w:t>
      </w:r>
    </w:p>
    <w:p w14:paraId="0000026E" w14:textId="70B5F98E"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Theodosiou, M. and </w:t>
      </w:r>
      <w:proofErr w:type="spellStart"/>
      <w:r>
        <w:rPr>
          <w:rFonts w:ascii="Arial" w:eastAsia="Arial" w:hAnsi="Arial" w:cs="Arial"/>
        </w:rPr>
        <w:t>Leonidou</w:t>
      </w:r>
      <w:proofErr w:type="spellEnd"/>
      <w:r>
        <w:rPr>
          <w:rFonts w:ascii="Arial" w:eastAsia="Arial" w:hAnsi="Arial" w:cs="Arial"/>
        </w:rPr>
        <w:t xml:space="preserve">, L.C. (2003) ‘Standardization versus adaptation of international marketing strategy: an integrative assessment of the empirical research’, </w:t>
      </w:r>
      <w:r>
        <w:rPr>
          <w:rFonts w:ascii="Arial" w:eastAsia="Arial" w:hAnsi="Arial" w:cs="Arial"/>
          <w:i/>
        </w:rPr>
        <w:t>International Business Review</w:t>
      </w:r>
      <w:r>
        <w:rPr>
          <w:rFonts w:ascii="Arial" w:eastAsia="Arial" w:hAnsi="Arial" w:cs="Arial"/>
        </w:rPr>
        <w:t xml:space="preserve">, 12(2), pp. 141–171. </w:t>
      </w:r>
      <w:hyperlink r:id="rId55">
        <w:r>
          <w:rPr>
            <w:rFonts w:ascii="Arial" w:eastAsia="Arial" w:hAnsi="Arial" w:cs="Arial"/>
            <w:color w:val="0563C1"/>
            <w:u w:val="single"/>
          </w:rPr>
          <w:t>https://doi.org/10.1016/S0969-5931(02)00094-X</w:t>
        </w:r>
      </w:hyperlink>
    </w:p>
    <w:p w14:paraId="0000026F" w14:textId="29F5B91E"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Tracy, S.J. (2010) ‘Qualitative quality: eight “big-tent” criteria for excellent qualitative research’, </w:t>
      </w:r>
      <w:r>
        <w:rPr>
          <w:rFonts w:ascii="Arial" w:eastAsia="Arial" w:hAnsi="Arial" w:cs="Arial"/>
          <w:i/>
        </w:rPr>
        <w:t>Qualitative Inquiry</w:t>
      </w:r>
      <w:r>
        <w:rPr>
          <w:rFonts w:ascii="Arial" w:eastAsia="Arial" w:hAnsi="Arial" w:cs="Arial"/>
        </w:rPr>
        <w:t xml:space="preserve">, 16(10), pp. 837–851. </w:t>
      </w:r>
      <w:hyperlink r:id="rId56">
        <w:r>
          <w:rPr>
            <w:rFonts w:ascii="Arial" w:eastAsia="Arial" w:hAnsi="Arial" w:cs="Arial"/>
            <w:color w:val="0563C1"/>
            <w:u w:val="single"/>
          </w:rPr>
          <w:t>https://doi.org/10.1177/1077800410383121</w:t>
        </w:r>
      </w:hyperlink>
    </w:p>
    <w:p w14:paraId="00000270" w14:textId="62C4E2F7" w:rsidR="003D2C5F" w:rsidRDefault="00000000">
      <w:pPr>
        <w:spacing w:before="180" w:after="180" w:line="360" w:lineRule="auto"/>
        <w:ind w:left="720" w:hanging="720"/>
        <w:jc w:val="both"/>
        <w:rPr>
          <w:rFonts w:ascii="Arial" w:eastAsia="Arial" w:hAnsi="Arial" w:cs="Arial"/>
        </w:rPr>
      </w:pPr>
      <w:r>
        <w:rPr>
          <w:rFonts w:ascii="Arial" w:eastAsia="Arial" w:hAnsi="Arial" w:cs="Arial"/>
        </w:rPr>
        <w:lastRenderedPageBreak/>
        <w:t xml:space="preserve">Weinberger, M.G. and Gulas, C.S. (1992) ‘The impact of humor in advertising: a review’, </w:t>
      </w:r>
      <w:r>
        <w:rPr>
          <w:rFonts w:ascii="Arial" w:eastAsia="Arial" w:hAnsi="Arial" w:cs="Arial"/>
          <w:i/>
        </w:rPr>
        <w:t>Journal of Advertising</w:t>
      </w:r>
      <w:r>
        <w:rPr>
          <w:rFonts w:ascii="Arial" w:eastAsia="Arial" w:hAnsi="Arial" w:cs="Arial"/>
        </w:rPr>
        <w:t xml:space="preserve">, 21(4), pp. 35–59. </w:t>
      </w:r>
      <w:hyperlink r:id="rId57">
        <w:r>
          <w:rPr>
            <w:rFonts w:ascii="Arial" w:eastAsia="Arial" w:hAnsi="Arial" w:cs="Arial"/>
            <w:color w:val="0563C1"/>
            <w:u w:val="single"/>
          </w:rPr>
          <w:t>https://doi.org/10.1080/00913367.1992.10673384</w:t>
        </w:r>
      </w:hyperlink>
    </w:p>
    <w:p w14:paraId="00000271" w14:textId="47BADE5B"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Wilson Gunn (2021) </w:t>
      </w:r>
      <w:r>
        <w:rPr>
          <w:rFonts w:ascii="Arial" w:eastAsia="Arial" w:hAnsi="Arial" w:cs="Arial"/>
          <w:i/>
        </w:rPr>
        <w:t>Marks and Spencer v Aldi – Colin v Cuthbert</w:t>
      </w:r>
      <w:r>
        <w:rPr>
          <w:rFonts w:ascii="Arial" w:eastAsia="Arial" w:hAnsi="Arial" w:cs="Arial"/>
        </w:rPr>
        <w:t xml:space="preserve">, 28 May. Available at: </w:t>
      </w:r>
      <w:hyperlink r:id="rId58">
        <w:r>
          <w:rPr>
            <w:rFonts w:ascii="Arial" w:eastAsia="Arial" w:hAnsi="Arial" w:cs="Arial"/>
            <w:color w:val="0563C1"/>
            <w:u w:val="single"/>
          </w:rPr>
          <w:t>https://www.wilsongunn.com/resource/news/trade-marks/marks-and-spencer-v-aldi-colin-v-cuthbert-2</w:t>
        </w:r>
      </w:hyperlink>
      <w:r>
        <w:rPr>
          <w:rFonts w:ascii="Arial" w:eastAsia="Arial" w:hAnsi="Arial" w:cs="Arial"/>
        </w:rPr>
        <w:t xml:space="preserve"> (Accessed: </w:t>
      </w:r>
      <w:r w:rsidR="00AB5845">
        <w:rPr>
          <w:rFonts w:ascii="Arial" w:eastAsia="Arial" w:hAnsi="Arial" w:cs="Arial"/>
        </w:rPr>
        <w:t>0</w:t>
      </w:r>
      <w:r>
        <w:rPr>
          <w:rFonts w:ascii="Arial" w:eastAsia="Arial" w:hAnsi="Arial" w:cs="Arial"/>
        </w:rPr>
        <w:t>1 September 2026).</w:t>
      </w:r>
    </w:p>
    <w:p w14:paraId="00000272" w14:textId="071CEB35"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Yin, R.K. (2018) </w:t>
      </w:r>
      <w:r>
        <w:rPr>
          <w:rFonts w:ascii="Arial" w:eastAsia="Arial" w:hAnsi="Arial" w:cs="Arial"/>
          <w:i/>
        </w:rPr>
        <w:t>Case study research and applications: design and methods</w:t>
      </w:r>
      <w:r>
        <w:rPr>
          <w:rFonts w:ascii="Arial" w:eastAsia="Arial" w:hAnsi="Arial" w:cs="Arial"/>
        </w:rPr>
        <w:t xml:space="preserve">. 6th </w:t>
      </w:r>
      <w:proofErr w:type="spellStart"/>
      <w:r>
        <w:rPr>
          <w:rFonts w:ascii="Arial" w:eastAsia="Arial" w:hAnsi="Arial" w:cs="Arial"/>
        </w:rPr>
        <w:t>edn</w:t>
      </w:r>
      <w:proofErr w:type="spellEnd"/>
      <w:r>
        <w:rPr>
          <w:rFonts w:ascii="Arial" w:eastAsia="Arial" w:hAnsi="Arial" w:cs="Arial"/>
        </w:rPr>
        <w:t xml:space="preserve">. Thousand Oaks, CA: Sage. Available at: </w:t>
      </w:r>
      <w:hyperlink r:id="rId59">
        <w:r>
          <w:rPr>
            <w:rFonts w:ascii="Arial" w:eastAsia="Arial" w:hAnsi="Arial" w:cs="Arial"/>
            <w:color w:val="0563C1"/>
            <w:u w:val="single"/>
          </w:rPr>
          <w:t>https://us.sagepub.com/en-us/nam/case-study-research-and-applications/book250150</w:t>
        </w:r>
      </w:hyperlink>
      <w:r>
        <w:rPr>
          <w:rFonts w:ascii="Arial" w:eastAsia="Arial" w:hAnsi="Arial" w:cs="Arial"/>
        </w:rPr>
        <w:t xml:space="preserve"> (Accessed: 24 September 2026).</w:t>
      </w:r>
    </w:p>
    <w:p w14:paraId="00000273" w14:textId="460E9049" w:rsidR="003D2C5F" w:rsidRDefault="00000000">
      <w:pPr>
        <w:spacing w:before="180" w:after="180" w:line="360" w:lineRule="auto"/>
        <w:ind w:left="720" w:hanging="720"/>
        <w:jc w:val="both"/>
        <w:rPr>
          <w:rFonts w:ascii="Arial" w:eastAsia="Arial" w:hAnsi="Arial" w:cs="Arial"/>
        </w:rPr>
      </w:pPr>
      <w:r>
        <w:rPr>
          <w:rFonts w:ascii="Arial" w:eastAsia="Arial" w:hAnsi="Arial" w:cs="Arial"/>
        </w:rPr>
        <w:t xml:space="preserve">Yu, Y., Huang, L., Qing, P. and Chen, T. (2022) ‘How humor reduces the impact of negative feedback on social media’, </w:t>
      </w:r>
      <w:r>
        <w:rPr>
          <w:rFonts w:ascii="Arial" w:eastAsia="Arial" w:hAnsi="Arial" w:cs="Arial"/>
          <w:i/>
        </w:rPr>
        <w:t>Journal of Interactive Marketing</w:t>
      </w:r>
      <w:r>
        <w:rPr>
          <w:rFonts w:ascii="Arial" w:eastAsia="Arial" w:hAnsi="Arial" w:cs="Arial"/>
        </w:rPr>
        <w:t xml:space="preserve">, 57(4), pp. 601–613. </w:t>
      </w:r>
      <w:hyperlink r:id="rId60">
        <w:r>
          <w:rPr>
            <w:rFonts w:ascii="Arial" w:eastAsia="Arial" w:hAnsi="Arial" w:cs="Arial"/>
            <w:color w:val="0563C1"/>
            <w:u w:val="single"/>
          </w:rPr>
          <w:t>https://doi.org/10.1177/10949968221123771</w:t>
        </w:r>
      </w:hyperlink>
    </w:p>
    <w:p w14:paraId="00000274" w14:textId="77777777" w:rsidR="003D2C5F" w:rsidRDefault="003D2C5F">
      <w:pPr>
        <w:spacing w:line="360" w:lineRule="auto"/>
        <w:jc w:val="both"/>
        <w:rPr>
          <w:rFonts w:ascii="Arial" w:eastAsia="Arial" w:hAnsi="Arial" w:cs="Arial"/>
        </w:rPr>
      </w:pPr>
    </w:p>
    <w:p w14:paraId="00000275" w14:textId="77777777" w:rsidR="003D2C5F" w:rsidRDefault="003D2C5F">
      <w:pPr>
        <w:pStyle w:val="Heading1"/>
      </w:pPr>
    </w:p>
    <w:p w14:paraId="00000276" w14:textId="77777777" w:rsidR="003D2C5F" w:rsidRDefault="00000000">
      <w:pPr>
        <w:spacing w:line="360" w:lineRule="auto"/>
      </w:pPr>
      <w:r>
        <w:br w:type="page"/>
      </w:r>
    </w:p>
    <w:p w14:paraId="00000277" w14:textId="77777777" w:rsidR="003D2C5F" w:rsidRDefault="00000000">
      <w:pPr>
        <w:pStyle w:val="Heading1"/>
        <w:rPr>
          <w:sz w:val="46"/>
          <w:szCs w:val="46"/>
        </w:rPr>
      </w:pPr>
      <w:bookmarkStart w:id="185" w:name="_g9ks8dn1tnb1" w:colFirst="0" w:colLast="0"/>
      <w:bookmarkStart w:id="186" w:name="_Toc241144241"/>
      <w:bookmarkEnd w:id="185"/>
      <w:r>
        <w:rPr>
          <w:sz w:val="46"/>
          <w:szCs w:val="46"/>
        </w:rPr>
        <w:lastRenderedPageBreak/>
        <w:t>Appendices</w:t>
      </w:r>
      <w:bookmarkEnd w:id="186"/>
    </w:p>
    <w:p w14:paraId="227FEBAE" w14:textId="77777777" w:rsidR="003D2C5F" w:rsidRDefault="00000000">
      <w:pPr>
        <w:pStyle w:val="Heading2"/>
        <w:spacing w:after="80" w:line="360" w:lineRule="auto"/>
      </w:pPr>
      <w:bookmarkStart w:id="187" w:name="_Toc241144242"/>
      <w:r>
        <w:rPr>
          <w:sz w:val="34"/>
          <w:szCs w:val="34"/>
        </w:rPr>
        <w:t>Appendix A: Primary Corpus Log (16 Posts)</w:t>
      </w:r>
      <w:bookmarkEnd w:id="187"/>
    </w:p>
    <w:p w14:paraId="20814802" w14:textId="77777777" w:rsidR="003D2C5F" w:rsidRDefault="00000000">
      <w:pPr>
        <w:spacing w:before="120" w:after="120" w:line="300" w:lineRule="auto"/>
        <w:jc w:val="both"/>
      </w:pPr>
      <w:r>
        <w:rPr>
          <w:rFonts w:ascii="Arial" w:eastAsia="Arial" w:hAnsi="Arial" w:cs="Arial"/>
        </w:rPr>
        <w:t>This log lists every post in the primary corpus (Sections 3.4–3.5). All posts were published on Aldi UK’s official X (formerly Twitter) account, @AldiUK, in April 2021. Times are UTC and are derived from each post’s X status ID. Post IDs match those used in the coding matrix (Appendix D), so any claim in Chapter Four can be traced to a specific post. The full text, media and a screenshot of every post are given in Appendix A2. Post IDs follow the order in which posts were logged during data collection and are not strictly chronological within 16 April; the publication order on that day was P02, P11, P12, P09, P05, P07, P03, P04, P10, P08, P06. The phase allocation in Section 4.2.2 is based on publication dates and is unaffected.</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600"/>
        <w:gridCol w:w="1300"/>
        <w:gridCol w:w="3000"/>
        <w:gridCol w:w="3995"/>
      </w:tblGrid>
      <w:tr w:rsidR="003D2C5F" w14:paraId="212CCC18" w14:textId="77777777">
        <w:trPr>
          <w:tblHeader/>
        </w:trPr>
        <w:tc>
          <w:tcPr>
            <w:tcW w:w="600" w:type="dxa"/>
            <w:shd w:val="clear" w:color="auto" w:fill="D9E2F3"/>
          </w:tcPr>
          <w:p w14:paraId="1AB42761" w14:textId="77777777" w:rsidR="003D2C5F" w:rsidRDefault="00000000">
            <w:pPr>
              <w:spacing w:before="20" w:after="20"/>
            </w:pPr>
            <w:r>
              <w:rPr>
                <w:rFonts w:ascii="Arial" w:eastAsia="Arial" w:hAnsi="Arial" w:cs="Arial"/>
                <w:b/>
                <w:sz w:val="15"/>
                <w:szCs w:val="15"/>
              </w:rPr>
              <w:t>ID</w:t>
            </w:r>
          </w:p>
        </w:tc>
        <w:tc>
          <w:tcPr>
            <w:tcW w:w="1300" w:type="dxa"/>
            <w:shd w:val="clear" w:color="auto" w:fill="D9E2F3"/>
          </w:tcPr>
          <w:p w14:paraId="0C5785FD" w14:textId="77777777" w:rsidR="003D2C5F" w:rsidRDefault="00000000">
            <w:pPr>
              <w:spacing w:before="20" w:after="20"/>
            </w:pPr>
            <w:r>
              <w:rPr>
                <w:rFonts w:ascii="Arial" w:eastAsia="Arial" w:hAnsi="Arial" w:cs="Arial"/>
                <w:b/>
                <w:sz w:val="15"/>
                <w:szCs w:val="15"/>
              </w:rPr>
              <w:t>Date and time (2021, UTC)</w:t>
            </w:r>
          </w:p>
        </w:tc>
        <w:tc>
          <w:tcPr>
            <w:tcW w:w="3000" w:type="dxa"/>
            <w:shd w:val="clear" w:color="auto" w:fill="D9E2F3"/>
          </w:tcPr>
          <w:p w14:paraId="14BBF4E8" w14:textId="77777777" w:rsidR="003D2C5F" w:rsidRDefault="00000000">
            <w:pPr>
              <w:spacing w:before="20" w:after="20"/>
            </w:pPr>
            <w:r>
              <w:rPr>
                <w:rFonts w:ascii="Arial" w:eastAsia="Arial" w:hAnsi="Arial" w:cs="Arial"/>
                <w:b/>
                <w:sz w:val="15"/>
                <w:szCs w:val="15"/>
              </w:rPr>
              <w:t>Post text (opening words)</w:t>
            </w:r>
          </w:p>
        </w:tc>
        <w:tc>
          <w:tcPr>
            <w:tcW w:w="3995" w:type="dxa"/>
            <w:shd w:val="clear" w:color="auto" w:fill="D9E2F3"/>
          </w:tcPr>
          <w:p w14:paraId="09AF3264" w14:textId="77777777" w:rsidR="003D2C5F" w:rsidRDefault="00000000">
            <w:pPr>
              <w:spacing w:before="20" w:after="20"/>
            </w:pPr>
            <w:r>
              <w:rPr>
                <w:rFonts w:ascii="Arial" w:eastAsia="Arial" w:hAnsi="Arial" w:cs="Arial"/>
                <w:b/>
                <w:sz w:val="15"/>
                <w:szCs w:val="15"/>
              </w:rPr>
              <w:t>Source URL</w:t>
            </w:r>
          </w:p>
        </w:tc>
      </w:tr>
      <w:tr w:rsidR="003D2C5F" w14:paraId="1ABF0CD7" w14:textId="77777777">
        <w:tc>
          <w:tcPr>
            <w:tcW w:w="600" w:type="dxa"/>
          </w:tcPr>
          <w:p w14:paraId="4E9E7D2D" w14:textId="77777777" w:rsidR="003D2C5F" w:rsidRDefault="00000000">
            <w:pPr>
              <w:spacing w:before="20" w:after="20"/>
            </w:pPr>
            <w:r>
              <w:rPr>
                <w:rFonts w:ascii="Arial" w:eastAsia="Arial" w:hAnsi="Arial" w:cs="Arial"/>
                <w:sz w:val="15"/>
                <w:szCs w:val="15"/>
              </w:rPr>
              <w:t>P01</w:t>
            </w:r>
          </w:p>
        </w:tc>
        <w:tc>
          <w:tcPr>
            <w:tcW w:w="1300" w:type="dxa"/>
          </w:tcPr>
          <w:p w14:paraId="3134F3A0" w14:textId="77777777" w:rsidR="003D2C5F" w:rsidRDefault="00000000">
            <w:pPr>
              <w:spacing w:before="20" w:after="20"/>
            </w:pPr>
            <w:r>
              <w:rPr>
                <w:rFonts w:ascii="Arial" w:eastAsia="Arial" w:hAnsi="Arial" w:cs="Arial"/>
                <w:sz w:val="15"/>
                <w:szCs w:val="15"/>
              </w:rPr>
              <w:t>15 Apr, 16:59</w:t>
            </w:r>
          </w:p>
        </w:tc>
        <w:tc>
          <w:tcPr>
            <w:tcW w:w="3000" w:type="dxa"/>
          </w:tcPr>
          <w:p w14:paraId="57731784" w14:textId="77777777" w:rsidR="003D2C5F" w:rsidRDefault="00000000">
            <w:pPr>
              <w:spacing w:before="20" w:after="20"/>
            </w:pPr>
            <w:r>
              <w:rPr>
                <w:rFonts w:ascii="Arial" w:eastAsia="Arial" w:hAnsi="Arial" w:cs="Arial"/>
                <w:sz w:val="15"/>
                <w:szCs w:val="15"/>
              </w:rPr>
              <w:t>This is not just any court case, this is…</w:t>
            </w:r>
          </w:p>
        </w:tc>
        <w:tc>
          <w:tcPr>
            <w:tcW w:w="3995" w:type="dxa"/>
          </w:tcPr>
          <w:p w14:paraId="755A0D59" w14:textId="77777777" w:rsidR="003D2C5F" w:rsidRDefault="00000000">
            <w:pPr>
              <w:spacing w:before="20" w:after="20"/>
            </w:pPr>
            <w:r>
              <w:rPr>
                <w:rFonts w:ascii="Arial" w:eastAsia="Arial" w:hAnsi="Arial" w:cs="Arial"/>
                <w:sz w:val="15"/>
                <w:szCs w:val="15"/>
              </w:rPr>
              <w:t>https://x.com/AldiUK/status/1382740269540466692</w:t>
            </w:r>
          </w:p>
        </w:tc>
      </w:tr>
      <w:tr w:rsidR="003D2C5F" w14:paraId="20036193" w14:textId="77777777">
        <w:tc>
          <w:tcPr>
            <w:tcW w:w="600" w:type="dxa"/>
          </w:tcPr>
          <w:p w14:paraId="2E5C512C" w14:textId="77777777" w:rsidR="003D2C5F" w:rsidRDefault="00000000">
            <w:pPr>
              <w:spacing w:before="20" w:after="20"/>
            </w:pPr>
            <w:r>
              <w:rPr>
                <w:rFonts w:ascii="Arial" w:eastAsia="Arial" w:hAnsi="Arial" w:cs="Arial"/>
                <w:sz w:val="15"/>
                <w:szCs w:val="15"/>
              </w:rPr>
              <w:t>P02</w:t>
            </w:r>
          </w:p>
        </w:tc>
        <w:tc>
          <w:tcPr>
            <w:tcW w:w="1300" w:type="dxa"/>
          </w:tcPr>
          <w:p w14:paraId="26A2E040" w14:textId="77777777" w:rsidR="003D2C5F" w:rsidRDefault="00000000">
            <w:pPr>
              <w:spacing w:before="20" w:after="20"/>
            </w:pPr>
            <w:r>
              <w:rPr>
                <w:rFonts w:ascii="Arial" w:eastAsia="Arial" w:hAnsi="Arial" w:cs="Arial"/>
                <w:sz w:val="15"/>
                <w:szCs w:val="15"/>
              </w:rPr>
              <w:t>16 Apr, 11:40</w:t>
            </w:r>
          </w:p>
        </w:tc>
        <w:tc>
          <w:tcPr>
            <w:tcW w:w="3000" w:type="dxa"/>
          </w:tcPr>
          <w:p w14:paraId="5181B3DE" w14:textId="77777777" w:rsidR="003D2C5F" w:rsidRDefault="00000000">
            <w:pPr>
              <w:spacing w:before="20" w:after="20"/>
            </w:pPr>
            <w:r>
              <w:rPr>
                <w:rFonts w:ascii="Arial" w:eastAsia="Arial" w:hAnsi="Arial" w:cs="Arial"/>
                <w:sz w:val="15"/>
                <w:szCs w:val="15"/>
              </w:rPr>
              <w:t>Just Colin our lawyers.</w:t>
            </w:r>
          </w:p>
        </w:tc>
        <w:tc>
          <w:tcPr>
            <w:tcW w:w="3995" w:type="dxa"/>
          </w:tcPr>
          <w:p w14:paraId="77DE2376" w14:textId="77777777" w:rsidR="003D2C5F" w:rsidRDefault="00000000">
            <w:pPr>
              <w:spacing w:before="20" w:after="20"/>
            </w:pPr>
            <w:r>
              <w:rPr>
                <w:rFonts w:ascii="Arial" w:eastAsia="Arial" w:hAnsi="Arial" w:cs="Arial"/>
                <w:sz w:val="15"/>
                <w:szCs w:val="15"/>
              </w:rPr>
              <w:t>https://x.com/AldiUK/status/1383022475206873089</w:t>
            </w:r>
          </w:p>
        </w:tc>
      </w:tr>
      <w:tr w:rsidR="003D2C5F" w14:paraId="005BD4A8" w14:textId="77777777">
        <w:tc>
          <w:tcPr>
            <w:tcW w:w="600" w:type="dxa"/>
          </w:tcPr>
          <w:p w14:paraId="3CC31A0C" w14:textId="77777777" w:rsidR="003D2C5F" w:rsidRDefault="00000000">
            <w:pPr>
              <w:spacing w:before="20" w:after="20"/>
            </w:pPr>
            <w:r>
              <w:rPr>
                <w:rFonts w:ascii="Arial" w:eastAsia="Arial" w:hAnsi="Arial" w:cs="Arial"/>
                <w:sz w:val="15"/>
                <w:szCs w:val="15"/>
              </w:rPr>
              <w:t>P03</w:t>
            </w:r>
          </w:p>
        </w:tc>
        <w:tc>
          <w:tcPr>
            <w:tcW w:w="1300" w:type="dxa"/>
          </w:tcPr>
          <w:p w14:paraId="23CB0971" w14:textId="77777777" w:rsidR="003D2C5F" w:rsidRDefault="00000000">
            <w:pPr>
              <w:spacing w:before="20" w:after="20"/>
            </w:pPr>
            <w:r>
              <w:rPr>
                <w:rFonts w:ascii="Arial" w:eastAsia="Arial" w:hAnsi="Arial" w:cs="Arial"/>
                <w:sz w:val="15"/>
                <w:szCs w:val="15"/>
              </w:rPr>
              <w:t>16 Apr, 16:06</w:t>
            </w:r>
          </w:p>
        </w:tc>
        <w:tc>
          <w:tcPr>
            <w:tcW w:w="3000" w:type="dxa"/>
          </w:tcPr>
          <w:p w14:paraId="3F35E7AD" w14:textId="77777777" w:rsidR="003D2C5F" w:rsidRDefault="00000000">
            <w:pPr>
              <w:spacing w:before="20" w:after="20"/>
            </w:pPr>
            <w:r>
              <w:rPr>
                <w:rFonts w:ascii="Arial" w:eastAsia="Arial" w:hAnsi="Arial" w:cs="Arial"/>
                <w:sz w:val="15"/>
                <w:szCs w:val="15"/>
              </w:rPr>
              <w:t>Packaging update.</w:t>
            </w:r>
          </w:p>
        </w:tc>
        <w:tc>
          <w:tcPr>
            <w:tcW w:w="3995" w:type="dxa"/>
          </w:tcPr>
          <w:p w14:paraId="1205B776" w14:textId="77777777" w:rsidR="003D2C5F" w:rsidRDefault="00000000">
            <w:pPr>
              <w:spacing w:before="20" w:after="20"/>
            </w:pPr>
            <w:r>
              <w:rPr>
                <w:rFonts w:ascii="Arial" w:eastAsia="Arial" w:hAnsi="Arial" w:cs="Arial"/>
                <w:sz w:val="15"/>
                <w:szCs w:val="15"/>
              </w:rPr>
              <w:t>https://x.com/AldiUK/status/1383089432350298115</w:t>
            </w:r>
          </w:p>
        </w:tc>
      </w:tr>
      <w:tr w:rsidR="003D2C5F" w14:paraId="593D9955" w14:textId="77777777">
        <w:tc>
          <w:tcPr>
            <w:tcW w:w="600" w:type="dxa"/>
          </w:tcPr>
          <w:p w14:paraId="5DF9D9A4" w14:textId="77777777" w:rsidR="003D2C5F" w:rsidRDefault="00000000">
            <w:pPr>
              <w:spacing w:before="20" w:after="20"/>
            </w:pPr>
            <w:r>
              <w:rPr>
                <w:rFonts w:ascii="Arial" w:eastAsia="Arial" w:hAnsi="Arial" w:cs="Arial"/>
                <w:sz w:val="15"/>
                <w:szCs w:val="15"/>
              </w:rPr>
              <w:t>P04</w:t>
            </w:r>
          </w:p>
        </w:tc>
        <w:tc>
          <w:tcPr>
            <w:tcW w:w="1300" w:type="dxa"/>
          </w:tcPr>
          <w:p w14:paraId="551F53A7" w14:textId="77777777" w:rsidR="003D2C5F" w:rsidRDefault="00000000">
            <w:pPr>
              <w:spacing w:before="20" w:after="20"/>
            </w:pPr>
            <w:r>
              <w:rPr>
                <w:rFonts w:ascii="Arial" w:eastAsia="Arial" w:hAnsi="Arial" w:cs="Arial"/>
                <w:sz w:val="15"/>
                <w:szCs w:val="15"/>
              </w:rPr>
              <w:t>16 Apr, 16:46</w:t>
            </w:r>
          </w:p>
        </w:tc>
        <w:tc>
          <w:tcPr>
            <w:tcW w:w="3000" w:type="dxa"/>
          </w:tcPr>
          <w:p w14:paraId="2DD90530" w14:textId="77777777" w:rsidR="003D2C5F" w:rsidRDefault="00000000">
            <w:pPr>
              <w:spacing w:before="20" w:after="20"/>
            </w:pPr>
            <w:r>
              <w:rPr>
                <w:rFonts w:ascii="Arial" w:eastAsia="Arial" w:hAnsi="Arial" w:cs="Arial"/>
                <w:sz w:val="15"/>
                <w:szCs w:val="15"/>
              </w:rPr>
              <w:t>Marks &amp; Snitches more like.</w:t>
            </w:r>
          </w:p>
        </w:tc>
        <w:tc>
          <w:tcPr>
            <w:tcW w:w="3995" w:type="dxa"/>
          </w:tcPr>
          <w:p w14:paraId="79A8BBE8" w14:textId="77777777" w:rsidR="003D2C5F" w:rsidRDefault="00000000">
            <w:pPr>
              <w:spacing w:before="20" w:after="20"/>
            </w:pPr>
            <w:r>
              <w:rPr>
                <w:rFonts w:ascii="Arial" w:eastAsia="Arial" w:hAnsi="Arial" w:cs="Arial"/>
                <w:sz w:val="15"/>
                <w:szCs w:val="15"/>
              </w:rPr>
              <w:t>https://x.com/AldiUK/status/1383099496100466693</w:t>
            </w:r>
          </w:p>
        </w:tc>
      </w:tr>
      <w:tr w:rsidR="003D2C5F" w14:paraId="1F6D8711" w14:textId="77777777">
        <w:tc>
          <w:tcPr>
            <w:tcW w:w="600" w:type="dxa"/>
          </w:tcPr>
          <w:p w14:paraId="2B303B01" w14:textId="77777777" w:rsidR="003D2C5F" w:rsidRDefault="00000000">
            <w:pPr>
              <w:spacing w:before="20" w:after="20"/>
            </w:pPr>
            <w:r>
              <w:rPr>
                <w:rFonts w:ascii="Arial" w:eastAsia="Arial" w:hAnsi="Arial" w:cs="Arial"/>
                <w:sz w:val="15"/>
                <w:szCs w:val="15"/>
              </w:rPr>
              <w:t>P05</w:t>
            </w:r>
          </w:p>
        </w:tc>
        <w:tc>
          <w:tcPr>
            <w:tcW w:w="1300" w:type="dxa"/>
          </w:tcPr>
          <w:p w14:paraId="74546921" w14:textId="77777777" w:rsidR="003D2C5F" w:rsidRDefault="00000000">
            <w:pPr>
              <w:spacing w:before="20" w:after="20"/>
            </w:pPr>
            <w:r>
              <w:rPr>
                <w:rFonts w:ascii="Arial" w:eastAsia="Arial" w:hAnsi="Arial" w:cs="Arial"/>
                <w:sz w:val="15"/>
                <w:szCs w:val="15"/>
              </w:rPr>
              <w:t>16 Apr, 14:17</w:t>
            </w:r>
          </w:p>
        </w:tc>
        <w:tc>
          <w:tcPr>
            <w:tcW w:w="3000" w:type="dxa"/>
          </w:tcPr>
          <w:p w14:paraId="65521A09" w14:textId="77777777" w:rsidR="003D2C5F" w:rsidRDefault="00000000">
            <w:pPr>
              <w:spacing w:before="20" w:after="20"/>
            </w:pPr>
            <w:r>
              <w:rPr>
                <w:rFonts w:ascii="Arial" w:eastAsia="Arial" w:hAnsi="Arial" w:cs="Arial"/>
                <w:sz w:val="15"/>
                <w:szCs w:val="15"/>
              </w:rPr>
              <w:t>Judge: Show us the evidence! Us: What evidence?</w:t>
            </w:r>
          </w:p>
        </w:tc>
        <w:tc>
          <w:tcPr>
            <w:tcW w:w="3995" w:type="dxa"/>
          </w:tcPr>
          <w:p w14:paraId="19BDBFA3" w14:textId="77777777" w:rsidR="003D2C5F" w:rsidRDefault="00000000">
            <w:pPr>
              <w:spacing w:before="20" w:after="20"/>
            </w:pPr>
            <w:r>
              <w:rPr>
                <w:rFonts w:ascii="Arial" w:eastAsia="Arial" w:hAnsi="Arial" w:cs="Arial"/>
                <w:sz w:val="15"/>
                <w:szCs w:val="15"/>
              </w:rPr>
              <w:t>https://x.com/AldiUK/status/1383062039447408641</w:t>
            </w:r>
          </w:p>
        </w:tc>
      </w:tr>
      <w:tr w:rsidR="003D2C5F" w14:paraId="0FBF7E9B" w14:textId="77777777">
        <w:tc>
          <w:tcPr>
            <w:tcW w:w="600" w:type="dxa"/>
          </w:tcPr>
          <w:p w14:paraId="47E34927" w14:textId="77777777" w:rsidR="003D2C5F" w:rsidRDefault="00000000">
            <w:pPr>
              <w:spacing w:before="20" w:after="20"/>
            </w:pPr>
            <w:r>
              <w:rPr>
                <w:rFonts w:ascii="Arial" w:eastAsia="Arial" w:hAnsi="Arial" w:cs="Arial"/>
                <w:sz w:val="15"/>
                <w:szCs w:val="15"/>
              </w:rPr>
              <w:t>P06</w:t>
            </w:r>
          </w:p>
        </w:tc>
        <w:tc>
          <w:tcPr>
            <w:tcW w:w="1300" w:type="dxa"/>
          </w:tcPr>
          <w:p w14:paraId="757A3CEC" w14:textId="77777777" w:rsidR="003D2C5F" w:rsidRDefault="00000000">
            <w:pPr>
              <w:spacing w:before="20" w:after="20"/>
            </w:pPr>
            <w:r>
              <w:rPr>
                <w:rFonts w:ascii="Arial" w:eastAsia="Arial" w:hAnsi="Arial" w:cs="Arial"/>
                <w:sz w:val="15"/>
                <w:szCs w:val="15"/>
              </w:rPr>
              <w:t>16 Apr, 18:51</w:t>
            </w:r>
          </w:p>
        </w:tc>
        <w:tc>
          <w:tcPr>
            <w:tcW w:w="3000" w:type="dxa"/>
          </w:tcPr>
          <w:p w14:paraId="6D802F2E" w14:textId="77777777" w:rsidR="003D2C5F" w:rsidRDefault="00000000">
            <w:pPr>
              <w:spacing w:before="20" w:after="20"/>
            </w:pPr>
            <w:r>
              <w:rPr>
                <w:rFonts w:ascii="Arial" w:eastAsia="Arial" w:hAnsi="Arial" w:cs="Arial"/>
                <w:sz w:val="15"/>
                <w:szCs w:val="15"/>
              </w:rPr>
              <w:t>Cuthbert has been found GUILTY… of being delicious.</w:t>
            </w:r>
          </w:p>
        </w:tc>
        <w:tc>
          <w:tcPr>
            <w:tcW w:w="3995" w:type="dxa"/>
          </w:tcPr>
          <w:p w14:paraId="699EE4E1" w14:textId="77777777" w:rsidR="003D2C5F" w:rsidRDefault="00000000">
            <w:pPr>
              <w:spacing w:before="20" w:after="20"/>
            </w:pPr>
            <w:r>
              <w:rPr>
                <w:rFonts w:ascii="Arial" w:eastAsia="Arial" w:hAnsi="Arial" w:cs="Arial"/>
                <w:sz w:val="15"/>
                <w:szCs w:val="15"/>
              </w:rPr>
              <w:t>https://x.com/AldiUK/status/1383130890683961354</w:t>
            </w:r>
          </w:p>
        </w:tc>
      </w:tr>
      <w:tr w:rsidR="003D2C5F" w14:paraId="1428F9C6" w14:textId="77777777">
        <w:tc>
          <w:tcPr>
            <w:tcW w:w="600" w:type="dxa"/>
          </w:tcPr>
          <w:p w14:paraId="4068C53E" w14:textId="77777777" w:rsidR="003D2C5F" w:rsidRDefault="00000000">
            <w:pPr>
              <w:spacing w:before="20" w:after="20"/>
            </w:pPr>
            <w:r>
              <w:rPr>
                <w:rFonts w:ascii="Arial" w:eastAsia="Arial" w:hAnsi="Arial" w:cs="Arial"/>
                <w:sz w:val="15"/>
                <w:szCs w:val="15"/>
              </w:rPr>
              <w:t>P07</w:t>
            </w:r>
          </w:p>
        </w:tc>
        <w:tc>
          <w:tcPr>
            <w:tcW w:w="1300" w:type="dxa"/>
          </w:tcPr>
          <w:p w14:paraId="0E63B990" w14:textId="77777777" w:rsidR="003D2C5F" w:rsidRDefault="00000000">
            <w:pPr>
              <w:spacing w:before="20" w:after="20"/>
            </w:pPr>
            <w:r>
              <w:rPr>
                <w:rFonts w:ascii="Arial" w:eastAsia="Arial" w:hAnsi="Arial" w:cs="Arial"/>
                <w:sz w:val="15"/>
                <w:szCs w:val="15"/>
              </w:rPr>
              <w:t>16 Apr, 15:14</w:t>
            </w:r>
          </w:p>
        </w:tc>
        <w:tc>
          <w:tcPr>
            <w:tcW w:w="3000" w:type="dxa"/>
          </w:tcPr>
          <w:p w14:paraId="22D27B38" w14:textId="77777777" w:rsidR="003D2C5F" w:rsidRDefault="00000000">
            <w:pPr>
              <w:spacing w:before="20" w:after="20"/>
            </w:pPr>
            <w:r>
              <w:rPr>
                <w:rFonts w:ascii="Arial" w:eastAsia="Arial" w:hAnsi="Arial" w:cs="Arial"/>
                <w:sz w:val="15"/>
                <w:szCs w:val="15"/>
              </w:rPr>
              <w:t>Live from inside the courtroom.</w:t>
            </w:r>
          </w:p>
        </w:tc>
        <w:tc>
          <w:tcPr>
            <w:tcW w:w="3995" w:type="dxa"/>
          </w:tcPr>
          <w:p w14:paraId="7FCDC5C4" w14:textId="77777777" w:rsidR="003D2C5F" w:rsidRDefault="00000000">
            <w:pPr>
              <w:spacing w:before="20" w:after="20"/>
            </w:pPr>
            <w:r>
              <w:rPr>
                <w:rFonts w:ascii="Arial" w:eastAsia="Arial" w:hAnsi="Arial" w:cs="Arial"/>
                <w:sz w:val="15"/>
                <w:szCs w:val="15"/>
              </w:rPr>
              <w:t>https://x.com/AldiUK/status/1383076426224705540</w:t>
            </w:r>
          </w:p>
        </w:tc>
      </w:tr>
      <w:tr w:rsidR="003D2C5F" w14:paraId="43E008E3" w14:textId="77777777">
        <w:tc>
          <w:tcPr>
            <w:tcW w:w="600" w:type="dxa"/>
          </w:tcPr>
          <w:p w14:paraId="0302E74B" w14:textId="77777777" w:rsidR="003D2C5F" w:rsidRDefault="00000000">
            <w:pPr>
              <w:spacing w:before="20" w:after="20"/>
            </w:pPr>
            <w:r>
              <w:rPr>
                <w:rFonts w:ascii="Arial" w:eastAsia="Arial" w:hAnsi="Arial" w:cs="Arial"/>
                <w:sz w:val="15"/>
                <w:szCs w:val="15"/>
              </w:rPr>
              <w:t>P08</w:t>
            </w:r>
          </w:p>
        </w:tc>
        <w:tc>
          <w:tcPr>
            <w:tcW w:w="1300" w:type="dxa"/>
          </w:tcPr>
          <w:p w14:paraId="216FCADD" w14:textId="77777777" w:rsidR="003D2C5F" w:rsidRDefault="00000000">
            <w:pPr>
              <w:spacing w:before="20" w:after="20"/>
            </w:pPr>
            <w:r>
              <w:rPr>
                <w:rFonts w:ascii="Arial" w:eastAsia="Arial" w:hAnsi="Arial" w:cs="Arial"/>
                <w:sz w:val="15"/>
                <w:szCs w:val="15"/>
              </w:rPr>
              <w:t>16 Apr, 17:39</w:t>
            </w:r>
          </w:p>
        </w:tc>
        <w:tc>
          <w:tcPr>
            <w:tcW w:w="3000" w:type="dxa"/>
          </w:tcPr>
          <w:p w14:paraId="58C656FA" w14:textId="77777777" w:rsidR="003D2C5F" w:rsidRDefault="00000000">
            <w:pPr>
              <w:spacing w:before="20" w:after="20"/>
            </w:pPr>
            <w:r>
              <w:rPr>
                <w:rFonts w:ascii="Arial" w:eastAsia="Arial" w:hAnsi="Arial" w:cs="Arial"/>
                <w:sz w:val="15"/>
                <w:szCs w:val="15"/>
              </w:rPr>
              <w:t>Cecil, Wiggles, Curly, Clyde. We got you.</w:t>
            </w:r>
          </w:p>
        </w:tc>
        <w:tc>
          <w:tcPr>
            <w:tcW w:w="3995" w:type="dxa"/>
          </w:tcPr>
          <w:p w14:paraId="4C03ABBB" w14:textId="77777777" w:rsidR="003D2C5F" w:rsidRDefault="00000000">
            <w:pPr>
              <w:spacing w:before="20" w:after="20"/>
            </w:pPr>
            <w:r>
              <w:rPr>
                <w:rFonts w:ascii="Arial" w:eastAsia="Arial" w:hAnsi="Arial" w:cs="Arial"/>
                <w:sz w:val="15"/>
                <w:szCs w:val="15"/>
              </w:rPr>
              <w:t>https://x.com/AldiUK/status/1383112800969588738</w:t>
            </w:r>
          </w:p>
        </w:tc>
      </w:tr>
      <w:tr w:rsidR="003D2C5F" w14:paraId="515582AE" w14:textId="77777777">
        <w:tc>
          <w:tcPr>
            <w:tcW w:w="600" w:type="dxa"/>
          </w:tcPr>
          <w:p w14:paraId="04C1D225" w14:textId="77777777" w:rsidR="003D2C5F" w:rsidRDefault="00000000">
            <w:pPr>
              <w:spacing w:before="20" w:after="20"/>
            </w:pPr>
            <w:r>
              <w:rPr>
                <w:rFonts w:ascii="Arial" w:eastAsia="Arial" w:hAnsi="Arial" w:cs="Arial"/>
                <w:sz w:val="15"/>
                <w:szCs w:val="15"/>
              </w:rPr>
              <w:t>P09</w:t>
            </w:r>
          </w:p>
        </w:tc>
        <w:tc>
          <w:tcPr>
            <w:tcW w:w="1300" w:type="dxa"/>
          </w:tcPr>
          <w:p w14:paraId="1AA79B94" w14:textId="77777777" w:rsidR="003D2C5F" w:rsidRDefault="00000000">
            <w:pPr>
              <w:spacing w:before="20" w:after="20"/>
            </w:pPr>
            <w:r>
              <w:rPr>
                <w:rFonts w:ascii="Arial" w:eastAsia="Arial" w:hAnsi="Arial" w:cs="Arial"/>
                <w:sz w:val="15"/>
                <w:szCs w:val="15"/>
              </w:rPr>
              <w:t>16 Apr, 13:30</w:t>
            </w:r>
          </w:p>
        </w:tc>
        <w:tc>
          <w:tcPr>
            <w:tcW w:w="3000" w:type="dxa"/>
          </w:tcPr>
          <w:p w14:paraId="2B0830D8" w14:textId="77777777" w:rsidR="003D2C5F" w:rsidRDefault="00000000">
            <w:pPr>
              <w:spacing w:before="20" w:after="20"/>
            </w:pPr>
            <w:r>
              <w:rPr>
                <w:rFonts w:ascii="Arial" w:eastAsia="Arial" w:hAnsi="Arial" w:cs="Arial"/>
                <w:sz w:val="15"/>
                <w:szCs w:val="15"/>
              </w:rPr>
              <w:t>.@</w:t>
            </w:r>
            <w:proofErr w:type="spellStart"/>
            <w:r>
              <w:rPr>
                <w:rFonts w:ascii="Arial" w:eastAsia="Arial" w:hAnsi="Arial" w:cs="Arial"/>
                <w:sz w:val="15"/>
                <w:szCs w:val="15"/>
              </w:rPr>
              <w:t>JudgeRinderTV</w:t>
            </w:r>
            <w:proofErr w:type="spellEnd"/>
            <w:r>
              <w:rPr>
                <w:rFonts w:ascii="Arial" w:eastAsia="Arial" w:hAnsi="Arial" w:cs="Arial"/>
                <w:sz w:val="15"/>
                <w:szCs w:val="15"/>
              </w:rPr>
              <w:t xml:space="preserve"> How's your diary looking?</w:t>
            </w:r>
          </w:p>
        </w:tc>
        <w:tc>
          <w:tcPr>
            <w:tcW w:w="3995" w:type="dxa"/>
          </w:tcPr>
          <w:p w14:paraId="74468B28" w14:textId="77777777" w:rsidR="003D2C5F" w:rsidRDefault="00000000">
            <w:pPr>
              <w:spacing w:before="20" w:after="20"/>
            </w:pPr>
            <w:r>
              <w:rPr>
                <w:rFonts w:ascii="Arial" w:eastAsia="Arial" w:hAnsi="Arial" w:cs="Arial"/>
                <w:sz w:val="15"/>
                <w:szCs w:val="15"/>
              </w:rPr>
              <w:t>https://x.com/AldiUK/status/1383050242904444932</w:t>
            </w:r>
          </w:p>
        </w:tc>
      </w:tr>
      <w:tr w:rsidR="003D2C5F" w14:paraId="549D8365" w14:textId="77777777">
        <w:tc>
          <w:tcPr>
            <w:tcW w:w="600" w:type="dxa"/>
          </w:tcPr>
          <w:p w14:paraId="58831E82" w14:textId="77777777" w:rsidR="003D2C5F" w:rsidRDefault="00000000">
            <w:pPr>
              <w:spacing w:before="20" w:after="20"/>
            </w:pPr>
            <w:r>
              <w:rPr>
                <w:rFonts w:ascii="Arial" w:eastAsia="Arial" w:hAnsi="Arial" w:cs="Arial"/>
                <w:sz w:val="15"/>
                <w:szCs w:val="15"/>
              </w:rPr>
              <w:t>P10</w:t>
            </w:r>
          </w:p>
        </w:tc>
        <w:tc>
          <w:tcPr>
            <w:tcW w:w="1300" w:type="dxa"/>
          </w:tcPr>
          <w:p w14:paraId="39363E23" w14:textId="77777777" w:rsidR="003D2C5F" w:rsidRDefault="00000000">
            <w:pPr>
              <w:spacing w:before="20" w:after="20"/>
            </w:pPr>
            <w:r>
              <w:rPr>
                <w:rFonts w:ascii="Arial" w:eastAsia="Arial" w:hAnsi="Arial" w:cs="Arial"/>
                <w:sz w:val="15"/>
                <w:szCs w:val="15"/>
              </w:rPr>
              <w:t>16 Apr, 17:13</w:t>
            </w:r>
          </w:p>
        </w:tc>
        <w:tc>
          <w:tcPr>
            <w:tcW w:w="3000" w:type="dxa"/>
          </w:tcPr>
          <w:p w14:paraId="70FAA78B" w14:textId="77777777" w:rsidR="003D2C5F" w:rsidRDefault="00000000">
            <w:pPr>
              <w:spacing w:before="20" w:after="20"/>
            </w:pPr>
            <w:r>
              <w:rPr>
                <w:rFonts w:ascii="Arial" w:eastAsia="Arial" w:hAnsi="Arial" w:cs="Arial"/>
                <w:sz w:val="15"/>
                <w:szCs w:val="15"/>
              </w:rPr>
              <w:t>.@</w:t>
            </w:r>
            <w:proofErr w:type="spellStart"/>
            <w:r>
              <w:rPr>
                <w:rFonts w:ascii="Arial" w:eastAsia="Arial" w:hAnsi="Arial" w:cs="Arial"/>
                <w:sz w:val="15"/>
                <w:szCs w:val="15"/>
              </w:rPr>
              <w:t>DuluxUK</w:t>
            </w:r>
            <w:proofErr w:type="spellEnd"/>
            <w:r>
              <w:rPr>
                <w:rFonts w:ascii="Arial" w:eastAsia="Arial" w:hAnsi="Arial" w:cs="Arial"/>
                <w:sz w:val="15"/>
                <w:szCs w:val="15"/>
              </w:rPr>
              <w:t xml:space="preserve"> How do we delete tweets?</w:t>
            </w:r>
          </w:p>
        </w:tc>
        <w:tc>
          <w:tcPr>
            <w:tcW w:w="3995" w:type="dxa"/>
          </w:tcPr>
          <w:p w14:paraId="5AFA6FBD" w14:textId="77777777" w:rsidR="003D2C5F" w:rsidRDefault="00000000">
            <w:pPr>
              <w:spacing w:before="20" w:after="20"/>
            </w:pPr>
            <w:r>
              <w:rPr>
                <w:rFonts w:ascii="Arial" w:eastAsia="Arial" w:hAnsi="Arial" w:cs="Arial"/>
                <w:sz w:val="15"/>
                <w:szCs w:val="15"/>
              </w:rPr>
              <w:t>https://x.com/AldiUK/status/1383106355788181505</w:t>
            </w:r>
          </w:p>
        </w:tc>
      </w:tr>
      <w:tr w:rsidR="003D2C5F" w14:paraId="3A9295A4" w14:textId="77777777">
        <w:tc>
          <w:tcPr>
            <w:tcW w:w="600" w:type="dxa"/>
          </w:tcPr>
          <w:p w14:paraId="39C69C73" w14:textId="77777777" w:rsidR="003D2C5F" w:rsidRDefault="00000000">
            <w:pPr>
              <w:spacing w:before="20" w:after="20"/>
            </w:pPr>
            <w:r>
              <w:rPr>
                <w:rFonts w:ascii="Arial" w:eastAsia="Arial" w:hAnsi="Arial" w:cs="Arial"/>
                <w:sz w:val="15"/>
                <w:szCs w:val="15"/>
              </w:rPr>
              <w:t>P11</w:t>
            </w:r>
          </w:p>
        </w:tc>
        <w:tc>
          <w:tcPr>
            <w:tcW w:w="1300" w:type="dxa"/>
          </w:tcPr>
          <w:p w14:paraId="136CAAB1" w14:textId="77777777" w:rsidR="003D2C5F" w:rsidRDefault="00000000">
            <w:pPr>
              <w:spacing w:before="20" w:after="20"/>
            </w:pPr>
            <w:r>
              <w:rPr>
                <w:rFonts w:ascii="Arial" w:eastAsia="Arial" w:hAnsi="Arial" w:cs="Arial"/>
                <w:sz w:val="15"/>
                <w:szCs w:val="15"/>
              </w:rPr>
              <w:t>16 Apr, 12:47</w:t>
            </w:r>
          </w:p>
        </w:tc>
        <w:tc>
          <w:tcPr>
            <w:tcW w:w="3000" w:type="dxa"/>
          </w:tcPr>
          <w:p w14:paraId="4ADD03A5" w14:textId="77777777" w:rsidR="003D2C5F" w:rsidRDefault="00000000">
            <w:pPr>
              <w:spacing w:before="20" w:after="20"/>
            </w:pPr>
            <w:r>
              <w:rPr>
                <w:rFonts w:ascii="Arial" w:eastAsia="Arial" w:hAnsi="Arial" w:cs="Arial"/>
                <w:sz w:val="15"/>
                <w:szCs w:val="15"/>
              </w:rPr>
              <w:t>Working title: Making a Caterpillar.</w:t>
            </w:r>
          </w:p>
        </w:tc>
        <w:tc>
          <w:tcPr>
            <w:tcW w:w="3995" w:type="dxa"/>
          </w:tcPr>
          <w:p w14:paraId="1BE1A563" w14:textId="77777777" w:rsidR="003D2C5F" w:rsidRDefault="00000000">
            <w:pPr>
              <w:spacing w:before="20" w:after="20"/>
            </w:pPr>
            <w:r>
              <w:rPr>
                <w:rFonts w:ascii="Arial" w:eastAsia="Arial" w:hAnsi="Arial" w:cs="Arial"/>
                <w:sz w:val="15"/>
                <w:szCs w:val="15"/>
              </w:rPr>
              <w:t>https://x.com/AldiUK/status/1383039465120268289</w:t>
            </w:r>
          </w:p>
        </w:tc>
      </w:tr>
      <w:tr w:rsidR="003D2C5F" w14:paraId="3BB12AA8" w14:textId="77777777">
        <w:tc>
          <w:tcPr>
            <w:tcW w:w="600" w:type="dxa"/>
          </w:tcPr>
          <w:p w14:paraId="248383C8" w14:textId="77777777" w:rsidR="003D2C5F" w:rsidRDefault="00000000">
            <w:pPr>
              <w:spacing w:before="20" w:after="20"/>
            </w:pPr>
            <w:r>
              <w:rPr>
                <w:rFonts w:ascii="Arial" w:eastAsia="Arial" w:hAnsi="Arial" w:cs="Arial"/>
                <w:sz w:val="15"/>
                <w:szCs w:val="15"/>
              </w:rPr>
              <w:t>P12</w:t>
            </w:r>
          </w:p>
        </w:tc>
        <w:tc>
          <w:tcPr>
            <w:tcW w:w="1300" w:type="dxa"/>
          </w:tcPr>
          <w:p w14:paraId="646342E8" w14:textId="77777777" w:rsidR="003D2C5F" w:rsidRDefault="00000000">
            <w:pPr>
              <w:spacing w:before="20" w:after="20"/>
            </w:pPr>
            <w:r>
              <w:rPr>
                <w:rFonts w:ascii="Arial" w:eastAsia="Arial" w:hAnsi="Arial" w:cs="Arial"/>
                <w:sz w:val="15"/>
                <w:szCs w:val="15"/>
              </w:rPr>
              <w:t>16 Apr, 13:10</w:t>
            </w:r>
          </w:p>
        </w:tc>
        <w:tc>
          <w:tcPr>
            <w:tcW w:w="3000" w:type="dxa"/>
          </w:tcPr>
          <w:p w14:paraId="4F0AA169" w14:textId="77777777" w:rsidR="003D2C5F" w:rsidRDefault="00000000">
            <w:pPr>
              <w:spacing w:before="20" w:after="20"/>
            </w:pPr>
            <w:r>
              <w:rPr>
                <w:rFonts w:ascii="Arial" w:eastAsia="Arial" w:hAnsi="Arial" w:cs="Arial"/>
                <w:sz w:val="15"/>
                <w:szCs w:val="15"/>
              </w:rPr>
              <w:t>.@</w:t>
            </w:r>
            <w:proofErr w:type="spellStart"/>
            <w:r>
              <w:rPr>
                <w:rFonts w:ascii="Arial" w:eastAsia="Arial" w:hAnsi="Arial" w:cs="Arial"/>
                <w:sz w:val="15"/>
                <w:szCs w:val="15"/>
              </w:rPr>
              <w:t>Brewdog</w:t>
            </w:r>
            <w:proofErr w:type="spellEnd"/>
            <w:r>
              <w:rPr>
                <w:rFonts w:ascii="Arial" w:eastAsia="Arial" w:hAnsi="Arial" w:cs="Arial"/>
                <w:sz w:val="15"/>
                <w:szCs w:val="15"/>
              </w:rPr>
              <w:t xml:space="preserve"> And they say Cats and Dogs don't get along!</w:t>
            </w:r>
          </w:p>
        </w:tc>
        <w:tc>
          <w:tcPr>
            <w:tcW w:w="3995" w:type="dxa"/>
          </w:tcPr>
          <w:p w14:paraId="65DF1EE5" w14:textId="77777777" w:rsidR="003D2C5F" w:rsidRDefault="00000000">
            <w:pPr>
              <w:spacing w:before="20" w:after="20"/>
            </w:pPr>
            <w:r>
              <w:rPr>
                <w:rFonts w:ascii="Arial" w:eastAsia="Arial" w:hAnsi="Arial" w:cs="Arial"/>
                <w:sz w:val="15"/>
                <w:szCs w:val="15"/>
              </w:rPr>
              <w:t>https://x.com/AldiUK/status/1383045026519846912</w:t>
            </w:r>
          </w:p>
        </w:tc>
      </w:tr>
      <w:tr w:rsidR="003D2C5F" w14:paraId="7CD7FB69" w14:textId="77777777">
        <w:tc>
          <w:tcPr>
            <w:tcW w:w="600" w:type="dxa"/>
          </w:tcPr>
          <w:p w14:paraId="16BE455A" w14:textId="77777777" w:rsidR="003D2C5F" w:rsidRDefault="00000000">
            <w:pPr>
              <w:spacing w:before="20" w:after="20"/>
            </w:pPr>
            <w:r>
              <w:rPr>
                <w:rFonts w:ascii="Arial" w:eastAsia="Arial" w:hAnsi="Arial" w:cs="Arial"/>
                <w:sz w:val="15"/>
                <w:szCs w:val="15"/>
              </w:rPr>
              <w:t>P13</w:t>
            </w:r>
          </w:p>
        </w:tc>
        <w:tc>
          <w:tcPr>
            <w:tcW w:w="1300" w:type="dxa"/>
          </w:tcPr>
          <w:p w14:paraId="1C774AC4" w14:textId="77777777" w:rsidR="003D2C5F" w:rsidRDefault="00000000">
            <w:pPr>
              <w:spacing w:before="20" w:after="20"/>
            </w:pPr>
            <w:r>
              <w:rPr>
                <w:rFonts w:ascii="Arial" w:eastAsia="Arial" w:hAnsi="Arial" w:cs="Arial"/>
                <w:sz w:val="15"/>
                <w:szCs w:val="15"/>
              </w:rPr>
              <w:t>19 Apr, 14:42</w:t>
            </w:r>
          </w:p>
        </w:tc>
        <w:tc>
          <w:tcPr>
            <w:tcW w:w="3000" w:type="dxa"/>
          </w:tcPr>
          <w:p w14:paraId="277BF61B" w14:textId="77777777" w:rsidR="003D2C5F" w:rsidRDefault="00000000">
            <w:pPr>
              <w:spacing w:before="20" w:after="20"/>
            </w:pPr>
            <w:r>
              <w:rPr>
                <w:rFonts w:ascii="Arial" w:eastAsia="Arial" w:hAnsi="Arial" w:cs="Arial"/>
                <w:sz w:val="15"/>
                <w:szCs w:val="15"/>
              </w:rPr>
              <w:t xml:space="preserve">Had a pretty busy weekend </w:t>
            </w:r>
            <w:proofErr w:type="spellStart"/>
            <w:r>
              <w:rPr>
                <w:rFonts w:ascii="Arial" w:eastAsia="Arial" w:hAnsi="Arial" w:cs="Arial"/>
                <w:sz w:val="15"/>
                <w:szCs w:val="15"/>
              </w:rPr>
              <w:t>ngl</w:t>
            </w:r>
            <w:proofErr w:type="spellEnd"/>
            <w:r>
              <w:rPr>
                <w:rFonts w:ascii="Arial" w:eastAsia="Arial" w:hAnsi="Arial" w:cs="Arial"/>
                <w:sz w:val="15"/>
                <w:szCs w:val="15"/>
              </w:rPr>
              <w:t>.</w:t>
            </w:r>
          </w:p>
        </w:tc>
        <w:tc>
          <w:tcPr>
            <w:tcW w:w="3995" w:type="dxa"/>
          </w:tcPr>
          <w:p w14:paraId="599D266D" w14:textId="77777777" w:rsidR="003D2C5F" w:rsidRDefault="00000000">
            <w:pPr>
              <w:spacing w:before="20" w:after="20"/>
            </w:pPr>
            <w:r>
              <w:rPr>
                <w:rFonts w:ascii="Arial" w:eastAsia="Arial" w:hAnsi="Arial" w:cs="Arial"/>
                <w:sz w:val="15"/>
                <w:szCs w:val="15"/>
              </w:rPr>
              <w:t>https://x.com/AldiUK/status/1384155345375793155</w:t>
            </w:r>
          </w:p>
        </w:tc>
      </w:tr>
      <w:tr w:rsidR="003D2C5F" w14:paraId="2218D72A" w14:textId="77777777">
        <w:tc>
          <w:tcPr>
            <w:tcW w:w="600" w:type="dxa"/>
          </w:tcPr>
          <w:p w14:paraId="04D4E6DB" w14:textId="77777777" w:rsidR="003D2C5F" w:rsidRDefault="00000000">
            <w:pPr>
              <w:spacing w:before="20" w:after="20"/>
            </w:pPr>
            <w:r>
              <w:rPr>
                <w:rFonts w:ascii="Arial" w:eastAsia="Arial" w:hAnsi="Arial" w:cs="Arial"/>
                <w:sz w:val="15"/>
                <w:szCs w:val="15"/>
              </w:rPr>
              <w:t>P14</w:t>
            </w:r>
          </w:p>
        </w:tc>
        <w:tc>
          <w:tcPr>
            <w:tcW w:w="1300" w:type="dxa"/>
          </w:tcPr>
          <w:p w14:paraId="76A90ED6" w14:textId="77777777" w:rsidR="003D2C5F" w:rsidRDefault="00000000">
            <w:pPr>
              <w:spacing w:before="20" w:after="20"/>
            </w:pPr>
            <w:r>
              <w:rPr>
                <w:rFonts w:ascii="Arial" w:eastAsia="Arial" w:hAnsi="Arial" w:cs="Arial"/>
                <w:sz w:val="15"/>
                <w:szCs w:val="15"/>
              </w:rPr>
              <w:t>19 Apr, 16:05</w:t>
            </w:r>
          </w:p>
        </w:tc>
        <w:tc>
          <w:tcPr>
            <w:tcW w:w="3000" w:type="dxa"/>
          </w:tcPr>
          <w:p w14:paraId="4EAB192F" w14:textId="77777777" w:rsidR="003D2C5F" w:rsidRDefault="00000000">
            <w:pPr>
              <w:spacing w:before="20" w:after="20"/>
            </w:pPr>
            <w:r>
              <w:rPr>
                <w:rFonts w:ascii="Arial" w:eastAsia="Arial" w:hAnsi="Arial" w:cs="Arial"/>
                <w:sz w:val="15"/>
                <w:szCs w:val="15"/>
              </w:rPr>
              <w:t>.@</w:t>
            </w:r>
            <w:proofErr w:type="spellStart"/>
            <w:r>
              <w:rPr>
                <w:rFonts w:ascii="Arial" w:eastAsia="Arial" w:hAnsi="Arial" w:cs="Arial"/>
                <w:sz w:val="15"/>
                <w:szCs w:val="15"/>
              </w:rPr>
              <w:t>MonopolyUK</w:t>
            </w:r>
            <w:proofErr w:type="spellEnd"/>
            <w:r>
              <w:rPr>
                <w:rFonts w:ascii="Arial" w:eastAsia="Arial" w:hAnsi="Arial" w:cs="Arial"/>
                <w:sz w:val="15"/>
                <w:szCs w:val="15"/>
              </w:rPr>
              <w:t xml:space="preserve"> Do </w:t>
            </w:r>
            <w:proofErr w:type="gramStart"/>
            <w:r>
              <w:rPr>
                <w:rFonts w:ascii="Arial" w:eastAsia="Arial" w:hAnsi="Arial" w:cs="Arial"/>
                <w:sz w:val="15"/>
                <w:szCs w:val="15"/>
              </w:rPr>
              <w:t>these work</w:t>
            </w:r>
            <w:proofErr w:type="gramEnd"/>
            <w:r>
              <w:rPr>
                <w:rFonts w:ascii="Arial" w:eastAsia="Arial" w:hAnsi="Arial" w:cs="Arial"/>
                <w:sz w:val="15"/>
                <w:szCs w:val="15"/>
              </w:rPr>
              <w:t>?</w:t>
            </w:r>
          </w:p>
        </w:tc>
        <w:tc>
          <w:tcPr>
            <w:tcW w:w="3995" w:type="dxa"/>
          </w:tcPr>
          <w:p w14:paraId="14F1FA37" w14:textId="77777777" w:rsidR="003D2C5F" w:rsidRDefault="00000000">
            <w:pPr>
              <w:spacing w:before="20" w:after="20"/>
            </w:pPr>
            <w:r>
              <w:rPr>
                <w:rFonts w:ascii="Arial" w:eastAsia="Arial" w:hAnsi="Arial" w:cs="Arial"/>
                <w:sz w:val="15"/>
                <w:szCs w:val="15"/>
              </w:rPr>
              <w:t>https://x.com/AldiUK/status/1384176280929636352</w:t>
            </w:r>
          </w:p>
        </w:tc>
      </w:tr>
      <w:tr w:rsidR="003D2C5F" w14:paraId="0D6790B8" w14:textId="77777777">
        <w:tc>
          <w:tcPr>
            <w:tcW w:w="600" w:type="dxa"/>
          </w:tcPr>
          <w:p w14:paraId="2E032F2A" w14:textId="77777777" w:rsidR="003D2C5F" w:rsidRDefault="00000000">
            <w:pPr>
              <w:spacing w:before="20" w:after="20"/>
            </w:pPr>
            <w:r>
              <w:rPr>
                <w:rFonts w:ascii="Arial" w:eastAsia="Arial" w:hAnsi="Arial" w:cs="Arial"/>
                <w:sz w:val="15"/>
                <w:szCs w:val="15"/>
              </w:rPr>
              <w:t>P15</w:t>
            </w:r>
          </w:p>
        </w:tc>
        <w:tc>
          <w:tcPr>
            <w:tcW w:w="1300" w:type="dxa"/>
          </w:tcPr>
          <w:p w14:paraId="4B352DFB" w14:textId="77777777" w:rsidR="003D2C5F" w:rsidRDefault="00000000">
            <w:pPr>
              <w:spacing w:before="20" w:after="20"/>
            </w:pPr>
            <w:r>
              <w:rPr>
                <w:rFonts w:ascii="Arial" w:eastAsia="Arial" w:hAnsi="Arial" w:cs="Arial"/>
                <w:sz w:val="15"/>
                <w:szCs w:val="15"/>
              </w:rPr>
              <w:t>20 Apr, 08:34</w:t>
            </w:r>
          </w:p>
        </w:tc>
        <w:tc>
          <w:tcPr>
            <w:tcW w:w="3000" w:type="dxa"/>
          </w:tcPr>
          <w:p w14:paraId="5231DA36" w14:textId="77777777" w:rsidR="003D2C5F" w:rsidRDefault="00000000">
            <w:pPr>
              <w:spacing w:before="20" w:after="20"/>
            </w:pPr>
            <w:r>
              <w:rPr>
                <w:rFonts w:ascii="Arial" w:eastAsia="Arial" w:hAnsi="Arial" w:cs="Arial"/>
                <w:sz w:val="15"/>
                <w:szCs w:val="15"/>
              </w:rPr>
              <w:t>Hey @marksandspencer can Colin and Cuthbert be besties?</w:t>
            </w:r>
          </w:p>
        </w:tc>
        <w:tc>
          <w:tcPr>
            <w:tcW w:w="3995" w:type="dxa"/>
          </w:tcPr>
          <w:p w14:paraId="5D8D3643" w14:textId="77777777" w:rsidR="003D2C5F" w:rsidRDefault="00000000">
            <w:pPr>
              <w:spacing w:before="20" w:after="20"/>
            </w:pPr>
            <w:r>
              <w:rPr>
                <w:rFonts w:ascii="Arial" w:eastAsia="Arial" w:hAnsi="Arial" w:cs="Arial"/>
                <w:sz w:val="15"/>
                <w:szCs w:val="15"/>
              </w:rPr>
              <w:t>https://x.com/AldiUK/status/1384425308930064387</w:t>
            </w:r>
          </w:p>
        </w:tc>
      </w:tr>
      <w:tr w:rsidR="003D2C5F" w14:paraId="508BF570" w14:textId="77777777">
        <w:tc>
          <w:tcPr>
            <w:tcW w:w="600" w:type="dxa"/>
          </w:tcPr>
          <w:p w14:paraId="5927974B" w14:textId="77777777" w:rsidR="003D2C5F" w:rsidRDefault="00000000">
            <w:pPr>
              <w:spacing w:before="20" w:after="20"/>
            </w:pPr>
            <w:r>
              <w:rPr>
                <w:rFonts w:ascii="Arial" w:eastAsia="Arial" w:hAnsi="Arial" w:cs="Arial"/>
                <w:sz w:val="15"/>
                <w:szCs w:val="15"/>
              </w:rPr>
              <w:lastRenderedPageBreak/>
              <w:t>P16</w:t>
            </w:r>
          </w:p>
        </w:tc>
        <w:tc>
          <w:tcPr>
            <w:tcW w:w="1300" w:type="dxa"/>
          </w:tcPr>
          <w:p w14:paraId="5EE3F7C7" w14:textId="77777777" w:rsidR="003D2C5F" w:rsidRDefault="00000000">
            <w:pPr>
              <w:spacing w:before="20" w:after="20"/>
            </w:pPr>
            <w:r>
              <w:rPr>
                <w:rFonts w:ascii="Arial" w:eastAsia="Arial" w:hAnsi="Arial" w:cs="Arial"/>
                <w:sz w:val="15"/>
                <w:szCs w:val="15"/>
              </w:rPr>
              <w:t>20 Apr, 10:00</w:t>
            </w:r>
          </w:p>
        </w:tc>
        <w:tc>
          <w:tcPr>
            <w:tcW w:w="3000" w:type="dxa"/>
          </w:tcPr>
          <w:p w14:paraId="6AA57DD5" w14:textId="77777777" w:rsidR="003D2C5F" w:rsidRDefault="00000000">
            <w:pPr>
              <w:spacing w:before="20" w:after="20"/>
            </w:pPr>
            <w:r>
              <w:rPr>
                <w:rFonts w:ascii="Arial" w:eastAsia="Arial" w:hAnsi="Arial" w:cs="Arial"/>
                <w:sz w:val="15"/>
                <w:szCs w:val="15"/>
              </w:rPr>
              <w:t>Morning @Tesco @sainsburys @asda…</w:t>
            </w:r>
          </w:p>
        </w:tc>
        <w:tc>
          <w:tcPr>
            <w:tcW w:w="3995" w:type="dxa"/>
          </w:tcPr>
          <w:p w14:paraId="69D94DD6" w14:textId="77777777" w:rsidR="003D2C5F" w:rsidRDefault="00000000">
            <w:pPr>
              <w:spacing w:before="20" w:after="20"/>
            </w:pPr>
            <w:r>
              <w:rPr>
                <w:rFonts w:ascii="Arial" w:eastAsia="Arial" w:hAnsi="Arial" w:cs="Arial"/>
                <w:sz w:val="15"/>
                <w:szCs w:val="15"/>
              </w:rPr>
              <w:t>https://x.com/AldiUK/status/1384446799029616641</w:t>
            </w:r>
          </w:p>
        </w:tc>
      </w:tr>
    </w:tbl>
    <w:p w14:paraId="3B7B1843" w14:textId="77777777" w:rsidR="003D2C5F" w:rsidRDefault="00000000">
      <w:pPr>
        <w:pStyle w:val="Heading2"/>
        <w:spacing w:after="80" w:line="360" w:lineRule="auto"/>
      </w:pPr>
      <w:bookmarkStart w:id="188" w:name="_Toc241144243"/>
      <w:r>
        <w:rPr>
          <w:sz w:val="34"/>
          <w:szCs w:val="34"/>
        </w:rPr>
        <w:t>Appendix A2: Full Post Text and Screenshots</w:t>
      </w:r>
      <w:bookmarkEnd w:id="188"/>
    </w:p>
    <w:p w14:paraId="5CAB03C2" w14:textId="55BBA9BD" w:rsidR="006C7BAC" w:rsidRDefault="006C7BAC">
      <w:pPr>
        <w:spacing w:before="120" w:after="120" w:line="300" w:lineRule="auto"/>
        <w:jc w:val="both"/>
      </w:pPr>
      <w:r w:rsidRPr="006C7BAC">
        <w:rPr>
          <w:rFonts w:ascii="Arial" w:eastAsia="Arial" w:hAnsi="Arial" w:cs="Arial"/>
        </w:rPr>
        <w:t xml:space="preserve">The full text of each of the posts in the main corpus is reproduced in this appendix, the media attached to each post is described, and each post is shown on a screen shot. No log-in was performed during the 24 September 2026 when screenshots were taken from the public X pages linked in Appendix A. All the screenshots are cropped to display only Aldi UK's post and not others' responses, as in Section 3.9. The times in the screenshots refer to the local time of the capture device (UTC+6), and will be six hours ahead of the UTC times in Appendix A. The number of likes and comments (reposts and replies) shown in the screenshots are cumulative totals as of the capture date (Section 4.2.3) and are not </w:t>
      </w:r>
      <w:proofErr w:type="spellStart"/>
      <w:r w:rsidRPr="006C7BAC">
        <w:rPr>
          <w:rFonts w:ascii="Arial" w:eastAsia="Arial" w:hAnsi="Arial" w:cs="Arial"/>
        </w:rPr>
        <w:t>analysed</w:t>
      </w:r>
      <w:proofErr w:type="spellEnd"/>
      <w:r w:rsidRPr="006C7BAC">
        <w:rPr>
          <w:rFonts w:ascii="Arial" w:eastAsia="Arial" w:hAnsi="Arial" w:cs="Arial"/>
        </w:rPr>
        <w:t xml:space="preserve"> in this study.</w:t>
      </w:r>
    </w:p>
    <w:p w14:paraId="53FF295E" w14:textId="77777777" w:rsidR="003D2C5F" w:rsidRDefault="00000000">
      <w:pPr>
        <w:keepNext/>
        <w:spacing w:before="240" w:after="120" w:line="300" w:lineRule="auto"/>
        <w:jc w:val="both"/>
      </w:pPr>
      <w:r>
        <w:rPr>
          <w:rFonts w:ascii="Arial" w:eastAsia="Arial" w:hAnsi="Arial" w:cs="Arial"/>
          <w:b/>
          <w:sz w:val="18"/>
          <w:szCs w:val="18"/>
        </w:rPr>
        <w:t>Table A2.1: Full Post Text and Media</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600"/>
        <w:gridCol w:w="1200"/>
        <w:gridCol w:w="4095"/>
        <w:gridCol w:w="3000"/>
      </w:tblGrid>
      <w:tr w:rsidR="003D2C5F" w14:paraId="6207F42D" w14:textId="77777777">
        <w:trPr>
          <w:cantSplit/>
          <w:tblHeader/>
        </w:trPr>
        <w:tc>
          <w:tcPr>
            <w:tcW w:w="600" w:type="dxa"/>
            <w:shd w:val="clear" w:color="auto" w:fill="D9E2F3"/>
          </w:tcPr>
          <w:p w14:paraId="7EE2CCE4" w14:textId="77777777" w:rsidR="003D2C5F" w:rsidRDefault="00000000">
            <w:pPr>
              <w:spacing w:before="20" w:after="20"/>
            </w:pPr>
            <w:r>
              <w:rPr>
                <w:rFonts w:ascii="Arial" w:eastAsia="Arial" w:hAnsi="Arial" w:cs="Arial"/>
                <w:b/>
                <w:sz w:val="16"/>
                <w:szCs w:val="16"/>
              </w:rPr>
              <w:t>ID</w:t>
            </w:r>
          </w:p>
        </w:tc>
        <w:tc>
          <w:tcPr>
            <w:tcW w:w="1200" w:type="dxa"/>
            <w:shd w:val="clear" w:color="auto" w:fill="D9E2F3"/>
          </w:tcPr>
          <w:p w14:paraId="5DDB4D8C" w14:textId="77777777" w:rsidR="003D2C5F" w:rsidRDefault="00000000">
            <w:pPr>
              <w:spacing w:before="20" w:after="20"/>
            </w:pPr>
            <w:r>
              <w:rPr>
                <w:rFonts w:ascii="Arial" w:eastAsia="Arial" w:hAnsi="Arial" w:cs="Arial"/>
                <w:b/>
                <w:sz w:val="16"/>
                <w:szCs w:val="16"/>
              </w:rPr>
              <w:t>Published (UTC)</w:t>
            </w:r>
          </w:p>
        </w:tc>
        <w:tc>
          <w:tcPr>
            <w:tcW w:w="4095" w:type="dxa"/>
            <w:shd w:val="clear" w:color="auto" w:fill="D9E2F3"/>
          </w:tcPr>
          <w:p w14:paraId="413AE47A" w14:textId="77777777" w:rsidR="003D2C5F" w:rsidRDefault="00000000">
            <w:pPr>
              <w:spacing w:before="20" w:after="20"/>
            </w:pPr>
            <w:r>
              <w:rPr>
                <w:rFonts w:ascii="Arial" w:eastAsia="Arial" w:hAnsi="Arial" w:cs="Arial"/>
                <w:b/>
                <w:sz w:val="16"/>
                <w:szCs w:val="16"/>
              </w:rPr>
              <w:t>Full post text</w:t>
            </w:r>
          </w:p>
        </w:tc>
        <w:tc>
          <w:tcPr>
            <w:tcW w:w="3000" w:type="dxa"/>
            <w:shd w:val="clear" w:color="auto" w:fill="D9E2F3"/>
          </w:tcPr>
          <w:p w14:paraId="0B5BF663" w14:textId="77777777" w:rsidR="003D2C5F" w:rsidRDefault="00000000">
            <w:pPr>
              <w:spacing w:before="20" w:after="20"/>
            </w:pPr>
            <w:r>
              <w:rPr>
                <w:rFonts w:ascii="Arial" w:eastAsia="Arial" w:hAnsi="Arial" w:cs="Arial"/>
                <w:b/>
                <w:sz w:val="16"/>
                <w:szCs w:val="16"/>
              </w:rPr>
              <w:t>Media</w:t>
            </w:r>
          </w:p>
        </w:tc>
      </w:tr>
      <w:tr w:rsidR="003D2C5F" w14:paraId="005AA2B8" w14:textId="77777777">
        <w:trPr>
          <w:cantSplit/>
        </w:trPr>
        <w:tc>
          <w:tcPr>
            <w:tcW w:w="600" w:type="dxa"/>
          </w:tcPr>
          <w:p w14:paraId="662F55BC" w14:textId="77777777" w:rsidR="003D2C5F" w:rsidRDefault="00000000">
            <w:pPr>
              <w:spacing w:before="20" w:after="20"/>
            </w:pPr>
            <w:r>
              <w:rPr>
                <w:rFonts w:ascii="Arial" w:eastAsia="Arial" w:hAnsi="Arial" w:cs="Arial"/>
                <w:sz w:val="16"/>
                <w:szCs w:val="16"/>
              </w:rPr>
              <w:t>P01</w:t>
            </w:r>
          </w:p>
        </w:tc>
        <w:tc>
          <w:tcPr>
            <w:tcW w:w="1200" w:type="dxa"/>
          </w:tcPr>
          <w:p w14:paraId="40F90302" w14:textId="77777777" w:rsidR="003D2C5F" w:rsidRDefault="00000000">
            <w:pPr>
              <w:spacing w:before="20" w:after="20"/>
            </w:pPr>
            <w:r>
              <w:rPr>
                <w:rFonts w:ascii="Arial" w:eastAsia="Arial" w:hAnsi="Arial" w:cs="Arial"/>
                <w:sz w:val="16"/>
                <w:szCs w:val="16"/>
              </w:rPr>
              <w:t>15 Apr, 16:59</w:t>
            </w:r>
          </w:p>
        </w:tc>
        <w:tc>
          <w:tcPr>
            <w:tcW w:w="4095" w:type="dxa"/>
          </w:tcPr>
          <w:p w14:paraId="2BF54B47" w14:textId="77777777" w:rsidR="003D2C5F" w:rsidRDefault="00000000">
            <w:pPr>
              <w:spacing w:before="20" w:after="20"/>
            </w:pPr>
            <w:r>
              <w:rPr>
                <w:rFonts w:ascii="Arial" w:eastAsia="Arial" w:hAnsi="Arial" w:cs="Arial"/>
                <w:sz w:val="16"/>
                <w:szCs w:val="16"/>
              </w:rPr>
              <w:t>This is not just any court case, this is… #FreeCuthbert</w:t>
            </w:r>
          </w:p>
        </w:tc>
        <w:tc>
          <w:tcPr>
            <w:tcW w:w="3000" w:type="dxa"/>
          </w:tcPr>
          <w:p w14:paraId="7C55BDAD" w14:textId="77777777" w:rsidR="003D2C5F" w:rsidRDefault="00000000">
            <w:pPr>
              <w:spacing w:before="20" w:after="20"/>
            </w:pPr>
            <w:r>
              <w:rPr>
                <w:rFonts w:ascii="Arial" w:eastAsia="Arial" w:hAnsi="Arial" w:cs="Arial"/>
                <w:sz w:val="16"/>
                <w:szCs w:val="16"/>
              </w:rPr>
              <w:t>Text only.</w:t>
            </w:r>
          </w:p>
        </w:tc>
      </w:tr>
      <w:tr w:rsidR="003D2C5F" w14:paraId="0194E11C" w14:textId="77777777">
        <w:trPr>
          <w:cantSplit/>
        </w:trPr>
        <w:tc>
          <w:tcPr>
            <w:tcW w:w="600" w:type="dxa"/>
          </w:tcPr>
          <w:p w14:paraId="30210C8A" w14:textId="77777777" w:rsidR="003D2C5F" w:rsidRDefault="00000000">
            <w:pPr>
              <w:spacing w:before="20" w:after="20"/>
            </w:pPr>
            <w:r>
              <w:rPr>
                <w:rFonts w:ascii="Arial" w:eastAsia="Arial" w:hAnsi="Arial" w:cs="Arial"/>
                <w:sz w:val="16"/>
                <w:szCs w:val="16"/>
              </w:rPr>
              <w:t>P02</w:t>
            </w:r>
          </w:p>
        </w:tc>
        <w:tc>
          <w:tcPr>
            <w:tcW w:w="1200" w:type="dxa"/>
          </w:tcPr>
          <w:p w14:paraId="7EEADD9A" w14:textId="77777777" w:rsidR="003D2C5F" w:rsidRDefault="00000000">
            <w:pPr>
              <w:spacing w:before="20" w:after="20"/>
            </w:pPr>
            <w:r>
              <w:rPr>
                <w:rFonts w:ascii="Arial" w:eastAsia="Arial" w:hAnsi="Arial" w:cs="Arial"/>
                <w:sz w:val="16"/>
                <w:szCs w:val="16"/>
              </w:rPr>
              <w:t>16 Apr, 11:40</w:t>
            </w:r>
          </w:p>
        </w:tc>
        <w:tc>
          <w:tcPr>
            <w:tcW w:w="4095" w:type="dxa"/>
          </w:tcPr>
          <w:p w14:paraId="13445283" w14:textId="77777777" w:rsidR="003D2C5F" w:rsidRDefault="00000000">
            <w:pPr>
              <w:spacing w:before="20" w:after="20"/>
            </w:pPr>
            <w:r>
              <w:rPr>
                <w:rFonts w:ascii="Arial" w:eastAsia="Arial" w:hAnsi="Arial" w:cs="Arial"/>
                <w:sz w:val="16"/>
                <w:szCs w:val="16"/>
              </w:rPr>
              <w:t>Just Colin our lawyers. #FreeCuthbert</w:t>
            </w:r>
          </w:p>
        </w:tc>
        <w:tc>
          <w:tcPr>
            <w:tcW w:w="3000" w:type="dxa"/>
          </w:tcPr>
          <w:p w14:paraId="3F1E1EEB" w14:textId="77777777" w:rsidR="003D2C5F" w:rsidRDefault="00000000">
            <w:pPr>
              <w:spacing w:before="20" w:after="20"/>
            </w:pPr>
            <w:r>
              <w:rPr>
                <w:rFonts w:ascii="Arial" w:eastAsia="Arial" w:hAnsi="Arial" w:cs="Arial"/>
                <w:sz w:val="16"/>
                <w:szCs w:val="16"/>
              </w:rPr>
              <w:t>Text only.</w:t>
            </w:r>
          </w:p>
        </w:tc>
      </w:tr>
      <w:tr w:rsidR="003D2C5F" w14:paraId="70C8699B" w14:textId="77777777">
        <w:trPr>
          <w:cantSplit/>
        </w:trPr>
        <w:tc>
          <w:tcPr>
            <w:tcW w:w="600" w:type="dxa"/>
          </w:tcPr>
          <w:p w14:paraId="478CAA71" w14:textId="77777777" w:rsidR="003D2C5F" w:rsidRDefault="00000000">
            <w:pPr>
              <w:spacing w:before="20" w:after="20"/>
            </w:pPr>
            <w:r>
              <w:rPr>
                <w:rFonts w:ascii="Arial" w:eastAsia="Arial" w:hAnsi="Arial" w:cs="Arial"/>
                <w:sz w:val="16"/>
                <w:szCs w:val="16"/>
              </w:rPr>
              <w:t>P03</w:t>
            </w:r>
          </w:p>
        </w:tc>
        <w:tc>
          <w:tcPr>
            <w:tcW w:w="1200" w:type="dxa"/>
          </w:tcPr>
          <w:p w14:paraId="7A737E86" w14:textId="77777777" w:rsidR="003D2C5F" w:rsidRDefault="00000000">
            <w:pPr>
              <w:spacing w:before="20" w:after="20"/>
            </w:pPr>
            <w:r>
              <w:rPr>
                <w:rFonts w:ascii="Arial" w:eastAsia="Arial" w:hAnsi="Arial" w:cs="Arial"/>
                <w:sz w:val="16"/>
                <w:szCs w:val="16"/>
              </w:rPr>
              <w:t>16 Apr, 16:06</w:t>
            </w:r>
          </w:p>
        </w:tc>
        <w:tc>
          <w:tcPr>
            <w:tcW w:w="4095" w:type="dxa"/>
          </w:tcPr>
          <w:p w14:paraId="3BC9DF4E" w14:textId="77777777" w:rsidR="003D2C5F" w:rsidRDefault="00000000">
            <w:pPr>
              <w:spacing w:before="20" w:after="20"/>
            </w:pPr>
            <w:r>
              <w:rPr>
                <w:rFonts w:ascii="Arial" w:eastAsia="Arial" w:hAnsi="Arial" w:cs="Arial"/>
                <w:sz w:val="16"/>
                <w:szCs w:val="16"/>
              </w:rPr>
              <w:t>Packaging update. #FreeCuthbert</w:t>
            </w:r>
          </w:p>
        </w:tc>
        <w:tc>
          <w:tcPr>
            <w:tcW w:w="3000" w:type="dxa"/>
          </w:tcPr>
          <w:p w14:paraId="4A887A4B" w14:textId="77777777" w:rsidR="003D2C5F" w:rsidRDefault="00000000">
            <w:pPr>
              <w:spacing w:before="20" w:after="20"/>
            </w:pPr>
            <w:r>
              <w:rPr>
                <w:rFonts w:ascii="Arial" w:eastAsia="Arial" w:hAnsi="Arial" w:cs="Arial"/>
                <w:sz w:val="16"/>
                <w:szCs w:val="16"/>
              </w:rPr>
              <w:t>Photo of a Cuthbert the Caterpillar cake box with jail bars and a padlock over the window, showing Cuthbert behind bars.</w:t>
            </w:r>
          </w:p>
        </w:tc>
      </w:tr>
      <w:tr w:rsidR="003D2C5F" w14:paraId="751D8AEB" w14:textId="77777777">
        <w:trPr>
          <w:cantSplit/>
        </w:trPr>
        <w:tc>
          <w:tcPr>
            <w:tcW w:w="600" w:type="dxa"/>
          </w:tcPr>
          <w:p w14:paraId="538861C2" w14:textId="77777777" w:rsidR="003D2C5F" w:rsidRDefault="00000000">
            <w:pPr>
              <w:spacing w:before="20" w:after="20"/>
            </w:pPr>
            <w:r>
              <w:rPr>
                <w:rFonts w:ascii="Arial" w:eastAsia="Arial" w:hAnsi="Arial" w:cs="Arial"/>
                <w:sz w:val="16"/>
                <w:szCs w:val="16"/>
              </w:rPr>
              <w:t>P04</w:t>
            </w:r>
          </w:p>
        </w:tc>
        <w:tc>
          <w:tcPr>
            <w:tcW w:w="1200" w:type="dxa"/>
          </w:tcPr>
          <w:p w14:paraId="321B3275" w14:textId="77777777" w:rsidR="003D2C5F" w:rsidRDefault="00000000">
            <w:pPr>
              <w:spacing w:before="20" w:after="20"/>
            </w:pPr>
            <w:r>
              <w:rPr>
                <w:rFonts w:ascii="Arial" w:eastAsia="Arial" w:hAnsi="Arial" w:cs="Arial"/>
                <w:sz w:val="16"/>
                <w:szCs w:val="16"/>
              </w:rPr>
              <w:t>16 Apr, 16:46</w:t>
            </w:r>
          </w:p>
        </w:tc>
        <w:tc>
          <w:tcPr>
            <w:tcW w:w="4095" w:type="dxa"/>
          </w:tcPr>
          <w:p w14:paraId="586B8A52" w14:textId="77777777" w:rsidR="003D2C5F" w:rsidRDefault="00000000">
            <w:pPr>
              <w:spacing w:before="20" w:after="20"/>
            </w:pPr>
            <w:r>
              <w:rPr>
                <w:rFonts w:ascii="Arial" w:eastAsia="Arial" w:hAnsi="Arial" w:cs="Arial"/>
                <w:sz w:val="16"/>
                <w:szCs w:val="16"/>
              </w:rPr>
              <w:t>Marks &amp; Snitches more like. #FreeCuthbert</w:t>
            </w:r>
          </w:p>
        </w:tc>
        <w:tc>
          <w:tcPr>
            <w:tcW w:w="3000" w:type="dxa"/>
          </w:tcPr>
          <w:p w14:paraId="30A64122" w14:textId="77777777" w:rsidR="003D2C5F" w:rsidRDefault="00000000">
            <w:pPr>
              <w:spacing w:before="20" w:after="20"/>
            </w:pPr>
            <w:r>
              <w:rPr>
                <w:rFonts w:ascii="Arial" w:eastAsia="Arial" w:hAnsi="Arial" w:cs="Arial"/>
                <w:sz w:val="16"/>
                <w:szCs w:val="16"/>
              </w:rPr>
              <w:t>Text only.</w:t>
            </w:r>
          </w:p>
        </w:tc>
      </w:tr>
      <w:tr w:rsidR="003D2C5F" w14:paraId="27B6EBE8" w14:textId="77777777">
        <w:trPr>
          <w:cantSplit/>
        </w:trPr>
        <w:tc>
          <w:tcPr>
            <w:tcW w:w="600" w:type="dxa"/>
          </w:tcPr>
          <w:p w14:paraId="096743D9" w14:textId="77777777" w:rsidR="003D2C5F" w:rsidRDefault="00000000">
            <w:pPr>
              <w:spacing w:before="20" w:after="20"/>
            </w:pPr>
            <w:r>
              <w:rPr>
                <w:rFonts w:ascii="Arial" w:eastAsia="Arial" w:hAnsi="Arial" w:cs="Arial"/>
                <w:sz w:val="16"/>
                <w:szCs w:val="16"/>
              </w:rPr>
              <w:t>P05</w:t>
            </w:r>
          </w:p>
        </w:tc>
        <w:tc>
          <w:tcPr>
            <w:tcW w:w="1200" w:type="dxa"/>
          </w:tcPr>
          <w:p w14:paraId="59A293A7" w14:textId="77777777" w:rsidR="003D2C5F" w:rsidRDefault="00000000">
            <w:pPr>
              <w:spacing w:before="20" w:after="20"/>
            </w:pPr>
            <w:r>
              <w:rPr>
                <w:rFonts w:ascii="Arial" w:eastAsia="Arial" w:hAnsi="Arial" w:cs="Arial"/>
                <w:sz w:val="16"/>
                <w:szCs w:val="16"/>
              </w:rPr>
              <w:t>16 Apr, 14:17</w:t>
            </w:r>
          </w:p>
        </w:tc>
        <w:tc>
          <w:tcPr>
            <w:tcW w:w="4095" w:type="dxa"/>
          </w:tcPr>
          <w:p w14:paraId="4D0753DF" w14:textId="77777777" w:rsidR="003D2C5F" w:rsidRDefault="00000000">
            <w:pPr>
              <w:spacing w:before="20" w:after="20"/>
            </w:pPr>
            <w:r>
              <w:rPr>
                <w:rFonts w:ascii="Arial" w:eastAsia="Arial" w:hAnsi="Arial" w:cs="Arial"/>
                <w:sz w:val="16"/>
                <w:szCs w:val="16"/>
              </w:rPr>
              <w:t>Judge: Show us the evidence! Us: What evidence? #FreeCuthbert</w:t>
            </w:r>
          </w:p>
        </w:tc>
        <w:tc>
          <w:tcPr>
            <w:tcW w:w="3000" w:type="dxa"/>
          </w:tcPr>
          <w:p w14:paraId="2D296290" w14:textId="77777777" w:rsidR="003D2C5F" w:rsidRDefault="00000000">
            <w:pPr>
              <w:spacing w:before="20" w:after="20"/>
            </w:pPr>
            <w:r>
              <w:rPr>
                <w:rFonts w:ascii="Arial" w:eastAsia="Arial" w:hAnsi="Arial" w:cs="Arial"/>
                <w:sz w:val="16"/>
                <w:szCs w:val="16"/>
              </w:rPr>
              <w:t>GIF of a boy with a chocolate-smeared face, from the chocolate-cake scene in the film Matilda.</w:t>
            </w:r>
          </w:p>
        </w:tc>
      </w:tr>
      <w:tr w:rsidR="003D2C5F" w14:paraId="5EB49D61" w14:textId="77777777">
        <w:trPr>
          <w:cantSplit/>
        </w:trPr>
        <w:tc>
          <w:tcPr>
            <w:tcW w:w="600" w:type="dxa"/>
          </w:tcPr>
          <w:p w14:paraId="2F84E299" w14:textId="77777777" w:rsidR="003D2C5F" w:rsidRDefault="00000000">
            <w:pPr>
              <w:spacing w:before="20" w:after="20"/>
            </w:pPr>
            <w:r>
              <w:rPr>
                <w:rFonts w:ascii="Arial" w:eastAsia="Arial" w:hAnsi="Arial" w:cs="Arial"/>
                <w:sz w:val="16"/>
                <w:szCs w:val="16"/>
              </w:rPr>
              <w:t>P06</w:t>
            </w:r>
          </w:p>
        </w:tc>
        <w:tc>
          <w:tcPr>
            <w:tcW w:w="1200" w:type="dxa"/>
          </w:tcPr>
          <w:p w14:paraId="17F5CDB8" w14:textId="77777777" w:rsidR="003D2C5F" w:rsidRDefault="00000000">
            <w:pPr>
              <w:spacing w:before="20" w:after="20"/>
            </w:pPr>
            <w:r>
              <w:rPr>
                <w:rFonts w:ascii="Arial" w:eastAsia="Arial" w:hAnsi="Arial" w:cs="Arial"/>
                <w:sz w:val="16"/>
                <w:szCs w:val="16"/>
              </w:rPr>
              <w:t>16 Apr, 18:51</w:t>
            </w:r>
          </w:p>
        </w:tc>
        <w:tc>
          <w:tcPr>
            <w:tcW w:w="4095" w:type="dxa"/>
          </w:tcPr>
          <w:p w14:paraId="4BE1BFEB" w14:textId="77777777" w:rsidR="003D2C5F" w:rsidRDefault="00000000">
            <w:pPr>
              <w:spacing w:before="20" w:after="20"/>
            </w:pPr>
            <w:r>
              <w:rPr>
                <w:rFonts w:ascii="Arial" w:eastAsia="Arial" w:hAnsi="Arial" w:cs="Arial"/>
                <w:sz w:val="16"/>
                <w:szCs w:val="16"/>
              </w:rPr>
              <w:t>Cuthbert has been found GUILTY…</w:t>
            </w:r>
            <w:proofErr w:type="gramStart"/>
            <w:r>
              <w:rPr>
                <w:rFonts w:ascii="Arial" w:eastAsia="Arial" w:hAnsi="Arial" w:cs="Arial"/>
                <w:sz w:val="16"/>
                <w:szCs w:val="16"/>
              </w:rPr>
              <w:t xml:space="preserve"> ..</w:t>
            </w:r>
            <w:proofErr w:type="gramEnd"/>
            <w:r>
              <w:rPr>
                <w:rFonts w:ascii="Arial" w:eastAsia="Arial" w:hAnsi="Arial" w:cs="Arial"/>
                <w:sz w:val="16"/>
                <w:szCs w:val="16"/>
              </w:rPr>
              <w:t>of being delicious. #FreeCuthbert</w:t>
            </w:r>
          </w:p>
        </w:tc>
        <w:tc>
          <w:tcPr>
            <w:tcW w:w="3000" w:type="dxa"/>
          </w:tcPr>
          <w:p w14:paraId="2E8C7D6D" w14:textId="77777777" w:rsidR="003D2C5F" w:rsidRDefault="00000000">
            <w:pPr>
              <w:spacing w:before="20" w:after="20"/>
            </w:pPr>
            <w:r>
              <w:rPr>
                <w:rFonts w:ascii="Arial" w:eastAsia="Arial" w:hAnsi="Arial" w:cs="Arial"/>
                <w:sz w:val="16"/>
                <w:szCs w:val="16"/>
              </w:rPr>
              <w:t>Text only.</w:t>
            </w:r>
          </w:p>
        </w:tc>
      </w:tr>
      <w:tr w:rsidR="003D2C5F" w14:paraId="60FC9484" w14:textId="77777777">
        <w:trPr>
          <w:cantSplit/>
        </w:trPr>
        <w:tc>
          <w:tcPr>
            <w:tcW w:w="600" w:type="dxa"/>
          </w:tcPr>
          <w:p w14:paraId="520689D3" w14:textId="77777777" w:rsidR="003D2C5F" w:rsidRDefault="00000000">
            <w:pPr>
              <w:spacing w:before="20" w:after="20"/>
            </w:pPr>
            <w:r>
              <w:rPr>
                <w:rFonts w:ascii="Arial" w:eastAsia="Arial" w:hAnsi="Arial" w:cs="Arial"/>
                <w:sz w:val="16"/>
                <w:szCs w:val="16"/>
              </w:rPr>
              <w:t>P07</w:t>
            </w:r>
          </w:p>
        </w:tc>
        <w:tc>
          <w:tcPr>
            <w:tcW w:w="1200" w:type="dxa"/>
          </w:tcPr>
          <w:p w14:paraId="5FE23998" w14:textId="77777777" w:rsidR="003D2C5F" w:rsidRDefault="00000000">
            <w:pPr>
              <w:spacing w:before="20" w:after="20"/>
            </w:pPr>
            <w:r>
              <w:rPr>
                <w:rFonts w:ascii="Arial" w:eastAsia="Arial" w:hAnsi="Arial" w:cs="Arial"/>
                <w:sz w:val="16"/>
                <w:szCs w:val="16"/>
              </w:rPr>
              <w:t>16 Apr, 15:14</w:t>
            </w:r>
          </w:p>
        </w:tc>
        <w:tc>
          <w:tcPr>
            <w:tcW w:w="4095" w:type="dxa"/>
          </w:tcPr>
          <w:p w14:paraId="04C8632D" w14:textId="77777777" w:rsidR="003D2C5F" w:rsidRDefault="00000000">
            <w:pPr>
              <w:spacing w:before="20" w:after="20"/>
            </w:pPr>
            <w:r>
              <w:rPr>
                <w:rFonts w:ascii="Arial" w:eastAsia="Arial" w:hAnsi="Arial" w:cs="Arial"/>
                <w:sz w:val="16"/>
                <w:szCs w:val="16"/>
              </w:rPr>
              <w:t>Live from inside the courtroom. #FreeCuthbert</w:t>
            </w:r>
          </w:p>
        </w:tc>
        <w:tc>
          <w:tcPr>
            <w:tcW w:w="3000" w:type="dxa"/>
          </w:tcPr>
          <w:p w14:paraId="1691587E" w14:textId="77777777" w:rsidR="003D2C5F" w:rsidRDefault="00000000">
            <w:pPr>
              <w:spacing w:before="20" w:after="20"/>
            </w:pPr>
            <w:r>
              <w:rPr>
                <w:rFonts w:ascii="Arial" w:eastAsia="Arial" w:hAnsi="Arial" w:cs="Arial"/>
                <w:sz w:val="16"/>
                <w:szCs w:val="16"/>
              </w:rPr>
              <w:t>Pencil courtroom sketch labelled “FIG. 1”, showing Cuthbert in the dock between two figures.</w:t>
            </w:r>
          </w:p>
        </w:tc>
      </w:tr>
      <w:tr w:rsidR="003D2C5F" w14:paraId="4F25132E" w14:textId="77777777">
        <w:trPr>
          <w:cantSplit/>
        </w:trPr>
        <w:tc>
          <w:tcPr>
            <w:tcW w:w="600" w:type="dxa"/>
          </w:tcPr>
          <w:p w14:paraId="54DA7560" w14:textId="77777777" w:rsidR="003D2C5F" w:rsidRDefault="00000000">
            <w:pPr>
              <w:spacing w:before="20" w:after="20"/>
            </w:pPr>
            <w:r>
              <w:rPr>
                <w:rFonts w:ascii="Arial" w:eastAsia="Arial" w:hAnsi="Arial" w:cs="Arial"/>
                <w:sz w:val="16"/>
                <w:szCs w:val="16"/>
              </w:rPr>
              <w:t>P08</w:t>
            </w:r>
          </w:p>
        </w:tc>
        <w:tc>
          <w:tcPr>
            <w:tcW w:w="1200" w:type="dxa"/>
          </w:tcPr>
          <w:p w14:paraId="5BD5D384" w14:textId="77777777" w:rsidR="003D2C5F" w:rsidRDefault="00000000">
            <w:pPr>
              <w:spacing w:before="20" w:after="20"/>
            </w:pPr>
            <w:r>
              <w:rPr>
                <w:rFonts w:ascii="Arial" w:eastAsia="Arial" w:hAnsi="Arial" w:cs="Arial"/>
                <w:sz w:val="16"/>
                <w:szCs w:val="16"/>
              </w:rPr>
              <w:t>16 Apr, 17:39</w:t>
            </w:r>
          </w:p>
        </w:tc>
        <w:tc>
          <w:tcPr>
            <w:tcW w:w="4095" w:type="dxa"/>
          </w:tcPr>
          <w:p w14:paraId="35206185" w14:textId="77777777" w:rsidR="003D2C5F" w:rsidRDefault="00000000">
            <w:pPr>
              <w:spacing w:before="20" w:after="20"/>
            </w:pPr>
            <w:r>
              <w:rPr>
                <w:rFonts w:ascii="Arial" w:eastAsia="Arial" w:hAnsi="Arial" w:cs="Arial"/>
                <w:sz w:val="16"/>
                <w:szCs w:val="16"/>
              </w:rPr>
              <w:t>Cecil, Wiggles, Curly, Clyde. We got you. @Waitrose @Sainsburys @Tesco @Asda #FreeCuthbert</w:t>
            </w:r>
          </w:p>
        </w:tc>
        <w:tc>
          <w:tcPr>
            <w:tcW w:w="3000" w:type="dxa"/>
          </w:tcPr>
          <w:p w14:paraId="3649FABE" w14:textId="77777777" w:rsidR="003D2C5F" w:rsidRDefault="00000000">
            <w:pPr>
              <w:spacing w:before="20" w:after="20"/>
            </w:pPr>
            <w:r>
              <w:rPr>
                <w:rFonts w:ascii="Arial" w:eastAsia="Arial" w:hAnsi="Arial" w:cs="Arial"/>
                <w:sz w:val="16"/>
                <w:szCs w:val="16"/>
              </w:rPr>
              <w:t>Text only.</w:t>
            </w:r>
          </w:p>
        </w:tc>
      </w:tr>
      <w:tr w:rsidR="003D2C5F" w14:paraId="56C1B3AE" w14:textId="77777777">
        <w:trPr>
          <w:cantSplit/>
        </w:trPr>
        <w:tc>
          <w:tcPr>
            <w:tcW w:w="600" w:type="dxa"/>
          </w:tcPr>
          <w:p w14:paraId="5C5DA27A" w14:textId="77777777" w:rsidR="003D2C5F" w:rsidRDefault="00000000">
            <w:pPr>
              <w:spacing w:before="20" w:after="20"/>
            </w:pPr>
            <w:r>
              <w:rPr>
                <w:rFonts w:ascii="Arial" w:eastAsia="Arial" w:hAnsi="Arial" w:cs="Arial"/>
                <w:sz w:val="16"/>
                <w:szCs w:val="16"/>
              </w:rPr>
              <w:t>P09</w:t>
            </w:r>
          </w:p>
        </w:tc>
        <w:tc>
          <w:tcPr>
            <w:tcW w:w="1200" w:type="dxa"/>
          </w:tcPr>
          <w:p w14:paraId="0F2F0933" w14:textId="77777777" w:rsidR="003D2C5F" w:rsidRDefault="00000000">
            <w:pPr>
              <w:spacing w:before="20" w:after="20"/>
            </w:pPr>
            <w:r>
              <w:rPr>
                <w:rFonts w:ascii="Arial" w:eastAsia="Arial" w:hAnsi="Arial" w:cs="Arial"/>
                <w:sz w:val="16"/>
                <w:szCs w:val="16"/>
              </w:rPr>
              <w:t>16 Apr, 13:30</w:t>
            </w:r>
          </w:p>
        </w:tc>
        <w:tc>
          <w:tcPr>
            <w:tcW w:w="4095" w:type="dxa"/>
          </w:tcPr>
          <w:p w14:paraId="1A80AC11" w14:textId="77777777" w:rsidR="003D2C5F" w:rsidRDefault="00000000">
            <w:pPr>
              <w:spacing w:before="20" w:after="20"/>
            </w:pPr>
            <w:r>
              <w:rPr>
                <w:rFonts w:ascii="Arial" w:eastAsia="Arial" w:hAnsi="Arial" w:cs="Arial"/>
                <w:sz w:val="16"/>
                <w:szCs w:val="16"/>
              </w:rPr>
              <w:t>.@</w:t>
            </w:r>
            <w:proofErr w:type="spellStart"/>
            <w:r>
              <w:rPr>
                <w:rFonts w:ascii="Arial" w:eastAsia="Arial" w:hAnsi="Arial" w:cs="Arial"/>
                <w:sz w:val="16"/>
                <w:szCs w:val="16"/>
              </w:rPr>
              <w:t>JudgeRinderTV</w:t>
            </w:r>
            <w:proofErr w:type="spellEnd"/>
            <w:r>
              <w:rPr>
                <w:rFonts w:ascii="Arial" w:eastAsia="Arial" w:hAnsi="Arial" w:cs="Arial"/>
                <w:sz w:val="16"/>
                <w:szCs w:val="16"/>
              </w:rPr>
              <w:t xml:space="preserve"> How’s your diary looking? Asking for a friend. #FreeCuthbert</w:t>
            </w:r>
          </w:p>
        </w:tc>
        <w:tc>
          <w:tcPr>
            <w:tcW w:w="3000" w:type="dxa"/>
          </w:tcPr>
          <w:p w14:paraId="5555C70A" w14:textId="77777777" w:rsidR="003D2C5F" w:rsidRDefault="00000000">
            <w:pPr>
              <w:spacing w:before="20" w:after="20"/>
            </w:pPr>
            <w:r>
              <w:rPr>
                <w:rFonts w:ascii="Arial" w:eastAsia="Arial" w:hAnsi="Arial" w:cs="Arial"/>
                <w:sz w:val="16"/>
                <w:szCs w:val="16"/>
              </w:rPr>
              <w:t>Text only.</w:t>
            </w:r>
          </w:p>
        </w:tc>
      </w:tr>
      <w:tr w:rsidR="003D2C5F" w14:paraId="4FC202E7" w14:textId="77777777">
        <w:trPr>
          <w:cantSplit/>
        </w:trPr>
        <w:tc>
          <w:tcPr>
            <w:tcW w:w="600" w:type="dxa"/>
          </w:tcPr>
          <w:p w14:paraId="60170D60" w14:textId="77777777" w:rsidR="003D2C5F" w:rsidRDefault="00000000">
            <w:pPr>
              <w:spacing w:before="20" w:after="20"/>
            </w:pPr>
            <w:r>
              <w:rPr>
                <w:rFonts w:ascii="Arial" w:eastAsia="Arial" w:hAnsi="Arial" w:cs="Arial"/>
                <w:sz w:val="16"/>
                <w:szCs w:val="16"/>
              </w:rPr>
              <w:t>P10</w:t>
            </w:r>
          </w:p>
        </w:tc>
        <w:tc>
          <w:tcPr>
            <w:tcW w:w="1200" w:type="dxa"/>
          </w:tcPr>
          <w:p w14:paraId="6F68FCAE" w14:textId="77777777" w:rsidR="003D2C5F" w:rsidRDefault="00000000">
            <w:pPr>
              <w:spacing w:before="20" w:after="20"/>
            </w:pPr>
            <w:r>
              <w:rPr>
                <w:rFonts w:ascii="Arial" w:eastAsia="Arial" w:hAnsi="Arial" w:cs="Arial"/>
                <w:sz w:val="16"/>
                <w:szCs w:val="16"/>
              </w:rPr>
              <w:t>16 Apr, 17:13</w:t>
            </w:r>
          </w:p>
        </w:tc>
        <w:tc>
          <w:tcPr>
            <w:tcW w:w="4095" w:type="dxa"/>
          </w:tcPr>
          <w:p w14:paraId="29B29320" w14:textId="77777777" w:rsidR="003D2C5F" w:rsidRDefault="00000000">
            <w:pPr>
              <w:spacing w:before="20" w:after="20"/>
            </w:pPr>
            <w:r>
              <w:rPr>
                <w:rFonts w:ascii="Arial" w:eastAsia="Arial" w:hAnsi="Arial" w:cs="Arial"/>
                <w:sz w:val="16"/>
                <w:szCs w:val="16"/>
              </w:rPr>
              <w:t>.@</w:t>
            </w:r>
            <w:proofErr w:type="spellStart"/>
            <w:r>
              <w:rPr>
                <w:rFonts w:ascii="Arial" w:eastAsia="Arial" w:hAnsi="Arial" w:cs="Arial"/>
                <w:sz w:val="16"/>
                <w:szCs w:val="16"/>
              </w:rPr>
              <w:t>DuluxUK</w:t>
            </w:r>
            <w:proofErr w:type="spellEnd"/>
            <w:r>
              <w:rPr>
                <w:rFonts w:ascii="Arial" w:eastAsia="Arial" w:hAnsi="Arial" w:cs="Arial"/>
                <w:sz w:val="16"/>
                <w:szCs w:val="16"/>
              </w:rPr>
              <w:t xml:space="preserve"> How do we delete tweets? #FreeCuthbert</w:t>
            </w:r>
          </w:p>
        </w:tc>
        <w:tc>
          <w:tcPr>
            <w:tcW w:w="3000" w:type="dxa"/>
          </w:tcPr>
          <w:p w14:paraId="42C30C77" w14:textId="77777777" w:rsidR="003D2C5F" w:rsidRDefault="00000000">
            <w:pPr>
              <w:spacing w:before="20" w:after="20"/>
            </w:pPr>
            <w:r>
              <w:rPr>
                <w:rFonts w:ascii="Arial" w:eastAsia="Arial" w:hAnsi="Arial" w:cs="Arial"/>
                <w:sz w:val="16"/>
                <w:szCs w:val="16"/>
              </w:rPr>
              <w:t>Text only.</w:t>
            </w:r>
          </w:p>
        </w:tc>
      </w:tr>
      <w:tr w:rsidR="003D2C5F" w14:paraId="78D2EFDD" w14:textId="77777777">
        <w:trPr>
          <w:cantSplit/>
        </w:trPr>
        <w:tc>
          <w:tcPr>
            <w:tcW w:w="600" w:type="dxa"/>
          </w:tcPr>
          <w:p w14:paraId="60F6314E" w14:textId="77777777" w:rsidR="003D2C5F" w:rsidRDefault="00000000">
            <w:pPr>
              <w:spacing w:before="20" w:after="20"/>
            </w:pPr>
            <w:r>
              <w:rPr>
                <w:rFonts w:ascii="Arial" w:eastAsia="Arial" w:hAnsi="Arial" w:cs="Arial"/>
                <w:sz w:val="16"/>
                <w:szCs w:val="16"/>
              </w:rPr>
              <w:lastRenderedPageBreak/>
              <w:t>P11</w:t>
            </w:r>
          </w:p>
        </w:tc>
        <w:tc>
          <w:tcPr>
            <w:tcW w:w="1200" w:type="dxa"/>
          </w:tcPr>
          <w:p w14:paraId="5FCE71EC" w14:textId="77777777" w:rsidR="003D2C5F" w:rsidRDefault="00000000">
            <w:pPr>
              <w:spacing w:before="20" w:after="20"/>
            </w:pPr>
            <w:r>
              <w:rPr>
                <w:rFonts w:ascii="Arial" w:eastAsia="Arial" w:hAnsi="Arial" w:cs="Arial"/>
                <w:sz w:val="16"/>
                <w:szCs w:val="16"/>
              </w:rPr>
              <w:t>16 Apr, 12:47</w:t>
            </w:r>
          </w:p>
        </w:tc>
        <w:tc>
          <w:tcPr>
            <w:tcW w:w="4095" w:type="dxa"/>
          </w:tcPr>
          <w:p w14:paraId="0DF55CDB" w14:textId="77777777" w:rsidR="003D2C5F" w:rsidRDefault="00000000">
            <w:pPr>
              <w:spacing w:before="20" w:after="20"/>
            </w:pPr>
            <w:r>
              <w:rPr>
                <w:rFonts w:ascii="Arial" w:eastAsia="Arial" w:hAnsi="Arial" w:cs="Arial"/>
                <w:sz w:val="16"/>
                <w:szCs w:val="16"/>
              </w:rPr>
              <w:t>.@</w:t>
            </w:r>
            <w:proofErr w:type="spellStart"/>
            <w:r>
              <w:rPr>
                <w:rFonts w:ascii="Arial" w:eastAsia="Arial" w:hAnsi="Arial" w:cs="Arial"/>
                <w:sz w:val="16"/>
                <w:szCs w:val="16"/>
              </w:rPr>
              <w:t>BuzzFeedUK</w:t>
            </w:r>
            <w:proofErr w:type="spellEnd"/>
            <w:r>
              <w:rPr>
                <w:rFonts w:ascii="Arial" w:eastAsia="Arial" w:hAnsi="Arial" w:cs="Arial"/>
                <w:sz w:val="16"/>
                <w:szCs w:val="16"/>
              </w:rPr>
              <w:t xml:space="preserve"> @NetflixUK Working title: Making a Caterpillar. Any other suggestions? #FreeCuthbert</w:t>
            </w:r>
          </w:p>
        </w:tc>
        <w:tc>
          <w:tcPr>
            <w:tcW w:w="3000" w:type="dxa"/>
          </w:tcPr>
          <w:p w14:paraId="18F7E32D" w14:textId="77777777" w:rsidR="003D2C5F" w:rsidRDefault="00000000">
            <w:pPr>
              <w:spacing w:before="20" w:after="20"/>
            </w:pPr>
            <w:r>
              <w:rPr>
                <w:rFonts w:ascii="Arial" w:eastAsia="Arial" w:hAnsi="Arial" w:cs="Arial"/>
                <w:sz w:val="16"/>
                <w:szCs w:val="16"/>
              </w:rPr>
              <w:t>Quote-post of @BuzzFeedUK: “Waiting for the 10-part @NetflixUK documentary” [laughing emoji].</w:t>
            </w:r>
          </w:p>
        </w:tc>
      </w:tr>
      <w:tr w:rsidR="003D2C5F" w14:paraId="038F05A1" w14:textId="77777777">
        <w:trPr>
          <w:cantSplit/>
        </w:trPr>
        <w:tc>
          <w:tcPr>
            <w:tcW w:w="600" w:type="dxa"/>
          </w:tcPr>
          <w:p w14:paraId="4F48EC2B" w14:textId="77777777" w:rsidR="003D2C5F" w:rsidRDefault="00000000">
            <w:pPr>
              <w:spacing w:before="20" w:after="20"/>
            </w:pPr>
            <w:r>
              <w:rPr>
                <w:rFonts w:ascii="Arial" w:eastAsia="Arial" w:hAnsi="Arial" w:cs="Arial"/>
                <w:sz w:val="16"/>
                <w:szCs w:val="16"/>
              </w:rPr>
              <w:t>P12</w:t>
            </w:r>
          </w:p>
        </w:tc>
        <w:tc>
          <w:tcPr>
            <w:tcW w:w="1200" w:type="dxa"/>
          </w:tcPr>
          <w:p w14:paraId="3B990344" w14:textId="77777777" w:rsidR="003D2C5F" w:rsidRDefault="00000000">
            <w:pPr>
              <w:spacing w:before="20" w:after="20"/>
            </w:pPr>
            <w:r>
              <w:rPr>
                <w:rFonts w:ascii="Arial" w:eastAsia="Arial" w:hAnsi="Arial" w:cs="Arial"/>
                <w:sz w:val="16"/>
                <w:szCs w:val="16"/>
              </w:rPr>
              <w:t>16 Apr, 13:10</w:t>
            </w:r>
          </w:p>
        </w:tc>
        <w:tc>
          <w:tcPr>
            <w:tcW w:w="4095" w:type="dxa"/>
          </w:tcPr>
          <w:p w14:paraId="781F12C7" w14:textId="77777777" w:rsidR="003D2C5F" w:rsidRDefault="00000000">
            <w:pPr>
              <w:spacing w:before="20" w:after="20"/>
            </w:pPr>
            <w:r>
              <w:rPr>
                <w:rFonts w:ascii="Arial" w:eastAsia="Arial" w:hAnsi="Arial" w:cs="Arial"/>
                <w:sz w:val="16"/>
                <w:szCs w:val="16"/>
              </w:rPr>
              <w:t>.@BrewDog And they say Cats and Dogs don’t get along! [caterpillar, handshake and dog emojis] #FreeCuthbert</w:t>
            </w:r>
          </w:p>
        </w:tc>
        <w:tc>
          <w:tcPr>
            <w:tcW w:w="3000" w:type="dxa"/>
          </w:tcPr>
          <w:p w14:paraId="5B205CA5" w14:textId="77777777" w:rsidR="003D2C5F" w:rsidRDefault="00000000">
            <w:pPr>
              <w:spacing w:before="20" w:after="20"/>
            </w:pPr>
            <w:r>
              <w:rPr>
                <w:rFonts w:ascii="Arial" w:eastAsia="Arial" w:hAnsi="Arial" w:cs="Arial"/>
                <w:sz w:val="16"/>
                <w:szCs w:val="16"/>
              </w:rPr>
              <w:t xml:space="preserve">Quote-post of @BrewDog: “Cuthbert the </w:t>
            </w:r>
            <w:proofErr w:type="spellStart"/>
            <w:r>
              <w:rPr>
                <w:rFonts w:ascii="Arial" w:eastAsia="Arial" w:hAnsi="Arial" w:cs="Arial"/>
                <w:sz w:val="16"/>
                <w:szCs w:val="16"/>
              </w:rPr>
              <w:t>Caterpale</w:t>
            </w:r>
            <w:proofErr w:type="spellEnd"/>
            <w:r>
              <w:rPr>
                <w:rFonts w:ascii="Arial" w:eastAsia="Arial" w:hAnsi="Arial" w:cs="Arial"/>
                <w:sz w:val="16"/>
                <w:szCs w:val="16"/>
              </w:rPr>
              <w:t xml:space="preserve"> Ale? #FreeCuthbert”.</w:t>
            </w:r>
          </w:p>
        </w:tc>
      </w:tr>
      <w:tr w:rsidR="003D2C5F" w14:paraId="5DAE03DD" w14:textId="77777777">
        <w:trPr>
          <w:cantSplit/>
        </w:trPr>
        <w:tc>
          <w:tcPr>
            <w:tcW w:w="600" w:type="dxa"/>
          </w:tcPr>
          <w:p w14:paraId="20D7A33E" w14:textId="77777777" w:rsidR="003D2C5F" w:rsidRDefault="00000000">
            <w:pPr>
              <w:spacing w:before="20" w:after="20"/>
            </w:pPr>
            <w:r>
              <w:rPr>
                <w:rFonts w:ascii="Arial" w:eastAsia="Arial" w:hAnsi="Arial" w:cs="Arial"/>
                <w:sz w:val="16"/>
                <w:szCs w:val="16"/>
              </w:rPr>
              <w:t>P13</w:t>
            </w:r>
          </w:p>
        </w:tc>
        <w:tc>
          <w:tcPr>
            <w:tcW w:w="1200" w:type="dxa"/>
          </w:tcPr>
          <w:p w14:paraId="0B9E4C61" w14:textId="77777777" w:rsidR="003D2C5F" w:rsidRDefault="00000000">
            <w:pPr>
              <w:spacing w:before="20" w:after="20"/>
            </w:pPr>
            <w:r>
              <w:rPr>
                <w:rFonts w:ascii="Arial" w:eastAsia="Arial" w:hAnsi="Arial" w:cs="Arial"/>
                <w:sz w:val="16"/>
                <w:szCs w:val="16"/>
              </w:rPr>
              <w:t>19 Apr, 14:42</w:t>
            </w:r>
          </w:p>
        </w:tc>
        <w:tc>
          <w:tcPr>
            <w:tcW w:w="4095" w:type="dxa"/>
          </w:tcPr>
          <w:p w14:paraId="52E4EA52" w14:textId="77777777" w:rsidR="003D2C5F" w:rsidRDefault="00000000">
            <w:pPr>
              <w:spacing w:before="20" w:after="20"/>
            </w:pPr>
            <w:r>
              <w:rPr>
                <w:rFonts w:ascii="Arial" w:eastAsia="Arial" w:hAnsi="Arial" w:cs="Arial"/>
                <w:sz w:val="16"/>
                <w:szCs w:val="16"/>
              </w:rPr>
              <w:t xml:space="preserve">Had a pretty busy weekend </w:t>
            </w:r>
            <w:proofErr w:type="spellStart"/>
            <w:r>
              <w:rPr>
                <w:rFonts w:ascii="Arial" w:eastAsia="Arial" w:hAnsi="Arial" w:cs="Arial"/>
                <w:sz w:val="16"/>
                <w:szCs w:val="16"/>
              </w:rPr>
              <w:t>ngl</w:t>
            </w:r>
            <w:proofErr w:type="spellEnd"/>
            <w:r>
              <w:rPr>
                <w:rFonts w:ascii="Arial" w:eastAsia="Arial" w:hAnsi="Arial" w:cs="Arial"/>
                <w:sz w:val="16"/>
                <w:szCs w:val="16"/>
              </w:rPr>
              <w:t>. #FreeCuthbert</w:t>
            </w:r>
          </w:p>
        </w:tc>
        <w:tc>
          <w:tcPr>
            <w:tcW w:w="3000" w:type="dxa"/>
          </w:tcPr>
          <w:p w14:paraId="32FE37C3" w14:textId="77777777" w:rsidR="003D2C5F" w:rsidRDefault="00000000">
            <w:pPr>
              <w:spacing w:before="20" w:after="20"/>
            </w:pPr>
            <w:r>
              <w:rPr>
                <w:rFonts w:ascii="Arial" w:eastAsia="Arial" w:hAnsi="Arial" w:cs="Arial"/>
                <w:sz w:val="16"/>
                <w:szCs w:val="16"/>
              </w:rPr>
              <w:t xml:space="preserve">Photo of a Cuthbert the Caterpillar cake box with a copy of “Patents, Copyrights &amp; Trademarks </w:t>
            </w:r>
            <w:proofErr w:type="gramStart"/>
            <w:r>
              <w:rPr>
                <w:rFonts w:ascii="Arial" w:eastAsia="Arial" w:hAnsi="Arial" w:cs="Arial"/>
                <w:sz w:val="16"/>
                <w:szCs w:val="16"/>
              </w:rPr>
              <w:t>For</w:t>
            </w:r>
            <w:proofErr w:type="gramEnd"/>
            <w:r>
              <w:rPr>
                <w:rFonts w:ascii="Arial" w:eastAsia="Arial" w:hAnsi="Arial" w:cs="Arial"/>
                <w:sz w:val="16"/>
                <w:szCs w:val="16"/>
              </w:rPr>
              <w:t xml:space="preserve"> Dummies” placed inside beside the cake.</w:t>
            </w:r>
          </w:p>
        </w:tc>
      </w:tr>
      <w:tr w:rsidR="003D2C5F" w14:paraId="3406FE21" w14:textId="77777777">
        <w:trPr>
          <w:cantSplit/>
        </w:trPr>
        <w:tc>
          <w:tcPr>
            <w:tcW w:w="600" w:type="dxa"/>
          </w:tcPr>
          <w:p w14:paraId="77D70ED2" w14:textId="77777777" w:rsidR="003D2C5F" w:rsidRDefault="00000000">
            <w:pPr>
              <w:spacing w:before="20" w:after="20"/>
            </w:pPr>
            <w:r>
              <w:rPr>
                <w:rFonts w:ascii="Arial" w:eastAsia="Arial" w:hAnsi="Arial" w:cs="Arial"/>
                <w:sz w:val="16"/>
                <w:szCs w:val="16"/>
              </w:rPr>
              <w:t>P14</w:t>
            </w:r>
          </w:p>
        </w:tc>
        <w:tc>
          <w:tcPr>
            <w:tcW w:w="1200" w:type="dxa"/>
          </w:tcPr>
          <w:p w14:paraId="106090D1" w14:textId="77777777" w:rsidR="003D2C5F" w:rsidRDefault="00000000">
            <w:pPr>
              <w:spacing w:before="20" w:after="20"/>
            </w:pPr>
            <w:r>
              <w:rPr>
                <w:rFonts w:ascii="Arial" w:eastAsia="Arial" w:hAnsi="Arial" w:cs="Arial"/>
                <w:sz w:val="16"/>
                <w:szCs w:val="16"/>
              </w:rPr>
              <w:t>19 Apr, 16:05</w:t>
            </w:r>
          </w:p>
        </w:tc>
        <w:tc>
          <w:tcPr>
            <w:tcW w:w="4095" w:type="dxa"/>
          </w:tcPr>
          <w:p w14:paraId="63A06596" w14:textId="77777777" w:rsidR="003D2C5F" w:rsidRDefault="00000000">
            <w:pPr>
              <w:spacing w:before="20" w:after="20"/>
            </w:pPr>
            <w:r>
              <w:rPr>
                <w:rFonts w:ascii="Arial" w:eastAsia="Arial" w:hAnsi="Arial" w:cs="Arial"/>
                <w:sz w:val="16"/>
                <w:szCs w:val="16"/>
              </w:rPr>
              <w:t>.@</w:t>
            </w:r>
            <w:proofErr w:type="spellStart"/>
            <w:r>
              <w:rPr>
                <w:rFonts w:ascii="Arial" w:eastAsia="Arial" w:hAnsi="Arial" w:cs="Arial"/>
                <w:sz w:val="16"/>
                <w:szCs w:val="16"/>
              </w:rPr>
              <w:t>MonopolyUK</w:t>
            </w:r>
            <w:proofErr w:type="spellEnd"/>
            <w:r>
              <w:rPr>
                <w:rFonts w:ascii="Arial" w:eastAsia="Arial" w:hAnsi="Arial" w:cs="Arial"/>
                <w:sz w:val="16"/>
                <w:szCs w:val="16"/>
              </w:rPr>
              <w:t xml:space="preserve"> Do </w:t>
            </w:r>
            <w:proofErr w:type="gramStart"/>
            <w:r>
              <w:rPr>
                <w:rFonts w:ascii="Arial" w:eastAsia="Arial" w:hAnsi="Arial" w:cs="Arial"/>
                <w:sz w:val="16"/>
                <w:szCs w:val="16"/>
              </w:rPr>
              <w:t>these work</w:t>
            </w:r>
            <w:proofErr w:type="gramEnd"/>
            <w:r>
              <w:rPr>
                <w:rFonts w:ascii="Arial" w:eastAsia="Arial" w:hAnsi="Arial" w:cs="Arial"/>
                <w:sz w:val="16"/>
                <w:szCs w:val="16"/>
              </w:rPr>
              <w:t>? #FreeCuthbert</w:t>
            </w:r>
          </w:p>
        </w:tc>
        <w:tc>
          <w:tcPr>
            <w:tcW w:w="3000" w:type="dxa"/>
          </w:tcPr>
          <w:p w14:paraId="1B660628" w14:textId="77777777" w:rsidR="003D2C5F" w:rsidRDefault="00000000">
            <w:pPr>
              <w:spacing w:before="20" w:after="20"/>
            </w:pPr>
            <w:r>
              <w:rPr>
                <w:rFonts w:ascii="Arial" w:eastAsia="Arial" w:hAnsi="Arial" w:cs="Arial"/>
                <w:sz w:val="16"/>
                <w:szCs w:val="16"/>
              </w:rPr>
              <w:t>Image of a Monopoly “Chance – Get Out of Jail Free” card.</w:t>
            </w:r>
          </w:p>
        </w:tc>
      </w:tr>
      <w:tr w:rsidR="003D2C5F" w14:paraId="082BDF40" w14:textId="77777777">
        <w:trPr>
          <w:cantSplit/>
        </w:trPr>
        <w:tc>
          <w:tcPr>
            <w:tcW w:w="600" w:type="dxa"/>
          </w:tcPr>
          <w:p w14:paraId="0B500A6A" w14:textId="77777777" w:rsidR="003D2C5F" w:rsidRDefault="00000000">
            <w:pPr>
              <w:spacing w:before="20" w:after="20"/>
            </w:pPr>
            <w:r>
              <w:rPr>
                <w:rFonts w:ascii="Arial" w:eastAsia="Arial" w:hAnsi="Arial" w:cs="Arial"/>
                <w:sz w:val="16"/>
                <w:szCs w:val="16"/>
              </w:rPr>
              <w:t>P15</w:t>
            </w:r>
          </w:p>
        </w:tc>
        <w:tc>
          <w:tcPr>
            <w:tcW w:w="1200" w:type="dxa"/>
          </w:tcPr>
          <w:p w14:paraId="18AC307E" w14:textId="77777777" w:rsidR="003D2C5F" w:rsidRDefault="00000000">
            <w:pPr>
              <w:spacing w:before="20" w:after="20"/>
            </w:pPr>
            <w:r>
              <w:rPr>
                <w:rFonts w:ascii="Arial" w:eastAsia="Arial" w:hAnsi="Arial" w:cs="Arial"/>
                <w:sz w:val="16"/>
                <w:szCs w:val="16"/>
              </w:rPr>
              <w:t>20 Apr, 08:34</w:t>
            </w:r>
          </w:p>
        </w:tc>
        <w:tc>
          <w:tcPr>
            <w:tcW w:w="4095" w:type="dxa"/>
          </w:tcPr>
          <w:p w14:paraId="20CD1D27" w14:textId="77777777" w:rsidR="003D2C5F" w:rsidRDefault="00000000">
            <w:pPr>
              <w:spacing w:before="20" w:after="20"/>
            </w:pPr>
            <w:r>
              <w:rPr>
                <w:rFonts w:ascii="Arial" w:eastAsia="Arial" w:hAnsi="Arial" w:cs="Arial"/>
                <w:sz w:val="16"/>
                <w:szCs w:val="16"/>
              </w:rPr>
              <w:t xml:space="preserve">Hey @marksandspencer can Colin and Cuthbert be besties? We’re bringing back a </w:t>
            </w:r>
            <w:proofErr w:type="gramStart"/>
            <w:r>
              <w:rPr>
                <w:rFonts w:ascii="Arial" w:eastAsia="Arial" w:hAnsi="Arial" w:cs="Arial"/>
                <w:sz w:val="16"/>
                <w:szCs w:val="16"/>
              </w:rPr>
              <w:t>limited edition</w:t>
            </w:r>
            <w:proofErr w:type="gramEnd"/>
            <w:r>
              <w:rPr>
                <w:rFonts w:ascii="Arial" w:eastAsia="Arial" w:hAnsi="Arial" w:cs="Arial"/>
                <w:sz w:val="16"/>
                <w:szCs w:val="16"/>
              </w:rPr>
              <w:t xml:space="preserve"> Cuthbert and want to donate profits to cancer charities including your partners @macmillancancer &amp; ours @teenagecancer. Let’s raise money for charity, not lawyers #caterpillarsforcancer.</w:t>
            </w:r>
          </w:p>
        </w:tc>
        <w:tc>
          <w:tcPr>
            <w:tcW w:w="3000" w:type="dxa"/>
          </w:tcPr>
          <w:p w14:paraId="77E430AA" w14:textId="77777777" w:rsidR="003D2C5F" w:rsidRDefault="00000000">
            <w:pPr>
              <w:spacing w:before="20" w:after="20"/>
            </w:pPr>
            <w:r>
              <w:rPr>
                <w:rFonts w:ascii="Arial" w:eastAsia="Arial" w:hAnsi="Arial" w:cs="Arial"/>
                <w:sz w:val="16"/>
                <w:szCs w:val="16"/>
              </w:rPr>
              <w:t>Text only.</w:t>
            </w:r>
          </w:p>
        </w:tc>
      </w:tr>
      <w:tr w:rsidR="003D2C5F" w14:paraId="37EBB5FF" w14:textId="77777777">
        <w:trPr>
          <w:cantSplit/>
        </w:trPr>
        <w:tc>
          <w:tcPr>
            <w:tcW w:w="600" w:type="dxa"/>
          </w:tcPr>
          <w:p w14:paraId="16204689" w14:textId="77777777" w:rsidR="003D2C5F" w:rsidRDefault="00000000">
            <w:pPr>
              <w:spacing w:before="20" w:after="20"/>
            </w:pPr>
            <w:r>
              <w:rPr>
                <w:rFonts w:ascii="Arial" w:eastAsia="Arial" w:hAnsi="Arial" w:cs="Arial"/>
                <w:sz w:val="16"/>
                <w:szCs w:val="16"/>
              </w:rPr>
              <w:t>P16</w:t>
            </w:r>
          </w:p>
        </w:tc>
        <w:tc>
          <w:tcPr>
            <w:tcW w:w="1200" w:type="dxa"/>
          </w:tcPr>
          <w:p w14:paraId="6F3EB6A8" w14:textId="77777777" w:rsidR="003D2C5F" w:rsidRDefault="00000000">
            <w:pPr>
              <w:spacing w:before="20" w:after="20"/>
            </w:pPr>
            <w:r>
              <w:rPr>
                <w:rFonts w:ascii="Arial" w:eastAsia="Arial" w:hAnsi="Arial" w:cs="Arial"/>
                <w:sz w:val="16"/>
                <w:szCs w:val="16"/>
              </w:rPr>
              <w:t>20 Apr, 10:00</w:t>
            </w:r>
          </w:p>
        </w:tc>
        <w:tc>
          <w:tcPr>
            <w:tcW w:w="4095" w:type="dxa"/>
          </w:tcPr>
          <w:p w14:paraId="53F23069" w14:textId="77777777" w:rsidR="003D2C5F" w:rsidRDefault="00000000">
            <w:pPr>
              <w:spacing w:before="20" w:after="20"/>
            </w:pPr>
            <w:r>
              <w:rPr>
                <w:rFonts w:ascii="Arial" w:eastAsia="Arial" w:hAnsi="Arial" w:cs="Arial"/>
                <w:sz w:val="16"/>
                <w:szCs w:val="16"/>
              </w:rPr>
              <w:t>Morning @Tesco @sainsburys @asda @Morrisons @waitrose @coopuk. Cuthbert needs the help of Curly, Clyde, Cecil, Charlie, Morris and Wiggles. Caterpillars clubbing together to raise money for charity, not lawyers. #caterpillarsforcancer. Up for it?</w:t>
            </w:r>
          </w:p>
        </w:tc>
        <w:tc>
          <w:tcPr>
            <w:tcW w:w="3000" w:type="dxa"/>
          </w:tcPr>
          <w:p w14:paraId="0D37FCD9" w14:textId="77777777" w:rsidR="003D2C5F" w:rsidRDefault="00000000">
            <w:pPr>
              <w:spacing w:before="20" w:after="20"/>
            </w:pPr>
            <w:r>
              <w:rPr>
                <w:rFonts w:ascii="Arial" w:eastAsia="Arial" w:hAnsi="Arial" w:cs="Arial"/>
                <w:sz w:val="16"/>
                <w:szCs w:val="16"/>
              </w:rPr>
              <w:t>Text only.</w:t>
            </w:r>
          </w:p>
        </w:tc>
      </w:tr>
    </w:tbl>
    <w:p w14:paraId="68B1D512" w14:textId="77777777" w:rsidR="003D2C5F" w:rsidRDefault="00000000">
      <w:pPr>
        <w:keepNext/>
        <w:spacing w:before="240" w:after="120" w:line="300" w:lineRule="auto"/>
        <w:jc w:val="both"/>
      </w:pPr>
      <w:r>
        <w:rPr>
          <w:rFonts w:ascii="Arial" w:eastAsia="Arial" w:hAnsi="Arial" w:cs="Arial"/>
          <w:b/>
          <w:sz w:val="18"/>
          <w:szCs w:val="18"/>
        </w:rPr>
        <w:t>Figure A2.1: Screenshots of Posts P01–P16 (captured 24 September 2026)</w:t>
      </w:r>
    </w:p>
    <w:tbl>
      <w:tblPr>
        <w:tblStyle w:val="TableNormal0"/>
        <w:tblW w:w="0" w:type="auto"/>
        <w:tblInd w:w="0" w:type="dxa"/>
        <w:tblLook w:val="04A0" w:firstRow="1" w:lastRow="0" w:firstColumn="1" w:lastColumn="0" w:noHBand="0" w:noVBand="1"/>
      </w:tblPr>
      <w:tblGrid>
        <w:gridCol w:w="4535"/>
        <w:gridCol w:w="4535"/>
      </w:tblGrid>
      <w:tr w:rsidR="003D2C5F" w14:paraId="4DE90675" w14:textId="77777777">
        <w:trPr>
          <w:cantSplit/>
        </w:trPr>
        <w:tc>
          <w:tcPr>
            <w:tcW w:w="4535" w:type="dxa"/>
          </w:tcPr>
          <w:p w14:paraId="094800CA" w14:textId="77777777" w:rsidR="003D2C5F" w:rsidRDefault="00000000">
            <w:r>
              <w:rPr>
                <w:b/>
                <w:sz w:val="18"/>
              </w:rPr>
              <w:t>P01</w:t>
            </w:r>
          </w:p>
          <w:p w14:paraId="2A52F26B" w14:textId="77777777" w:rsidR="003D2C5F" w:rsidRDefault="00000000">
            <w:r>
              <w:rPr>
                <w:noProof/>
              </w:rPr>
              <w:drawing>
                <wp:inline distT="0" distB="0" distL="0" distR="0" wp14:anchorId="7239B131" wp14:editId="2A4F8B01">
                  <wp:extent cx="2628000" cy="1162385"/>
                  <wp:effectExtent l="0" t="0" r="0" b="0"/>
                  <wp:docPr id="1321934124" name="Picture 132193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1.jpg"/>
                          <pic:cNvPicPr/>
                        </pic:nvPicPr>
                        <pic:blipFill>
                          <a:blip r:embed="rId61"/>
                          <a:stretch>
                            <a:fillRect/>
                          </a:stretch>
                        </pic:blipFill>
                        <pic:spPr>
                          <a:xfrm>
                            <a:off x="0" y="0"/>
                            <a:ext cx="2628000" cy="1162385"/>
                          </a:xfrm>
                          <a:prstGeom prst="rect">
                            <a:avLst/>
                          </a:prstGeom>
                        </pic:spPr>
                      </pic:pic>
                    </a:graphicData>
                  </a:graphic>
                </wp:inline>
              </w:drawing>
            </w:r>
          </w:p>
        </w:tc>
        <w:tc>
          <w:tcPr>
            <w:tcW w:w="4535" w:type="dxa"/>
          </w:tcPr>
          <w:p w14:paraId="4B2AACB7" w14:textId="77777777" w:rsidR="003D2C5F" w:rsidRDefault="00000000">
            <w:r>
              <w:rPr>
                <w:b/>
                <w:sz w:val="18"/>
              </w:rPr>
              <w:t>P02</w:t>
            </w:r>
          </w:p>
          <w:p w14:paraId="3F30CB03" w14:textId="77777777" w:rsidR="003D2C5F" w:rsidRDefault="00000000">
            <w:r>
              <w:rPr>
                <w:noProof/>
              </w:rPr>
              <w:drawing>
                <wp:inline distT="0" distB="0" distL="0" distR="0" wp14:anchorId="489475E9" wp14:editId="027C4F9A">
                  <wp:extent cx="2628000" cy="12887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2.jpg"/>
                          <pic:cNvPicPr/>
                        </pic:nvPicPr>
                        <pic:blipFill>
                          <a:blip r:embed="rId62"/>
                          <a:stretch>
                            <a:fillRect/>
                          </a:stretch>
                        </pic:blipFill>
                        <pic:spPr>
                          <a:xfrm>
                            <a:off x="0" y="0"/>
                            <a:ext cx="2628000" cy="1288731"/>
                          </a:xfrm>
                          <a:prstGeom prst="rect">
                            <a:avLst/>
                          </a:prstGeom>
                        </pic:spPr>
                      </pic:pic>
                    </a:graphicData>
                  </a:graphic>
                </wp:inline>
              </w:drawing>
            </w:r>
          </w:p>
        </w:tc>
      </w:tr>
      <w:tr w:rsidR="003D2C5F" w14:paraId="0779B453" w14:textId="77777777">
        <w:trPr>
          <w:cantSplit/>
        </w:trPr>
        <w:tc>
          <w:tcPr>
            <w:tcW w:w="4535" w:type="dxa"/>
          </w:tcPr>
          <w:p w14:paraId="7FA9A492" w14:textId="77777777" w:rsidR="003D2C5F" w:rsidRDefault="00000000">
            <w:r>
              <w:rPr>
                <w:b/>
                <w:sz w:val="18"/>
              </w:rPr>
              <w:lastRenderedPageBreak/>
              <w:t>P03</w:t>
            </w:r>
          </w:p>
          <w:p w14:paraId="2A1B6EB9" w14:textId="77777777" w:rsidR="003D2C5F" w:rsidRDefault="00000000">
            <w:r>
              <w:rPr>
                <w:noProof/>
              </w:rPr>
              <w:drawing>
                <wp:inline distT="0" distB="0" distL="0" distR="0" wp14:anchorId="76068642" wp14:editId="73597E79">
                  <wp:extent cx="2628000" cy="2640635"/>
                  <wp:effectExtent l="0" t="0" r="0" b="0"/>
                  <wp:docPr id="1107801048" name="Picture 110780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3.jpg"/>
                          <pic:cNvPicPr/>
                        </pic:nvPicPr>
                        <pic:blipFill>
                          <a:blip r:embed="rId63"/>
                          <a:stretch>
                            <a:fillRect/>
                          </a:stretch>
                        </pic:blipFill>
                        <pic:spPr>
                          <a:xfrm>
                            <a:off x="0" y="0"/>
                            <a:ext cx="2628000" cy="2640635"/>
                          </a:xfrm>
                          <a:prstGeom prst="rect">
                            <a:avLst/>
                          </a:prstGeom>
                        </pic:spPr>
                      </pic:pic>
                    </a:graphicData>
                  </a:graphic>
                </wp:inline>
              </w:drawing>
            </w:r>
          </w:p>
        </w:tc>
        <w:tc>
          <w:tcPr>
            <w:tcW w:w="4535" w:type="dxa"/>
          </w:tcPr>
          <w:p w14:paraId="79738872" w14:textId="77777777" w:rsidR="003D2C5F" w:rsidRDefault="00000000">
            <w:r>
              <w:rPr>
                <w:b/>
                <w:sz w:val="18"/>
              </w:rPr>
              <w:t>P04</w:t>
            </w:r>
          </w:p>
          <w:p w14:paraId="60466410" w14:textId="77777777" w:rsidR="003D2C5F" w:rsidRDefault="00000000">
            <w:r>
              <w:rPr>
                <w:noProof/>
              </w:rPr>
              <w:drawing>
                <wp:inline distT="0" distB="0" distL="0" distR="0" wp14:anchorId="4B55D979" wp14:editId="3784D7FD">
                  <wp:extent cx="2628000" cy="1149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4.jpg"/>
                          <pic:cNvPicPr/>
                        </pic:nvPicPr>
                        <pic:blipFill>
                          <a:blip r:embed="rId64"/>
                          <a:stretch>
                            <a:fillRect/>
                          </a:stretch>
                        </pic:blipFill>
                        <pic:spPr>
                          <a:xfrm>
                            <a:off x="0" y="0"/>
                            <a:ext cx="2628000" cy="1149750"/>
                          </a:xfrm>
                          <a:prstGeom prst="rect">
                            <a:avLst/>
                          </a:prstGeom>
                        </pic:spPr>
                      </pic:pic>
                    </a:graphicData>
                  </a:graphic>
                </wp:inline>
              </w:drawing>
            </w:r>
          </w:p>
        </w:tc>
      </w:tr>
      <w:tr w:rsidR="003D2C5F" w14:paraId="22043DD2" w14:textId="77777777">
        <w:trPr>
          <w:cantSplit/>
        </w:trPr>
        <w:tc>
          <w:tcPr>
            <w:tcW w:w="4535" w:type="dxa"/>
          </w:tcPr>
          <w:p w14:paraId="630786F4" w14:textId="77777777" w:rsidR="003D2C5F" w:rsidRDefault="00000000">
            <w:r>
              <w:rPr>
                <w:b/>
                <w:sz w:val="18"/>
              </w:rPr>
              <w:t>P05</w:t>
            </w:r>
          </w:p>
          <w:p w14:paraId="32D11E53" w14:textId="77777777" w:rsidR="003D2C5F" w:rsidRDefault="00000000">
            <w:r>
              <w:rPr>
                <w:noProof/>
              </w:rPr>
              <w:drawing>
                <wp:inline distT="0" distB="0" distL="0" distR="0" wp14:anchorId="7E5EE75D" wp14:editId="19DECE8D">
                  <wp:extent cx="2628000" cy="3449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5.jpg"/>
                          <pic:cNvPicPr/>
                        </pic:nvPicPr>
                        <pic:blipFill>
                          <a:blip r:embed="rId65"/>
                          <a:stretch>
                            <a:fillRect/>
                          </a:stretch>
                        </pic:blipFill>
                        <pic:spPr>
                          <a:xfrm>
                            <a:off x="0" y="0"/>
                            <a:ext cx="2628000" cy="3449250"/>
                          </a:xfrm>
                          <a:prstGeom prst="rect">
                            <a:avLst/>
                          </a:prstGeom>
                        </pic:spPr>
                      </pic:pic>
                    </a:graphicData>
                  </a:graphic>
                </wp:inline>
              </w:drawing>
            </w:r>
          </w:p>
        </w:tc>
        <w:tc>
          <w:tcPr>
            <w:tcW w:w="4535" w:type="dxa"/>
          </w:tcPr>
          <w:p w14:paraId="1B852E45" w14:textId="77777777" w:rsidR="003D2C5F" w:rsidRDefault="00000000">
            <w:r>
              <w:rPr>
                <w:b/>
                <w:sz w:val="18"/>
              </w:rPr>
              <w:t>P06</w:t>
            </w:r>
          </w:p>
          <w:p w14:paraId="5F4CD7EB" w14:textId="77777777" w:rsidR="003D2C5F" w:rsidRDefault="00000000">
            <w:r>
              <w:rPr>
                <w:noProof/>
              </w:rPr>
              <w:drawing>
                <wp:inline distT="0" distB="0" distL="0" distR="0" wp14:anchorId="13A6C321" wp14:editId="7F987C89">
                  <wp:extent cx="2628000" cy="155405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6.jpg"/>
                          <pic:cNvPicPr/>
                        </pic:nvPicPr>
                        <pic:blipFill>
                          <a:blip r:embed="rId66"/>
                          <a:stretch>
                            <a:fillRect/>
                          </a:stretch>
                        </pic:blipFill>
                        <pic:spPr>
                          <a:xfrm>
                            <a:off x="0" y="0"/>
                            <a:ext cx="2628000" cy="1554057"/>
                          </a:xfrm>
                          <a:prstGeom prst="rect">
                            <a:avLst/>
                          </a:prstGeom>
                        </pic:spPr>
                      </pic:pic>
                    </a:graphicData>
                  </a:graphic>
                </wp:inline>
              </w:drawing>
            </w:r>
          </w:p>
        </w:tc>
      </w:tr>
      <w:tr w:rsidR="003D2C5F" w14:paraId="2443F603" w14:textId="77777777">
        <w:trPr>
          <w:cantSplit/>
        </w:trPr>
        <w:tc>
          <w:tcPr>
            <w:tcW w:w="4535" w:type="dxa"/>
          </w:tcPr>
          <w:p w14:paraId="17C466E6" w14:textId="77777777" w:rsidR="003D2C5F" w:rsidRDefault="00000000">
            <w:r>
              <w:rPr>
                <w:b/>
                <w:sz w:val="18"/>
              </w:rPr>
              <w:lastRenderedPageBreak/>
              <w:t>P07</w:t>
            </w:r>
          </w:p>
          <w:p w14:paraId="64AC5594" w14:textId="77777777" w:rsidR="003D2C5F" w:rsidRDefault="00000000">
            <w:r>
              <w:rPr>
                <w:noProof/>
              </w:rPr>
              <w:drawing>
                <wp:inline distT="0" distB="0" distL="0" distR="0" wp14:anchorId="17EE92C7" wp14:editId="36818B46">
                  <wp:extent cx="2628000" cy="2640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7.jpg"/>
                          <pic:cNvPicPr/>
                        </pic:nvPicPr>
                        <pic:blipFill>
                          <a:blip r:embed="rId67"/>
                          <a:stretch>
                            <a:fillRect/>
                          </a:stretch>
                        </pic:blipFill>
                        <pic:spPr>
                          <a:xfrm>
                            <a:off x="0" y="0"/>
                            <a:ext cx="2628000" cy="2640635"/>
                          </a:xfrm>
                          <a:prstGeom prst="rect">
                            <a:avLst/>
                          </a:prstGeom>
                        </pic:spPr>
                      </pic:pic>
                    </a:graphicData>
                  </a:graphic>
                </wp:inline>
              </w:drawing>
            </w:r>
          </w:p>
        </w:tc>
        <w:tc>
          <w:tcPr>
            <w:tcW w:w="4535" w:type="dxa"/>
          </w:tcPr>
          <w:p w14:paraId="425BE84E" w14:textId="77777777" w:rsidR="003D2C5F" w:rsidRDefault="00000000">
            <w:r>
              <w:rPr>
                <w:b/>
                <w:sz w:val="18"/>
              </w:rPr>
              <w:t>P08</w:t>
            </w:r>
          </w:p>
          <w:p w14:paraId="5AEBD47F" w14:textId="77777777" w:rsidR="003D2C5F" w:rsidRDefault="00000000">
            <w:r>
              <w:rPr>
                <w:noProof/>
              </w:rPr>
              <w:drawing>
                <wp:inline distT="0" distB="0" distL="0" distR="0" wp14:anchorId="22C8D200" wp14:editId="0D2D0E1D">
                  <wp:extent cx="2628000" cy="12887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8.jpg"/>
                          <pic:cNvPicPr/>
                        </pic:nvPicPr>
                        <pic:blipFill>
                          <a:blip r:embed="rId68"/>
                          <a:stretch>
                            <a:fillRect/>
                          </a:stretch>
                        </pic:blipFill>
                        <pic:spPr>
                          <a:xfrm>
                            <a:off x="0" y="0"/>
                            <a:ext cx="2628000" cy="1288731"/>
                          </a:xfrm>
                          <a:prstGeom prst="rect">
                            <a:avLst/>
                          </a:prstGeom>
                        </pic:spPr>
                      </pic:pic>
                    </a:graphicData>
                  </a:graphic>
                </wp:inline>
              </w:drawing>
            </w:r>
          </w:p>
        </w:tc>
      </w:tr>
      <w:tr w:rsidR="003D2C5F" w14:paraId="1C83636E" w14:textId="77777777">
        <w:trPr>
          <w:cantSplit/>
        </w:trPr>
        <w:tc>
          <w:tcPr>
            <w:tcW w:w="4535" w:type="dxa"/>
          </w:tcPr>
          <w:p w14:paraId="5E419DD1" w14:textId="77777777" w:rsidR="003D2C5F" w:rsidRDefault="00000000">
            <w:r>
              <w:rPr>
                <w:b/>
                <w:sz w:val="18"/>
              </w:rPr>
              <w:t>P09</w:t>
            </w:r>
          </w:p>
          <w:p w14:paraId="165034C5" w14:textId="77777777" w:rsidR="003D2C5F" w:rsidRDefault="00000000">
            <w:r>
              <w:rPr>
                <w:noProof/>
              </w:rPr>
              <w:drawing>
                <wp:inline distT="0" distB="0" distL="0" distR="0" wp14:anchorId="14832649" wp14:editId="06607765">
                  <wp:extent cx="2628000" cy="12887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09.jpg"/>
                          <pic:cNvPicPr/>
                        </pic:nvPicPr>
                        <pic:blipFill>
                          <a:blip r:embed="rId69"/>
                          <a:stretch>
                            <a:fillRect/>
                          </a:stretch>
                        </pic:blipFill>
                        <pic:spPr>
                          <a:xfrm>
                            <a:off x="0" y="0"/>
                            <a:ext cx="2628000" cy="1288731"/>
                          </a:xfrm>
                          <a:prstGeom prst="rect">
                            <a:avLst/>
                          </a:prstGeom>
                        </pic:spPr>
                      </pic:pic>
                    </a:graphicData>
                  </a:graphic>
                </wp:inline>
              </w:drawing>
            </w:r>
          </w:p>
        </w:tc>
        <w:tc>
          <w:tcPr>
            <w:tcW w:w="4535" w:type="dxa"/>
          </w:tcPr>
          <w:p w14:paraId="1E0514E1" w14:textId="77777777" w:rsidR="003D2C5F" w:rsidRDefault="00000000">
            <w:r>
              <w:rPr>
                <w:b/>
                <w:sz w:val="18"/>
              </w:rPr>
              <w:t>P10</w:t>
            </w:r>
          </w:p>
          <w:p w14:paraId="43FEAEC4" w14:textId="77777777" w:rsidR="003D2C5F" w:rsidRDefault="00000000">
            <w:r>
              <w:rPr>
                <w:noProof/>
              </w:rPr>
              <w:drawing>
                <wp:inline distT="0" distB="0" distL="0" distR="0" wp14:anchorId="3DD10BFF" wp14:editId="17C61938">
                  <wp:extent cx="2628000" cy="1149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jpg"/>
                          <pic:cNvPicPr/>
                        </pic:nvPicPr>
                        <pic:blipFill>
                          <a:blip r:embed="rId70"/>
                          <a:stretch>
                            <a:fillRect/>
                          </a:stretch>
                        </pic:blipFill>
                        <pic:spPr>
                          <a:xfrm>
                            <a:off x="0" y="0"/>
                            <a:ext cx="2628000" cy="1149750"/>
                          </a:xfrm>
                          <a:prstGeom prst="rect">
                            <a:avLst/>
                          </a:prstGeom>
                        </pic:spPr>
                      </pic:pic>
                    </a:graphicData>
                  </a:graphic>
                </wp:inline>
              </w:drawing>
            </w:r>
          </w:p>
        </w:tc>
      </w:tr>
      <w:tr w:rsidR="003D2C5F" w14:paraId="13B22779" w14:textId="77777777">
        <w:trPr>
          <w:cantSplit/>
        </w:trPr>
        <w:tc>
          <w:tcPr>
            <w:tcW w:w="4535" w:type="dxa"/>
          </w:tcPr>
          <w:p w14:paraId="778A3EB6" w14:textId="77777777" w:rsidR="003D2C5F" w:rsidRDefault="00000000">
            <w:r>
              <w:rPr>
                <w:b/>
                <w:sz w:val="18"/>
              </w:rPr>
              <w:t>P11</w:t>
            </w:r>
          </w:p>
          <w:p w14:paraId="0D94BE76" w14:textId="77777777" w:rsidR="003D2C5F" w:rsidRDefault="00000000">
            <w:r>
              <w:rPr>
                <w:noProof/>
              </w:rPr>
              <w:drawing>
                <wp:inline distT="0" distB="0" distL="0" distR="0" wp14:anchorId="25C23C2F" wp14:editId="278B8B73">
                  <wp:extent cx="2628000" cy="1983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jpg"/>
                          <pic:cNvPicPr/>
                        </pic:nvPicPr>
                        <pic:blipFill>
                          <a:blip r:embed="rId71"/>
                          <a:stretch>
                            <a:fillRect/>
                          </a:stretch>
                        </pic:blipFill>
                        <pic:spPr>
                          <a:xfrm>
                            <a:off x="0" y="0"/>
                            <a:ext cx="2628000" cy="1983635"/>
                          </a:xfrm>
                          <a:prstGeom prst="rect">
                            <a:avLst/>
                          </a:prstGeom>
                        </pic:spPr>
                      </pic:pic>
                    </a:graphicData>
                  </a:graphic>
                </wp:inline>
              </w:drawing>
            </w:r>
          </w:p>
        </w:tc>
        <w:tc>
          <w:tcPr>
            <w:tcW w:w="4535" w:type="dxa"/>
          </w:tcPr>
          <w:p w14:paraId="1E5B6F8A" w14:textId="77777777" w:rsidR="003D2C5F" w:rsidRDefault="00000000">
            <w:r>
              <w:rPr>
                <w:b/>
                <w:sz w:val="18"/>
              </w:rPr>
              <w:t>P12</w:t>
            </w:r>
          </w:p>
          <w:p w14:paraId="34D2BD3A" w14:textId="77777777" w:rsidR="003D2C5F" w:rsidRDefault="00000000">
            <w:r>
              <w:rPr>
                <w:noProof/>
              </w:rPr>
              <w:drawing>
                <wp:inline distT="0" distB="0" distL="0" distR="0" wp14:anchorId="2F719358" wp14:editId="332E6545">
                  <wp:extent cx="2628000" cy="184465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2.jpg"/>
                          <pic:cNvPicPr/>
                        </pic:nvPicPr>
                        <pic:blipFill>
                          <a:blip r:embed="rId72"/>
                          <a:stretch>
                            <a:fillRect/>
                          </a:stretch>
                        </pic:blipFill>
                        <pic:spPr>
                          <a:xfrm>
                            <a:off x="0" y="0"/>
                            <a:ext cx="2628000" cy="1844654"/>
                          </a:xfrm>
                          <a:prstGeom prst="rect">
                            <a:avLst/>
                          </a:prstGeom>
                        </pic:spPr>
                      </pic:pic>
                    </a:graphicData>
                  </a:graphic>
                </wp:inline>
              </w:drawing>
            </w:r>
          </w:p>
        </w:tc>
      </w:tr>
      <w:tr w:rsidR="003D2C5F" w14:paraId="7683BD3E" w14:textId="77777777">
        <w:trPr>
          <w:cantSplit/>
        </w:trPr>
        <w:tc>
          <w:tcPr>
            <w:tcW w:w="4535" w:type="dxa"/>
          </w:tcPr>
          <w:p w14:paraId="34A118C9" w14:textId="77777777" w:rsidR="003D2C5F" w:rsidRDefault="00000000">
            <w:r>
              <w:rPr>
                <w:b/>
                <w:sz w:val="18"/>
              </w:rPr>
              <w:lastRenderedPageBreak/>
              <w:t>P13</w:t>
            </w:r>
          </w:p>
          <w:p w14:paraId="2340A9F8" w14:textId="77777777" w:rsidR="003D2C5F" w:rsidRDefault="00000000">
            <w:r>
              <w:rPr>
                <w:noProof/>
              </w:rPr>
              <w:drawing>
                <wp:inline distT="0" distB="0" distL="0" distR="0" wp14:anchorId="15EFDACA" wp14:editId="2DA93F3E">
                  <wp:extent cx="2628000" cy="2628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3.jpg"/>
                          <pic:cNvPicPr/>
                        </pic:nvPicPr>
                        <pic:blipFill>
                          <a:blip r:embed="rId73"/>
                          <a:stretch>
                            <a:fillRect/>
                          </a:stretch>
                        </pic:blipFill>
                        <pic:spPr>
                          <a:xfrm>
                            <a:off x="0" y="0"/>
                            <a:ext cx="2628000" cy="2628000"/>
                          </a:xfrm>
                          <a:prstGeom prst="rect">
                            <a:avLst/>
                          </a:prstGeom>
                        </pic:spPr>
                      </pic:pic>
                    </a:graphicData>
                  </a:graphic>
                </wp:inline>
              </w:drawing>
            </w:r>
          </w:p>
        </w:tc>
        <w:tc>
          <w:tcPr>
            <w:tcW w:w="4535" w:type="dxa"/>
          </w:tcPr>
          <w:p w14:paraId="02C5457F" w14:textId="77777777" w:rsidR="003D2C5F" w:rsidRDefault="00000000">
            <w:r>
              <w:rPr>
                <w:b/>
                <w:sz w:val="18"/>
              </w:rPr>
              <w:t>P14</w:t>
            </w:r>
          </w:p>
          <w:p w14:paraId="6507C7AA" w14:textId="77777777" w:rsidR="003D2C5F" w:rsidRDefault="00000000">
            <w:r>
              <w:rPr>
                <w:noProof/>
              </w:rPr>
              <w:drawing>
                <wp:inline distT="0" distB="0" distL="0" distR="0" wp14:anchorId="50EBE86B" wp14:editId="054021DF">
                  <wp:extent cx="2628000" cy="269117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4.jpg"/>
                          <pic:cNvPicPr/>
                        </pic:nvPicPr>
                        <pic:blipFill>
                          <a:blip r:embed="rId74"/>
                          <a:stretch>
                            <a:fillRect/>
                          </a:stretch>
                        </pic:blipFill>
                        <pic:spPr>
                          <a:xfrm>
                            <a:off x="0" y="0"/>
                            <a:ext cx="2628000" cy="2691173"/>
                          </a:xfrm>
                          <a:prstGeom prst="rect">
                            <a:avLst/>
                          </a:prstGeom>
                        </pic:spPr>
                      </pic:pic>
                    </a:graphicData>
                  </a:graphic>
                </wp:inline>
              </w:drawing>
            </w:r>
          </w:p>
        </w:tc>
      </w:tr>
      <w:tr w:rsidR="003D2C5F" w14:paraId="0787F013" w14:textId="77777777">
        <w:trPr>
          <w:cantSplit/>
        </w:trPr>
        <w:tc>
          <w:tcPr>
            <w:tcW w:w="4535" w:type="dxa"/>
          </w:tcPr>
          <w:p w14:paraId="36FFE75D" w14:textId="77777777" w:rsidR="003D2C5F" w:rsidRDefault="00000000">
            <w:r>
              <w:rPr>
                <w:b/>
                <w:sz w:val="18"/>
              </w:rPr>
              <w:t>P15</w:t>
            </w:r>
          </w:p>
          <w:p w14:paraId="125BADBC" w14:textId="77777777" w:rsidR="003D2C5F" w:rsidRDefault="00000000">
            <w:r>
              <w:rPr>
                <w:noProof/>
              </w:rPr>
              <w:drawing>
                <wp:inline distT="0" distB="0" distL="0" distR="0" wp14:anchorId="0860290E" wp14:editId="6C13A4AC">
                  <wp:extent cx="2628000" cy="18193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5.jpg"/>
                          <pic:cNvPicPr/>
                        </pic:nvPicPr>
                        <pic:blipFill>
                          <a:blip r:embed="rId75"/>
                          <a:stretch>
                            <a:fillRect/>
                          </a:stretch>
                        </pic:blipFill>
                        <pic:spPr>
                          <a:xfrm>
                            <a:off x="0" y="0"/>
                            <a:ext cx="2628000" cy="1819385"/>
                          </a:xfrm>
                          <a:prstGeom prst="rect">
                            <a:avLst/>
                          </a:prstGeom>
                        </pic:spPr>
                      </pic:pic>
                    </a:graphicData>
                  </a:graphic>
                </wp:inline>
              </w:drawing>
            </w:r>
          </w:p>
        </w:tc>
        <w:tc>
          <w:tcPr>
            <w:tcW w:w="4535" w:type="dxa"/>
          </w:tcPr>
          <w:p w14:paraId="6224BBB1" w14:textId="77777777" w:rsidR="003D2C5F" w:rsidRDefault="00000000">
            <w:r>
              <w:rPr>
                <w:b/>
                <w:sz w:val="18"/>
              </w:rPr>
              <w:t>P16</w:t>
            </w:r>
          </w:p>
          <w:p w14:paraId="3641708F" w14:textId="77777777" w:rsidR="003D2C5F" w:rsidRDefault="00000000">
            <w:r>
              <w:rPr>
                <w:noProof/>
              </w:rPr>
              <w:drawing>
                <wp:inline distT="0" distB="0" distL="0" distR="0" wp14:anchorId="48A1493A" wp14:editId="6E8321E4">
                  <wp:extent cx="2628000" cy="168040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6.jpg"/>
                          <pic:cNvPicPr/>
                        </pic:nvPicPr>
                        <pic:blipFill>
                          <a:blip r:embed="rId76"/>
                          <a:stretch>
                            <a:fillRect/>
                          </a:stretch>
                        </pic:blipFill>
                        <pic:spPr>
                          <a:xfrm>
                            <a:off x="0" y="0"/>
                            <a:ext cx="2628000" cy="1680404"/>
                          </a:xfrm>
                          <a:prstGeom prst="rect">
                            <a:avLst/>
                          </a:prstGeom>
                        </pic:spPr>
                      </pic:pic>
                    </a:graphicData>
                  </a:graphic>
                </wp:inline>
              </w:drawing>
            </w:r>
          </w:p>
        </w:tc>
      </w:tr>
    </w:tbl>
    <w:p w14:paraId="0511BF61" w14:textId="77777777" w:rsidR="003D2C5F" w:rsidRDefault="00000000">
      <w:pPr>
        <w:pStyle w:val="Heading2"/>
        <w:spacing w:after="80" w:line="360" w:lineRule="auto"/>
      </w:pPr>
      <w:r>
        <w:br w:type="page"/>
      </w:r>
      <w:bookmarkStart w:id="189" w:name="_Toc241144244"/>
      <w:r>
        <w:rPr>
          <w:sz w:val="34"/>
          <w:szCs w:val="34"/>
        </w:rPr>
        <w:lastRenderedPageBreak/>
        <w:t>Appendix B: Secondary Source Log</w:t>
      </w:r>
      <w:bookmarkEnd w:id="189"/>
    </w:p>
    <w:p w14:paraId="14E7A1BD" w14:textId="77777777" w:rsidR="003D2C5F" w:rsidRDefault="00000000">
      <w:pPr>
        <w:spacing w:before="120" w:after="120" w:line="300" w:lineRule="auto"/>
        <w:jc w:val="both"/>
      </w:pPr>
      <w:r>
        <w:rPr>
          <w:rFonts w:ascii="Arial" w:eastAsia="Arial" w:hAnsi="Arial" w:cs="Arial"/>
        </w:rPr>
        <w:t>This log lists the contemporaneous external sources used in Chapter Four for which a full reference is provided in the Reference List. One further article, from The Independent, was identified but excluded because its wording and publication date could not be verified. One primary post (P17) was also excluded; see Appendix A. S01–S03 were published later in 2021 in an awards context and are treated as retrospective industry assessments (Section 3.4). The coding of all eleven sources is reported in Appendix F.</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600"/>
        <w:gridCol w:w="1400"/>
        <w:gridCol w:w="1500"/>
        <w:gridCol w:w="5395"/>
      </w:tblGrid>
      <w:tr w:rsidR="003D2C5F" w14:paraId="794043E5" w14:textId="77777777">
        <w:trPr>
          <w:tblHeader/>
        </w:trPr>
        <w:tc>
          <w:tcPr>
            <w:tcW w:w="600" w:type="dxa"/>
            <w:shd w:val="clear" w:color="auto" w:fill="D9E2F3"/>
          </w:tcPr>
          <w:p w14:paraId="15349DAA" w14:textId="77777777" w:rsidR="003D2C5F" w:rsidRDefault="00000000">
            <w:pPr>
              <w:spacing w:before="20" w:after="20"/>
            </w:pPr>
            <w:r>
              <w:rPr>
                <w:rFonts w:ascii="Arial" w:eastAsia="Arial" w:hAnsi="Arial" w:cs="Arial"/>
                <w:b/>
                <w:sz w:val="15"/>
                <w:szCs w:val="15"/>
              </w:rPr>
              <w:t>ID</w:t>
            </w:r>
          </w:p>
        </w:tc>
        <w:tc>
          <w:tcPr>
            <w:tcW w:w="1400" w:type="dxa"/>
            <w:shd w:val="clear" w:color="auto" w:fill="D9E2F3"/>
          </w:tcPr>
          <w:p w14:paraId="1E91399C" w14:textId="77777777" w:rsidR="003D2C5F" w:rsidRDefault="00000000">
            <w:pPr>
              <w:spacing w:before="20" w:after="20"/>
            </w:pPr>
            <w:r>
              <w:rPr>
                <w:rFonts w:ascii="Arial" w:eastAsia="Arial" w:hAnsi="Arial" w:cs="Arial"/>
                <w:b/>
                <w:sz w:val="15"/>
                <w:szCs w:val="15"/>
              </w:rPr>
              <w:t>Source</w:t>
            </w:r>
          </w:p>
        </w:tc>
        <w:tc>
          <w:tcPr>
            <w:tcW w:w="1500" w:type="dxa"/>
            <w:shd w:val="clear" w:color="auto" w:fill="D9E2F3"/>
          </w:tcPr>
          <w:p w14:paraId="445BC7A6" w14:textId="77777777" w:rsidR="003D2C5F" w:rsidRDefault="00000000">
            <w:pPr>
              <w:spacing w:before="20" w:after="20"/>
            </w:pPr>
            <w:r>
              <w:rPr>
                <w:rFonts w:ascii="Arial" w:eastAsia="Arial" w:hAnsi="Arial" w:cs="Arial"/>
                <w:b/>
                <w:sz w:val="15"/>
                <w:szCs w:val="15"/>
              </w:rPr>
              <w:t>Category</w:t>
            </w:r>
          </w:p>
        </w:tc>
        <w:tc>
          <w:tcPr>
            <w:tcW w:w="5395" w:type="dxa"/>
            <w:shd w:val="clear" w:color="auto" w:fill="D9E2F3"/>
          </w:tcPr>
          <w:p w14:paraId="10070B11" w14:textId="77777777" w:rsidR="003D2C5F" w:rsidRDefault="00000000">
            <w:pPr>
              <w:spacing w:before="20" w:after="20"/>
            </w:pPr>
            <w:r>
              <w:rPr>
                <w:rFonts w:ascii="Arial" w:eastAsia="Arial" w:hAnsi="Arial" w:cs="Arial"/>
                <w:b/>
                <w:sz w:val="15"/>
                <w:szCs w:val="15"/>
              </w:rPr>
              <w:t>Full reference</w:t>
            </w:r>
          </w:p>
        </w:tc>
      </w:tr>
      <w:tr w:rsidR="003D2C5F" w14:paraId="1450E510" w14:textId="77777777">
        <w:tc>
          <w:tcPr>
            <w:tcW w:w="600" w:type="dxa"/>
          </w:tcPr>
          <w:p w14:paraId="3179954A" w14:textId="77777777" w:rsidR="003D2C5F" w:rsidRDefault="00000000">
            <w:pPr>
              <w:spacing w:before="20" w:after="20"/>
            </w:pPr>
            <w:r>
              <w:rPr>
                <w:rFonts w:ascii="Arial" w:eastAsia="Arial" w:hAnsi="Arial" w:cs="Arial"/>
                <w:sz w:val="15"/>
                <w:szCs w:val="15"/>
              </w:rPr>
              <w:t>S01</w:t>
            </w:r>
          </w:p>
        </w:tc>
        <w:tc>
          <w:tcPr>
            <w:tcW w:w="1400" w:type="dxa"/>
          </w:tcPr>
          <w:p w14:paraId="2060FD58" w14:textId="77777777" w:rsidR="003D2C5F" w:rsidRDefault="00000000">
            <w:pPr>
              <w:spacing w:before="20" w:after="20"/>
            </w:pPr>
            <w:r>
              <w:rPr>
                <w:rFonts w:ascii="Arial" w:eastAsia="Arial" w:hAnsi="Arial" w:cs="Arial"/>
                <w:sz w:val="15"/>
                <w:szCs w:val="15"/>
              </w:rPr>
              <w:t>Marketing Week</w:t>
            </w:r>
          </w:p>
        </w:tc>
        <w:tc>
          <w:tcPr>
            <w:tcW w:w="1500" w:type="dxa"/>
          </w:tcPr>
          <w:p w14:paraId="43E3DB0E" w14:textId="77777777" w:rsidR="003D2C5F" w:rsidRDefault="00000000">
            <w:pPr>
              <w:spacing w:before="20" w:after="20"/>
            </w:pPr>
            <w:r>
              <w:rPr>
                <w:rFonts w:ascii="Arial" w:eastAsia="Arial" w:hAnsi="Arial" w:cs="Arial"/>
                <w:sz w:val="15"/>
                <w:szCs w:val="15"/>
              </w:rPr>
              <w:t>Marketing trade</w:t>
            </w:r>
          </w:p>
        </w:tc>
        <w:tc>
          <w:tcPr>
            <w:tcW w:w="5395" w:type="dxa"/>
          </w:tcPr>
          <w:p w14:paraId="175789DF" w14:textId="77777777" w:rsidR="003D2C5F" w:rsidRDefault="00000000">
            <w:pPr>
              <w:spacing w:before="20" w:after="20"/>
            </w:pPr>
            <w:r>
              <w:rPr>
                <w:rFonts w:ascii="Arial" w:eastAsia="Arial" w:hAnsi="Arial" w:cs="Arial"/>
                <w:sz w:val="15"/>
                <w:szCs w:val="15"/>
              </w:rPr>
              <w:t>Marketing Week (2021) ‘How Aldi’s ‘Free Cuthbert’ campaign won the supermarket caterpillar wars’, 22 November. Available at: https://www.marketingweek.com/masters-awards-aldi-free-cuthbert/ (Accessed: 10 July 2026).</w:t>
            </w:r>
          </w:p>
        </w:tc>
      </w:tr>
      <w:tr w:rsidR="003D2C5F" w14:paraId="3C34AC8B" w14:textId="77777777">
        <w:tc>
          <w:tcPr>
            <w:tcW w:w="600" w:type="dxa"/>
          </w:tcPr>
          <w:p w14:paraId="7E70615D" w14:textId="77777777" w:rsidR="003D2C5F" w:rsidRDefault="00000000">
            <w:pPr>
              <w:spacing w:before="20" w:after="20"/>
            </w:pPr>
            <w:r>
              <w:rPr>
                <w:rFonts w:ascii="Arial" w:eastAsia="Arial" w:hAnsi="Arial" w:cs="Arial"/>
                <w:sz w:val="15"/>
                <w:szCs w:val="15"/>
              </w:rPr>
              <w:t>S02</w:t>
            </w:r>
          </w:p>
        </w:tc>
        <w:tc>
          <w:tcPr>
            <w:tcW w:w="1400" w:type="dxa"/>
          </w:tcPr>
          <w:p w14:paraId="385422B9" w14:textId="77777777" w:rsidR="003D2C5F" w:rsidRDefault="00000000">
            <w:pPr>
              <w:spacing w:before="20" w:after="20"/>
            </w:pPr>
            <w:r>
              <w:rPr>
                <w:rFonts w:ascii="Arial" w:eastAsia="Arial" w:hAnsi="Arial" w:cs="Arial"/>
                <w:sz w:val="15"/>
                <w:szCs w:val="15"/>
              </w:rPr>
              <w:t>The Drum</w:t>
            </w:r>
          </w:p>
        </w:tc>
        <w:tc>
          <w:tcPr>
            <w:tcW w:w="1500" w:type="dxa"/>
          </w:tcPr>
          <w:p w14:paraId="0EC4E974" w14:textId="77777777" w:rsidR="003D2C5F" w:rsidRDefault="00000000">
            <w:pPr>
              <w:spacing w:before="20" w:after="20"/>
            </w:pPr>
            <w:r>
              <w:rPr>
                <w:rFonts w:ascii="Arial" w:eastAsia="Arial" w:hAnsi="Arial" w:cs="Arial"/>
                <w:sz w:val="15"/>
                <w:szCs w:val="15"/>
              </w:rPr>
              <w:t>Marketing trade</w:t>
            </w:r>
          </w:p>
        </w:tc>
        <w:tc>
          <w:tcPr>
            <w:tcW w:w="5395" w:type="dxa"/>
          </w:tcPr>
          <w:p w14:paraId="333CBD3D" w14:textId="77777777" w:rsidR="003D2C5F" w:rsidRDefault="00000000">
            <w:pPr>
              <w:spacing w:before="20" w:after="20"/>
            </w:pPr>
            <w:r>
              <w:rPr>
                <w:rFonts w:ascii="Arial" w:eastAsia="Arial" w:hAnsi="Arial" w:cs="Arial"/>
                <w:sz w:val="15"/>
                <w:szCs w:val="15"/>
              </w:rPr>
              <w:t>The Drum (2021) ‘Aldi’s #FreeCuthbert campaign takes Grand Prix at The Drum Awards for Social Media’, 12 November. Available at: https://www.thedrum.com/news/aldis-freecuthbert-campaign-takes-grand-prix-the-drum-awards-social-media (Accessed: 10 July 2026).</w:t>
            </w:r>
          </w:p>
        </w:tc>
      </w:tr>
      <w:tr w:rsidR="003D2C5F" w14:paraId="3453A6D3" w14:textId="77777777">
        <w:tc>
          <w:tcPr>
            <w:tcW w:w="600" w:type="dxa"/>
          </w:tcPr>
          <w:p w14:paraId="4BCC331A" w14:textId="77777777" w:rsidR="003D2C5F" w:rsidRDefault="00000000">
            <w:pPr>
              <w:spacing w:before="20" w:after="20"/>
            </w:pPr>
            <w:r>
              <w:rPr>
                <w:rFonts w:ascii="Arial" w:eastAsia="Arial" w:hAnsi="Arial" w:cs="Arial"/>
                <w:sz w:val="15"/>
                <w:szCs w:val="15"/>
              </w:rPr>
              <w:t>S03</w:t>
            </w:r>
          </w:p>
        </w:tc>
        <w:tc>
          <w:tcPr>
            <w:tcW w:w="1400" w:type="dxa"/>
          </w:tcPr>
          <w:p w14:paraId="73D147C8" w14:textId="77777777" w:rsidR="003D2C5F" w:rsidRDefault="00000000">
            <w:pPr>
              <w:spacing w:before="20" w:after="20"/>
            </w:pPr>
            <w:proofErr w:type="spellStart"/>
            <w:r>
              <w:rPr>
                <w:rFonts w:ascii="Arial" w:eastAsia="Arial" w:hAnsi="Arial" w:cs="Arial"/>
                <w:sz w:val="15"/>
                <w:szCs w:val="15"/>
              </w:rPr>
              <w:t>eurobest</w:t>
            </w:r>
            <w:proofErr w:type="spellEnd"/>
          </w:p>
        </w:tc>
        <w:tc>
          <w:tcPr>
            <w:tcW w:w="1500" w:type="dxa"/>
          </w:tcPr>
          <w:p w14:paraId="3EBBAD9B" w14:textId="77777777" w:rsidR="003D2C5F" w:rsidRDefault="00000000">
            <w:pPr>
              <w:spacing w:before="20" w:after="20"/>
            </w:pPr>
            <w:r>
              <w:rPr>
                <w:rFonts w:ascii="Arial" w:eastAsia="Arial" w:hAnsi="Arial" w:cs="Arial"/>
                <w:sz w:val="15"/>
                <w:szCs w:val="15"/>
              </w:rPr>
              <w:t>Marketing trade (awards)</w:t>
            </w:r>
          </w:p>
        </w:tc>
        <w:tc>
          <w:tcPr>
            <w:tcW w:w="5395" w:type="dxa"/>
          </w:tcPr>
          <w:p w14:paraId="40FFE727" w14:textId="77777777" w:rsidR="003D2C5F" w:rsidRDefault="00000000">
            <w:pPr>
              <w:spacing w:before="20" w:after="20"/>
            </w:pPr>
            <w:proofErr w:type="spellStart"/>
            <w:r>
              <w:rPr>
                <w:rFonts w:ascii="Arial" w:eastAsia="Arial" w:hAnsi="Arial" w:cs="Arial"/>
                <w:sz w:val="15"/>
                <w:szCs w:val="15"/>
              </w:rPr>
              <w:t>eurobest</w:t>
            </w:r>
            <w:proofErr w:type="spellEnd"/>
            <w:r>
              <w:rPr>
                <w:rFonts w:ascii="Arial" w:eastAsia="Arial" w:hAnsi="Arial" w:cs="Arial"/>
                <w:sz w:val="15"/>
                <w:szCs w:val="15"/>
              </w:rPr>
              <w:t xml:space="preserve"> (2021) ‘#</w:t>
            </w:r>
            <w:proofErr w:type="spellStart"/>
            <w:r>
              <w:rPr>
                <w:rFonts w:ascii="Arial" w:eastAsia="Arial" w:hAnsi="Arial" w:cs="Arial"/>
                <w:sz w:val="15"/>
                <w:szCs w:val="15"/>
              </w:rPr>
              <w:t>FreeCuthbert</w:t>
            </w:r>
            <w:proofErr w:type="spellEnd"/>
            <w:r>
              <w:rPr>
                <w:rFonts w:ascii="Arial" w:eastAsia="Arial" w:hAnsi="Arial" w:cs="Arial"/>
                <w:sz w:val="15"/>
                <w:szCs w:val="15"/>
              </w:rPr>
              <w:t>’. Available at: https://www2.eurobest.com/winners/2021/social_and_influencer/entry.cfm?entryid=3529 (Accessed: 20 August 2026).</w:t>
            </w:r>
          </w:p>
        </w:tc>
      </w:tr>
      <w:tr w:rsidR="003D2C5F" w14:paraId="7BC20499" w14:textId="77777777">
        <w:tc>
          <w:tcPr>
            <w:tcW w:w="600" w:type="dxa"/>
          </w:tcPr>
          <w:p w14:paraId="0833B676" w14:textId="77777777" w:rsidR="003D2C5F" w:rsidRDefault="00000000">
            <w:pPr>
              <w:spacing w:before="20" w:after="20"/>
            </w:pPr>
            <w:r>
              <w:rPr>
                <w:rFonts w:ascii="Arial" w:eastAsia="Arial" w:hAnsi="Arial" w:cs="Arial"/>
                <w:sz w:val="15"/>
                <w:szCs w:val="15"/>
              </w:rPr>
              <w:t>S04</w:t>
            </w:r>
          </w:p>
        </w:tc>
        <w:tc>
          <w:tcPr>
            <w:tcW w:w="1400" w:type="dxa"/>
          </w:tcPr>
          <w:p w14:paraId="42EB7D1F" w14:textId="77777777" w:rsidR="003D2C5F" w:rsidRDefault="00000000">
            <w:pPr>
              <w:spacing w:before="20" w:after="20"/>
            </w:pPr>
            <w:proofErr w:type="spellStart"/>
            <w:r>
              <w:rPr>
                <w:rFonts w:ascii="Arial" w:eastAsia="Arial" w:hAnsi="Arial" w:cs="Arial"/>
                <w:sz w:val="15"/>
                <w:szCs w:val="15"/>
              </w:rPr>
              <w:t>Geldards</w:t>
            </w:r>
            <w:proofErr w:type="spellEnd"/>
            <w:r>
              <w:rPr>
                <w:rFonts w:ascii="Arial" w:eastAsia="Arial" w:hAnsi="Arial" w:cs="Arial"/>
                <w:sz w:val="15"/>
                <w:szCs w:val="15"/>
              </w:rPr>
              <w:t xml:space="preserve"> LLP</w:t>
            </w:r>
          </w:p>
        </w:tc>
        <w:tc>
          <w:tcPr>
            <w:tcW w:w="1500" w:type="dxa"/>
          </w:tcPr>
          <w:p w14:paraId="5F2BE733" w14:textId="77777777" w:rsidR="003D2C5F" w:rsidRDefault="00000000">
            <w:pPr>
              <w:spacing w:before="20" w:after="20"/>
            </w:pPr>
            <w:r>
              <w:rPr>
                <w:rFonts w:ascii="Arial" w:eastAsia="Arial" w:hAnsi="Arial" w:cs="Arial"/>
                <w:sz w:val="15"/>
                <w:szCs w:val="15"/>
              </w:rPr>
              <w:t>Legal-professional</w:t>
            </w:r>
          </w:p>
        </w:tc>
        <w:tc>
          <w:tcPr>
            <w:tcW w:w="5395" w:type="dxa"/>
          </w:tcPr>
          <w:p w14:paraId="325180AC" w14:textId="77777777" w:rsidR="003D2C5F" w:rsidRDefault="00000000">
            <w:pPr>
              <w:spacing w:before="20" w:after="20"/>
            </w:pPr>
            <w:proofErr w:type="spellStart"/>
            <w:r>
              <w:rPr>
                <w:rFonts w:ascii="Arial" w:eastAsia="Arial" w:hAnsi="Arial" w:cs="Arial"/>
                <w:sz w:val="15"/>
                <w:szCs w:val="15"/>
              </w:rPr>
              <w:t>Geldards</w:t>
            </w:r>
            <w:proofErr w:type="spellEnd"/>
            <w:r>
              <w:rPr>
                <w:rFonts w:ascii="Arial" w:eastAsia="Arial" w:hAnsi="Arial" w:cs="Arial"/>
                <w:sz w:val="15"/>
                <w:szCs w:val="15"/>
              </w:rPr>
              <w:t xml:space="preserve"> LLP (2021) ‘Colin v Cuthbert: not just any caterpillar cake…’, 23 April. Available at: https://www.geldards.com/insights/colin-v-cuthbert-not-just-any-caterpillar-cake/ (Accessed: 21 September 2026).</w:t>
            </w:r>
          </w:p>
        </w:tc>
      </w:tr>
      <w:tr w:rsidR="003D2C5F" w14:paraId="676E2276" w14:textId="77777777">
        <w:tc>
          <w:tcPr>
            <w:tcW w:w="600" w:type="dxa"/>
          </w:tcPr>
          <w:p w14:paraId="5D3751AC" w14:textId="77777777" w:rsidR="003D2C5F" w:rsidRDefault="00000000">
            <w:pPr>
              <w:spacing w:before="20" w:after="20"/>
            </w:pPr>
            <w:r>
              <w:rPr>
                <w:rFonts w:ascii="Arial" w:eastAsia="Arial" w:hAnsi="Arial" w:cs="Arial"/>
                <w:sz w:val="15"/>
                <w:szCs w:val="15"/>
              </w:rPr>
              <w:t>S05</w:t>
            </w:r>
          </w:p>
        </w:tc>
        <w:tc>
          <w:tcPr>
            <w:tcW w:w="1400" w:type="dxa"/>
          </w:tcPr>
          <w:p w14:paraId="2E45297F" w14:textId="77777777" w:rsidR="003D2C5F" w:rsidRDefault="00000000">
            <w:pPr>
              <w:spacing w:before="20" w:after="20"/>
            </w:pPr>
            <w:r>
              <w:rPr>
                <w:rFonts w:ascii="Arial" w:eastAsia="Arial" w:hAnsi="Arial" w:cs="Arial"/>
                <w:sz w:val="15"/>
                <w:szCs w:val="15"/>
              </w:rPr>
              <w:t>Wilson Gunn</w:t>
            </w:r>
          </w:p>
        </w:tc>
        <w:tc>
          <w:tcPr>
            <w:tcW w:w="1500" w:type="dxa"/>
          </w:tcPr>
          <w:p w14:paraId="2E55CA33" w14:textId="77777777" w:rsidR="003D2C5F" w:rsidRDefault="00000000">
            <w:pPr>
              <w:spacing w:before="20" w:after="20"/>
            </w:pPr>
            <w:r>
              <w:rPr>
                <w:rFonts w:ascii="Arial" w:eastAsia="Arial" w:hAnsi="Arial" w:cs="Arial"/>
                <w:sz w:val="15"/>
                <w:szCs w:val="15"/>
              </w:rPr>
              <w:t>Legal-professional</w:t>
            </w:r>
          </w:p>
        </w:tc>
        <w:tc>
          <w:tcPr>
            <w:tcW w:w="5395" w:type="dxa"/>
          </w:tcPr>
          <w:p w14:paraId="2C3AD0EF" w14:textId="77777777" w:rsidR="003D2C5F" w:rsidRDefault="00000000">
            <w:pPr>
              <w:spacing w:before="20" w:after="20"/>
            </w:pPr>
            <w:r>
              <w:rPr>
                <w:rFonts w:ascii="Arial" w:eastAsia="Arial" w:hAnsi="Arial" w:cs="Arial"/>
                <w:sz w:val="15"/>
                <w:szCs w:val="15"/>
              </w:rPr>
              <w:t>Wilson Gunn (2021) ‘Marks and Spencer v Aldi – Colin v Cuthbert’, 28 May. Available at: https://www.wilsongunn.com/resource/news/trade-marks/marks-and-spencer-v-aldi-colin-v-cuthbert-2 (Accessed: 21 September 2026).</w:t>
            </w:r>
          </w:p>
        </w:tc>
      </w:tr>
      <w:tr w:rsidR="003D2C5F" w14:paraId="4202B19B" w14:textId="77777777">
        <w:tc>
          <w:tcPr>
            <w:tcW w:w="600" w:type="dxa"/>
          </w:tcPr>
          <w:p w14:paraId="072CE735" w14:textId="77777777" w:rsidR="003D2C5F" w:rsidRDefault="00000000">
            <w:pPr>
              <w:spacing w:before="20" w:after="20"/>
            </w:pPr>
            <w:r>
              <w:rPr>
                <w:rFonts w:ascii="Arial" w:eastAsia="Arial" w:hAnsi="Arial" w:cs="Arial"/>
                <w:sz w:val="15"/>
                <w:szCs w:val="15"/>
              </w:rPr>
              <w:t>S06</w:t>
            </w:r>
          </w:p>
        </w:tc>
        <w:tc>
          <w:tcPr>
            <w:tcW w:w="1400" w:type="dxa"/>
          </w:tcPr>
          <w:p w14:paraId="60AE83AA" w14:textId="77777777" w:rsidR="003D2C5F" w:rsidRDefault="00000000">
            <w:pPr>
              <w:spacing w:before="20" w:after="20"/>
            </w:pPr>
            <w:r>
              <w:rPr>
                <w:rFonts w:ascii="Arial" w:eastAsia="Arial" w:hAnsi="Arial" w:cs="Arial"/>
                <w:sz w:val="15"/>
                <w:szCs w:val="15"/>
              </w:rPr>
              <w:t>ITV News</w:t>
            </w:r>
          </w:p>
        </w:tc>
        <w:tc>
          <w:tcPr>
            <w:tcW w:w="1500" w:type="dxa"/>
          </w:tcPr>
          <w:p w14:paraId="21FDFF6E" w14:textId="77777777" w:rsidR="003D2C5F" w:rsidRDefault="00000000">
            <w:pPr>
              <w:spacing w:before="20" w:after="20"/>
            </w:pPr>
            <w:r>
              <w:rPr>
                <w:rFonts w:ascii="Arial" w:eastAsia="Arial" w:hAnsi="Arial" w:cs="Arial"/>
                <w:sz w:val="15"/>
                <w:szCs w:val="15"/>
              </w:rPr>
              <w:t>Mainstream news</w:t>
            </w:r>
          </w:p>
        </w:tc>
        <w:tc>
          <w:tcPr>
            <w:tcW w:w="5395" w:type="dxa"/>
          </w:tcPr>
          <w:p w14:paraId="283CDD4E" w14:textId="77777777" w:rsidR="003D2C5F" w:rsidRDefault="00000000">
            <w:pPr>
              <w:spacing w:before="20" w:after="20"/>
            </w:pPr>
            <w:r>
              <w:rPr>
                <w:rFonts w:ascii="Arial" w:eastAsia="Arial" w:hAnsi="Arial" w:cs="Arial"/>
                <w:sz w:val="15"/>
                <w:szCs w:val="15"/>
              </w:rPr>
              <w:t>ITV News (2021) ‘Cuthbert the Caterpillar stages comeback to raise money for charity amid copyright row with M&amp;S’, 20 April. Available at: https://www.itv.com/news/2021-04-20/cuthbert-the-caterpillar-stages-comeback-to-raise-money-for-charity-amid-copyright-row-with-m-and-s (Accessed: 23 September 2026). Quote used: “Aldi’s social media team have responded to legal action with a stream of mocking posts and memes.”</w:t>
            </w:r>
          </w:p>
        </w:tc>
      </w:tr>
      <w:tr w:rsidR="003D2C5F" w14:paraId="3DF5D578" w14:textId="77777777">
        <w:tc>
          <w:tcPr>
            <w:tcW w:w="600" w:type="dxa"/>
          </w:tcPr>
          <w:p w14:paraId="7C6470F4" w14:textId="77777777" w:rsidR="003D2C5F" w:rsidRDefault="00000000">
            <w:pPr>
              <w:spacing w:before="20" w:after="20"/>
            </w:pPr>
            <w:r>
              <w:rPr>
                <w:rFonts w:ascii="Arial" w:eastAsia="Arial" w:hAnsi="Arial" w:cs="Arial"/>
                <w:sz w:val="15"/>
                <w:szCs w:val="15"/>
              </w:rPr>
              <w:t>S07</w:t>
            </w:r>
          </w:p>
        </w:tc>
        <w:tc>
          <w:tcPr>
            <w:tcW w:w="1400" w:type="dxa"/>
          </w:tcPr>
          <w:p w14:paraId="344E4531" w14:textId="77777777" w:rsidR="003D2C5F" w:rsidRDefault="00000000">
            <w:pPr>
              <w:spacing w:before="20" w:after="20"/>
            </w:pPr>
            <w:r>
              <w:rPr>
                <w:rFonts w:ascii="Arial" w:eastAsia="Arial" w:hAnsi="Arial" w:cs="Arial"/>
                <w:sz w:val="15"/>
                <w:szCs w:val="15"/>
              </w:rPr>
              <w:t>LBC</w:t>
            </w:r>
          </w:p>
        </w:tc>
        <w:tc>
          <w:tcPr>
            <w:tcW w:w="1500" w:type="dxa"/>
          </w:tcPr>
          <w:p w14:paraId="39C128B7" w14:textId="77777777" w:rsidR="003D2C5F" w:rsidRDefault="00000000">
            <w:pPr>
              <w:spacing w:before="20" w:after="20"/>
            </w:pPr>
            <w:r>
              <w:rPr>
                <w:rFonts w:ascii="Arial" w:eastAsia="Arial" w:hAnsi="Arial" w:cs="Arial"/>
                <w:sz w:val="15"/>
                <w:szCs w:val="15"/>
              </w:rPr>
              <w:t>Mainstream news</w:t>
            </w:r>
          </w:p>
        </w:tc>
        <w:tc>
          <w:tcPr>
            <w:tcW w:w="5395" w:type="dxa"/>
          </w:tcPr>
          <w:p w14:paraId="4243CBFF" w14:textId="77777777" w:rsidR="003D2C5F" w:rsidRDefault="00000000">
            <w:pPr>
              <w:spacing w:before="20" w:after="20"/>
            </w:pPr>
            <w:r>
              <w:rPr>
                <w:rFonts w:ascii="Arial" w:eastAsia="Arial" w:hAnsi="Arial" w:cs="Arial"/>
                <w:sz w:val="15"/>
                <w:szCs w:val="15"/>
              </w:rPr>
              <w:t>LBC (2021) ‘Aldi announces return of Cuthbert the Caterpillar amid copyright row with M&amp;S’, April. Available at: https://www.lbc.co.uk/article/063c59b70fc3458aaaf7da5bcf2e13ab-DWyts5_2/ (Accessed: 23 September 2026). Quote used: “Aldi’s social media team promptly responded with a stream of posts about the upcoming legal challenge and a sketch of Cuthbert in court.”</w:t>
            </w:r>
          </w:p>
        </w:tc>
      </w:tr>
      <w:tr w:rsidR="003D2C5F" w14:paraId="5D2B8977" w14:textId="77777777">
        <w:tc>
          <w:tcPr>
            <w:tcW w:w="600" w:type="dxa"/>
          </w:tcPr>
          <w:p w14:paraId="1B0B42A6" w14:textId="77777777" w:rsidR="003D2C5F" w:rsidRDefault="00000000">
            <w:pPr>
              <w:spacing w:before="20" w:after="20"/>
            </w:pPr>
            <w:r>
              <w:rPr>
                <w:rFonts w:ascii="Arial" w:eastAsia="Arial" w:hAnsi="Arial" w:cs="Arial"/>
                <w:sz w:val="15"/>
                <w:szCs w:val="15"/>
              </w:rPr>
              <w:t>S08</w:t>
            </w:r>
          </w:p>
        </w:tc>
        <w:tc>
          <w:tcPr>
            <w:tcW w:w="1400" w:type="dxa"/>
          </w:tcPr>
          <w:p w14:paraId="1A089CEB" w14:textId="77777777" w:rsidR="003D2C5F" w:rsidRDefault="00000000">
            <w:pPr>
              <w:spacing w:before="20" w:after="20"/>
            </w:pPr>
            <w:r>
              <w:rPr>
                <w:rFonts w:ascii="Arial" w:eastAsia="Arial" w:hAnsi="Arial" w:cs="Arial"/>
                <w:sz w:val="15"/>
                <w:szCs w:val="15"/>
              </w:rPr>
              <w:t>RTÉ News (Ireland)</w:t>
            </w:r>
          </w:p>
        </w:tc>
        <w:tc>
          <w:tcPr>
            <w:tcW w:w="1500" w:type="dxa"/>
          </w:tcPr>
          <w:p w14:paraId="5778A934" w14:textId="77777777" w:rsidR="003D2C5F" w:rsidRDefault="00000000">
            <w:pPr>
              <w:spacing w:before="20" w:after="20"/>
            </w:pPr>
            <w:r>
              <w:rPr>
                <w:rFonts w:ascii="Arial" w:eastAsia="Arial" w:hAnsi="Arial" w:cs="Arial"/>
                <w:sz w:val="15"/>
                <w:szCs w:val="15"/>
              </w:rPr>
              <w:t>Mainstream news</w:t>
            </w:r>
          </w:p>
        </w:tc>
        <w:tc>
          <w:tcPr>
            <w:tcW w:w="5395" w:type="dxa"/>
          </w:tcPr>
          <w:p w14:paraId="4B0014D2" w14:textId="77777777" w:rsidR="003D2C5F" w:rsidRDefault="00000000">
            <w:pPr>
              <w:spacing w:before="20" w:after="20"/>
            </w:pPr>
            <w:r>
              <w:rPr>
                <w:rFonts w:ascii="Arial" w:eastAsia="Arial" w:hAnsi="Arial" w:cs="Arial"/>
                <w:sz w:val="15"/>
                <w:szCs w:val="15"/>
              </w:rPr>
              <w:t>RTÉ News (2021) ‘#</w:t>
            </w:r>
            <w:proofErr w:type="spellStart"/>
            <w:r>
              <w:rPr>
                <w:rFonts w:ascii="Arial" w:eastAsia="Arial" w:hAnsi="Arial" w:cs="Arial"/>
                <w:sz w:val="15"/>
                <w:szCs w:val="15"/>
              </w:rPr>
              <w:t>CaterpillarWars</w:t>
            </w:r>
            <w:proofErr w:type="spellEnd"/>
            <w:r>
              <w:rPr>
                <w:rFonts w:ascii="Arial" w:eastAsia="Arial" w:hAnsi="Arial" w:cs="Arial"/>
                <w:sz w:val="15"/>
                <w:szCs w:val="15"/>
              </w:rPr>
              <w:t xml:space="preserve"> cake dispute takes flight on Twitter’, 16 April. Available at: https://www.rte.ie/news/newslens/2021/0416/1210355-cake-dispute/ (Accessed: 23 September 2026). Quote used: “The dispute has gone viral on social media, with users making jokes and sharing photos of their own caterpillar cakes.”</w:t>
            </w:r>
          </w:p>
        </w:tc>
      </w:tr>
      <w:tr w:rsidR="003D2C5F" w14:paraId="40E2025E" w14:textId="77777777">
        <w:tc>
          <w:tcPr>
            <w:tcW w:w="600" w:type="dxa"/>
          </w:tcPr>
          <w:p w14:paraId="6A457784" w14:textId="77777777" w:rsidR="003D2C5F" w:rsidRDefault="00000000">
            <w:pPr>
              <w:spacing w:before="20" w:after="20"/>
            </w:pPr>
            <w:r>
              <w:rPr>
                <w:rFonts w:ascii="Arial" w:eastAsia="Arial" w:hAnsi="Arial" w:cs="Arial"/>
                <w:sz w:val="15"/>
                <w:szCs w:val="15"/>
              </w:rPr>
              <w:t>S09</w:t>
            </w:r>
          </w:p>
        </w:tc>
        <w:tc>
          <w:tcPr>
            <w:tcW w:w="1400" w:type="dxa"/>
          </w:tcPr>
          <w:p w14:paraId="0606E244" w14:textId="77777777" w:rsidR="003D2C5F" w:rsidRDefault="00000000">
            <w:pPr>
              <w:spacing w:before="20" w:after="20"/>
            </w:pPr>
            <w:r>
              <w:rPr>
                <w:rFonts w:ascii="Arial" w:eastAsia="Arial" w:hAnsi="Arial" w:cs="Arial"/>
                <w:sz w:val="15"/>
                <w:szCs w:val="15"/>
              </w:rPr>
              <w:t>Harper Macleod LLP</w:t>
            </w:r>
          </w:p>
        </w:tc>
        <w:tc>
          <w:tcPr>
            <w:tcW w:w="1500" w:type="dxa"/>
          </w:tcPr>
          <w:p w14:paraId="5122FFFA" w14:textId="77777777" w:rsidR="003D2C5F" w:rsidRDefault="00000000">
            <w:pPr>
              <w:spacing w:before="20" w:after="20"/>
            </w:pPr>
            <w:r>
              <w:rPr>
                <w:rFonts w:ascii="Arial" w:eastAsia="Arial" w:hAnsi="Arial" w:cs="Arial"/>
                <w:sz w:val="15"/>
                <w:szCs w:val="15"/>
              </w:rPr>
              <w:t>Legal-professional</w:t>
            </w:r>
          </w:p>
        </w:tc>
        <w:tc>
          <w:tcPr>
            <w:tcW w:w="5395" w:type="dxa"/>
          </w:tcPr>
          <w:p w14:paraId="46C2F947" w14:textId="77777777" w:rsidR="003D2C5F" w:rsidRDefault="00000000">
            <w:pPr>
              <w:spacing w:before="20" w:after="20"/>
            </w:pPr>
            <w:r>
              <w:rPr>
                <w:rFonts w:ascii="Arial" w:eastAsia="Arial" w:hAnsi="Arial" w:cs="Arial"/>
                <w:sz w:val="15"/>
                <w:szCs w:val="15"/>
              </w:rPr>
              <w:t>Harper Macleod LLP (2021) ‘Colin v Cuthbert: the great British cake-off’. Available at: https://www.harpermacleod.co.uk/insights/colin-v-cuthbert-the-great-british-cakeoff/ (Accessed: 23 September 2026).</w:t>
            </w:r>
          </w:p>
        </w:tc>
      </w:tr>
      <w:tr w:rsidR="003D2C5F" w14:paraId="4CB76F55" w14:textId="77777777">
        <w:tc>
          <w:tcPr>
            <w:tcW w:w="600" w:type="dxa"/>
          </w:tcPr>
          <w:p w14:paraId="3981A75E" w14:textId="77777777" w:rsidR="003D2C5F" w:rsidRDefault="00000000">
            <w:pPr>
              <w:spacing w:before="20" w:after="20"/>
            </w:pPr>
            <w:r>
              <w:rPr>
                <w:rFonts w:ascii="Arial" w:eastAsia="Arial" w:hAnsi="Arial" w:cs="Arial"/>
                <w:sz w:val="15"/>
                <w:szCs w:val="15"/>
              </w:rPr>
              <w:t>S10</w:t>
            </w:r>
          </w:p>
        </w:tc>
        <w:tc>
          <w:tcPr>
            <w:tcW w:w="1400" w:type="dxa"/>
          </w:tcPr>
          <w:p w14:paraId="3DFE851C" w14:textId="77777777" w:rsidR="003D2C5F" w:rsidRDefault="00000000">
            <w:pPr>
              <w:spacing w:before="20" w:after="20"/>
            </w:pPr>
            <w:r>
              <w:rPr>
                <w:rFonts w:ascii="Arial" w:eastAsia="Arial" w:hAnsi="Arial" w:cs="Arial"/>
                <w:sz w:val="15"/>
                <w:szCs w:val="15"/>
              </w:rPr>
              <w:t>Swinburne Maddison LLP</w:t>
            </w:r>
          </w:p>
        </w:tc>
        <w:tc>
          <w:tcPr>
            <w:tcW w:w="1500" w:type="dxa"/>
          </w:tcPr>
          <w:p w14:paraId="68455358" w14:textId="77777777" w:rsidR="003D2C5F" w:rsidRDefault="00000000">
            <w:pPr>
              <w:spacing w:before="20" w:after="20"/>
            </w:pPr>
            <w:r>
              <w:rPr>
                <w:rFonts w:ascii="Arial" w:eastAsia="Arial" w:hAnsi="Arial" w:cs="Arial"/>
                <w:sz w:val="15"/>
                <w:szCs w:val="15"/>
              </w:rPr>
              <w:t>Legal-professional</w:t>
            </w:r>
          </w:p>
        </w:tc>
        <w:tc>
          <w:tcPr>
            <w:tcW w:w="5395" w:type="dxa"/>
          </w:tcPr>
          <w:p w14:paraId="469B3E72" w14:textId="77777777" w:rsidR="003D2C5F" w:rsidRDefault="00000000">
            <w:pPr>
              <w:spacing w:before="20" w:after="20"/>
            </w:pPr>
            <w:r>
              <w:rPr>
                <w:rFonts w:ascii="Arial" w:eastAsia="Arial" w:hAnsi="Arial" w:cs="Arial"/>
                <w:sz w:val="15"/>
                <w:szCs w:val="15"/>
              </w:rPr>
              <w:t>Swinburne Maddison LLP (2021) ‘Key legal considerations in the battle of Colin v Cuthbert’, 10 May. Available at: https://www.swinburnemaddison.co.uk/insights/article/key-legal-considerations-</w:t>
            </w:r>
            <w:r>
              <w:rPr>
                <w:rFonts w:ascii="Arial" w:eastAsia="Arial" w:hAnsi="Arial" w:cs="Arial"/>
                <w:sz w:val="15"/>
                <w:szCs w:val="15"/>
              </w:rPr>
              <w:lastRenderedPageBreak/>
              <w:t>in-the-battle-of-colin-v-cuthbert/ (Accessed: 23 September 2026). Quote used: “Aldi’s PR team have wholeheartedly embraced this opportunity and gone full tilt with their social media response.”</w:t>
            </w:r>
          </w:p>
        </w:tc>
      </w:tr>
      <w:tr w:rsidR="003D2C5F" w14:paraId="78EE9892" w14:textId="77777777">
        <w:tc>
          <w:tcPr>
            <w:tcW w:w="600" w:type="dxa"/>
          </w:tcPr>
          <w:p w14:paraId="3436FA81" w14:textId="77777777" w:rsidR="003D2C5F" w:rsidRDefault="00000000">
            <w:pPr>
              <w:spacing w:before="20" w:after="20"/>
            </w:pPr>
            <w:r>
              <w:rPr>
                <w:rFonts w:ascii="Arial" w:eastAsia="Arial" w:hAnsi="Arial" w:cs="Arial"/>
                <w:sz w:val="15"/>
                <w:szCs w:val="15"/>
              </w:rPr>
              <w:t>S11</w:t>
            </w:r>
          </w:p>
        </w:tc>
        <w:tc>
          <w:tcPr>
            <w:tcW w:w="1400" w:type="dxa"/>
          </w:tcPr>
          <w:p w14:paraId="3C34EC8C" w14:textId="77777777" w:rsidR="003D2C5F" w:rsidRDefault="00000000">
            <w:pPr>
              <w:spacing w:before="20" w:after="20"/>
            </w:pPr>
            <w:r>
              <w:rPr>
                <w:rFonts w:ascii="Arial" w:eastAsia="Arial" w:hAnsi="Arial" w:cs="Arial"/>
                <w:sz w:val="15"/>
                <w:szCs w:val="15"/>
              </w:rPr>
              <w:t>Legal Cheek</w:t>
            </w:r>
          </w:p>
        </w:tc>
        <w:tc>
          <w:tcPr>
            <w:tcW w:w="1500" w:type="dxa"/>
          </w:tcPr>
          <w:p w14:paraId="55638DDA" w14:textId="77777777" w:rsidR="003D2C5F" w:rsidRDefault="00000000">
            <w:pPr>
              <w:spacing w:before="20" w:after="20"/>
            </w:pPr>
            <w:r>
              <w:rPr>
                <w:rFonts w:ascii="Arial" w:eastAsia="Arial" w:hAnsi="Arial" w:cs="Arial"/>
                <w:sz w:val="15"/>
                <w:szCs w:val="15"/>
              </w:rPr>
              <w:t>Legal-professional (legal news)</w:t>
            </w:r>
          </w:p>
        </w:tc>
        <w:tc>
          <w:tcPr>
            <w:tcW w:w="5395" w:type="dxa"/>
          </w:tcPr>
          <w:p w14:paraId="6745B99D" w14:textId="77777777" w:rsidR="003D2C5F" w:rsidRDefault="00000000">
            <w:pPr>
              <w:spacing w:before="20" w:after="20"/>
            </w:pPr>
            <w:r>
              <w:rPr>
                <w:rFonts w:ascii="Arial" w:eastAsia="Arial" w:hAnsi="Arial" w:cs="Arial"/>
                <w:sz w:val="15"/>
                <w:szCs w:val="15"/>
              </w:rPr>
              <w:t>Hussain, A. (2021) ‘Lawyer bakes ‘Kavanagh Caterpillar QC’ cake to ‘defend’ Aldi’s Cuthbert in tasty IP battle’, Legal Cheek, 30 April. Available at: https://www.legalcheek.com/2021/04/lawyer-bakes-kavanagh-caterpillar-qc-cake-to-defend-aldis-cuthbert-in-tasty-ip-battle/ (Accessed: 23 September 2026). Quote used: “Aldi hit back with a series of jokey tweets.”</w:t>
            </w:r>
          </w:p>
        </w:tc>
      </w:tr>
    </w:tbl>
    <w:p w14:paraId="745FFF63" w14:textId="77777777" w:rsidR="003D2C5F" w:rsidRDefault="00000000">
      <w:pPr>
        <w:pStyle w:val="Heading2"/>
        <w:spacing w:after="80" w:line="360" w:lineRule="auto"/>
      </w:pPr>
      <w:r>
        <w:br w:type="page"/>
      </w:r>
      <w:bookmarkStart w:id="190" w:name="_Toc241144245"/>
      <w:r>
        <w:rPr>
          <w:sz w:val="34"/>
          <w:szCs w:val="34"/>
        </w:rPr>
        <w:lastRenderedPageBreak/>
        <w:t>Appendix C: Codebook</w:t>
      </w:r>
      <w:bookmarkEnd w:id="190"/>
    </w:p>
    <w:p w14:paraId="21D57DF7" w14:textId="77777777" w:rsidR="003D2C5F" w:rsidRDefault="00000000">
      <w:pPr>
        <w:spacing w:before="120" w:after="120" w:line="300" w:lineRule="auto"/>
        <w:jc w:val="both"/>
      </w:pPr>
      <w:r>
        <w:rPr>
          <w:rFonts w:ascii="Arial" w:eastAsia="Arial" w:hAnsi="Arial" w:cs="Arial"/>
        </w:rPr>
        <w:t>The eight interpretive codes applied to every post in the primary corpus (Section 3.6). A post received a code (1) when it met the definition below, and no code (0) otherwise.</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2400"/>
        <w:gridCol w:w="6495"/>
      </w:tblGrid>
      <w:tr w:rsidR="003D2C5F" w14:paraId="69CDA84E" w14:textId="77777777">
        <w:trPr>
          <w:tblHeader/>
        </w:trPr>
        <w:tc>
          <w:tcPr>
            <w:tcW w:w="2400" w:type="dxa"/>
            <w:shd w:val="clear" w:color="auto" w:fill="D9E2F3"/>
          </w:tcPr>
          <w:p w14:paraId="164E3018" w14:textId="77777777" w:rsidR="003D2C5F" w:rsidRDefault="00000000">
            <w:pPr>
              <w:spacing w:before="20" w:after="20"/>
            </w:pPr>
            <w:r>
              <w:rPr>
                <w:rFonts w:ascii="Arial" w:eastAsia="Arial" w:hAnsi="Arial" w:cs="Arial"/>
                <w:b/>
                <w:sz w:val="17"/>
                <w:szCs w:val="17"/>
              </w:rPr>
              <w:t>Code</w:t>
            </w:r>
          </w:p>
        </w:tc>
        <w:tc>
          <w:tcPr>
            <w:tcW w:w="6495" w:type="dxa"/>
            <w:shd w:val="clear" w:color="auto" w:fill="D9E2F3"/>
          </w:tcPr>
          <w:p w14:paraId="5097C782" w14:textId="77777777" w:rsidR="003D2C5F" w:rsidRDefault="00000000">
            <w:pPr>
              <w:spacing w:before="20" w:after="20"/>
            </w:pPr>
            <w:r>
              <w:rPr>
                <w:rFonts w:ascii="Arial" w:eastAsia="Arial" w:hAnsi="Arial" w:cs="Arial"/>
                <w:b/>
                <w:sz w:val="17"/>
                <w:szCs w:val="17"/>
              </w:rPr>
              <w:t>Definition</w:t>
            </w:r>
          </w:p>
        </w:tc>
      </w:tr>
      <w:tr w:rsidR="003D2C5F" w14:paraId="310C1A3D" w14:textId="77777777">
        <w:tc>
          <w:tcPr>
            <w:tcW w:w="2400" w:type="dxa"/>
          </w:tcPr>
          <w:p w14:paraId="11BEAFA0" w14:textId="77777777" w:rsidR="003D2C5F" w:rsidRDefault="00000000">
            <w:pPr>
              <w:spacing w:before="20" w:after="20"/>
            </w:pPr>
            <w:proofErr w:type="spellStart"/>
            <w:r>
              <w:rPr>
                <w:rFonts w:ascii="Arial" w:eastAsia="Arial" w:hAnsi="Arial" w:cs="Arial"/>
                <w:sz w:val="17"/>
                <w:szCs w:val="17"/>
              </w:rPr>
              <w:t>Humour</w:t>
            </w:r>
            <w:proofErr w:type="spellEnd"/>
          </w:p>
        </w:tc>
        <w:tc>
          <w:tcPr>
            <w:tcW w:w="6495" w:type="dxa"/>
          </w:tcPr>
          <w:p w14:paraId="5B644731" w14:textId="77777777" w:rsidR="003D2C5F" w:rsidRDefault="00000000">
            <w:pPr>
              <w:spacing w:before="20" w:after="20"/>
            </w:pPr>
            <w:r>
              <w:rPr>
                <w:rFonts w:ascii="Arial" w:eastAsia="Arial" w:hAnsi="Arial" w:cs="Arial"/>
                <w:sz w:val="17"/>
                <w:szCs w:val="17"/>
              </w:rPr>
              <w:t>The post uses a joke, pun, irony, or funny image.</w:t>
            </w:r>
          </w:p>
        </w:tc>
      </w:tr>
      <w:tr w:rsidR="003D2C5F" w14:paraId="2AB50AE6" w14:textId="77777777">
        <w:tc>
          <w:tcPr>
            <w:tcW w:w="2400" w:type="dxa"/>
          </w:tcPr>
          <w:p w14:paraId="38575E2B" w14:textId="77777777" w:rsidR="003D2C5F" w:rsidRDefault="00000000">
            <w:pPr>
              <w:spacing w:before="20" w:after="20"/>
            </w:pPr>
            <w:r>
              <w:rPr>
                <w:rFonts w:ascii="Arial" w:eastAsia="Arial" w:hAnsi="Arial" w:cs="Arial"/>
                <w:sz w:val="17"/>
                <w:szCs w:val="17"/>
              </w:rPr>
              <w:t>Personification</w:t>
            </w:r>
          </w:p>
        </w:tc>
        <w:tc>
          <w:tcPr>
            <w:tcW w:w="6495" w:type="dxa"/>
          </w:tcPr>
          <w:p w14:paraId="0AC46074" w14:textId="77777777" w:rsidR="003D2C5F" w:rsidRDefault="00000000">
            <w:pPr>
              <w:spacing w:before="20" w:after="20"/>
            </w:pPr>
            <w:r>
              <w:rPr>
                <w:rFonts w:ascii="Arial" w:eastAsia="Arial" w:hAnsi="Arial" w:cs="Arial"/>
                <w:sz w:val="17"/>
                <w:szCs w:val="17"/>
              </w:rPr>
              <w:t>The post presents Cuthbert or another caterpillar as having human feelings, actions, or roles.</w:t>
            </w:r>
          </w:p>
        </w:tc>
      </w:tr>
      <w:tr w:rsidR="003D2C5F" w14:paraId="0D7C715A" w14:textId="77777777">
        <w:tc>
          <w:tcPr>
            <w:tcW w:w="2400" w:type="dxa"/>
          </w:tcPr>
          <w:p w14:paraId="7E6FDB57" w14:textId="77777777" w:rsidR="003D2C5F" w:rsidRDefault="00000000">
            <w:pPr>
              <w:spacing w:before="20" w:after="20"/>
            </w:pPr>
            <w:r>
              <w:rPr>
                <w:rFonts w:ascii="Arial" w:eastAsia="Arial" w:hAnsi="Arial" w:cs="Arial"/>
                <w:sz w:val="17"/>
                <w:szCs w:val="17"/>
              </w:rPr>
              <w:t>Narrative Progression</w:t>
            </w:r>
          </w:p>
        </w:tc>
        <w:tc>
          <w:tcPr>
            <w:tcW w:w="6495" w:type="dxa"/>
          </w:tcPr>
          <w:p w14:paraId="243E84E1" w14:textId="77777777" w:rsidR="003D2C5F" w:rsidRDefault="00000000">
            <w:pPr>
              <w:spacing w:before="20" w:after="20"/>
            </w:pPr>
            <w:r>
              <w:rPr>
                <w:rFonts w:ascii="Arial" w:eastAsia="Arial" w:hAnsi="Arial" w:cs="Arial"/>
                <w:sz w:val="17"/>
                <w:szCs w:val="17"/>
              </w:rPr>
              <w:t>The post adds a new part or development to the campaign story.</w:t>
            </w:r>
          </w:p>
        </w:tc>
      </w:tr>
      <w:tr w:rsidR="003D2C5F" w14:paraId="7076E0D1" w14:textId="77777777">
        <w:tc>
          <w:tcPr>
            <w:tcW w:w="2400" w:type="dxa"/>
          </w:tcPr>
          <w:p w14:paraId="7A15335A" w14:textId="77777777" w:rsidR="003D2C5F" w:rsidRDefault="00000000">
            <w:pPr>
              <w:spacing w:before="20" w:after="20"/>
            </w:pPr>
            <w:r>
              <w:rPr>
                <w:rFonts w:ascii="Arial" w:eastAsia="Arial" w:hAnsi="Arial" w:cs="Arial"/>
                <w:sz w:val="17"/>
                <w:szCs w:val="17"/>
              </w:rPr>
              <w:t>Challenger Positioning</w:t>
            </w:r>
          </w:p>
        </w:tc>
        <w:tc>
          <w:tcPr>
            <w:tcW w:w="6495" w:type="dxa"/>
          </w:tcPr>
          <w:p w14:paraId="1A60039A" w14:textId="77777777" w:rsidR="003D2C5F" w:rsidRDefault="00000000">
            <w:pPr>
              <w:spacing w:before="20" w:after="20"/>
            </w:pPr>
            <w:r>
              <w:rPr>
                <w:rFonts w:ascii="Arial" w:eastAsia="Arial" w:hAnsi="Arial" w:cs="Arial"/>
                <w:sz w:val="17"/>
                <w:szCs w:val="17"/>
              </w:rPr>
              <w:t>The post presents Aldi as challenging or responding to M&amp;S.</w:t>
            </w:r>
          </w:p>
        </w:tc>
      </w:tr>
      <w:tr w:rsidR="003D2C5F" w14:paraId="32D7B9F1" w14:textId="77777777">
        <w:tc>
          <w:tcPr>
            <w:tcW w:w="2400" w:type="dxa"/>
          </w:tcPr>
          <w:p w14:paraId="1B9BA2C5" w14:textId="77777777" w:rsidR="003D2C5F" w:rsidRDefault="00000000">
            <w:pPr>
              <w:spacing w:before="20" w:after="20"/>
            </w:pPr>
            <w:r>
              <w:rPr>
                <w:rFonts w:ascii="Arial" w:eastAsia="Arial" w:hAnsi="Arial" w:cs="Arial"/>
                <w:sz w:val="17"/>
                <w:szCs w:val="17"/>
              </w:rPr>
              <w:t>Cultural Reference</w:t>
            </w:r>
          </w:p>
        </w:tc>
        <w:tc>
          <w:tcPr>
            <w:tcW w:w="6495" w:type="dxa"/>
          </w:tcPr>
          <w:p w14:paraId="3CC02853" w14:textId="77777777" w:rsidR="003D2C5F" w:rsidRDefault="00000000">
            <w:pPr>
              <w:spacing w:before="20" w:after="20"/>
            </w:pPr>
            <w:r>
              <w:rPr>
                <w:rFonts w:ascii="Arial" w:eastAsia="Arial" w:hAnsi="Arial" w:cs="Arial"/>
                <w:sz w:val="17"/>
                <w:szCs w:val="17"/>
              </w:rPr>
              <w:t xml:space="preserve">The post refers to popular culture, entertainment, games, or another </w:t>
            </w:r>
            <w:proofErr w:type="spellStart"/>
            <w:r>
              <w:rPr>
                <w:rFonts w:ascii="Arial" w:eastAsia="Arial" w:hAnsi="Arial" w:cs="Arial"/>
                <w:sz w:val="17"/>
                <w:szCs w:val="17"/>
              </w:rPr>
              <w:t>recognisable</w:t>
            </w:r>
            <w:proofErr w:type="spellEnd"/>
            <w:r>
              <w:rPr>
                <w:rFonts w:ascii="Arial" w:eastAsia="Arial" w:hAnsi="Arial" w:cs="Arial"/>
                <w:sz w:val="17"/>
                <w:szCs w:val="17"/>
              </w:rPr>
              <w:t xml:space="preserve"> brand.</w:t>
            </w:r>
          </w:p>
        </w:tc>
      </w:tr>
      <w:tr w:rsidR="003D2C5F" w14:paraId="4A1C3479" w14:textId="77777777">
        <w:tc>
          <w:tcPr>
            <w:tcW w:w="2400" w:type="dxa"/>
          </w:tcPr>
          <w:p w14:paraId="19051876" w14:textId="77777777" w:rsidR="003D2C5F" w:rsidRDefault="00000000">
            <w:pPr>
              <w:spacing w:before="20" w:after="20"/>
            </w:pPr>
            <w:r>
              <w:rPr>
                <w:rFonts w:ascii="Arial" w:eastAsia="Arial" w:hAnsi="Arial" w:cs="Arial"/>
                <w:sz w:val="17"/>
                <w:szCs w:val="17"/>
              </w:rPr>
              <w:t>Brand Personality Cue</w:t>
            </w:r>
          </w:p>
        </w:tc>
        <w:tc>
          <w:tcPr>
            <w:tcW w:w="6495" w:type="dxa"/>
          </w:tcPr>
          <w:p w14:paraId="73882C66" w14:textId="77777777" w:rsidR="003D2C5F" w:rsidRDefault="00000000">
            <w:pPr>
              <w:spacing w:before="20" w:after="20"/>
            </w:pPr>
            <w:r>
              <w:rPr>
                <w:rFonts w:ascii="Arial" w:eastAsia="Arial" w:hAnsi="Arial" w:cs="Arial"/>
                <w:sz w:val="17"/>
                <w:szCs w:val="17"/>
              </w:rPr>
              <w:t>The post shows Aldi’s informal, playful, cheeky, or conversational style.</w:t>
            </w:r>
          </w:p>
        </w:tc>
      </w:tr>
      <w:tr w:rsidR="003D2C5F" w14:paraId="17BC625D" w14:textId="77777777">
        <w:tc>
          <w:tcPr>
            <w:tcW w:w="2400" w:type="dxa"/>
          </w:tcPr>
          <w:p w14:paraId="3715E3B1" w14:textId="77777777" w:rsidR="003D2C5F" w:rsidRDefault="00000000">
            <w:pPr>
              <w:spacing w:before="20" w:after="20"/>
            </w:pPr>
            <w:r>
              <w:rPr>
                <w:rFonts w:ascii="Arial" w:eastAsia="Arial" w:hAnsi="Arial" w:cs="Arial"/>
                <w:sz w:val="17"/>
                <w:szCs w:val="17"/>
              </w:rPr>
              <w:t>Charity Linkage</w:t>
            </w:r>
          </w:p>
        </w:tc>
        <w:tc>
          <w:tcPr>
            <w:tcW w:w="6495" w:type="dxa"/>
          </w:tcPr>
          <w:p w14:paraId="5DCCE00E" w14:textId="77777777" w:rsidR="003D2C5F" w:rsidRDefault="00000000">
            <w:pPr>
              <w:spacing w:before="20" w:after="20"/>
            </w:pPr>
            <w:r>
              <w:rPr>
                <w:rFonts w:ascii="Arial" w:eastAsia="Arial" w:hAnsi="Arial" w:cs="Arial"/>
                <w:sz w:val="17"/>
                <w:szCs w:val="17"/>
              </w:rPr>
              <w:t>The post directly mentions charity, fundraising, or a charitable cause.</w:t>
            </w:r>
          </w:p>
        </w:tc>
      </w:tr>
      <w:tr w:rsidR="003D2C5F" w14:paraId="0A638C01" w14:textId="77777777">
        <w:tc>
          <w:tcPr>
            <w:tcW w:w="2400" w:type="dxa"/>
          </w:tcPr>
          <w:p w14:paraId="31164521" w14:textId="77777777" w:rsidR="003D2C5F" w:rsidRDefault="00000000">
            <w:pPr>
              <w:spacing w:before="20" w:after="20"/>
            </w:pPr>
            <w:r>
              <w:rPr>
                <w:rFonts w:ascii="Arial" w:eastAsia="Arial" w:hAnsi="Arial" w:cs="Arial"/>
                <w:sz w:val="17"/>
                <w:szCs w:val="17"/>
              </w:rPr>
              <w:t>Legal Sensitivity</w:t>
            </w:r>
          </w:p>
        </w:tc>
        <w:tc>
          <w:tcPr>
            <w:tcW w:w="6495" w:type="dxa"/>
          </w:tcPr>
          <w:p w14:paraId="3E66D76F" w14:textId="77777777" w:rsidR="003D2C5F" w:rsidRDefault="00000000">
            <w:pPr>
              <w:spacing w:before="20" w:after="20"/>
            </w:pPr>
            <w:r>
              <w:rPr>
                <w:rFonts w:ascii="Arial" w:eastAsia="Arial" w:hAnsi="Arial" w:cs="Arial"/>
                <w:sz w:val="17"/>
                <w:szCs w:val="17"/>
              </w:rPr>
              <w:t>The post directly refers to the court case, lawyers, evidence, or legal dispute.</w:t>
            </w:r>
          </w:p>
        </w:tc>
      </w:tr>
    </w:tbl>
    <w:p w14:paraId="27FEAB33" w14:textId="77777777" w:rsidR="003D2C5F" w:rsidRDefault="00000000">
      <w:pPr>
        <w:pStyle w:val="Heading2"/>
        <w:spacing w:after="80" w:line="360" w:lineRule="auto"/>
      </w:pPr>
      <w:r>
        <w:br w:type="page"/>
      </w:r>
      <w:bookmarkStart w:id="191" w:name="_Toc241144246"/>
      <w:r>
        <w:rPr>
          <w:sz w:val="34"/>
          <w:szCs w:val="34"/>
        </w:rPr>
        <w:lastRenderedPageBreak/>
        <w:t>Appendix D: Coding Matrix and Coding Justifications</w:t>
      </w:r>
      <w:bookmarkEnd w:id="191"/>
    </w:p>
    <w:p w14:paraId="6FFA9D24" w14:textId="77777777" w:rsidR="003D2C5F" w:rsidRDefault="00000000">
      <w:pPr>
        <w:spacing w:before="120" w:after="120" w:line="300" w:lineRule="auto"/>
        <w:jc w:val="both"/>
      </w:pPr>
      <w:r>
        <w:rPr>
          <w:rFonts w:ascii="Arial" w:eastAsia="Arial" w:hAnsi="Arial" w:cs="Arial"/>
        </w:rPr>
        <w:t>Table D1 records the code applied (1) or not applied (0) to each post. The column totals produce the frequencies reported in Table 4.3. Table D2 gives the author’s justification for every code applied to each post, so that each “1” in Table D1 can be checked against the post itself.</w:t>
      </w:r>
    </w:p>
    <w:p w14:paraId="7C6B5134" w14:textId="77777777" w:rsidR="003D2C5F" w:rsidRDefault="00000000">
      <w:pPr>
        <w:spacing w:before="120" w:after="120" w:line="300" w:lineRule="auto"/>
        <w:jc w:val="both"/>
      </w:pPr>
      <w:r>
        <w:rPr>
          <w:rFonts w:ascii="Arial" w:eastAsia="Arial" w:hAnsi="Arial" w:cs="Arial"/>
          <w:b/>
          <w:sz w:val="18"/>
          <w:szCs w:val="18"/>
        </w:rPr>
        <w:t>Table D1: Coding Matrix (n = 16)</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1015"/>
        <w:gridCol w:w="985"/>
        <w:gridCol w:w="985"/>
        <w:gridCol w:w="985"/>
        <w:gridCol w:w="985"/>
        <w:gridCol w:w="985"/>
        <w:gridCol w:w="985"/>
        <w:gridCol w:w="985"/>
        <w:gridCol w:w="985"/>
      </w:tblGrid>
      <w:tr w:rsidR="003D2C5F" w14:paraId="20102165" w14:textId="77777777">
        <w:trPr>
          <w:tblHeader/>
        </w:trPr>
        <w:tc>
          <w:tcPr>
            <w:tcW w:w="1015" w:type="dxa"/>
            <w:shd w:val="clear" w:color="auto" w:fill="D9E2F3"/>
          </w:tcPr>
          <w:p w14:paraId="3C174415" w14:textId="77777777" w:rsidR="003D2C5F" w:rsidRDefault="00000000">
            <w:pPr>
              <w:spacing w:before="20" w:after="20"/>
            </w:pPr>
            <w:r>
              <w:rPr>
                <w:rFonts w:ascii="Arial" w:eastAsia="Arial" w:hAnsi="Arial" w:cs="Arial"/>
                <w:b/>
                <w:sz w:val="16"/>
                <w:szCs w:val="16"/>
              </w:rPr>
              <w:t>ID</w:t>
            </w:r>
          </w:p>
        </w:tc>
        <w:tc>
          <w:tcPr>
            <w:tcW w:w="985" w:type="dxa"/>
            <w:shd w:val="clear" w:color="auto" w:fill="D9E2F3"/>
          </w:tcPr>
          <w:p w14:paraId="639BADC6" w14:textId="77777777" w:rsidR="003D2C5F" w:rsidRDefault="00000000">
            <w:pPr>
              <w:spacing w:before="20" w:after="20"/>
            </w:pPr>
            <w:r>
              <w:rPr>
                <w:rFonts w:ascii="Arial" w:eastAsia="Arial" w:hAnsi="Arial" w:cs="Arial"/>
                <w:b/>
                <w:sz w:val="16"/>
                <w:szCs w:val="16"/>
              </w:rPr>
              <w:t>Hum.</w:t>
            </w:r>
          </w:p>
        </w:tc>
        <w:tc>
          <w:tcPr>
            <w:tcW w:w="985" w:type="dxa"/>
            <w:shd w:val="clear" w:color="auto" w:fill="D9E2F3"/>
          </w:tcPr>
          <w:p w14:paraId="66665E18" w14:textId="77777777" w:rsidR="003D2C5F" w:rsidRDefault="00000000">
            <w:pPr>
              <w:spacing w:before="20" w:after="20"/>
            </w:pPr>
            <w:r>
              <w:rPr>
                <w:rFonts w:ascii="Arial" w:eastAsia="Arial" w:hAnsi="Arial" w:cs="Arial"/>
                <w:b/>
                <w:sz w:val="16"/>
                <w:szCs w:val="16"/>
              </w:rPr>
              <w:t>Pers.</w:t>
            </w:r>
          </w:p>
        </w:tc>
        <w:tc>
          <w:tcPr>
            <w:tcW w:w="985" w:type="dxa"/>
            <w:shd w:val="clear" w:color="auto" w:fill="D9E2F3"/>
          </w:tcPr>
          <w:p w14:paraId="00349E68" w14:textId="77777777" w:rsidR="003D2C5F" w:rsidRDefault="00000000">
            <w:pPr>
              <w:spacing w:before="20" w:after="20"/>
            </w:pPr>
            <w:r>
              <w:rPr>
                <w:rFonts w:ascii="Arial" w:eastAsia="Arial" w:hAnsi="Arial" w:cs="Arial"/>
                <w:b/>
                <w:sz w:val="16"/>
                <w:szCs w:val="16"/>
              </w:rPr>
              <w:t>Narr.</w:t>
            </w:r>
          </w:p>
        </w:tc>
        <w:tc>
          <w:tcPr>
            <w:tcW w:w="985" w:type="dxa"/>
            <w:shd w:val="clear" w:color="auto" w:fill="D9E2F3"/>
          </w:tcPr>
          <w:p w14:paraId="7DADAD88" w14:textId="77777777" w:rsidR="003D2C5F" w:rsidRDefault="00000000">
            <w:pPr>
              <w:spacing w:before="20" w:after="20"/>
            </w:pPr>
            <w:r>
              <w:rPr>
                <w:rFonts w:ascii="Arial" w:eastAsia="Arial" w:hAnsi="Arial" w:cs="Arial"/>
                <w:b/>
                <w:sz w:val="16"/>
                <w:szCs w:val="16"/>
              </w:rPr>
              <w:t>Chall.</w:t>
            </w:r>
          </w:p>
        </w:tc>
        <w:tc>
          <w:tcPr>
            <w:tcW w:w="985" w:type="dxa"/>
            <w:shd w:val="clear" w:color="auto" w:fill="D9E2F3"/>
          </w:tcPr>
          <w:p w14:paraId="0AE72BA1" w14:textId="77777777" w:rsidR="003D2C5F" w:rsidRDefault="00000000">
            <w:pPr>
              <w:spacing w:before="20" w:after="20"/>
            </w:pPr>
            <w:r>
              <w:rPr>
                <w:rFonts w:ascii="Arial" w:eastAsia="Arial" w:hAnsi="Arial" w:cs="Arial"/>
                <w:b/>
                <w:sz w:val="16"/>
                <w:szCs w:val="16"/>
              </w:rPr>
              <w:t>Cult.</w:t>
            </w:r>
          </w:p>
        </w:tc>
        <w:tc>
          <w:tcPr>
            <w:tcW w:w="985" w:type="dxa"/>
            <w:shd w:val="clear" w:color="auto" w:fill="D9E2F3"/>
          </w:tcPr>
          <w:p w14:paraId="61816CAB" w14:textId="77777777" w:rsidR="003D2C5F" w:rsidRDefault="00000000">
            <w:pPr>
              <w:spacing w:before="20" w:after="20"/>
            </w:pPr>
            <w:r>
              <w:rPr>
                <w:rFonts w:ascii="Arial" w:eastAsia="Arial" w:hAnsi="Arial" w:cs="Arial"/>
                <w:b/>
                <w:sz w:val="16"/>
                <w:szCs w:val="16"/>
              </w:rPr>
              <w:t>Brand</w:t>
            </w:r>
          </w:p>
        </w:tc>
        <w:tc>
          <w:tcPr>
            <w:tcW w:w="985" w:type="dxa"/>
            <w:shd w:val="clear" w:color="auto" w:fill="D9E2F3"/>
          </w:tcPr>
          <w:p w14:paraId="3D32CA44" w14:textId="77777777" w:rsidR="003D2C5F" w:rsidRDefault="00000000">
            <w:pPr>
              <w:spacing w:before="20" w:after="20"/>
            </w:pPr>
            <w:r>
              <w:rPr>
                <w:rFonts w:ascii="Arial" w:eastAsia="Arial" w:hAnsi="Arial" w:cs="Arial"/>
                <w:b/>
                <w:sz w:val="16"/>
                <w:szCs w:val="16"/>
              </w:rPr>
              <w:t>Char.</w:t>
            </w:r>
          </w:p>
        </w:tc>
        <w:tc>
          <w:tcPr>
            <w:tcW w:w="985" w:type="dxa"/>
            <w:shd w:val="clear" w:color="auto" w:fill="D9E2F3"/>
          </w:tcPr>
          <w:p w14:paraId="60866CFD" w14:textId="77777777" w:rsidR="003D2C5F" w:rsidRDefault="00000000">
            <w:pPr>
              <w:spacing w:before="20" w:after="20"/>
            </w:pPr>
            <w:r>
              <w:rPr>
                <w:rFonts w:ascii="Arial" w:eastAsia="Arial" w:hAnsi="Arial" w:cs="Arial"/>
                <w:b/>
                <w:sz w:val="16"/>
                <w:szCs w:val="16"/>
              </w:rPr>
              <w:t>Legal</w:t>
            </w:r>
          </w:p>
        </w:tc>
      </w:tr>
      <w:tr w:rsidR="003D2C5F" w14:paraId="0E058C6C" w14:textId="77777777">
        <w:tc>
          <w:tcPr>
            <w:tcW w:w="1015" w:type="dxa"/>
          </w:tcPr>
          <w:p w14:paraId="25DDE05B" w14:textId="77777777" w:rsidR="003D2C5F" w:rsidRDefault="00000000">
            <w:pPr>
              <w:spacing w:before="20" w:after="20"/>
            </w:pPr>
            <w:r>
              <w:rPr>
                <w:rFonts w:ascii="Arial" w:eastAsia="Arial" w:hAnsi="Arial" w:cs="Arial"/>
                <w:sz w:val="16"/>
                <w:szCs w:val="16"/>
              </w:rPr>
              <w:t>P01</w:t>
            </w:r>
          </w:p>
        </w:tc>
        <w:tc>
          <w:tcPr>
            <w:tcW w:w="985" w:type="dxa"/>
          </w:tcPr>
          <w:p w14:paraId="4BF4D388" w14:textId="77777777" w:rsidR="003D2C5F" w:rsidRDefault="00000000">
            <w:pPr>
              <w:spacing w:before="20" w:after="20"/>
              <w:jc w:val="center"/>
            </w:pPr>
            <w:r>
              <w:rPr>
                <w:rFonts w:ascii="Arial" w:eastAsia="Arial" w:hAnsi="Arial" w:cs="Arial"/>
                <w:sz w:val="16"/>
                <w:szCs w:val="16"/>
              </w:rPr>
              <w:t>1</w:t>
            </w:r>
          </w:p>
        </w:tc>
        <w:tc>
          <w:tcPr>
            <w:tcW w:w="985" w:type="dxa"/>
          </w:tcPr>
          <w:p w14:paraId="0A63E565" w14:textId="77777777" w:rsidR="003D2C5F" w:rsidRDefault="00000000">
            <w:pPr>
              <w:spacing w:before="20" w:after="20"/>
              <w:jc w:val="center"/>
            </w:pPr>
            <w:r>
              <w:rPr>
                <w:rFonts w:ascii="Arial" w:eastAsia="Arial" w:hAnsi="Arial" w:cs="Arial"/>
                <w:sz w:val="16"/>
                <w:szCs w:val="16"/>
              </w:rPr>
              <w:t>1</w:t>
            </w:r>
          </w:p>
        </w:tc>
        <w:tc>
          <w:tcPr>
            <w:tcW w:w="985" w:type="dxa"/>
          </w:tcPr>
          <w:p w14:paraId="35641721" w14:textId="77777777" w:rsidR="003D2C5F" w:rsidRDefault="00000000">
            <w:pPr>
              <w:spacing w:before="20" w:after="20"/>
              <w:jc w:val="center"/>
            </w:pPr>
            <w:r>
              <w:rPr>
                <w:rFonts w:ascii="Arial" w:eastAsia="Arial" w:hAnsi="Arial" w:cs="Arial"/>
                <w:sz w:val="16"/>
                <w:szCs w:val="16"/>
              </w:rPr>
              <w:t>1</w:t>
            </w:r>
          </w:p>
        </w:tc>
        <w:tc>
          <w:tcPr>
            <w:tcW w:w="985" w:type="dxa"/>
          </w:tcPr>
          <w:p w14:paraId="5BD812BF" w14:textId="77777777" w:rsidR="003D2C5F" w:rsidRDefault="00000000">
            <w:pPr>
              <w:spacing w:before="20" w:after="20"/>
              <w:jc w:val="center"/>
            </w:pPr>
            <w:r>
              <w:rPr>
                <w:rFonts w:ascii="Arial" w:eastAsia="Arial" w:hAnsi="Arial" w:cs="Arial"/>
                <w:sz w:val="16"/>
                <w:szCs w:val="16"/>
              </w:rPr>
              <w:t>1</w:t>
            </w:r>
          </w:p>
        </w:tc>
        <w:tc>
          <w:tcPr>
            <w:tcW w:w="985" w:type="dxa"/>
          </w:tcPr>
          <w:p w14:paraId="0B54075A" w14:textId="77777777" w:rsidR="003D2C5F" w:rsidRDefault="00000000">
            <w:pPr>
              <w:spacing w:before="20" w:after="20"/>
              <w:jc w:val="center"/>
            </w:pPr>
            <w:r>
              <w:rPr>
                <w:rFonts w:ascii="Arial" w:eastAsia="Arial" w:hAnsi="Arial" w:cs="Arial"/>
                <w:sz w:val="16"/>
                <w:szCs w:val="16"/>
              </w:rPr>
              <w:t>1</w:t>
            </w:r>
          </w:p>
        </w:tc>
        <w:tc>
          <w:tcPr>
            <w:tcW w:w="985" w:type="dxa"/>
          </w:tcPr>
          <w:p w14:paraId="31AAB2A1" w14:textId="77777777" w:rsidR="003D2C5F" w:rsidRDefault="00000000">
            <w:pPr>
              <w:spacing w:before="20" w:after="20"/>
              <w:jc w:val="center"/>
            </w:pPr>
            <w:r>
              <w:rPr>
                <w:rFonts w:ascii="Arial" w:eastAsia="Arial" w:hAnsi="Arial" w:cs="Arial"/>
                <w:sz w:val="16"/>
                <w:szCs w:val="16"/>
              </w:rPr>
              <w:t>1</w:t>
            </w:r>
          </w:p>
        </w:tc>
        <w:tc>
          <w:tcPr>
            <w:tcW w:w="985" w:type="dxa"/>
          </w:tcPr>
          <w:p w14:paraId="7C93A765" w14:textId="77777777" w:rsidR="003D2C5F" w:rsidRDefault="00000000">
            <w:pPr>
              <w:spacing w:before="20" w:after="20"/>
              <w:jc w:val="center"/>
            </w:pPr>
            <w:r>
              <w:rPr>
                <w:rFonts w:ascii="Arial" w:eastAsia="Arial" w:hAnsi="Arial" w:cs="Arial"/>
                <w:sz w:val="16"/>
                <w:szCs w:val="16"/>
              </w:rPr>
              <w:t>0</w:t>
            </w:r>
          </w:p>
        </w:tc>
        <w:tc>
          <w:tcPr>
            <w:tcW w:w="985" w:type="dxa"/>
          </w:tcPr>
          <w:p w14:paraId="4789D6E3" w14:textId="77777777" w:rsidR="003D2C5F" w:rsidRDefault="00000000">
            <w:pPr>
              <w:spacing w:before="20" w:after="20"/>
              <w:jc w:val="center"/>
            </w:pPr>
            <w:r>
              <w:rPr>
                <w:rFonts w:ascii="Arial" w:eastAsia="Arial" w:hAnsi="Arial" w:cs="Arial"/>
                <w:sz w:val="16"/>
                <w:szCs w:val="16"/>
              </w:rPr>
              <w:t>1</w:t>
            </w:r>
          </w:p>
        </w:tc>
      </w:tr>
      <w:tr w:rsidR="003D2C5F" w14:paraId="0A18BB88" w14:textId="77777777">
        <w:tc>
          <w:tcPr>
            <w:tcW w:w="1015" w:type="dxa"/>
          </w:tcPr>
          <w:p w14:paraId="05E8C96E" w14:textId="77777777" w:rsidR="003D2C5F" w:rsidRDefault="00000000">
            <w:pPr>
              <w:spacing w:before="20" w:after="20"/>
            </w:pPr>
            <w:r>
              <w:rPr>
                <w:rFonts w:ascii="Arial" w:eastAsia="Arial" w:hAnsi="Arial" w:cs="Arial"/>
                <w:sz w:val="16"/>
                <w:szCs w:val="16"/>
              </w:rPr>
              <w:t>P02</w:t>
            </w:r>
          </w:p>
        </w:tc>
        <w:tc>
          <w:tcPr>
            <w:tcW w:w="985" w:type="dxa"/>
          </w:tcPr>
          <w:p w14:paraId="4E842B4B" w14:textId="77777777" w:rsidR="003D2C5F" w:rsidRDefault="00000000">
            <w:pPr>
              <w:spacing w:before="20" w:after="20"/>
              <w:jc w:val="center"/>
            </w:pPr>
            <w:r>
              <w:rPr>
                <w:rFonts w:ascii="Arial" w:eastAsia="Arial" w:hAnsi="Arial" w:cs="Arial"/>
                <w:sz w:val="16"/>
                <w:szCs w:val="16"/>
              </w:rPr>
              <w:t>1</w:t>
            </w:r>
          </w:p>
        </w:tc>
        <w:tc>
          <w:tcPr>
            <w:tcW w:w="985" w:type="dxa"/>
          </w:tcPr>
          <w:p w14:paraId="3F7DCE23" w14:textId="77777777" w:rsidR="003D2C5F" w:rsidRDefault="00000000">
            <w:pPr>
              <w:spacing w:before="20" w:after="20"/>
              <w:jc w:val="center"/>
            </w:pPr>
            <w:r>
              <w:rPr>
                <w:rFonts w:ascii="Arial" w:eastAsia="Arial" w:hAnsi="Arial" w:cs="Arial"/>
                <w:sz w:val="16"/>
                <w:szCs w:val="16"/>
              </w:rPr>
              <w:t>1</w:t>
            </w:r>
          </w:p>
        </w:tc>
        <w:tc>
          <w:tcPr>
            <w:tcW w:w="985" w:type="dxa"/>
          </w:tcPr>
          <w:p w14:paraId="5859F226" w14:textId="77777777" w:rsidR="003D2C5F" w:rsidRDefault="00000000">
            <w:pPr>
              <w:spacing w:before="20" w:after="20"/>
              <w:jc w:val="center"/>
            </w:pPr>
            <w:r>
              <w:rPr>
                <w:rFonts w:ascii="Arial" w:eastAsia="Arial" w:hAnsi="Arial" w:cs="Arial"/>
                <w:sz w:val="16"/>
                <w:szCs w:val="16"/>
              </w:rPr>
              <w:t>1</w:t>
            </w:r>
          </w:p>
        </w:tc>
        <w:tc>
          <w:tcPr>
            <w:tcW w:w="985" w:type="dxa"/>
          </w:tcPr>
          <w:p w14:paraId="0DAB890E" w14:textId="77777777" w:rsidR="003D2C5F" w:rsidRDefault="00000000">
            <w:pPr>
              <w:spacing w:before="20" w:after="20"/>
              <w:jc w:val="center"/>
            </w:pPr>
            <w:r>
              <w:rPr>
                <w:rFonts w:ascii="Arial" w:eastAsia="Arial" w:hAnsi="Arial" w:cs="Arial"/>
                <w:sz w:val="16"/>
                <w:szCs w:val="16"/>
              </w:rPr>
              <w:t>1</w:t>
            </w:r>
          </w:p>
        </w:tc>
        <w:tc>
          <w:tcPr>
            <w:tcW w:w="985" w:type="dxa"/>
          </w:tcPr>
          <w:p w14:paraId="08B58B1F" w14:textId="77777777" w:rsidR="003D2C5F" w:rsidRDefault="00000000">
            <w:pPr>
              <w:spacing w:before="20" w:after="20"/>
              <w:jc w:val="center"/>
            </w:pPr>
            <w:r>
              <w:rPr>
                <w:rFonts w:ascii="Arial" w:eastAsia="Arial" w:hAnsi="Arial" w:cs="Arial"/>
                <w:sz w:val="16"/>
                <w:szCs w:val="16"/>
              </w:rPr>
              <w:t>0</w:t>
            </w:r>
          </w:p>
        </w:tc>
        <w:tc>
          <w:tcPr>
            <w:tcW w:w="985" w:type="dxa"/>
          </w:tcPr>
          <w:p w14:paraId="37A6DE1B" w14:textId="77777777" w:rsidR="003D2C5F" w:rsidRDefault="00000000">
            <w:pPr>
              <w:spacing w:before="20" w:after="20"/>
              <w:jc w:val="center"/>
            </w:pPr>
            <w:r>
              <w:rPr>
                <w:rFonts w:ascii="Arial" w:eastAsia="Arial" w:hAnsi="Arial" w:cs="Arial"/>
                <w:sz w:val="16"/>
                <w:szCs w:val="16"/>
              </w:rPr>
              <w:t>1</w:t>
            </w:r>
          </w:p>
        </w:tc>
        <w:tc>
          <w:tcPr>
            <w:tcW w:w="985" w:type="dxa"/>
          </w:tcPr>
          <w:p w14:paraId="17A39458" w14:textId="77777777" w:rsidR="003D2C5F" w:rsidRDefault="00000000">
            <w:pPr>
              <w:spacing w:before="20" w:after="20"/>
              <w:jc w:val="center"/>
            </w:pPr>
            <w:r>
              <w:rPr>
                <w:rFonts w:ascii="Arial" w:eastAsia="Arial" w:hAnsi="Arial" w:cs="Arial"/>
                <w:sz w:val="16"/>
                <w:szCs w:val="16"/>
              </w:rPr>
              <w:t>0</w:t>
            </w:r>
          </w:p>
        </w:tc>
        <w:tc>
          <w:tcPr>
            <w:tcW w:w="985" w:type="dxa"/>
          </w:tcPr>
          <w:p w14:paraId="797EA1F9" w14:textId="77777777" w:rsidR="003D2C5F" w:rsidRDefault="00000000">
            <w:pPr>
              <w:spacing w:before="20" w:after="20"/>
              <w:jc w:val="center"/>
            </w:pPr>
            <w:r>
              <w:rPr>
                <w:rFonts w:ascii="Arial" w:eastAsia="Arial" w:hAnsi="Arial" w:cs="Arial"/>
                <w:sz w:val="16"/>
                <w:szCs w:val="16"/>
              </w:rPr>
              <w:t>1</w:t>
            </w:r>
          </w:p>
        </w:tc>
      </w:tr>
      <w:tr w:rsidR="003D2C5F" w14:paraId="13519084" w14:textId="77777777">
        <w:tc>
          <w:tcPr>
            <w:tcW w:w="1015" w:type="dxa"/>
          </w:tcPr>
          <w:p w14:paraId="71DEFD6F" w14:textId="77777777" w:rsidR="003D2C5F" w:rsidRDefault="00000000">
            <w:pPr>
              <w:spacing w:before="20" w:after="20"/>
            </w:pPr>
            <w:r>
              <w:rPr>
                <w:rFonts w:ascii="Arial" w:eastAsia="Arial" w:hAnsi="Arial" w:cs="Arial"/>
                <w:sz w:val="16"/>
                <w:szCs w:val="16"/>
              </w:rPr>
              <w:t>P03</w:t>
            </w:r>
          </w:p>
        </w:tc>
        <w:tc>
          <w:tcPr>
            <w:tcW w:w="985" w:type="dxa"/>
          </w:tcPr>
          <w:p w14:paraId="12AD91E6" w14:textId="77777777" w:rsidR="003D2C5F" w:rsidRDefault="00000000">
            <w:pPr>
              <w:spacing w:before="20" w:after="20"/>
              <w:jc w:val="center"/>
            </w:pPr>
            <w:r>
              <w:rPr>
                <w:rFonts w:ascii="Arial" w:eastAsia="Arial" w:hAnsi="Arial" w:cs="Arial"/>
                <w:sz w:val="16"/>
                <w:szCs w:val="16"/>
              </w:rPr>
              <w:t>1</w:t>
            </w:r>
          </w:p>
        </w:tc>
        <w:tc>
          <w:tcPr>
            <w:tcW w:w="985" w:type="dxa"/>
          </w:tcPr>
          <w:p w14:paraId="27C2E0B9" w14:textId="77777777" w:rsidR="003D2C5F" w:rsidRDefault="00000000">
            <w:pPr>
              <w:spacing w:before="20" w:after="20"/>
              <w:jc w:val="center"/>
            </w:pPr>
            <w:r>
              <w:rPr>
                <w:rFonts w:ascii="Arial" w:eastAsia="Arial" w:hAnsi="Arial" w:cs="Arial"/>
                <w:sz w:val="16"/>
                <w:szCs w:val="16"/>
              </w:rPr>
              <w:t>1</w:t>
            </w:r>
          </w:p>
        </w:tc>
        <w:tc>
          <w:tcPr>
            <w:tcW w:w="985" w:type="dxa"/>
          </w:tcPr>
          <w:p w14:paraId="7A33ED93" w14:textId="77777777" w:rsidR="003D2C5F" w:rsidRDefault="00000000">
            <w:pPr>
              <w:spacing w:before="20" w:after="20"/>
              <w:jc w:val="center"/>
            </w:pPr>
            <w:r>
              <w:rPr>
                <w:rFonts w:ascii="Arial" w:eastAsia="Arial" w:hAnsi="Arial" w:cs="Arial"/>
                <w:sz w:val="16"/>
                <w:szCs w:val="16"/>
              </w:rPr>
              <w:t>1</w:t>
            </w:r>
          </w:p>
        </w:tc>
        <w:tc>
          <w:tcPr>
            <w:tcW w:w="985" w:type="dxa"/>
          </w:tcPr>
          <w:p w14:paraId="352E0E79" w14:textId="77777777" w:rsidR="003D2C5F" w:rsidRDefault="00000000">
            <w:pPr>
              <w:spacing w:before="20" w:after="20"/>
              <w:jc w:val="center"/>
            </w:pPr>
            <w:r>
              <w:rPr>
                <w:rFonts w:ascii="Arial" w:eastAsia="Arial" w:hAnsi="Arial" w:cs="Arial"/>
                <w:sz w:val="16"/>
                <w:szCs w:val="16"/>
              </w:rPr>
              <w:t>0</w:t>
            </w:r>
          </w:p>
        </w:tc>
        <w:tc>
          <w:tcPr>
            <w:tcW w:w="985" w:type="dxa"/>
          </w:tcPr>
          <w:p w14:paraId="42EE0B5A" w14:textId="77777777" w:rsidR="003D2C5F" w:rsidRDefault="00000000">
            <w:pPr>
              <w:spacing w:before="20" w:after="20"/>
              <w:jc w:val="center"/>
            </w:pPr>
            <w:r>
              <w:rPr>
                <w:rFonts w:ascii="Arial" w:eastAsia="Arial" w:hAnsi="Arial" w:cs="Arial"/>
                <w:sz w:val="16"/>
                <w:szCs w:val="16"/>
              </w:rPr>
              <w:t>1</w:t>
            </w:r>
          </w:p>
        </w:tc>
        <w:tc>
          <w:tcPr>
            <w:tcW w:w="985" w:type="dxa"/>
          </w:tcPr>
          <w:p w14:paraId="41365BE7" w14:textId="77777777" w:rsidR="003D2C5F" w:rsidRDefault="00000000">
            <w:pPr>
              <w:spacing w:before="20" w:after="20"/>
              <w:jc w:val="center"/>
            </w:pPr>
            <w:r>
              <w:rPr>
                <w:rFonts w:ascii="Arial" w:eastAsia="Arial" w:hAnsi="Arial" w:cs="Arial"/>
                <w:sz w:val="16"/>
                <w:szCs w:val="16"/>
              </w:rPr>
              <w:t>1</w:t>
            </w:r>
          </w:p>
        </w:tc>
        <w:tc>
          <w:tcPr>
            <w:tcW w:w="985" w:type="dxa"/>
          </w:tcPr>
          <w:p w14:paraId="5D708F72" w14:textId="77777777" w:rsidR="003D2C5F" w:rsidRDefault="00000000">
            <w:pPr>
              <w:spacing w:before="20" w:after="20"/>
              <w:jc w:val="center"/>
            </w:pPr>
            <w:r>
              <w:rPr>
                <w:rFonts w:ascii="Arial" w:eastAsia="Arial" w:hAnsi="Arial" w:cs="Arial"/>
                <w:sz w:val="16"/>
                <w:szCs w:val="16"/>
              </w:rPr>
              <w:t>0</w:t>
            </w:r>
          </w:p>
        </w:tc>
        <w:tc>
          <w:tcPr>
            <w:tcW w:w="985" w:type="dxa"/>
          </w:tcPr>
          <w:p w14:paraId="423C0326" w14:textId="77777777" w:rsidR="003D2C5F" w:rsidRDefault="00000000">
            <w:pPr>
              <w:spacing w:before="20" w:after="20"/>
              <w:jc w:val="center"/>
            </w:pPr>
            <w:r>
              <w:rPr>
                <w:rFonts w:ascii="Arial" w:eastAsia="Arial" w:hAnsi="Arial" w:cs="Arial"/>
                <w:sz w:val="16"/>
                <w:szCs w:val="16"/>
              </w:rPr>
              <w:t>1</w:t>
            </w:r>
          </w:p>
        </w:tc>
      </w:tr>
      <w:tr w:rsidR="003D2C5F" w14:paraId="3CF25BF9" w14:textId="77777777">
        <w:tc>
          <w:tcPr>
            <w:tcW w:w="1015" w:type="dxa"/>
          </w:tcPr>
          <w:p w14:paraId="3B21C4E9" w14:textId="77777777" w:rsidR="003D2C5F" w:rsidRDefault="00000000">
            <w:pPr>
              <w:spacing w:before="20" w:after="20"/>
            </w:pPr>
            <w:r>
              <w:rPr>
                <w:rFonts w:ascii="Arial" w:eastAsia="Arial" w:hAnsi="Arial" w:cs="Arial"/>
                <w:sz w:val="16"/>
                <w:szCs w:val="16"/>
              </w:rPr>
              <w:t>P04</w:t>
            </w:r>
          </w:p>
        </w:tc>
        <w:tc>
          <w:tcPr>
            <w:tcW w:w="985" w:type="dxa"/>
          </w:tcPr>
          <w:p w14:paraId="198BF7E3" w14:textId="77777777" w:rsidR="003D2C5F" w:rsidRDefault="00000000">
            <w:pPr>
              <w:spacing w:before="20" w:after="20"/>
              <w:jc w:val="center"/>
            </w:pPr>
            <w:r>
              <w:rPr>
                <w:rFonts w:ascii="Arial" w:eastAsia="Arial" w:hAnsi="Arial" w:cs="Arial"/>
                <w:sz w:val="16"/>
                <w:szCs w:val="16"/>
              </w:rPr>
              <w:t>1</w:t>
            </w:r>
          </w:p>
        </w:tc>
        <w:tc>
          <w:tcPr>
            <w:tcW w:w="985" w:type="dxa"/>
          </w:tcPr>
          <w:p w14:paraId="29B17FC1" w14:textId="77777777" w:rsidR="003D2C5F" w:rsidRDefault="00000000">
            <w:pPr>
              <w:spacing w:before="20" w:after="20"/>
              <w:jc w:val="center"/>
            </w:pPr>
            <w:r>
              <w:rPr>
                <w:rFonts w:ascii="Arial" w:eastAsia="Arial" w:hAnsi="Arial" w:cs="Arial"/>
                <w:sz w:val="16"/>
                <w:szCs w:val="16"/>
              </w:rPr>
              <w:t>0</w:t>
            </w:r>
          </w:p>
        </w:tc>
        <w:tc>
          <w:tcPr>
            <w:tcW w:w="985" w:type="dxa"/>
          </w:tcPr>
          <w:p w14:paraId="197EE31C" w14:textId="77777777" w:rsidR="003D2C5F" w:rsidRDefault="00000000">
            <w:pPr>
              <w:spacing w:before="20" w:after="20"/>
              <w:jc w:val="center"/>
            </w:pPr>
            <w:r>
              <w:rPr>
                <w:rFonts w:ascii="Arial" w:eastAsia="Arial" w:hAnsi="Arial" w:cs="Arial"/>
                <w:sz w:val="16"/>
                <w:szCs w:val="16"/>
              </w:rPr>
              <w:t>1</w:t>
            </w:r>
          </w:p>
        </w:tc>
        <w:tc>
          <w:tcPr>
            <w:tcW w:w="985" w:type="dxa"/>
          </w:tcPr>
          <w:p w14:paraId="33DB7467" w14:textId="77777777" w:rsidR="003D2C5F" w:rsidRDefault="00000000">
            <w:pPr>
              <w:spacing w:before="20" w:after="20"/>
              <w:jc w:val="center"/>
            </w:pPr>
            <w:r>
              <w:rPr>
                <w:rFonts w:ascii="Arial" w:eastAsia="Arial" w:hAnsi="Arial" w:cs="Arial"/>
                <w:sz w:val="16"/>
                <w:szCs w:val="16"/>
              </w:rPr>
              <w:t>1</w:t>
            </w:r>
          </w:p>
        </w:tc>
        <w:tc>
          <w:tcPr>
            <w:tcW w:w="985" w:type="dxa"/>
          </w:tcPr>
          <w:p w14:paraId="050D54FC" w14:textId="77777777" w:rsidR="003D2C5F" w:rsidRDefault="00000000">
            <w:pPr>
              <w:spacing w:before="20" w:after="20"/>
              <w:jc w:val="center"/>
            </w:pPr>
            <w:r>
              <w:rPr>
                <w:rFonts w:ascii="Arial" w:eastAsia="Arial" w:hAnsi="Arial" w:cs="Arial"/>
                <w:sz w:val="16"/>
                <w:szCs w:val="16"/>
              </w:rPr>
              <w:t>1</w:t>
            </w:r>
          </w:p>
        </w:tc>
        <w:tc>
          <w:tcPr>
            <w:tcW w:w="985" w:type="dxa"/>
          </w:tcPr>
          <w:p w14:paraId="6B81F88C" w14:textId="77777777" w:rsidR="003D2C5F" w:rsidRDefault="00000000">
            <w:pPr>
              <w:spacing w:before="20" w:after="20"/>
              <w:jc w:val="center"/>
            </w:pPr>
            <w:r>
              <w:rPr>
                <w:rFonts w:ascii="Arial" w:eastAsia="Arial" w:hAnsi="Arial" w:cs="Arial"/>
                <w:sz w:val="16"/>
                <w:szCs w:val="16"/>
              </w:rPr>
              <w:t>1</w:t>
            </w:r>
          </w:p>
        </w:tc>
        <w:tc>
          <w:tcPr>
            <w:tcW w:w="985" w:type="dxa"/>
          </w:tcPr>
          <w:p w14:paraId="74290B1E" w14:textId="77777777" w:rsidR="003D2C5F" w:rsidRDefault="00000000">
            <w:pPr>
              <w:spacing w:before="20" w:after="20"/>
              <w:jc w:val="center"/>
            </w:pPr>
            <w:r>
              <w:rPr>
                <w:rFonts w:ascii="Arial" w:eastAsia="Arial" w:hAnsi="Arial" w:cs="Arial"/>
                <w:sz w:val="16"/>
                <w:szCs w:val="16"/>
              </w:rPr>
              <w:t>0</w:t>
            </w:r>
          </w:p>
        </w:tc>
        <w:tc>
          <w:tcPr>
            <w:tcW w:w="985" w:type="dxa"/>
          </w:tcPr>
          <w:p w14:paraId="659C6C44" w14:textId="77777777" w:rsidR="003D2C5F" w:rsidRDefault="00000000">
            <w:pPr>
              <w:spacing w:before="20" w:after="20"/>
              <w:jc w:val="center"/>
            </w:pPr>
            <w:r>
              <w:rPr>
                <w:rFonts w:ascii="Arial" w:eastAsia="Arial" w:hAnsi="Arial" w:cs="Arial"/>
                <w:sz w:val="16"/>
                <w:szCs w:val="16"/>
              </w:rPr>
              <w:t>0</w:t>
            </w:r>
          </w:p>
        </w:tc>
      </w:tr>
      <w:tr w:rsidR="003D2C5F" w14:paraId="5FDDA611" w14:textId="77777777">
        <w:tc>
          <w:tcPr>
            <w:tcW w:w="1015" w:type="dxa"/>
          </w:tcPr>
          <w:p w14:paraId="38BF2F2E" w14:textId="77777777" w:rsidR="003D2C5F" w:rsidRDefault="00000000">
            <w:pPr>
              <w:spacing w:before="20" w:after="20"/>
            </w:pPr>
            <w:r>
              <w:rPr>
                <w:rFonts w:ascii="Arial" w:eastAsia="Arial" w:hAnsi="Arial" w:cs="Arial"/>
                <w:sz w:val="16"/>
                <w:szCs w:val="16"/>
              </w:rPr>
              <w:t>P05</w:t>
            </w:r>
          </w:p>
        </w:tc>
        <w:tc>
          <w:tcPr>
            <w:tcW w:w="985" w:type="dxa"/>
          </w:tcPr>
          <w:p w14:paraId="1981DBBE" w14:textId="77777777" w:rsidR="003D2C5F" w:rsidRDefault="00000000">
            <w:pPr>
              <w:spacing w:before="20" w:after="20"/>
              <w:jc w:val="center"/>
            </w:pPr>
            <w:r>
              <w:rPr>
                <w:rFonts w:ascii="Arial" w:eastAsia="Arial" w:hAnsi="Arial" w:cs="Arial"/>
                <w:sz w:val="16"/>
                <w:szCs w:val="16"/>
              </w:rPr>
              <w:t>1</w:t>
            </w:r>
          </w:p>
        </w:tc>
        <w:tc>
          <w:tcPr>
            <w:tcW w:w="985" w:type="dxa"/>
          </w:tcPr>
          <w:p w14:paraId="25D7CE4F" w14:textId="77777777" w:rsidR="003D2C5F" w:rsidRDefault="00000000">
            <w:pPr>
              <w:spacing w:before="20" w:after="20"/>
              <w:jc w:val="center"/>
            </w:pPr>
            <w:r>
              <w:rPr>
                <w:rFonts w:ascii="Arial" w:eastAsia="Arial" w:hAnsi="Arial" w:cs="Arial"/>
                <w:sz w:val="16"/>
                <w:szCs w:val="16"/>
              </w:rPr>
              <w:t>1</w:t>
            </w:r>
          </w:p>
        </w:tc>
        <w:tc>
          <w:tcPr>
            <w:tcW w:w="985" w:type="dxa"/>
          </w:tcPr>
          <w:p w14:paraId="63126EB6" w14:textId="77777777" w:rsidR="003D2C5F" w:rsidRDefault="00000000">
            <w:pPr>
              <w:spacing w:before="20" w:after="20"/>
              <w:jc w:val="center"/>
            </w:pPr>
            <w:r>
              <w:rPr>
                <w:rFonts w:ascii="Arial" w:eastAsia="Arial" w:hAnsi="Arial" w:cs="Arial"/>
                <w:sz w:val="16"/>
                <w:szCs w:val="16"/>
              </w:rPr>
              <w:t>1</w:t>
            </w:r>
          </w:p>
        </w:tc>
        <w:tc>
          <w:tcPr>
            <w:tcW w:w="985" w:type="dxa"/>
          </w:tcPr>
          <w:p w14:paraId="552E16EE" w14:textId="77777777" w:rsidR="003D2C5F" w:rsidRDefault="00000000">
            <w:pPr>
              <w:spacing w:before="20" w:after="20"/>
              <w:jc w:val="center"/>
            </w:pPr>
            <w:r>
              <w:rPr>
                <w:rFonts w:ascii="Arial" w:eastAsia="Arial" w:hAnsi="Arial" w:cs="Arial"/>
                <w:sz w:val="16"/>
                <w:szCs w:val="16"/>
              </w:rPr>
              <w:t>1</w:t>
            </w:r>
          </w:p>
        </w:tc>
        <w:tc>
          <w:tcPr>
            <w:tcW w:w="985" w:type="dxa"/>
          </w:tcPr>
          <w:p w14:paraId="643287FE" w14:textId="77777777" w:rsidR="003D2C5F" w:rsidRDefault="00000000">
            <w:pPr>
              <w:spacing w:before="20" w:after="20"/>
              <w:jc w:val="center"/>
            </w:pPr>
            <w:r>
              <w:rPr>
                <w:rFonts w:ascii="Arial" w:eastAsia="Arial" w:hAnsi="Arial" w:cs="Arial"/>
                <w:sz w:val="16"/>
                <w:szCs w:val="16"/>
              </w:rPr>
              <w:t>1</w:t>
            </w:r>
          </w:p>
        </w:tc>
        <w:tc>
          <w:tcPr>
            <w:tcW w:w="985" w:type="dxa"/>
          </w:tcPr>
          <w:p w14:paraId="01980BD2" w14:textId="77777777" w:rsidR="003D2C5F" w:rsidRDefault="00000000">
            <w:pPr>
              <w:spacing w:before="20" w:after="20"/>
              <w:jc w:val="center"/>
            </w:pPr>
            <w:r>
              <w:rPr>
                <w:rFonts w:ascii="Arial" w:eastAsia="Arial" w:hAnsi="Arial" w:cs="Arial"/>
                <w:sz w:val="16"/>
                <w:szCs w:val="16"/>
              </w:rPr>
              <w:t>1</w:t>
            </w:r>
          </w:p>
        </w:tc>
        <w:tc>
          <w:tcPr>
            <w:tcW w:w="985" w:type="dxa"/>
          </w:tcPr>
          <w:p w14:paraId="410A2406" w14:textId="77777777" w:rsidR="003D2C5F" w:rsidRDefault="00000000">
            <w:pPr>
              <w:spacing w:before="20" w:after="20"/>
              <w:jc w:val="center"/>
            </w:pPr>
            <w:r>
              <w:rPr>
                <w:rFonts w:ascii="Arial" w:eastAsia="Arial" w:hAnsi="Arial" w:cs="Arial"/>
                <w:sz w:val="16"/>
                <w:szCs w:val="16"/>
              </w:rPr>
              <w:t>0</w:t>
            </w:r>
          </w:p>
        </w:tc>
        <w:tc>
          <w:tcPr>
            <w:tcW w:w="985" w:type="dxa"/>
          </w:tcPr>
          <w:p w14:paraId="3D14BE84" w14:textId="77777777" w:rsidR="003D2C5F" w:rsidRDefault="00000000">
            <w:pPr>
              <w:spacing w:before="20" w:after="20"/>
              <w:jc w:val="center"/>
            </w:pPr>
            <w:r>
              <w:rPr>
                <w:rFonts w:ascii="Arial" w:eastAsia="Arial" w:hAnsi="Arial" w:cs="Arial"/>
                <w:sz w:val="16"/>
                <w:szCs w:val="16"/>
              </w:rPr>
              <w:t>1</w:t>
            </w:r>
          </w:p>
        </w:tc>
      </w:tr>
      <w:tr w:rsidR="003D2C5F" w14:paraId="3965495B" w14:textId="77777777">
        <w:tc>
          <w:tcPr>
            <w:tcW w:w="1015" w:type="dxa"/>
          </w:tcPr>
          <w:p w14:paraId="5538CB64" w14:textId="77777777" w:rsidR="003D2C5F" w:rsidRDefault="00000000">
            <w:pPr>
              <w:spacing w:before="20" w:after="20"/>
            </w:pPr>
            <w:r>
              <w:rPr>
                <w:rFonts w:ascii="Arial" w:eastAsia="Arial" w:hAnsi="Arial" w:cs="Arial"/>
                <w:sz w:val="16"/>
                <w:szCs w:val="16"/>
              </w:rPr>
              <w:t>P06</w:t>
            </w:r>
          </w:p>
        </w:tc>
        <w:tc>
          <w:tcPr>
            <w:tcW w:w="985" w:type="dxa"/>
          </w:tcPr>
          <w:p w14:paraId="7EDFA6C6" w14:textId="77777777" w:rsidR="003D2C5F" w:rsidRDefault="00000000">
            <w:pPr>
              <w:spacing w:before="20" w:after="20"/>
              <w:jc w:val="center"/>
            </w:pPr>
            <w:r>
              <w:rPr>
                <w:rFonts w:ascii="Arial" w:eastAsia="Arial" w:hAnsi="Arial" w:cs="Arial"/>
                <w:sz w:val="16"/>
                <w:szCs w:val="16"/>
              </w:rPr>
              <w:t>1</w:t>
            </w:r>
          </w:p>
        </w:tc>
        <w:tc>
          <w:tcPr>
            <w:tcW w:w="985" w:type="dxa"/>
          </w:tcPr>
          <w:p w14:paraId="650DE5E6" w14:textId="77777777" w:rsidR="003D2C5F" w:rsidRDefault="00000000">
            <w:pPr>
              <w:spacing w:before="20" w:after="20"/>
              <w:jc w:val="center"/>
            </w:pPr>
            <w:r>
              <w:rPr>
                <w:rFonts w:ascii="Arial" w:eastAsia="Arial" w:hAnsi="Arial" w:cs="Arial"/>
                <w:sz w:val="16"/>
                <w:szCs w:val="16"/>
              </w:rPr>
              <w:t>1</w:t>
            </w:r>
          </w:p>
        </w:tc>
        <w:tc>
          <w:tcPr>
            <w:tcW w:w="985" w:type="dxa"/>
          </w:tcPr>
          <w:p w14:paraId="61399F04" w14:textId="77777777" w:rsidR="003D2C5F" w:rsidRDefault="00000000">
            <w:pPr>
              <w:spacing w:before="20" w:after="20"/>
              <w:jc w:val="center"/>
            </w:pPr>
            <w:r>
              <w:rPr>
                <w:rFonts w:ascii="Arial" w:eastAsia="Arial" w:hAnsi="Arial" w:cs="Arial"/>
                <w:sz w:val="16"/>
                <w:szCs w:val="16"/>
              </w:rPr>
              <w:t>1</w:t>
            </w:r>
          </w:p>
        </w:tc>
        <w:tc>
          <w:tcPr>
            <w:tcW w:w="985" w:type="dxa"/>
          </w:tcPr>
          <w:p w14:paraId="7A963CF5" w14:textId="77777777" w:rsidR="003D2C5F" w:rsidRDefault="00000000">
            <w:pPr>
              <w:spacing w:before="20" w:after="20"/>
              <w:jc w:val="center"/>
            </w:pPr>
            <w:r>
              <w:rPr>
                <w:rFonts w:ascii="Arial" w:eastAsia="Arial" w:hAnsi="Arial" w:cs="Arial"/>
                <w:sz w:val="16"/>
                <w:szCs w:val="16"/>
              </w:rPr>
              <w:t>1</w:t>
            </w:r>
          </w:p>
        </w:tc>
        <w:tc>
          <w:tcPr>
            <w:tcW w:w="985" w:type="dxa"/>
          </w:tcPr>
          <w:p w14:paraId="70AD8168" w14:textId="77777777" w:rsidR="003D2C5F" w:rsidRDefault="00000000">
            <w:pPr>
              <w:spacing w:before="20" w:after="20"/>
              <w:jc w:val="center"/>
            </w:pPr>
            <w:r>
              <w:rPr>
                <w:rFonts w:ascii="Arial" w:eastAsia="Arial" w:hAnsi="Arial" w:cs="Arial"/>
                <w:sz w:val="16"/>
                <w:szCs w:val="16"/>
              </w:rPr>
              <w:t>1</w:t>
            </w:r>
          </w:p>
        </w:tc>
        <w:tc>
          <w:tcPr>
            <w:tcW w:w="985" w:type="dxa"/>
          </w:tcPr>
          <w:p w14:paraId="4B4A5D1B" w14:textId="77777777" w:rsidR="003D2C5F" w:rsidRDefault="00000000">
            <w:pPr>
              <w:spacing w:before="20" w:after="20"/>
              <w:jc w:val="center"/>
            </w:pPr>
            <w:r>
              <w:rPr>
                <w:rFonts w:ascii="Arial" w:eastAsia="Arial" w:hAnsi="Arial" w:cs="Arial"/>
                <w:sz w:val="16"/>
                <w:szCs w:val="16"/>
              </w:rPr>
              <w:t>1</w:t>
            </w:r>
          </w:p>
        </w:tc>
        <w:tc>
          <w:tcPr>
            <w:tcW w:w="985" w:type="dxa"/>
          </w:tcPr>
          <w:p w14:paraId="7EE2A50E" w14:textId="77777777" w:rsidR="003D2C5F" w:rsidRDefault="00000000">
            <w:pPr>
              <w:spacing w:before="20" w:after="20"/>
              <w:jc w:val="center"/>
            </w:pPr>
            <w:r>
              <w:rPr>
                <w:rFonts w:ascii="Arial" w:eastAsia="Arial" w:hAnsi="Arial" w:cs="Arial"/>
                <w:sz w:val="16"/>
                <w:szCs w:val="16"/>
              </w:rPr>
              <w:t>0</w:t>
            </w:r>
          </w:p>
        </w:tc>
        <w:tc>
          <w:tcPr>
            <w:tcW w:w="985" w:type="dxa"/>
          </w:tcPr>
          <w:p w14:paraId="57E2F887" w14:textId="77777777" w:rsidR="003D2C5F" w:rsidRDefault="00000000">
            <w:pPr>
              <w:spacing w:before="20" w:after="20"/>
              <w:jc w:val="center"/>
            </w:pPr>
            <w:r>
              <w:rPr>
                <w:rFonts w:ascii="Arial" w:eastAsia="Arial" w:hAnsi="Arial" w:cs="Arial"/>
                <w:sz w:val="16"/>
                <w:szCs w:val="16"/>
              </w:rPr>
              <w:t>1</w:t>
            </w:r>
          </w:p>
        </w:tc>
      </w:tr>
      <w:tr w:rsidR="003D2C5F" w14:paraId="203504CB" w14:textId="77777777">
        <w:tc>
          <w:tcPr>
            <w:tcW w:w="1015" w:type="dxa"/>
          </w:tcPr>
          <w:p w14:paraId="7DBBFAA0" w14:textId="77777777" w:rsidR="003D2C5F" w:rsidRDefault="00000000">
            <w:pPr>
              <w:spacing w:before="20" w:after="20"/>
            </w:pPr>
            <w:r>
              <w:rPr>
                <w:rFonts w:ascii="Arial" w:eastAsia="Arial" w:hAnsi="Arial" w:cs="Arial"/>
                <w:sz w:val="16"/>
                <w:szCs w:val="16"/>
              </w:rPr>
              <w:t>P07</w:t>
            </w:r>
          </w:p>
        </w:tc>
        <w:tc>
          <w:tcPr>
            <w:tcW w:w="985" w:type="dxa"/>
          </w:tcPr>
          <w:p w14:paraId="2F8AD2C6" w14:textId="77777777" w:rsidR="003D2C5F" w:rsidRDefault="00000000">
            <w:pPr>
              <w:spacing w:before="20" w:after="20"/>
              <w:jc w:val="center"/>
            </w:pPr>
            <w:r>
              <w:rPr>
                <w:rFonts w:ascii="Arial" w:eastAsia="Arial" w:hAnsi="Arial" w:cs="Arial"/>
                <w:sz w:val="16"/>
                <w:szCs w:val="16"/>
              </w:rPr>
              <w:t>1</w:t>
            </w:r>
          </w:p>
        </w:tc>
        <w:tc>
          <w:tcPr>
            <w:tcW w:w="985" w:type="dxa"/>
          </w:tcPr>
          <w:p w14:paraId="7BC4B923" w14:textId="77777777" w:rsidR="003D2C5F" w:rsidRDefault="00000000">
            <w:pPr>
              <w:spacing w:before="20" w:after="20"/>
              <w:jc w:val="center"/>
            </w:pPr>
            <w:r>
              <w:rPr>
                <w:rFonts w:ascii="Arial" w:eastAsia="Arial" w:hAnsi="Arial" w:cs="Arial"/>
                <w:sz w:val="16"/>
                <w:szCs w:val="16"/>
              </w:rPr>
              <w:t>1</w:t>
            </w:r>
          </w:p>
        </w:tc>
        <w:tc>
          <w:tcPr>
            <w:tcW w:w="985" w:type="dxa"/>
          </w:tcPr>
          <w:p w14:paraId="44FF714B" w14:textId="77777777" w:rsidR="003D2C5F" w:rsidRDefault="00000000">
            <w:pPr>
              <w:spacing w:before="20" w:after="20"/>
              <w:jc w:val="center"/>
            </w:pPr>
            <w:r>
              <w:rPr>
                <w:rFonts w:ascii="Arial" w:eastAsia="Arial" w:hAnsi="Arial" w:cs="Arial"/>
                <w:sz w:val="16"/>
                <w:szCs w:val="16"/>
              </w:rPr>
              <w:t>1</w:t>
            </w:r>
          </w:p>
        </w:tc>
        <w:tc>
          <w:tcPr>
            <w:tcW w:w="985" w:type="dxa"/>
          </w:tcPr>
          <w:p w14:paraId="16AA3492" w14:textId="77777777" w:rsidR="003D2C5F" w:rsidRDefault="00000000">
            <w:pPr>
              <w:spacing w:before="20" w:after="20"/>
              <w:jc w:val="center"/>
            </w:pPr>
            <w:r>
              <w:rPr>
                <w:rFonts w:ascii="Arial" w:eastAsia="Arial" w:hAnsi="Arial" w:cs="Arial"/>
                <w:sz w:val="16"/>
                <w:szCs w:val="16"/>
              </w:rPr>
              <w:t>1</w:t>
            </w:r>
          </w:p>
        </w:tc>
        <w:tc>
          <w:tcPr>
            <w:tcW w:w="985" w:type="dxa"/>
          </w:tcPr>
          <w:p w14:paraId="1AAF9537" w14:textId="77777777" w:rsidR="003D2C5F" w:rsidRDefault="00000000">
            <w:pPr>
              <w:spacing w:before="20" w:after="20"/>
              <w:jc w:val="center"/>
            </w:pPr>
            <w:r>
              <w:rPr>
                <w:rFonts w:ascii="Arial" w:eastAsia="Arial" w:hAnsi="Arial" w:cs="Arial"/>
                <w:sz w:val="16"/>
                <w:szCs w:val="16"/>
              </w:rPr>
              <w:t>1</w:t>
            </w:r>
          </w:p>
        </w:tc>
        <w:tc>
          <w:tcPr>
            <w:tcW w:w="985" w:type="dxa"/>
          </w:tcPr>
          <w:p w14:paraId="5CFC2017" w14:textId="77777777" w:rsidR="003D2C5F" w:rsidRDefault="00000000">
            <w:pPr>
              <w:spacing w:before="20" w:after="20"/>
              <w:jc w:val="center"/>
            </w:pPr>
            <w:r>
              <w:rPr>
                <w:rFonts w:ascii="Arial" w:eastAsia="Arial" w:hAnsi="Arial" w:cs="Arial"/>
                <w:sz w:val="16"/>
                <w:szCs w:val="16"/>
              </w:rPr>
              <w:t>1</w:t>
            </w:r>
          </w:p>
        </w:tc>
        <w:tc>
          <w:tcPr>
            <w:tcW w:w="985" w:type="dxa"/>
          </w:tcPr>
          <w:p w14:paraId="4F680CA3" w14:textId="77777777" w:rsidR="003D2C5F" w:rsidRDefault="00000000">
            <w:pPr>
              <w:spacing w:before="20" w:after="20"/>
              <w:jc w:val="center"/>
            </w:pPr>
            <w:r>
              <w:rPr>
                <w:rFonts w:ascii="Arial" w:eastAsia="Arial" w:hAnsi="Arial" w:cs="Arial"/>
                <w:sz w:val="16"/>
                <w:szCs w:val="16"/>
              </w:rPr>
              <w:t>0</w:t>
            </w:r>
          </w:p>
        </w:tc>
        <w:tc>
          <w:tcPr>
            <w:tcW w:w="985" w:type="dxa"/>
          </w:tcPr>
          <w:p w14:paraId="65B9B3D6" w14:textId="77777777" w:rsidR="003D2C5F" w:rsidRDefault="00000000">
            <w:pPr>
              <w:spacing w:before="20" w:after="20"/>
              <w:jc w:val="center"/>
            </w:pPr>
            <w:r>
              <w:rPr>
                <w:rFonts w:ascii="Arial" w:eastAsia="Arial" w:hAnsi="Arial" w:cs="Arial"/>
                <w:sz w:val="16"/>
                <w:szCs w:val="16"/>
              </w:rPr>
              <w:t>1</w:t>
            </w:r>
          </w:p>
        </w:tc>
      </w:tr>
      <w:tr w:rsidR="003D2C5F" w14:paraId="041A1F56" w14:textId="77777777">
        <w:tc>
          <w:tcPr>
            <w:tcW w:w="1015" w:type="dxa"/>
          </w:tcPr>
          <w:p w14:paraId="2D059060" w14:textId="77777777" w:rsidR="003D2C5F" w:rsidRDefault="00000000">
            <w:pPr>
              <w:spacing w:before="20" w:after="20"/>
            </w:pPr>
            <w:r>
              <w:rPr>
                <w:rFonts w:ascii="Arial" w:eastAsia="Arial" w:hAnsi="Arial" w:cs="Arial"/>
                <w:sz w:val="16"/>
                <w:szCs w:val="16"/>
              </w:rPr>
              <w:t>P08</w:t>
            </w:r>
          </w:p>
        </w:tc>
        <w:tc>
          <w:tcPr>
            <w:tcW w:w="985" w:type="dxa"/>
          </w:tcPr>
          <w:p w14:paraId="4980884B" w14:textId="77777777" w:rsidR="003D2C5F" w:rsidRDefault="00000000">
            <w:pPr>
              <w:spacing w:before="20" w:after="20"/>
              <w:jc w:val="center"/>
            </w:pPr>
            <w:r>
              <w:rPr>
                <w:rFonts w:ascii="Arial" w:eastAsia="Arial" w:hAnsi="Arial" w:cs="Arial"/>
                <w:sz w:val="16"/>
                <w:szCs w:val="16"/>
              </w:rPr>
              <w:t>1</w:t>
            </w:r>
          </w:p>
        </w:tc>
        <w:tc>
          <w:tcPr>
            <w:tcW w:w="985" w:type="dxa"/>
          </w:tcPr>
          <w:p w14:paraId="62F981C8" w14:textId="77777777" w:rsidR="003D2C5F" w:rsidRDefault="00000000">
            <w:pPr>
              <w:spacing w:before="20" w:after="20"/>
              <w:jc w:val="center"/>
            </w:pPr>
            <w:r>
              <w:rPr>
                <w:rFonts w:ascii="Arial" w:eastAsia="Arial" w:hAnsi="Arial" w:cs="Arial"/>
                <w:sz w:val="16"/>
                <w:szCs w:val="16"/>
              </w:rPr>
              <w:t>1</w:t>
            </w:r>
          </w:p>
        </w:tc>
        <w:tc>
          <w:tcPr>
            <w:tcW w:w="985" w:type="dxa"/>
          </w:tcPr>
          <w:p w14:paraId="18F4BC03" w14:textId="77777777" w:rsidR="003D2C5F" w:rsidRDefault="00000000">
            <w:pPr>
              <w:spacing w:before="20" w:after="20"/>
              <w:jc w:val="center"/>
            </w:pPr>
            <w:r>
              <w:rPr>
                <w:rFonts w:ascii="Arial" w:eastAsia="Arial" w:hAnsi="Arial" w:cs="Arial"/>
                <w:sz w:val="16"/>
                <w:szCs w:val="16"/>
              </w:rPr>
              <w:t>1</w:t>
            </w:r>
          </w:p>
        </w:tc>
        <w:tc>
          <w:tcPr>
            <w:tcW w:w="985" w:type="dxa"/>
          </w:tcPr>
          <w:p w14:paraId="7FDD7735" w14:textId="77777777" w:rsidR="003D2C5F" w:rsidRDefault="00000000">
            <w:pPr>
              <w:spacing w:before="20" w:after="20"/>
              <w:jc w:val="center"/>
            </w:pPr>
            <w:r>
              <w:rPr>
                <w:rFonts w:ascii="Arial" w:eastAsia="Arial" w:hAnsi="Arial" w:cs="Arial"/>
                <w:sz w:val="16"/>
                <w:szCs w:val="16"/>
              </w:rPr>
              <w:t>1</w:t>
            </w:r>
          </w:p>
        </w:tc>
        <w:tc>
          <w:tcPr>
            <w:tcW w:w="985" w:type="dxa"/>
          </w:tcPr>
          <w:p w14:paraId="6E332E54" w14:textId="77777777" w:rsidR="003D2C5F" w:rsidRDefault="00000000">
            <w:pPr>
              <w:spacing w:before="20" w:after="20"/>
              <w:jc w:val="center"/>
            </w:pPr>
            <w:r>
              <w:rPr>
                <w:rFonts w:ascii="Arial" w:eastAsia="Arial" w:hAnsi="Arial" w:cs="Arial"/>
                <w:sz w:val="16"/>
                <w:szCs w:val="16"/>
              </w:rPr>
              <w:t>1</w:t>
            </w:r>
          </w:p>
        </w:tc>
        <w:tc>
          <w:tcPr>
            <w:tcW w:w="985" w:type="dxa"/>
          </w:tcPr>
          <w:p w14:paraId="3C8532F1" w14:textId="77777777" w:rsidR="003D2C5F" w:rsidRDefault="00000000">
            <w:pPr>
              <w:spacing w:before="20" w:after="20"/>
              <w:jc w:val="center"/>
            </w:pPr>
            <w:r>
              <w:rPr>
                <w:rFonts w:ascii="Arial" w:eastAsia="Arial" w:hAnsi="Arial" w:cs="Arial"/>
                <w:sz w:val="16"/>
                <w:szCs w:val="16"/>
              </w:rPr>
              <w:t>1</w:t>
            </w:r>
          </w:p>
        </w:tc>
        <w:tc>
          <w:tcPr>
            <w:tcW w:w="985" w:type="dxa"/>
          </w:tcPr>
          <w:p w14:paraId="5D002D14" w14:textId="77777777" w:rsidR="003D2C5F" w:rsidRDefault="00000000">
            <w:pPr>
              <w:spacing w:before="20" w:after="20"/>
              <w:jc w:val="center"/>
            </w:pPr>
            <w:r>
              <w:rPr>
                <w:rFonts w:ascii="Arial" w:eastAsia="Arial" w:hAnsi="Arial" w:cs="Arial"/>
                <w:sz w:val="16"/>
                <w:szCs w:val="16"/>
              </w:rPr>
              <w:t>0</w:t>
            </w:r>
          </w:p>
        </w:tc>
        <w:tc>
          <w:tcPr>
            <w:tcW w:w="985" w:type="dxa"/>
          </w:tcPr>
          <w:p w14:paraId="6ACE36D3" w14:textId="77777777" w:rsidR="003D2C5F" w:rsidRDefault="00000000">
            <w:pPr>
              <w:spacing w:before="20" w:after="20"/>
              <w:jc w:val="center"/>
            </w:pPr>
            <w:r>
              <w:rPr>
                <w:rFonts w:ascii="Arial" w:eastAsia="Arial" w:hAnsi="Arial" w:cs="Arial"/>
                <w:sz w:val="16"/>
                <w:szCs w:val="16"/>
              </w:rPr>
              <w:t>0</w:t>
            </w:r>
          </w:p>
        </w:tc>
      </w:tr>
      <w:tr w:rsidR="003D2C5F" w14:paraId="7106F1B7" w14:textId="77777777">
        <w:tc>
          <w:tcPr>
            <w:tcW w:w="1015" w:type="dxa"/>
          </w:tcPr>
          <w:p w14:paraId="7930E242" w14:textId="77777777" w:rsidR="003D2C5F" w:rsidRDefault="00000000">
            <w:pPr>
              <w:spacing w:before="20" w:after="20"/>
            </w:pPr>
            <w:r>
              <w:rPr>
                <w:rFonts w:ascii="Arial" w:eastAsia="Arial" w:hAnsi="Arial" w:cs="Arial"/>
                <w:sz w:val="16"/>
                <w:szCs w:val="16"/>
              </w:rPr>
              <w:t>P09</w:t>
            </w:r>
          </w:p>
        </w:tc>
        <w:tc>
          <w:tcPr>
            <w:tcW w:w="985" w:type="dxa"/>
          </w:tcPr>
          <w:p w14:paraId="6364EAC5" w14:textId="77777777" w:rsidR="003D2C5F" w:rsidRDefault="00000000">
            <w:pPr>
              <w:spacing w:before="20" w:after="20"/>
              <w:jc w:val="center"/>
            </w:pPr>
            <w:r>
              <w:rPr>
                <w:rFonts w:ascii="Arial" w:eastAsia="Arial" w:hAnsi="Arial" w:cs="Arial"/>
                <w:sz w:val="16"/>
                <w:szCs w:val="16"/>
              </w:rPr>
              <w:t>1</w:t>
            </w:r>
          </w:p>
        </w:tc>
        <w:tc>
          <w:tcPr>
            <w:tcW w:w="985" w:type="dxa"/>
          </w:tcPr>
          <w:p w14:paraId="318F7DE1" w14:textId="77777777" w:rsidR="003D2C5F" w:rsidRDefault="00000000">
            <w:pPr>
              <w:spacing w:before="20" w:after="20"/>
              <w:jc w:val="center"/>
            </w:pPr>
            <w:r>
              <w:rPr>
                <w:rFonts w:ascii="Arial" w:eastAsia="Arial" w:hAnsi="Arial" w:cs="Arial"/>
                <w:sz w:val="16"/>
                <w:szCs w:val="16"/>
              </w:rPr>
              <w:t>1</w:t>
            </w:r>
          </w:p>
        </w:tc>
        <w:tc>
          <w:tcPr>
            <w:tcW w:w="985" w:type="dxa"/>
          </w:tcPr>
          <w:p w14:paraId="68DCF34F" w14:textId="77777777" w:rsidR="003D2C5F" w:rsidRDefault="00000000">
            <w:pPr>
              <w:spacing w:before="20" w:after="20"/>
              <w:jc w:val="center"/>
            </w:pPr>
            <w:r>
              <w:rPr>
                <w:rFonts w:ascii="Arial" w:eastAsia="Arial" w:hAnsi="Arial" w:cs="Arial"/>
                <w:sz w:val="16"/>
                <w:szCs w:val="16"/>
              </w:rPr>
              <w:t>1</w:t>
            </w:r>
          </w:p>
        </w:tc>
        <w:tc>
          <w:tcPr>
            <w:tcW w:w="985" w:type="dxa"/>
          </w:tcPr>
          <w:p w14:paraId="7F6EFDFB" w14:textId="77777777" w:rsidR="003D2C5F" w:rsidRDefault="00000000">
            <w:pPr>
              <w:spacing w:before="20" w:after="20"/>
              <w:jc w:val="center"/>
            </w:pPr>
            <w:r>
              <w:rPr>
                <w:rFonts w:ascii="Arial" w:eastAsia="Arial" w:hAnsi="Arial" w:cs="Arial"/>
                <w:sz w:val="16"/>
                <w:szCs w:val="16"/>
              </w:rPr>
              <w:t>0</w:t>
            </w:r>
          </w:p>
        </w:tc>
        <w:tc>
          <w:tcPr>
            <w:tcW w:w="985" w:type="dxa"/>
          </w:tcPr>
          <w:p w14:paraId="60126FAE" w14:textId="77777777" w:rsidR="003D2C5F" w:rsidRDefault="00000000">
            <w:pPr>
              <w:spacing w:before="20" w:after="20"/>
              <w:jc w:val="center"/>
            </w:pPr>
            <w:r>
              <w:rPr>
                <w:rFonts w:ascii="Arial" w:eastAsia="Arial" w:hAnsi="Arial" w:cs="Arial"/>
                <w:sz w:val="16"/>
                <w:szCs w:val="16"/>
              </w:rPr>
              <w:t>1</w:t>
            </w:r>
          </w:p>
        </w:tc>
        <w:tc>
          <w:tcPr>
            <w:tcW w:w="985" w:type="dxa"/>
          </w:tcPr>
          <w:p w14:paraId="3E535CD3" w14:textId="77777777" w:rsidR="003D2C5F" w:rsidRDefault="00000000">
            <w:pPr>
              <w:spacing w:before="20" w:after="20"/>
              <w:jc w:val="center"/>
            </w:pPr>
            <w:r>
              <w:rPr>
                <w:rFonts w:ascii="Arial" w:eastAsia="Arial" w:hAnsi="Arial" w:cs="Arial"/>
                <w:sz w:val="16"/>
                <w:szCs w:val="16"/>
              </w:rPr>
              <w:t>1</w:t>
            </w:r>
          </w:p>
        </w:tc>
        <w:tc>
          <w:tcPr>
            <w:tcW w:w="985" w:type="dxa"/>
          </w:tcPr>
          <w:p w14:paraId="1F1CD2BC" w14:textId="77777777" w:rsidR="003D2C5F" w:rsidRDefault="00000000">
            <w:pPr>
              <w:spacing w:before="20" w:after="20"/>
              <w:jc w:val="center"/>
            </w:pPr>
            <w:r>
              <w:rPr>
                <w:rFonts w:ascii="Arial" w:eastAsia="Arial" w:hAnsi="Arial" w:cs="Arial"/>
                <w:sz w:val="16"/>
                <w:szCs w:val="16"/>
              </w:rPr>
              <w:t>0</w:t>
            </w:r>
          </w:p>
        </w:tc>
        <w:tc>
          <w:tcPr>
            <w:tcW w:w="985" w:type="dxa"/>
          </w:tcPr>
          <w:p w14:paraId="2FCD4619" w14:textId="77777777" w:rsidR="003D2C5F" w:rsidRDefault="00000000">
            <w:pPr>
              <w:spacing w:before="20" w:after="20"/>
              <w:jc w:val="center"/>
            </w:pPr>
            <w:r>
              <w:rPr>
                <w:rFonts w:ascii="Arial" w:eastAsia="Arial" w:hAnsi="Arial" w:cs="Arial"/>
                <w:sz w:val="16"/>
                <w:szCs w:val="16"/>
              </w:rPr>
              <w:t>1</w:t>
            </w:r>
          </w:p>
        </w:tc>
      </w:tr>
      <w:tr w:rsidR="003D2C5F" w14:paraId="76D0A6B1" w14:textId="77777777">
        <w:tc>
          <w:tcPr>
            <w:tcW w:w="1015" w:type="dxa"/>
          </w:tcPr>
          <w:p w14:paraId="3273E202" w14:textId="77777777" w:rsidR="003D2C5F" w:rsidRDefault="00000000">
            <w:pPr>
              <w:spacing w:before="20" w:after="20"/>
            </w:pPr>
            <w:r>
              <w:rPr>
                <w:rFonts w:ascii="Arial" w:eastAsia="Arial" w:hAnsi="Arial" w:cs="Arial"/>
                <w:sz w:val="16"/>
                <w:szCs w:val="16"/>
              </w:rPr>
              <w:t>P10</w:t>
            </w:r>
          </w:p>
        </w:tc>
        <w:tc>
          <w:tcPr>
            <w:tcW w:w="985" w:type="dxa"/>
          </w:tcPr>
          <w:p w14:paraId="22B22931" w14:textId="77777777" w:rsidR="003D2C5F" w:rsidRDefault="00000000">
            <w:pPr>
              <w:spacing w:before="20" w:after="20"/>
              <w:jc w:val="center"/>
            </w:pPr>
            <w:r>
              <w:rPr>
                <w:rFonts w:ascii="Arial" w:eastAsia="Arial" w:hAnsi="Arial" w:cs="Arial"/>
                <w:sz w:val="16"/>
                <w:szCs w:val="16"/>
              </w:rPr>
              <w:t>1</w:t>
            </w:r>
          </w:p>
        </w:tc>
        <w:tc>
          <w:tcPr>
            <w:tcW w:w="985" w:type="dxa"/>
          </w:tcPr>
          <w:p w14:paraId="27E2F4B3" w14:textId="77777777" w:rsidR="003D2C5F" w:rsidRDefault="00000000">
            <w:pPr>
              <w:spacing w:before="20" w:after="20"/>
              <w:jc w:val="center"/>
            </w:pPr>
            <w:r>
              <w:rPr>
                <w:rFonts w:ascii="Arial" w:eastAsia="Arial" w:hAnsi="Arial" w:cs="Arial"/>
                <w:sz w:val="16"/>
                <w:szCs w:val="16"/>
              </w:rPr>
              <w:t>0</w:t>
            </w:r>
          </w:p>
        </w:tc>
        <w:tc>
          <w:tcPr>
            <w:tcW w:w="985" w:type="dxa"/>
          </w:tcPr>
          <w:p w14:paraId="48D23DD6" w14:textId="77777777" w:rsidR="003D2C5F" w:rsidRDefault="00000000">
            <w:pPr>
              <w:spacing w:before="20" w:after="20"/>
              <w:jc w:val="center"/>
            </w:pPr>
            <w:r>
              <w:rPr>
                <w:rFonts w:ascii="Arial" w:eastAsia="Arial" w:hAnsi="Arial" w:cs="Arial"/>
                <w:sz w:val="16"/>
                <w:szCs w:val="16"/>
              </w:rPr>
              <w:t>1</w:t>
            </w:r>
          </w:p>
        </w:tc>
        <w:tc>
          <w:tcPr>
            <w:tcW w:w="985" w:type="dxa"/>
          </w:tcPr>
          <w:p w14:paraId="449B072B" w14:textId="77777777" w:rsidR="003D2C5F" w:rsidRDefault="00000000">
            <w:pPr>
              <w:spacing w:before="20" w:after="20"/>
              <w:jc w:val="center"/>
            </w:pPr>
            <w:r>
              <w:rPr>
                <w:rFonts w:ascii="Arial" w:eastAsia="Arial" w:hAnsi="Arial" w:cs="Arial"/>
                <w:sz w:val="16"/>
                <w:szCs w:val="16"/>
              </w:rPr>
              <w:t>0</w:t>
            </w:r>
          </w:p>
        </w:tc>
        <w:tc>
          <w:tcPr>
            <w:tcW w:w="985" w:type="dxa"/>
          </w:tcPr>
          <w:p w14:paraId="0A6EE0F4" w14:textId="77777777" w:rsidR="003D2C5F" w:rsidRDefault="00000000">
            <w:pPr>
              <w:spacing w:before="20" w:after="20"/>
              <w:jc w:val="center"/>
            </w:pPr>
            <w:r>
              <w:rPr>
                <w:rFonts w:ascii="Arial" w:eastAsia="Arial" w:hAnsi="Arial" w:cs="Arial"/>
                <w:sz w:val="16"/>
                <w:szCs w:val="16"/>
              </w:rPr>
              <w:t>1</w:t>
            </w:r>
          </w:p>
        </w:tc>
        <w:tc>
          <w:tcPr>
            <w:tcW w:w="985" w:type="dxa"/>
          </w:tcPr>
          <w:p w14:paraId="5AB8AC6F" w14:textId="77777777" w:rsidR="003D2C5F" w:rsidRDefault="00000000">
            <w:pPr>
              <w:spacing w:before="20" w:after="20"/>
              <w:jc w:val="center"/>
            </w:pPr>
            <w:r>
              <w:rPr>
                <w:rFonts w:ascii="Arial" w:eastAsia="Arial" w:hAnsi="Arial" w:cs="Arial"/>
                <w:sz w:val="16"/>
                <w:szCs w:val="16"/>
              </w:rPr>
              <w:t>1</w:t>
            </w:r>
          </w:p>
        </w:tc>
        <w:tc>
          <w:tcPr>
            <w:tcW w:w="985" w:type="dxa"/>
          </w:tcPr>
          <w:p w14:paraId="79BBF636" w14:textId="77777777" w:rsidR="003D2C5F" w:rsidRDefault="00000000">
            <w:pPr>
              <w:spacing w:before="20" w:after="20"/>
              <w:jc w:val="center"/>
            </w:pPr>
            <w:r>
              <w:rPr>
                <w:rFonts w:ascii="Arial" w:eastAsia="Arial" w:hAnsi="Arial" w:cs="Arial"/>
                <w:sz w:val="16"/>
                <w:szCs w:val="16"/>
              </w:rPr>
              <w:t>0</w:t>
            </w:r>
          </w:p>
        </w:tc>
        <w:tc>
          <w:tcPr>
            <w:tcW w:w="985" w:type="dxa"/>
          </w:tcPr>
          <w:p w14:paraId="3AE1784B" w14:textId="77777777" w:rsidR="003D2C5F" w:rsidRDefault="00000000">
            <w:pPr>
              <w:spacing w:before="20" w:after="20"/>
              <w:jc w:val="center"/>
            </w:pPr>
            <w:r>
              <w:rPr>
                <w:rFonts w:ascii="Arial" w:eastAsia="Arial" w:hAnsi="Arial" w:cs="Arial"/>
                <w:sz w:val="16"/>
                <w:szCs w:val="16"/>
              </w:rPr>
              <w:t>0</w:t>
            </w:r>
          </w:p>
        </w:tc>
      </w:tr>
      <w:tr w:rsidR="003D2C5F" w14:paraId="511265D7" w14:textId="77777777">
        <w:tc>
          <w:tcPr>
            <w:tcW w:w="1015" w:type="dxa"/>
          </w:tcPr>
          <w:p w14:paraId="3D97BF26" w14:textId="77777777" w:rsidR="003D2C5F" w:rsidRDefault="00000000">
            <w:pPr>
              <w:spacing w:before="20" w:after="20"/>
            </w:pPr>
            <w:r>
              <w:rPr>
                <w:rFonts w:ascii="Arial" w:eastAsia="Arial" w:hAnsi="Arial" w:cs="Arial"/>
                <w:sz w:val="16"/>
                <w:szCs w:val="16"/>
              </w:rPr>
              <w:t>P11</w:t>
            </w:r>
          </w:p>
        </w:tc>
        <w:tc>
          <w:tcPr>
            <w:tcW w:w="985" w:type="dxa"/>
          </w:tcPr>
          <w:p w14:paraId="018CEF8C" w14:textId="77777777" w:rsidR="003D2C5F" w:rsidRDefault="00000000">
            <w:pPr>
              <w:spacing w:before="20" w:after="20"/>
              <w:jc w:val="center"/>
            </w:pPr>
            <w:r>
              <w:rPr>
                <w:rFonts w:ascii="Arial" w:eastAsia="Arial" w:hAnsi="Arial" w:cs="Arial"/>
                <w:sz w:val="16"/>
                <w:szCs w:val="16"/>
              </w:rPr>
              <w:t>1</w:t>
            </w:r>
          </w:p>
        </w:tc>
        <w:tc>
          <w:tcPr>
            <w:tcW w:w="985" w:type="dxa"/>
          </w:tcPr>
          <w:p w14:paraId="16CE8010" w14:textId="77777777" w:rsidR="003D2C5F" w:rsidRDefault="00000000">
            <w:pPr>
              <w:spacing w:before="20" w:after="20"/>
              <w:jc w:val="center"/>
            </w:pPr>
            <w:r>
              <w:rPr>
                <w:rFonts w:ascii="Arial" w:eastAsia="Arial" w:hAnsi="Arial" w:cs="Arial"/>
                <w:sz w:val="16"/>
                <w:szCs w:val="16"/>
              </w:rPr>
              <w:t>0</w:t>
            </w:r>
          </w:p>
        </w:tc>
        <w:tc>
          <w:tcPr>
            <w:tcW w:w="985" w:type="dxa"/>
          </w:tcPr>
          <w:p w14:paraId="0B13B41E" w14:textId="77777777" w:rsidR="003D2C5F" w:rsidRDefault="00000000">
            <w:pPr>
              <w:spacing w:before="20" w:after="20"/>
              <w:jc w:val="center"/>
            </w:pPr>
            <w:r>
              <w:rPr>
                <w:rFonts w:ascii="Arial" w:eastAsia="Arial" w:hAnsi="Arial" w:cs="Arial"/>
                <w:sz w:val="16"/>
                <w:szCs w:val="16"/>
              </w:rPr>
              <w:t>1</w:t>
            </w:r>
          </w:p>
        </w:tc>
        <w:tc>
          <w:tcPr>
            <w:tcW w:w="985" w:type="dxa"/>
          </w:tcPr>
          <w:p w14:paraId="0DF19AC3" w14:textId="77777777" w:rsidR="003D2C5F" w:rsidRDefault="00000000">
            <w:pPr>
              <w:spacing w:before="20" w:after="20"/>
              <w:jc w:val="center"/>
            </w:pPr>
            <w:r>
              <w:rPr>
                <w:rFonts w:ascii="Arial" w:eastAsia="Arial" w:hAnsi="Arial" w:cs="Arial"/>
                <w:sz w:val="16"/>
                <w:szCs w:val="16"/>
              </w:rPr>
              <w:t>0</w:t>
            </w:r>
          </w:p>
        </w:tc>
        <w:tc>
          <w:tcPr>
            <w:tcW w:w="985" w:type="dxa"/>
          </w:tcPr>
          <w:p w14:paraId="08CADAFC" w14:textId="77777777" w:rsidR="003D2C5F" w:rsidRDefault="00000000">
            <w:pPr>
              <w:spacing w:before="20" w:after="20"/>
              <w:jc w:val="center"/>
            </w:pPr>
            <w:r>
              <w:rPr>
                <w:rFonts w:ascii="Arial" w:eastAsia="Arial" w:hAnsi="Arial" w:cs="Arial"/>
                <w:sz w:val="16"/>
                <w:szCs w:val="16"/>
              </w:rPr>
              <w:t>1</w:t>
            </w:r>
          </w:p>
        </w:tc>
        <w:tc>
          <w:tcPr>
            <w:tcW w:w="985" w:type="dxa"/>
          </w:tcPr>
          <w:p w14:paraId="693FB0DA" w14:textId="77777777" w:rsidR="003D2C5F" w:rsidRDefault="00000000">
            <w:pPr>
              <w:spacing w:before="20" w:after="20"/>
              <w:jc w:val="center"/>
            </w:pPr>
            <w:r>
              <w:rPr>
                <w:rFonts w:ascii="Arial" w:eastAsia="Arial" w:hAnsi="Arial" w:cs="Arial"/>
                <w:sz w:val="16"/>
                <w:szCs w:val="16"/>
              </w:rPr>
              <w:t>1</w:t>
            </w:r>
          </w:p>
        </w:tc>
        <w:tc>
          <w:tcPr>
            <w:tcW w:w="985" w:type="dxa"/>
          </w:tcPr>
          <w:p w14:paraId="4B707F56" w14:textId="77777777" w:rsidR="003D2C5F" w:rsidRDefault="00000000">
            <w:pPr>
              <w:spacing w:before="20" w:after="20"/>
              <w:jc w:val="center"/>
            </w:pPr>
            <w:r>
              <w:rPr>
                <w:rFonts w:ascii="Arial" w:eastAsia="Arial" w:hAnsi="Arial" w:cs="Arial"/>
                <w:sz w:val="16"/>
                <w:szCs w:val="16"/>
              </w:rPr>
              <w:t>0</w:t>
            </w:r>
          </w:p>
        </w:tc>
        <w:tc>
          <w:tcPr>
            <w:tcW w:w="985" w:type="dxa"/>
          </w:tcPr>
          <w:p w14:paraId="35D1EA33" w14:textId="77777777" w:rsidR="003D2C5F" w:rsidRDefault="00000000">
            <w:pPr>
              <w:spacing w:before="20" w:after="20"/>
              <w:jc w:val="center"/>
            </w:pPr>
            <w:r>
              <w:rPr>
                <w:rFonts w:ascii="Arial" w:eastAsia="Arial" w:hAnsi="Arial" w:cs="Arial"/>
                <w:sz w:val="16"/>
                <w:szCs w:val="16"/>
              </w:rPr>
              <w:t>0</w:t>
            </w:r>
          </w:p>
        </w:tc>
      </w:tr>
      <w:tr w:rsidR="003D2C5F" w14:paraId="128AA25D" w14:textId="77777777">
        <w:tc>
          <w:tcPr>
            <w:tcW w:w="1015" w:type="dxa"/>
          </w:tcPr>
          <w:p w14:paraId="49D9D59A" w14:textId="77777777" w:rsidR="003D2C5F" w:rsidRDefault="00000000">
            <w:pPr>
              <w:spacing w:before="20" w:after="20"/>
            </w:pPr>
            <w:r>
              <w:rPr>
                <w:rFonts w:ascii="Arial" w:eastAsia="Arial" w:hAnsi="Arial" w:cs="Arial"/>
                <w:sz w:val="16"/>
                <w:szCs w:val="16"/>
              </w:rPr>
              <w:t>P12</w:t>
            </w:r>
          </w:p>
        </w:tc>
        <w:tc>
          <w:tcPr>
            <w:tcW w:w="985" w:type="dxa"/>
          </w:tcPr>
          <w:p w14:paraId="44E44F62" w14:textId="77777777" w:rsidR="003D2C5F" w:rsidRDefault="00000000">
            <w:pPr>
              <w:spacing w:before="20" w:after="20"/>
              <w:jc w:val="center"/>
            </w:pPr>
            <w:r>
              <w:rPr>
                <w:rFonts w:ascii="Arial" w:eastAsia="Arial" w:hAnsi="Arial" w:cs="Arial"/>
                <w:sz w:val="16"/>
                <w:szCs w:val="16"/>
              </w:rPr>
              <w:t>1</w:t>
            </w:r>
          </w:p>
        </w:tc>
        <w:tc>
          <w:tcPr>
            <w:tcW w:w="985" w:type="dxa"/>
          </w:tcPr>
          <w:p w14:paraId="05C645A9" w14:textId="77777777" w:rsidR="003D2C5F" w:rsidRDefault="00000000">
            <w:pPr>
              <w:spacing w:before="20" w:after="20"/>
              <w:jc w:val="center"/>
            </w:pPr>
            <w:r>
              <w:rPr>
                <w:rFonts w:ascii="Arial" w:eastAsia="Arial" w:hAnsi="Arial" w:cs="Arial"/>
                <w:sz w:val="16"/>
                <w:szCs w:val="16"/>
              </w:rPr>
              <w:t>1</w:t>
            </w:r>
          </w:p>
        </w:tc>
        <w:tc>
          <w:tcPr>
            <w:tcW w:w="985" w:type="dxa"/>
          </w:tcPr>
          <w:p w14:paraId="226B1CD1" w14:textId="77777777" w:rsidR="003D2C5F" w:rsidRDefault="00000000">
            <w:pPr>
              <w:spacing w:before="20" w:after="20"/>
              <w:jc w:val="center"/>
            </w:pPr>
            <w:r>
              <w:rPr>
                <w:rFonts w:ascii="Arial" w:eastAsia="Arial" w:hAnsi="Arial" w:cs="Arial"/>
                <w:sz w:val="16"/>
                <w:szCs w:val="16"/>
              </w:rPr>
              <w:t>1</w:t>
            </w:r>
          </w:p>
        </w:tc>
        <w:tc>
          <w:tcPr>
            <w:tcW w:w="985" w:type="dxa"/>
          </w:tcPr>
          <w:p w14:paraId="023D4F27" w14:textId="77777777" w:rsidR="003D2C5F" w:rsidRDefault="00000000">
            <w:pPr>
              <w:spacing w:before="20" w:after="20"/>
              <w:jc w:val="center"/>
            </w:pPr>
            <w:r>
              <w:rPr>
                <w:rFonts w:ascii="Arial" w:eastAsia="Arial" w:hAnsi="Arial" w:cs="Arial"/>
                <w:sz w:val="16"/>
                <w:szCs w:val="16"/>
              </w:rPr>
              <w:t>0</w:t>
            </w:r>
          </w:p>
        </w:tc>
        <w:tc>
          <w:tcPr>
            <w:tcW w:w="985" w:type="dxa"/>
          </w:tcPr>
          <w:p w14:paraId="05123AC0" w14:textId="77777777" w:rsidR="003D2C5F" w:rsidRDefault="00000000">
            <w:pPr>
              <w:spacing w:before="20" w:after="20"/>
              <w:jc w:val="center"/>
            </w:pPr>
            <w:r>
              <w:rPr>
                <w:rFonts w:ascii="Arial" w:eastAsia="Arial" w:hAnsi="Arial" w:cs="Arial"/>
                <w:sz w:val="16"/>
                <w:szCs w:val="16"/>
              </w:rPr>
              <w:t>1</w:t>
            </w:r>
          </w:p>
        </w:tc>
        <w:tc>
          <w:tcPr>
            <w:tcW w:w="985" w:type="dxa"/>
          </w:tcPr>
          <w:p w14:paraId="27649858" w14:textId="77777777" w:rsidR="003D2C5F" w:rsidRDefault="00000000">
            <w:pPr>
              <w:spacing w:before="20" w:after="20"/>
              <w:jc w:val="center"/>
            </w:pPr>
            <w:r>
              <w:rPr>
                <w:rFonts w:ascii="Arial" w:eastAsia="Arial" w:hAnsi="Arial" w:cs="Arial"/>
                <w:sz w:val="16"/>
                <w:szCs w:val="16"/>
              </w:rPr>
              <w:t>1</w:t>
            </w:r>
          </w:p>
        </w:tc>
        <w:tc>
          <w:tcPr>
            <w:tcW w:w="985" w:type="dxa"/>
          </w:tcPr>
          <w:p w14:paraId="5935221A" w14:textId="77777777" w:rsidR="003D2C5F" w:rsidRDefault="00000000">
            <w:pPr>
              <w:spacing w:before="20" w:after="20"/>
              <w:jc w:val="center"/>
            </w:pPr>
            <w:r>
              <w:rPr>
                <w:rFonts w:ascii="Arial" w:eastAsia="Arial" w:hAnsi="Arial" w:cs="Arial"/>
                <w:sz w:val="16"/>
                <w:szCs w:val="16"/>
              </w:rPr>
              <w:t>0</w:t>
            </w:r>
          </w:p>
        </w:tc>
        <w:tc>
          <w:tcPr>
            <w:tcW w:w="985" w:type="dxa"/>
          </w:tcPr>
          <w:p w14:paraId="666A2E99" w14:textId="77777777" w:rsidR="003D2C5F" w:rsidRDefault="00000000">
            <w:pPr>
              <w:spacing w:before="20" w:after="20"/>
              <w:jc w:val="center"/>
            </w:pPr>
            <w:r>
              <w:rPr>
                <w:rFonts w:ascii="Arial" w:eastAsia="Arial" w:hAnsi="Arial" w:cs="Arial"/>
                <w:sz w:val="16"/>
                <w:szCs w:val="16"/>
              </w:rPr>
              <w:t>0</w:t>
            </w:r>
          </w:p>
        </w:tc>
      </w:tr>
      <w:tr w:rsidR="003D2C5F" w14:paraId="2CA00202" w14:textId="77777777">
        <w:tc>
          <w:tcPr>
            <w:tcW w:w="1015" w:type="dxa"/>
          </w:tcPr>
          <w:p w14:paraId="6B838A25" w14:textId="77777777" w:rsidR="003D2C5F" w:rsidRDefault="00000000">
            <w:pPr>
              <w:spacing w:before="20" w:after="20"/>
            </w:pPr>
            <w:r>
              <w:rPr>
                <w:rFonts w:ascii="Arial" w:eastAsia="Arial" w:hAnsi="Arial" w:cs="Arial"/>
                <w:sz w:val="16"/>
                <w:szCs w:val="16"/>
              </w:rPr>
              <w:t>P13</w:t>
            </w:r>
          </w:p>
        </w:tc>
        <w:tc>
          <w:tcPr>
            <w:tcW w:w="985" w:type="dxa"/>
          </w:tcPr>
          <w:p w14:paraId="3057AEC5" w14:textId="77777777" w:rsidR="003D2C5F" w:rsidRDefault="00000000">
            <w:pPr>
              <w:spacing w:before="20" w:after="20"/>
              <w:jc w:val="center"/>
            </w:pPr>
            <w:r>
              <w:rPr>
                <w:rFonts w:ascii="Arial" w:eastAsia="Arial" w:hAnsi="Arial" w:cs="Arial"/>
                <w:sz w:val="16"/>
                <w:szCs w:val="16"/>
              </w:rPr>
              <w:t>1</w:t>
            </w:r>
          </w:p>
        </w:tc>
        <w:tc>
          <w:tcPr>
            <w:tcW w:w="985" w:type="dxa"/>
          </w:tcPr>
          <w:p w14:paraId="2ED882D3" w14:textId="77777777" w:rsidR="003D2C5F" w:rsidRDefault="00000000">
            <w:pPr>
              <w:spacing w:before="20" w:after="20"/>
              <w:jc w:val="center"/>
            </w:pPr>
            <w:r>
              <w:rPr>
                <w:rFonts w:ascii="Arial" w:eastAsia="Arial" w:hAnsi="Arial" w:cs="Arial"/>
                <w:sz w:val="16"/>
                <w:szCs w:val="16"/>
              </w:rPr>
              <w:t>1</w:t>
            </w:r>
          </w:p>
        </w:tc>
        <w:tc>
          <w:tcPr>
            <w:tcW w:w="985" w:type="dxa"/>
          </w:tcPr>
          <w:p w14:paraId="431FA887" w14:textId="77777777" w:rsidR="003D2C5F" w:rsidRDefault="00000000">
            <w:pPr>
              <w:spacing w:before="20" w:after="20"/>
              <w:jc w:val="center"/>
            </w:pPr>
            <w:r>
              <w:rPr>
                <w:rFonts w:ascii="Arial" w:eastAsia="Arial" w:hAnsi="Arial" w:cs="Arial"/>
                <w:sz w:val="16"/>
                <w:szCs w:val="16"/>
              </w:rPr>
              <w:t>1</w:t>
            </w:r>
          </w:p>
        </w:tc>
        <w:tc>
          <w:tcPr>
            <w:tcW w:w="985" w:type="dxa"/>
          </w:tcPr>
          <w:p w14:paraId="30910EA6" w14:textId="77777777" w:rsidR="003D2C5F" w:rsidRDefault="00000000">
            <w:pPr>
              <w:spacing w:before="20" w:after="20"/>
              <w:jc w:val="center"/>
            </w:pPr>
            <w:r>
              <w:rPr>
                <w:rFonts w:ascii="Arial" w:eastAsia="Arial" w:hAnsi="Arial" w:cs="Arial"/>
                <w:sz w:val="16"/>
                <w:szCs w:val="16"/>
              </w:rPr>
              <w:t>1</w:t>
            </w:r>
          </w:p>
        </w:tc>
        <w:tc>
          <w:tcPr>
            <w:tcW w:w="985" w:type="dxa"/>
          </w:tcPr>
          <w:p w14:paraId="47EBB458" w14:textId="77777777" w:rsidR="003D2C5F" w:rsidRDefault="00000000">
            <w:pPr>
              <w:spacing w:before="20" w:after="20"/>
              <w:jc w:val="center"/>
            </w:pPr>
            <w:r>
              <w:rPr>
                <w:rFonts w:ascii="Arial" w:eastAsia="Arial" w:hAnsi="Arial" w:cs="Arial"/>
                <w:sz w:val="16"/>
                <w:szCs w:val="16"/>
              </w:rPr>
              <w:t>0</w:t>
            </w:r>
          </w:p>
        </w:tc>
        <w:tc>
          <w:tcPr>
            <w:tcW w:w="985" w:type="dxa"/>
          </w:tcPr>
          <w:p w14:paraId="38727D18" w14:textId="77777777" w:rsidR="003D2C5F" w:rsidRDefault="00000000">
            <w:pPr>
              <w:spacing w:before="20" w:after="20"/>
              <w:jc w:val="center"/>
            </w:pPr>
            <w:r>
              <w:rPr>
                <w:rFonts w:ascii="Arial" w:eastAsia="Arial" w:hAnsi="Arial" w:cs="Arial"/>
                <w:sz w:val="16"/>
                <w:szCs w:val="16"/>
              </w:rPr>
              <w:t>1</w:t>
            </w:r>
          </w:p>
        </w:tc>
        <w:tc>
          <w:tcPr>
            <w:tcW w:w="985" w:type="dxa"/>
          </w:tcPr>
          <w:p w14:paraId="1B35D57E" w14:textId="77777777" w:rsidR="003D2C5F" w:rsidRDefault="00000000">
            <w:pPr>
              <w:spacing w:before="20" w:after="20"/>
              <w:jc w:val="center"/>
            </w:pPr>
            <w:r>
              <w:rPr>
                <w:rFonts w:ascii="Arial" w:eastAsia="Arial" w:hAnsi="Arial" w:cs="Arial"/>
                <w:sz w:val="16"/>
                <w:szCs w:val="16"/>
              </w:rPr>
              <w:t>0</w:t>
            </w:r>
          </w:p>
        </w:tc>
        <w:tc>
          <w:tcPr>
            <w:tcW w:w="985" w:type="dxa"/>
          </w:tcPr>
          <w:p w14:paraId="7B4BF918" w14:textId="77777777" w:rsidR="003D2C5F" w:rsidRDefault="00000000">
            <w:pPr>
              <w:spacing w:before="20" w:after="20"/>
              <w:jc w:val="center"/>
            </w:pPr>
            <w:r>
              <w:rPr>
                <w:rFonts w:ascii="Arial" w:eastAsia="Arial" w:hAnsi="Arial" w:cs="Arial"/>
                <w:sz w:val="16"/>
                <w:szCs w:val="16"/>
              </w:rPr>
              <w:t>0</w:t>
            </w:r>
          </w:p>
        </w:tc>
      </w:tr>
      <w:tr w:rsidR="003D2C5F" w14:paraId="2502268D" w14:textId="77777777">
        <w:tc>
          <w:tcPr>
            <w:tcW w:w="1015" w:type="dxa"/>
          </w:tcPr>
          <w:p w14:paraId="1179DCF9" w14:textId="77777777" w:rsidR="003D2C5F" w:rsidRDefault="00000000">
            <w:pPr>
              <w:spacing w:before="20" w:after="20"/>
            </w:pPr>
            <w:r>
              <w:rPr>
                <w:rFonts w:ascii="Arial" w:eastAsia="Arial" w:hAnsi="Arial" w:cs="Arial"/>
                <w:sz w:val="16"/>
                <w:szCs w:val="16"/>
              </w:rPr>
              <w:t>P14</w:t>
            </w:r>
          </w:p>
        </w:tc>
        <w:tc>
          <w:tcPr>
            <w:tcW w:w="985" w:type="dxa"/>
          </w:tcPr>
          <w:p w14:paraId="0B1EF28F" w14:textId="77777777" w:rsidR="003D2C5F" w:rsidRDefault="00000000">
            <w:pPr>
              <w:spacing w:before="20" w:after="20"/>
              <w:jc w:val="center"/>
            </w:pPr>
            <w:r>
              <w:rPr>
                <w:rFonts w:ascii="Arial" w:eastAsia="Arial" w:hAnsi="Arial" w:cs="Arial"/>
                <w:sz w:val="16"/>
                <w:szCs w:val="16"/>
              </w:rPr>
              <w:t>1</w:t>
            </w:r>
          </w:p>
        </w:tc>
        <w:tc>
          <w:tcPr>
            <w:tcW w:w="985" w:type="dxa"/>
          </w:tcPr>
          <w:p w14:paraId="3D4C10F8" w14:textId="77777777" w:rsidR="003D2C5F" w:rsidRDefault="00000000">
            <w:pPr>
              <w:spacing w:before="20" w:after="20"/>
              <w:jc w:val="center"/>
            </w:pPr>
            <w:r>
              <w:rPr>
                <w:rFonts w:ascii="Arial" w:eastAsia="Arial" w:hAnsi="Arial" w:cs="Arial"/>
                <w:sz w:val="16"/>
                <w:szCs w:val="16"/>
              </w:rPr>
              <w:t>0</w:t>
            </w:r>
          </w:p>
        </w:tc>
        <w:tc>
          <w:tcPr>
            <w:tcW w:w="985" w:type="dxa"/>
          </w:tcPr>
          <w:p w14:paraId="2A33DCB3" w14:textId="77777777" w:rsidR="003D2C5F" w:rsidRDefault="00000000">
            <w:pPr>
              <w:spacing w:before="20" w:after="20"/>
              <w:jc w:val="center"/>
            </w:pPr>
            <w:r>
              <w:rPr>
                <w:rFonts w:ascii="Arial" w:eastAsia="Arial" w:hAnsi="Arial" w:cs="Arial"/>
                <w:sz w:val="16"/>
                <w:szCs w:val="16"/>
              </w:rPr>
              <w:t>1</w:t>
            </w:r>
          </w:p>
        </w:tc>
        <w:tc>
          <w:tcPr>
            <w:tcW w:w="985" w:type="dxa"/>
          </w:tcPr>
          <w:p w14:paraId="22A69A5E" w14:textId="77777777" w:rsidR="003D2C5F" w:rsidRDefault="00000000">
            <w:pPr>
              <w:spacing w:before="20" w:after="20"/>
              <w:jc w:val="center"/>
            </w:pPr>
            <w:r>
              <w:rPr>
                <w:rFonts w:ascii="Arial" w:eastAsia="Arial" w:hAnsi="Arial" w:cs="Arial"/>
                <w:sz w:val="16"/>
                <w:szCs w:val="16"/>
              </w:rPr>
              <w:t>0</w:t>
            </w:r>
          </w:p>
        </w:tc>
        <w:tc>
          <w:tcPr>
            <w:tcW w:w="985" w:type="dxa"/>
          </w:tcPr>
          <w:p w14:paraId="6C7CCBBB" w14:textId="77777777" w:rsidR="003D2C5F" w:rsidRDefault="00000000">
            <w:pPr>
              <w:spacing w:before="20" w:after="20"/>
              <w:jc w:val="center"/>
            </w:pPr>
            <w:r>
              <w:rPr>
                <w:rFonts w:ascii="Arial" w:eastAsia="Arial" w:hAnsi="Arial" w:cs="Arial"/>
                <w:sz w:val="16"/>
                <w:szCs w:val="16"/>
              </w:rPr>
              <w:t>1</w:t>
            </w:r>
          </w:p>
        </w:tc>
        <w:tc>
          <w:tcPr>
            <w:tcW w:w="985" w:type="dxa"/>
          </w:tcPr>
          <w:p w14:paraId="0AA0BEFF" w14:textId="77777777" w:rsidR="003D2C5F" w:rsidRDefault="00000000">
            <w:pPr>
              <w:spacing w:before="20" w:after="20"/>
              <w:jc w:val="center"/>
            </w:pPr>
            <w:r>
              <w:rPr>
                <w:rFonts w:ascii="Arial" w:eastAsia="Arial" w:hAnsi="Arial" w:cs="Arial"/>
                <w:sz w:val="16"/>
                <w:szCs w:val="16"/>
              </w:rPr>
              <w:t>1</w:t>
            </w:r>
          </w:p>
        </w:tc>
        <w:tc>
          <w:tcPr>
            <w:tcW w:w="985" w:type="dxa"/>
          </w:tcPr>
          <w:p w14:paraId="53CBEC11" w14:textId="77777777" w:rsidR="003D2C5F" w:rsidRDefault="00000000">
            <w:pPr>
              <w:spacing w:before="20" w:after="20"/>
              <w:jc w:val="center"/>
            </w:pPr>
            <w:r>
              <w:rPr>
                <w:rFonts w:ascii="Arial" w:eastAsia="Arial" w:hAnsi="Arial" w:cs="Arial"/>
                <w:sz w:val="16"/>
                <w:szCs w:val="16"/>
              </w:rPr>
              <w:t>0</w:t>
            </w:r>
          </w:p>
        </w:tc>
        <w:tc>
          <w:tcPr>
            <w:tcW w:w="985" w:type="dxa"/>
          </w:tcPr>
          <w:p w14:paraId="512C2131" w14:textId="77777777" w:rsidR="003D2C5F" w:rsidRDefault="00000000">
            <w:pPr>
              <w:spacing w:before="20" w:after="20"/>
              <w:jc w:val="center"/>
            </w:pPr>
            <w:r>
              <w:rPr>
                <w:rFonts w:ascii="Arial" w:eastAsia="Arial" w:hAnsi="Arial" w:cs="Arial"/>
                <w:sz w:val="16"/>
                <w:szCs w:val="16"/>
              </w:rPr>
              <w:t>0</w:t>
            </w:r>
          </w:p>
        </w:tc>
      </w:tr>
      <w:tr w:rsidR="003D2C5F" w14:paraId="7D48FA22" w14:textId="77777777">
        <w:tc>
          <w:tcPr>
            <w:tcW w:w="1015" w:type="dxa"/>
          </w:tcPr>
          <w:p w14:paraId="5E8DA937" w14:textId="77777777" w:rsidR="003D2C5F" w:rsidRDefault="00000000">
            <w:pPr>
              <w:spacing w:before="20" w:after="20"/>
            </w:pPr>
            <w:r>
              <w:rPr>
                <w:rFonts w:ascii="Arial" w:eastAsia="Arial" w:hAnsi="Arial" w:cs="Arial"/>
                <w:sz w:val="16"/>
                <w:szCs w:val="16"/>
              </w:rPr>
              <w:t>P15</w:t>
            </w:r>
          </w:p>
        </w:tc>
        <w:tc>
          <w:tcPr>
            <w:tcW w:w="985" w:type="dxa"/>
          </w:tcPr>
          <w:p w14:paraId="7BA19372" w14:textId="77777777" w:rsidR="003D2C5F" w:rsidRDefault="00000000">
            <w:pPr>
              <w:spacing w:before="20" w:after="20"/>
              <w:jc w:val="center"/>
            </w:pPr>
            <w:r>
              <w:rPr>
                <w:rFonts w:ascii="Arial" w:eastAsia="Arial" w:hAnsi="Arial" w:cs="Arial"/>
                <w:sz w:val="16"/>
                <w:szCs w:val="16"/>
              </w:rPr>
              <w:t>1</w:t>
            </w:r>
          </w:p>
        </w:tc>
        <w:tc>
          <w:tcPr>
            <w:tcW w:w="985" w:type="dxa"/>
          </w:tcPr>
          <w:p w14:paraId="00A26EE9" w14:textId="77777777" w:rsidR="003D2C5F" w:rsidRDefault="00000000">
            <w:pPr>
              <w:spacing w:before="20" w:after="20"/>
              <w:jc w:val="center"/>
            </w:pPr>
            <w:r>
              <w:rPr>
                <w:rFonts w:ascii="Arial" w:eastAsia="Arial" w:hAnsi="Arial" w:cs="Arial"/>
                <w:sz w:val="16"/>
                <w:szCs w:val="16"/>
              </w:rPr>
              <w:t>1</w:t>
            </w:r>
          </w:p>
        </w:tc>
        <w:tc>
          <w:tcPr>
            <w:tcW w:w="985" w:type="dxa"/>
          </w:tcPr>
          <w:p w14:paraId="728582BC" w14:textId="77777777" w:rsidR="003D2C5F" w:rsidRDefault="00000000">
            <w:pPr>
              <w:spacing w:before="20" w:after="20"/>
              <w:jc w:val="center"/>
            </w:pPr>
            <w:r>
              <w:rPr>
                <w:rFonts w:ascii="Arial" w:eastAsia="Arial" w:hAnsi="Arial" w:cs="Arial"/>
                <w:sz w:val="16"/>
                <w:szCs w:val="16"/>
              </w:rPr>
              <w:t>1</w:t>
            </w:r>
          </w:p>
        </w:tc>
        <w:tc>
          <w:tcPr>
            <w:tcW w:w="985" w:type="dxa"/>
          </w:tcPr>
          <w:p w14:paraId="06F558F1" w14:textId="77777777" w:rsidR="003D2C5F" w:rsidRDefault="00000000">
            <w:pPr>
              <w:spacing w:before="20" w:after="20"/>
              <w:jc w:val="center"/>
            </w:pPr>
            <w:r>
              <w:rPr>
                <w:rFonts w:ascii="Arial" w:eastAsia="Arial" w:hAnsi="Arial" w:cs="Arial"/>
                <w:sz w:val="16"/>
                <w:szCs w:val="16"/>
              </w:rPr>
              <w:t>1</w:t>
            </w:r>
          </w:p>
        </w:tc>
        <w:tc>
          <w:tcPr>
            <w:tcW w:w="985" w:type="dxa"/>
          </w:tcPr>
          <w:p w14:paraId="0D61D11F" w14:textId="77777777" w:rsidR="003D2C5F" w:rsidRDefault="00000000">
            <w:pPr>
              <w:spacing w:before="20" w:after="20"/>
              <w:jc w:val="center"/>
            </w:pPr>
            <w:r>
              <w:rPr>
                <w:rFonts w:ascii="Arial" w:eastAsia="Arial" w:hAnsi="Arial" w:cs="Arial"/>
                <w:sz w:val="16"/>
                <w:szCs w:val="16"/>
              </w:rPr>
              <w:t>1</w:t>
            </w:r>
          </w:p>
        </w:tc>
        <w:tc>
          <w:tcPr>
            <w:tcW w:w="985" w:type="dxa"/>
          </w:tcPr>
          <w:p w14:paraId="7CA0553F" w14:textId="77777777" w:rsidR="003D2C5F" w:rsidRDefault="00000000">
            <w:pPr>
              <w:spacing w:before="20" w:after="20"/>
              <w:jc w:val="center"/>
            </w:pPr>
            <w:r>
              <w:rPr>
                <w:rFonts w:ascii="Arial" w:eastAsia="Arial" w:hAnsi="Arial" w:cs="Arial"/>
                <w:sz w:val="16"/>
                <w:szCs w:val="16"/>
              </w:rPr>
              <w:t>1</w:t>
            </w:r>
          </w:p>
        </w:tc>
        <w:tc>
          <w:tcPr>
            <w:tcW w:w="985" w:type="dxa"/>
          </w:tcPr>
          <w:p w14:paraId="2DF33A90" w14:textId="77777777" w:rsidR="003D2C5F" w:rsidRDefault="00000000">
            <w:pPr>
              <w:spacing w:before="20" w:after="20"/>
              <w:jc w:val="center"/>
            </w:pPr>
            <w:r>
              <w:rPr>
                <w:rFonts w:ascii="Arial" w:eastAsia="Arial" w:hAnsi="Arial" w:cs="Arial"/>
                <w:sz w:val="16"/>
                <w:szCs w:val="16"/>
              </w:rPr>
              <w:t>1</w:t>
            </w:r>
          </w:p>
        </w:tc>
        <w:tc>
          <w:tcPr>
            <w:tcW w:w="985" w:type="dxa"/>
          </w:tcPr>
          <w:p w14:paraId="671A76B5" w14:textId="77777777" w:rsidR="003D2C5F" w:rsidRDefault="00000000">
            <w:pPr>
              <w:spacing w:before="20" w:after="20"/>
              <w:jc w:val="center"/>
            </w:pPr>
            <w:r>
              <w:rPr>
                <w:rFonts w:ascii="Arial" w:eastAsia="Arial" w:hAnsi="Arial" w:cs="Arial"/>
                <w:sz w:val="16"/>
                <w:szCs w:val="16"/>
              </w:rPr>
              <w:t>1</w:t>
            </w:r>
          </w:p>
        </w:tc>
      </w:tr>
      <w:tr w:rsidR="003D2C5F" w14:paraId="1A19608C" w14:textId="77777777">
        <w:tc>
          <w:tcPr>
            <w:tcW w:w="1015" w:type="dxa"/>
          </w:tcPr>
          <w:p w14:paraId="73B0D845" w14:textId="77777777" w:rsidR="003D2C5F" w:rsidRDefault="00000000">
            <w:pPr>
              <w:spacing w:before="20" w:after="20"/>
            </w:pPr>
            <w:r>
              <w:rPr>
                <w:rFonts w:ascii="Arial" w:eastAsia="Arial" w:hAnsi="Arial" w:cs="Arial"/>
                <w:sz w:val="16"/>
                <w:szCs w:val="16"/>
              </w:rPr>
              <w:t>P16</w:t>
            </w:r>
          </w:p>
        </w:tc>
        <w:tc>
          <w:tcPr>
            <w:tcW w:w="985" w:type="dxa"/>
          </w:tcPr>
          <w:p w14:paraId="6265BAE3" w14:textId="77777777" w:rsidR="003D2C5F" w:rsidRDefault="00000000">
            <w:pPr>
              <w:spacing w:before="20" w:after="20"/>
              <w:jc w:val="center"/>
            </w:pPr>
            <w:r>
              <w:rPr>
                <w:rFonts w:ascii="Arial" w:eastAsia="Arial" w:hAnsi="Arial" w:cs="Arial"/>
                <w:sz w:val="16"/>
                <w:szCs w:val="16"/>
              </w:rPr>
              <w:t>1</w:t>
            </w:r>
          </w:p>
        </w:tc>
        <w:tc>
          <w:tcPr>
            <w:tcW w:w="985" w:type="dxa"/>
          </w:tcPr>
          <w:p w14:paraId="73BF7EFD" w14:textId="77777777" w:rsidR="003D2C5F" w:rsidRDefault="00000000">
            <w:pPr>
              <w:spacing w:before="20" w:after="20"/>
              <w:jc w:val="center"/>
            </w:pPr>
            <w:r>
              <w:rPr>
                <w:rFonts w:ascii="Arial" w:eastAsia="Arial" w:hAnsi="Arial" w:cs="Arial"/>
                <w:sz w:val="16"/>
                <w:szCs w:val="16"/>
              </w:rPr>
              <w:t>1</w:t>
            </w:r>
          </w:p>
        </w:tc>
        <w:tc>
          <w:tcPr>
            <w:tcW w:w="985" w:type="dxa"/>
          </w:tcPr>
          <w:p w14:paraId="147798AA" w14:textId="77777777" w:rsidR="003D2C5F" w:rsidRDefault="00000000">
            <w:pPr>
              <w:spacing w:before="20" w:after="20"/>
              <w:jc w:val="center"/>
            </w:pPr>
            <w:r>
              <w:rPr>
                <w:rFonts w:ascii="Arial" w:eastAsia="Arial" w:hAnsi="Arial" w:cs="Arial"/>
                <w:sz w:val="16"/>
                <w:szCs w:val="16"/>
              </w:rPr>
              <w:t>1</w:t>
            </w:r>
          </w:p>
        </w:tc>
        <w:tc>
          <w:tcPr>
            <w:tcW w:w="985" w:type="dxa"/>
          </w:tcPr>
          <w:p w14:paraId="4B2862D6" w14:textId="77777777" w:rsidR="003D2C5F" w:rsidRDefault="00000000">
            <w:pPr>
              <w:spacing w:before="20" w:after="20"/>
              <w:jc w:val="center"/>
            </w:pPr>
            <w:r>
              <w:rPr>
                <w:rFonts w:ascii="Arial" w:eastAsia="Arial" w:hAnsi="Arial" w:cs="Arial"/>
                <w:sz w:val="16"/>
                <w:szCs w:val="16"/>
              </w:rPr>
              <w:t>1</w:t>
            </w:r>
          </w:p>
        </w:tc>
        <w:tc>
          <w:tcPr>
            <w:tcW w:w="985" w:type="dxa"/>
          </w:tcPr>
          <w:p w14:paraId="6764849B" w14:textId="77777777" w:rsidR="003D2C5F" w:rsidRDefault="00000000">
            <w:pPr>
              <w:spacing w:before="20" w:after="20"/>
              <w:jc w:val="center"/>
            </w:pPr>
            <w:r>
              <w:rPr>
                <w:rFonts w:ascii="Arial" w:eastAsia="Arial" w:hAnsi="Arial" w:cs="Arial"/>
                <w:sz w:val="16"/>
                <w:szCs w:val="16"/>
              </w:rPr>
              <w:t>1</w:t>
            </w:r>
          </w:p>
        </w:tc>
        <w:tc>
          <w:tcPr>
            <w:tcW w:w="985" w:type="dxa"/>
          </w:tcPr>
          <w:p w14:paraId="1640187C" w14:textId="77777777" w:rsidR="003D2C5F" w:rsidRDefault="00000000">
            <w:pPr>
              <w:spacing w:before="20" w:after="20"/>
              <w:jc w:val="center"/>
            </w:pPr>
            <w:r>
              <w:rPr>
                <w:rFonts w:ascii="Arial" w:eastAsia="Arial" w:hAnsi="Arial" w:cs="Arial"/>
                <w:sz w:val="16"/>
                <w:szCs w:val="16"/>
              </w:rPr>
              <w:t>1</w:t>
            </w:r>
          </w:p>
        </w:tc>
        <w:tc>
          <w:tcPr>
            <w:tcW w:w="985" w:type="dxa"/>
          </w:tcPr>
          <w:p w14:paraId="33F80F49" w14:textId="77777777" w:rsidR="003D2C5F" w:rsidRDefault="00000000">
            <w:pPr>
              <w:spacing w:before="20" w:after="20"/>
              <w:jc w:val="center"/>
            </w:pPr>
            <w:r>
              <w:rPr>
                <w:rFonts w:ascii="Arial" w:eastAsia="Arial" w:hAnsi="Arial" w:cs="Arial"/>
                <w:sz w:val="16"/>
                <w:szCs w:val="16"/>
              </w:rPr>
              <w:t>1</w:t>
            </w:r>
          </w:p>
        </w:tc>
        <w:tc>
          <w:tcPr>
            <w:tcW w:w="985" w:type="dxa"/>
          </w:tcPr>
          <w:p w14:paraId="4E6F2CE0" w14:textId="77777777" w:rsidR="003D2C5F" w:rsidRDefault="00000000">
            <w:pPr>
              <w:spacing w:before="20" w:after="20"/>
              <w:jc w:val="center"/>
            </w:pPr>
            <w:r>
              <w:rPr>
                <w:rFonts w:ascii="Arial" w:eastAsia="Arial" w:hAnsi="Arial" w:cs="Arial"/>
                <w:sz w:val="16"/>
                <w:szCs w:val="16"/>
              </w:rPr>
              <w:t>1</w:t>
            </w:r>
          </w:p>
        </w:tc>
      </w:tr>
      <w:tr w:rsidR="003D2C5F" w14:paraId="26D5E3DA" w14:textId="77777777">
        <w:tc>
          <w:tcPr>
            <w:tcW w:w="1015" w:type="dxa"/>
          </w:tcPr>
          <w:p w14:paraId="5A99A629" w14:textId="77777777" w:rsidR="003D2C5F" w:rsidRDefault="00000000">
            <w:pPr>
              <w:spacing w:before="20" w:after="20"/>
            </w:pPr>
            <w:r>
              <w:rPr>
                <w:rFonts w:ascii="Arial" w:eastAsia="Arial" w:hAnsi="Arial" w:cs="Arial"/>
                <w:b/>
                <w:sz w:val="16"/>
                <w:szCs w:val="16"/>
              </w:rPr>
              <w:t>Total</w:t>
            </w:r>
          </w:p>
        </w:tc>
        <w:tc>
          <w:tcPr>
            <w:tcW w:w="985" w:type="dxa"/>
          </w:tcPr>
          <w:p w14:paraId="538861CA" w14:textId="77777777" w:rsidR="003D2C5F" w:rsidRDefault="00000000">
            <w:pPr>
              <w:spacing w:before="20" w:after="20"/>
              <w:jc w:val="center"/>
            </w:pPr>
            <w:r>
              <w:rPr>
                <w:rFonts w:ascii="Arial" w:eastAsia="Arial" w:hAnsi="Arial" w:cs="Arial"/>
                <w:b/>
                <w:sz w:val="16"/>
                <w:szCs w:val="16"/>
              </w:rPr>
              <w:t>16</w:t>
            </w:r>
          </w:p>
        </w:tc>
        <w:tc>
          <w:tcPr>
            <w:tcW w:w="985" w:type="dxa"/>
          </w:tcPr>
          <w:p w14:paraId="321C55A1" w14:textId="77777777" w:rsidR="003D2C5F" w:rsidRDefault="00000000">
            <w:pPr>
              <w:spacing w:before="20" w:after="20"/>
              <w:jc w:val="center"/>
            </w:pPr>
            <w:r>
              <w:rPr>
                <w:rFonts w:ascii="Arial" w:eastAsia="Arial" w:hAnsi="Arial" w:cs="Arial"/>
                <w:b/>
                <w:sz w:val="16"/>
                <w:szCs w:val="16"/>
              </w:rPr>
              <w:t>12</w:t>
            </w:r>
          </w:p>
        </w:tc>
        <w:tc>
          <w:tcPr>
            <w:tcW w:w="985" w:type="dxa"/>
          </w:tcPr>
          <w:p w14:paraId="040DD3C3" w14:textId="77777777" w:rsidR="003D2C5F" w:rsidRDefault="00000000">
            <w:pPr>
              <w:spacing w:before="20" w:after="20"/>
              <w:jc w:val="center"/>
            </w:pPr>
            <w:r>
              <w:rPr>
                <w:rFonts w:ascii="Arial" w:eastAsia="Arial" w:hAnsi="Arial" w:cs="Arial"/>
                <w:b/>
                <w:sz w:val="16"/>
                <w:szCs w:val="16"/>
              </w:rPr>
              <w:t>16</w:t>
            </w:r>
          </w:p>
        </w:tc>
        <w:tc>
          <w:tcPr>
            <w:tcW w:w="985" w:type="dxa"/>
          </w:tcPr>
          <w:p w14:paraId="2181A440" w14:textId="77777777" w:rsidR="003D2C5F" w:rsidRDefault="00000000">
            <w:pPr>
              <w:spacing w:before="20" w:after="20"/>
              <w:jc w:val="center"/>
            </w:pPr>
            <w:r>
              <w:rPr>
                <w:rFonts w:ascii="Arial" w:eastAsia="Arial" w:hAnsi="Arial" w:cs="Arial"/>
                <w:b/>
                <w:sz w:val="16"/>
                <w:szCs w:val="16"/>
              </w:rPr>
              <w:t>10</w:t>
            </w:r>
          </w:p>
        </w:tc>
        <w:tc>
          <w:tcPr>
            <w:tcW w:w="985" w:type="dxa"/>
          </w:tcPr>
          <w:p w14:paraId="0586FEE0" w14:textId="77777777" w:rsidR="003D2C5F" w:rsidRDefault="00000000">
            <w:pPr>
              <w:spacing w:before="20" w:after="20"/>
              <w:jc w:val="center"/>
            </w:pPr>
            <w:r>
              <w:rPr>
                <w:rFonts w:ascii="Arial" w:eastAsia="Arial" w:hAnsi="Arial" w:cs="Arial"/>
                <w:b/>
                <w:sz w:val="16"/>
                <w:szCs w:val="16"/>
              </w:rPr>
              <w:t>14</w:t>
            </w:r>
          </w:p>
        </w:tc>
        <w:tc>
          <w:tcPr>
            <w:tcW w:w="985" w:type="dxa"/>
          </w:tcPr>
          <w:p w14:paraId="26EC7FC3" w14:textId="77777777" w:rsidR="003D2C5F" w:rsidRDefault="00000000">
            <w:pPr>
              <w:spacing w:before="20" w:after="20"/>
              <w:jc w:val="center"/>
            </w:pPr>
            <w:r>
              <w:rPr>
                <w:rFonts w:ascii="Arial" w:eastAsia="Arial" w:hAnsi="Arial" w:cs="Arial"/>
                <w:b/>
                <w:sz w:val="16"/>
                <w:szCs w:val="16"/>
              </w:rPr>
              <w:t>16</w:t>
            </w:r>
          </w:p>
        </w:tc>
        <w:tc>
          <w:tcPr>
            <w:tcW w:w="985" w:type="dxa"/>
          </w:tcPr>
          <w:p w14:paraId="59EE3202" w14:textId="77777777" w:rsidR="003D2C5F" w:rsidRDefault="00000000">
            <w:pPr>
              <w:spacing w:before="20" w:after="20"/>
              <w:jc w:val="center"/>
            </w:pPr>
            <w:r>
              <w:rPr>
                <w:rFonts w:ascii="Arial" w:eastAsia="Arial" w:hAnsi="Arial" w:cs="Arial"/>
                <w:b/>
                <w:sz w:val="16"/>
                <w:szCs w:val="16"/>
              </w:rPr>
              <w:t>2</w:t>
            </w:r>
          </w:p>
        </w:tc>
        <w:tc>
          <w:tcPr>
            <w:tcW w:w="985" w:type="dxa"/>
          </w:tcPr>
          <w:p w14:paraId="22014C39" w14:textId="77777777" w:rsidR="003D2C5F" w:rsidRDefault="00000000">
            <w:pPr>
              <w:spacing w:before="20" w:after="20"/>
              <w:jc w:val="center"/>
            </w:pPr>
            <w:r>
              <w:rPr>
                <w:rFonts w:ascii="Arial" w:eastAsia="Arial" w:hAnsi="Arial" w:cs="Arial"/>
                <w:b/>
                <w:sz w:val="16"/>
                <w:szCs w:val="16"/>
              </w:rPr>
              <w:t>9</w:t>
            </w:r>
          </w:p>
        </w:tc>
      </w:tr>
      <w:tr w:rsidR="003D2C5F" w14:paraId="51B793FF" w14:textId="77777777">
        <w:tc>
          <w:tcPr>
            <w:tcW w:w="1015" w:type="dxa"/>
          </w:tcPr>
          <w:p w14:paraId="7692DE0F" w14:textId="77777777" w:rsidR="003D2C5F" w:rsidRDefault="00000000">
            <w:pPr>
              <w:spacing w:before="20" w:after="20"/>
            </w:pPr>
            <w:r>
              <w:rPr>
                <w:rFonts w:ascii="Arial" w:eastAsia="Arial" w:hAnsi="Arial" w:cs="Arial"/>
                <w:b/>
                <w:sz w:val="16"/>
                <w:szCs w:val="16"/>
              </w:rPr>
              <w:t>%</w:t>
            </w:r>
          </w:p>
        </w:tc>
        <w:tc>
          <w:tcPr>
            <w:tcW w:w="985" w:type="dxa"/>
          </w:tcPr>
          <w:p w14:paraId="7B5DEAAB" w14:textId="77777777" w:rsidR="003D2C5F" w:rsidRDefault="00000000">
            <w:pPr>
              <w:spacing w:before="20" w:after="20"/>
              <w:jc w:val="center"/>
            </w:pPr>
            <w:r>
              <w:rPr>
                <w:rFonts w:ascii="Arial" w:eastAsia="Arial" w:hAnsi="Arial" w:cs="Arial"/>
                <w:b/>
                <w:sz w:val="16"/>
                <w:szCs w:val="16"/>
              </w:rPr>
              <w:t>100.0</w:t>
            </w:r>
          </w:p>
        </w:tc>
        <w:tc>
          <w:tcPr>
            <w:tcW w:w="985" w:type="dxa"/>
          </w:tcPr>
          <w:p w14:paraId="5D00A0D3" w14:textId="77777777" w:rsidR="003D2C5F" w:rsidRDefault="00000000">
            <w:pPr>
              <w:spacing w:before="20" w:after="20"/>
              <w:jc w:val="center"/>
            </w:pPr>
            <w:r>
              <w:rPr>
                <w:rFonts w:ascii="Arial" w:eastAsia="Arial" w:hAnsi="Arial" w:cs="Arial"/>
                <w:b/>
                <w:sz w:val="16"/>
                <w:szCs w:val="16"/>
              </w:rPr>
              <w:t>75.0</w:t>
            </w:r>
          </w:p>
        </w:tc>
        <w:tc>
          <w:tcPr>
            <w:tcW w:w="985" w:type="dxa"/>
          </w:tcPr>
          <w:p w14:paraId="7C269E7B" w14:textId="77777777" w:rsidR="003D2C5F" w:rsidRDefault="00000000">
            <w:pPr>
              <w:spacing w:before="20" w:after="20"/>
              <w:jc w:val="center"/>
            </w:pPr>
            <w:r>
              <w:rPr>
                <w:rFonts w:ascii="Arial" w:eastAsia="Arial" w:hAnsi="Arial" w:cs="Arial"/>
                <w:b/>
                <w:sz w:val="16"/>
                <w:szCs w:val="16"/>
              </w:rPr>
              <w:t>100.0</w:t>
            </w:r>
          </w:p>
        </w:tc>
        <w:tc>
          <w:tcPr>
            <w:tcW w:w="985" w:type="dxa"/>
          </w:tcPr>
          <w:p w14:paraId="709AE119" w14:textId="77777777" w:rsidR="003D2C5F" w:rsidRDefault="00000000">
            <w:pPr>
              <w:spacing w:before="20" w:after="20"/>
              <w:jc w:val="center"/>
            </w:pPr>
            <w:r>
              <w:rPr>
                <w:rFonts w:ascii="Arial" w:eastAsia="Arial" w:hAnsi="Arial" w:cs="Arial"/>
                <w:b/>
                <w:sz w:val="16"/>
                <w:szCs w:val="16"/>
              </w:rPr>
              <w:t>62.5</w:t>
            </w:r>
          </w:p>
        </w:tc>
        <w:tc>
          <w:tcPr>
            <w:tcW w:w="985" w:type="dxa"/>
          </w:tcPr>
          <w:p w14:paraId="00BA6536" w14:textId="77777777" w:rsidR="003D2C5F" w:rsidRDefault="00000000">
            <w:pPr>
              <w:spacing w:before="20" w:after="20"/>
              <w:jc w:val="center"/>
            </w:pPr>
            <w:r>
              <w:rPr>
                <w:rFonts w:ascii="Arial" w:eastAsia="Arial" w:hAnsi="Arial" w:cs="Arial"/>
                <w:b/>
                <w:sz w:val="16"/>
                <w:szCs w:val="16"/>
              </w:rPr>
              <w:t>87.5</w:t>
            </w:r>
          </w:p>
        </w:tc>
        <w:tc>
          <w:tcPr>
            <w:tcW w:w="985" w:type="dxa"/>
          </w:tcPr>
          <w:p w14:paraId="09C9761A" w14:textId="77777777" w:rsidR="003D2C5F" w:rsidRDefault="00000000">
            <w:pPr>
              <w:spacing w:before="20" w:after="20"/>
              <w:jc w:val="center"/>
            </w:pPr>
            <w:r>
              <w:rPr>
                <w:rFonts w:ascii="Arial" w:eastAsia="Arial" w:hAnsi="Arial" w:cs="Arial"/>
                <w:b/>
                <w:sz w:val="16"/>
                <w:szCs w:val="16"/>
              </w:rPr>
              <w:t>100.0</w:t>
            </w:r>
          </w:p>
        </w:tc>
        <w:tc>
          <w:tcPr>
            <w:tcW w:w="985" w:type="dxa"/>
          </w:tcPr>
          <w:p w14:paraId="10C480BE" w14:textId="77777777" w:rsidR="003D2C5F" w:rsidRDefault="00000000">
            <w:pPr>
              <w:spacing w:before="20" w:after="20"/>
              <w:jc w:val="center"/>
            </w:pPr>
            <w:r>
              <w:rPr>
                <w:rFonts w:ascii="Arial" w:eastAsia="Arial" w:hAnsi="Arial" w:cs="Arial"/>
                <w:b/>
                <w:sz w:val="16"/>
                <w:szCs w:val="16"/>
              </w:rPr>
              <w:t>12.5</w:t>
            </w:r>
          </w:p>
        </w:tc>
        <w:tc>
          <w:tcPr>
            <w:tcW w:w="985" w:type="dxa"/>
          </w:tcPr>
          <w:p w14:paraId="5D8BA7F7" w14:textId="77777777" w:rsidR="003D2C5F" w:rsidRDefault="00000000">
            <w:pPr>
              <w:spacing w:before="20" w:after="20"/>
              <w:jc w:val="center"/>
            </w:pPr>
            <w:r>
              <w:rPr>
                <w:rFonts w:ascii="Arial" w:eastAsia="Arial" w:hAnsi="Arial" w:cs="Arial"/>
                <w:b/>
                <w:sz w:val="16"/>
                <w:szCs w:val="16"/>
              </w:rPr>
              <w:t>56.3</w:t>
            </w:r>
          </w:p>
        </w:tc>
      </w:tr>
    </w:tbl>
    <w:p w14:paraId="0AB576F4" w14:textId="77777777" w:rsidR="003D2C5F" w:rsidRDefault="00000000">
      <w:pPr>
        <w:spacing w:before="120" w:after="120" w:line="300" w:lineRule="auto"/>
        <w:jc w:val="both"/>
      </w:pPr>
      <w:r>
        <w:rPr>
          <w:rFonts w:ascii="Arial" w:eastAsia="Arial" w:hAnsi="Arial" w:cs="Arial"/>
          <w:i/>
          <w:sz w:val="16"/>
          <w:szCs w:val="16"/>
        </w:rPr>
        <w:t xml:space="preserve">Key: Hum. = </w:t>
      </w:r>
      <w:proofErr w:type="spellStart"/>
      <w:r>
        <w:rPr>
          <w:rFonts w:ascii="Arial" w:eastAsia="Arial" w:hAnsi="Arial" w:cs="Arial"/>
          <w:i/>
          <w:sz w:val="16"/>
          <w:szCs w:val="16"/>
        </w:rPr>
        <w:t>Humour</w:t>
      </w:r>
      <w:proofErr w:type="spellEnd"/>
      <w:r>
        <w:rPr>
          <w:rFonts w:ascii="Arial" w:eastAsia="Arial" w:hAnsi="Arial" w:cs="Arial"/>
          <w:i/>
          <w:sz w:val="16"/>
          <w:szCs w:val="16"/>
        </w:rPr>
        <w:t>; Pers. = Personification; Narr. = Narrative Progression; Chall. = Challenger Positioning; Cult. = Cultural Reference; Brand = Brand Personality Cue; Char. = Charity Linkage; Legal = Legal Sensitivity.</w:t>
      </w:r>
    </w:p>
    <w:p w14:paraId="6EA135E5" w14:textId="77777777" w:rsidR="003D2C5F" w:rsidRDefault="00000000">
      <w:pPr>
        <w:spacing w:before="240" w:after="120" w:line="300" w:lineRule="auto"/>
        <w:jc w:val="both"/>
      </w:pPr>
      <w:r>
        <w:rPr>
          <w:rFonts w:ascii="Arial" w:eastAsia="Arial" w:hAnsi="Arial" w:cs="Arial"/>
          <w:b/>
          <w:sz w:val="18"/>
          <w:szCs w:val="18"/>
        </w:rPr>
        <w:t>Table D2: Coding Justifications</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700"/>
        <w:gridCol w:w="8195"/>
      </w:tblGrid>
      <w:tr w:rsidR="003D2C5F" w14:paraId="4F6CCB75" w14:textId="77777777">
        <w:trPr>
          <w:tblHeader/>
        </w:trPr>
        <w:tc>
          <w:tcPr>
            <w:tcW w:w="700" w:type="dxa"/>
            <w:shd w:val="clear" w:color="auto" w:fill="D9E2F3"/>
          </w:tcPr>
          <w:p w14:paraId="399D886E" w14:textId="77777777" w:rsidR="003D2C5F" w:rsidRDefault="00000000">
            <w:pPr>
              <w:spacing w:before="20" w:after="20"/>
            </w:pPr>
            <w:r>
              <w:rPr>
                <w:rFonts w:ascii="Arial" w:eastAsia="Arial" w:hAnsi="Arial" w:cs="Arial"/>
                <w:b/>
                <w:sz w:val="16"/>
                <w:szCs w:val="16"/>
              </w:rPr>
              <w:lastRenderedPageBreak/>
              <w:t>ID</w:t>
            </w:r>
          </w:p>
        </w:tc>
        <w:tc>
          <w:tcPr>
            <w:tcW w:w="8195" w:type="dxa"/>
            <w:shd w:val="clear" w:color="auto" w:fill="D9E2F3"/>
          </w:tcPr>
          <w:p w14:paraId="6B87AFB6" w14:textId="77777777" w:rsidR="003D2C5F" w:rsidRDefault="00000000">
            <w:pPr>
              <w:spacing w:before="20" w:after="20"/>
            </w:pPr>
            <w:r>
              <w:rPr>
                <w:rFonts w:ascii="Arial" w:eastAsia="Arial" w:hAnsi="Arial" w:cs="Arial"/>
                <w:b/>
                <w:sz w:val="16"/>
                <w:szCs w:val="16"/>
              </w:rPr>
              <w:t>Why these codes were applied</w:t>
            </w:r>
          </w:p>
        </w:tc>
      </w:tr>
      <w:tr w:rsidR="003D2C5F" w14:paraId="5E126878" w14:textId="77777777">
        <w:tc>
          <w:tcPr>
            <w:tcW w:w="700" w:type="dxa"/>
          </w:tcPr>
          <w:p w14:paraId="1BC6288A" w14:textId="77777777" w:rsidR="003D2C5F" w:rsidRDefault="00000000">
            <w:pPr>
              <w:spacing w:before="20" w:after="20"/>
            </w:pPr>
            <w:r>
              <w:rPr>
                <w:rFonts w:ascii="Arial" w:eastAsia="Arial" w:hAnsi="Arial" w:cs="Arial"/>
                <w:sz w:val="16"/>
                <w:szCs w:val="16"/>
              </w:rPr>
              <w:t>P01</w:t>
            </w:r>
          </w:p>
        </w:tc>
        <w:tc>
          <w:tcPr>
            <w:tcW w:w="8195" w:type="dxa"/>
          </w:tcPr>
          <w:p w14:paraId="1C0DF23A"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Cultural Reference: parodies M&amp;S’s well-known “This is not just any…” advertising slogan. Personification: Cuthbert is framed as a party to a “court case”. Narrative Progression: introduces the #FreeCuthbert story. Challenger Positioning: responds directly to M&amp;S’s action. Brand Personality Cue: informal, playful tone. Legal Sensitivity: refers directly to the court case.</w:t>
            </w:r>
          </w:p>
        </w:tc>
      </w:tr>
      <w:tr w:rsidR="003D2C5F" w14:paraId="3C6E8A7F" w14:textId="77777777">
        <w:tc>
          <w:tcPr>
            <w:tcW w:w="700" w:type="dxa"/>
          </w:tcPr>
          <w:p w14:paraId="033EB5CA" w14:textId="77777777" w:rsidR="003D2C5F" w:rsidRDefault="00000000">
            <w:pPr>
              <w:spacing w:before="20" w:after="20"/>
            </w:pPr>
            <w:r>
              <w:rPr>
                <w:rFonts w:ascii="Arial" w:eastAsia="Arial" w:hAnsi="Arial" w:cs="Arial"/>
                <w:sz w:val="16"/>
                <w:szCs w:val="16"/>
              </w:rPr>
              <w:t>P02</w:t>
            </w:r>
          </w:p>
        </w:tc>
        <w:tc>
          <w:tcPr>
            <w:tcW w:w="8195" w:type="dxa"/>
          </w:tcPr>
          <w:p w14:paraId="17D0B2F8" w14:textId="754940A8" w:rsidR="003D2C5F" w:rsidRDefault="006C7BAC">
            <w:pPr>
              <w:spacing w:before="20" w:after="20"/>
            </w:pPr>
            <w:r w:rsidRPr="006C7BAC">
              <w:rPr>
                <w:rFonts w:ascii="Arial" w:eastAsia="Arial" w:hAnsi="Arial" w:cs="Arial"/>
                <w:sz w:val="16"/>
                <w:szCs w:val="16"/>
              </w:rPr>
              <w:t xml:space="preserve">Legal pun: </w:t>
            </w:r>
            <w:proofErr w:type="spellStart"/>
            <w:r w:rsidRPr="006C7BAC">
              <w:rPr>
                <w:rFonts w:ascii="Arial" w:eastAsia="Arial" w:hAnsi="Arial" w:cs="Arial"/>
                <w:sz w:val="16"/>
                <w:szCs w:val="16"/>
              </w:rPr>
              <w:t>Humour</w:t>
            </w:r>
            <w:proofErr w:type="spellEnd"/>
            <w:r w:rsidRPr="006C7BAC">
              <w:rPr>
                <w:rFonts w:ascii="Arial" w:eastAsia="Arial" w:hAnsi="Arial" w:cs="Arial"/>
                <w:sz w:val="16"/>
                <w:szCs w:val="16"/>
              </w:rPr>
              <w:t xml:space="preserve"> is a legal term. Personification: Cuthbert is addressed as if he were a person in need of legal assistance. Narrative Progression: continues the narrative of the courtroom. Challenger Positioning: a fun reaction to M&amp;S' legal move. Affecting Cue: playfulness, humorous language. Legal Sensitivity: refers to lawyers. </w:t>
            </w:r>
          </w:p>
        </w:tc>
      </w:tr>
      <w:tr w:rsidR="003D2C5F" w14:paraId="32A725DF" w14:textId="77777777">
        <w:tc>
          <w:tcPr>
            <w:tcW w:w="700" w:type="dxa"/>
          </w:tcPr>
          <w:p w14:paraId="77C3EFAB" w14:textId="77777777" w:rsidR="003D2C5F" w:rsidRDefault="00000000">
            <w:pPr>
              <w:spacing w:before="20" w:after="20"/>
            </w:pPr>
            <w:r>
              <w:rPr>
                <w:rFonts w:ascii="Arial" w:eastAsia="Arial" w:hAnsi="Arial" w:cs="Arial"/>
                <w:sz w:val="16"/>
                <w:szCs w:val="16"/>
              </w:rPr>
              <w:t>P03</w:t>
            </w:r>
          </w:p>
        </w:tc>
        <w:tc>
          <w:tcPr>
            <w:tcW w:w="8195" w:type="dxa"/>
          </w:tcPr>
          <w:p w14:paraId="32CE628A" w14:textId="78468402" w:rsidR="003D2C5F" w:rsidRDefault="006C7BAC">
            <w:pPr>
              <w:spacing w:before="20" w:after="20"/>
            </w:pPr>
            <w:proofErr w:type="spellStart"/>
            <w:r w:rsidRPr="006C7BAC">
              <w:rPr>
                <w:rFonts w:ascii="Arial" w:eastAsia="Arial" w:hAnsi="Arial" w:cs="Arial"/>
                <w:sz w:val="16"/>
                <w:szCs w:val="16"/>
              </w:rPr>
              <w:t>Humour</w:t>
            </w:r>
            <w:proofErr w:type="spellEnd"/>
            <w:r w:rsidRPr="006C7BAC">
              <w:rPr>
                <w:rFonts w:ascii="Arial" w:eastAsia="Arial" w:hAnsi="Arial" w:cs="Arial"/>
                <w:sz w:val="16"/>
                <w:szCs w:val="16"/>
              </w:rPr>
              <w:t xml:space="preserve"> and Personification: the post depicts the Cuthbert cake box as having jail bars and padlocks over the window, likening Cuthbert to a prisoner (Appendix A2). Narrative Progression: Cuthbert is "imprisoned". Cultural Reference: uses familiar popular culture prison imagery. Brand Personality Cue: A mock-corporate “Packaging update” used playfully. Legal Sensitivity: imprisonment is depicted as a result of the legal disagreement.</w:t>
            </w:r>
          </w:p>
        </w:tc>
      </w:tr>
      <w:tr w:rsidR="003D2C5F" w14:paraId="3DB6B802" w14:textId="77777777">
        <w:tc>
          <w:tcPr>
            <w:tcW w:w="700" w:type="dxa"/>
          </w:tcPr>
          <w:p w14:paraId="51649867" w14:textId="77777777" w:rsidR="003D2C5F" w:rsidRDefault="00000000">
            <w:pPr>
              <w:spacing w:before="20" w:after="20"/>
            </w:pPr>
            <w:r>
              <w:rPr>
                <w:rFonts w:ascii="Arial" w:eastAsia="Arial" w:hAnsi="Arial" w:cs="Arial"/>
                <w:sz w:val="16"/>
                <w:szCs w:val="16"/>
              </w:rPr>
              <w:t>P04</w:t>
            </w:r>
          </w:p>
        </w:tc>
        <w:tc>
          <w:tcPr>
            <w:tcW w:w="8195" w:type="dxa"/>
          </w:tcPr>
          <w:p w14:paraId="1B3790B2"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Cultural Reference: “Marks &amp; Snitches” is wordplay on a </w:t>
            </w:r>
            <w:proofErr w:type="spellStart"/>
            <w:r>
              <w:rPr>
                <w:rFonts w:ascii="Arial" w:eastAsia="Arial" w:hAnsi="Arial" w:cs="Arial"/>
                <w:sz w:val="16"/>
                <w:szCs w:val="16"/>
              </w:rPr>
              <w:t>recognisable</w:t>
            </w:r>
            <w:proofErr w:type="spellEnd"/>
            <w:r>
              <w:rPr>
                <w:rFonts w:ascii="Arial" w:eastAsia="Arial" w:hAnsi="Arial" w:cs="Arial"/>
                <w:sz w:val="16"/>
                <w:szCs w:val="16"/>
              </w:rPr>
              <w:t xml:space="preserve"> brand name and the slang term “snitches”. Narrative Progression: casts M&amp;S as the informer in the story. Challenger Positioning: a direct jibe at M&amp;S. Brand Personality Cue: informal and cheeky style.</w:t>
            </w:r>
          </w:p>
        </w:tc>
      </w:tr>
      <w:tr w:rsidR="003D2C5F" w14:paraId="7C53B197" w14:textId="77777777">
        <w:tc>
          <w:tcPr>
            <w:tcW w:w="700" w:type="dxa"/>
          </w:tcPr>
          <w:p w14:paraId="25BDF92C" w14:textId="77777777" w:rsidR="003D2C5F" w:rsidRDefault="00000000">
            <w:pPr>
              <w:spacing w:before="20" w:after="20"/>
            </w:pPr>
            <w:r>
              <w:rPr>
                <w:rFonts w:ascii="Arial" w:eastAsia="Arial" w:hAnsi="Arial" w:cs="Arial"/>
                <w:sz w:val="16"/>
                <w:szCs w:val="16"/>
              </w:rPr>
              <w:t>P05</w:t>
            </w:r>
          </w:p>
        </w:tc>
        <w:tc>
          <w:tcPr>
            <w:tcW w:w="8195" w:type="dxa"/>
          </w:tcPr>
          <w:p w14:paraId="040CDBAA"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turns a courtroom exchange into a joke (“Judge: Show us the evidence! Us: What evidence?”). Cultural Reference: the “Judge: … Us: …” meme format and a GIF from the chocolate-cake scene in the film Matilda, implying the “evidence” has been eaten. Personification: Cuthbert is treated as a defendant in the case. Narrative Progression: the story moves into the trial. Challenger Positioning: mocks the strength of M&amp;S’s case. Brand Personality Cue: conversational meme style. Legal Sensitivity: uses “Judge” and “evidence”.</w:t>
            </w:r>
          </w:p>
        </w:tc>
      </w:tr>
      <w:tr w:rsidR="003D2C5F" w14:paraId="4FFE4BFB" w14:textId="77777777">
        <w:tc>
          <w:tcPr>
            <w:tcW w:w="700" w:type="dxa"/>
          </w:tcPr>
          <w:p w14:paraId="31D0EDD6" w14:textId="77777777" w:rsidR="003D2C5F" w:rsidRDefault="00000000">
            <w:pPr>
              <w:spacing w:before="20" w:after="20"/>
            </w:pPr>
            <w:r>
              <w:rPr>
                <w:rFonts w:ascii="Arial" w:eastAsia="Arial" w:hAnsi="Arial" w:cs="Arial"/>
                <w:sz w:val="16"/>
                <w:szCs w:val="16"/>
              </w:rPr>
              <w:t>P06</w:t>
            </w:r>
          </w:p>
        </w:tc>
        <w:tc>
          <w:tcPr>
            <w:tcW w:w="8195" w:type="dxa"/>
          </w:tcPr>
          <w:p w14:paraId="3740E783"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Cuthbert is “GUILTY… of being delicious”. Personification: Cuthbert receives a verdict like a person on trial. Narrative Progression: the trial reaches a “verdict”. Challenger Positioning: undercuts M&amp;S’s accusation by recasting it as praise. Cultural Reference: borrows the courtroom-drama verdict convention. Brand Personality Cue: playful tone. Legal Sensitivity: uses legal language (“guilty”).</w:t>
            </w:r>
          </w:p>
        </w:tc>
      </w:tr>
      <w:tr w:rsidR="003D2C5F" w14:paraId="2E9A942C" w14:textId="77777777">
        <w:tc>
          <w:tcPr>
            <w:tcW w:w="700" w:type="dxa"/>
          </w:tcPr>
          <w:p w14:paraId="69B5A948" w14:textId="77777777" w:rsidR="003D2C5F" w:rsidRDefault="00000000">
            <w:pPr>
              <w:spacing w:before="20" w:after="20"/>
            </w:pPr>
            <w:r>
              <w:rPr>
                <w:rFonts w:ascii="Arial" w:eastAsia="Arial" w:hAnsi="Arial" w:cs="Arial"/>
                <w:sz w:val="16"/>
                <w:szCs w:val="16"/>
              </w:rPr>
              <w:t>P07</w:t>
            </w:r>
          </w:p>
        </w:tc>
        <w:tc>
          <w:tcPr>
            <w:tcW w:w="8195" w:type="dxa"/>
          </w:tcPr>
          <w:p w14:paraId="792C2BD5" w14:textId="521F98C9" w:rsidR="003D2C5F" w:rsidRDefault="006C7BAC">
            <w:pPr>
              <w:spacing w:before="20" w:after="20"/>
            </w:pPr>
            <w:proofErr w:type="spellStart"/>
            <w:r w:rsidRPr="006C7BAC">
              <w:rPr>
                <w:rFonts w:ascii="Arial" w:eastAsia="Arial" w:hAnsi="Arial" w:cs="Arial"/>
                <w:sz w:val="16"/>
                <w:szCs w:val="16"/>
              </w:rPr>
              <w:t>Humour</w:t>
            </w:r>
            <w:proofErr w:type="spellEnd"/>
            <w:r w:rsidRPr="006C7BAC">
              <w:rPr>
                <w:rFonts w:ascii="Arial" w:eastAsia="Arial" w:hAnsi="Arial" w:cs="Arial"/>
                <w:sz w:val="16"/>
                <w:szCs w:val="16"/>
              </w:rPr>
              <w:t xml:space="preserve"> and Cultural Reference: parodies courtroom-sketch reporting—the post includes a pencil sketch (FIG. 1), labelled with the courtroom, of Cuthbert in the dock. Personification: Cuthbert is on trial as a person. Narrative Progression: Picks up the trial story line. Challenger Positioning: makes the action of M&amp;S a public performance. Target Product: a yellow plastic </w:t>
            </w:r>
            <w:proofErr w:type="spellStart"/>
            <w:proofErr w:type="gramStart"/>
            <w:r w:rsidRPr="006C7BAC">
              <w:rPr>
                <w:rFonts w:ascii="Arial" w:eastAsia="Arial" w:hAnsi="Arial" w:cs="Arial"/>
                <w:sz w:val="16"/>
                <w:szCs w:val="16"/>
              </w:rPr>
              <w:t>cup.Target</w:t>
            </w:r>
            <w:proofErr w:type="spellEnd"/>
            <w:proofErr w:type="gramEnd"/>
            <w:r w:rsidRPr="006C7BAC">
              <w:rPr>
                <w:rFonts w:ascii="Arial" w:eastAsia="Arial" w:hAnsi="Arial" w:cs="Arial"/>
                <w:sz w:val="16"/>
                <w:szCs w:val="16"/>
              </w:rPr>
              <w:t xml:space="preserve"> Audience: 3- to 4-year-olds. Legal Sensitivity: refers to the courtroom.</w:t>
            </w:r>
          </w:p>
        </w:tc>
      </w:tr>
      <w:tr w:rsidR="003D2C5F" w14:paraId="44B3DC81" w14:textId="77777777">
        <w:tc>
          <w:tcPr>
            <w:tcW w:w="700" w:type="dxa"/>
          </w:tcPr>
          <w:p w14:paraId="7B333752" w14:textId="77777777" w:rsidR="003D2C5F" w:rsidRDefault="00000000">
            <w:pPr>
              <w:spacing w:before="20" w:after="20"/>
            </w:pPr>
            <w:r>
              <w:rPr>
                <w:rFonts w:ascii="Arial" w:eastAsia="Arial" w:hAnsi="Arial" w:cs="Arial"/>
                <w:sz w:val="16"/>
                <w:szCs w:val="16"/>
              </w:rPr>
              <w:t>P08</w:t>
            </w:r>
          </w:p>
        </w:tc>
        <w:tc>
          <w:tcPr>
            <w:tcW w:w="8195" w:type="dxa"/>
          </w:tcPr>
          <w:p w14:paraId="76DE2EBC" w14:textId="1DA203F8" w:rsidR="003D2C5F" w:rsidRDefault="006C7BAC">
            <w:pPr>
              <w:spacing w:before="20" w:after="20"/>
            </w:pPr>
            <w:proofErr w:type="spellStart"/>
            <w:r w:rsidRPr="006C7BAC">
              <w:rPr>
                <w:rFonts w:ascii="Arial" w:eastAsia="Arial" w:hAnsi="Arial" w:cs="Arial"/>
                <w:sz w:val="16"/>
                <w:szCs w:val="16"/>
              </w:rPr>
              <w:t>Humour</w:t>
            </w:r>
            <w:proofErr w:type="spellEnd"/>
            <w:r w:rsidRPr="006C7BAC">
              <w:rPr>
                <w:rFonts w:ascii="Arial" w:eastAsia="Arial" w:hAnsi="Arial" w:cs="Arial"/>
                <w:sz w:val="16"/>
                <w:szCs w:val="16"/>
              </w:rPr>
              <w:t xml:space="preserve"> and Personification: talks about the caterpillars from the supermarkets that have Cuthbert in their back (Cecil, Wiggles, Curly, Clyde). Narrative Progression: broadens the characters in the story. Challenger Positioning: implicitly conflicts with M&amp;S by building a coalition of other retailers' </w:t>
            </w:r>
            <w:proofErr w:type="spellStart"/>
            <w:r w:rsidRPr="006C7BAC">
              <w:rPr>
                <w:rFonts w:ascii="Arial" w:eastAsia="Arial" w:hAnsi="Arial" w:cs="Arial"/>
                <w:sz w:val="16"/>
                <w:szCs w:val="16"/>
              </w:rPr>
              <w:t>recognisable</w:t>
            </w:r>
            <w:proofErr w:type="spellEnd"/>
            <w:r w:rsidRPr="006C7BAC">
              <w:rPr>
                <w:rFonts w:ascii="Arial" w:eastAsia="Arial" w:hAnsi="Arial" w:cs="Arial"/>
                <w:sz w:val="16"/>
                <w:szCs w:val="16"/>
              </w:rPr>
              <w:t xml:space="preserve"> products. Cultural Reference: is the other retailers' </w:t>
            </w:r>
            <w:proofErr w:type="spellStart"/>
            <w:r w:rsidRPr="006C7BAC">
              <w:rPr>
                <w:rFonts w:ascii="Arial" w:eastAsia="Arial" w:hAnsi="Arial" w:cs="Arial"/>
                <w:sz w:val="16"/>
                <w:szCs w:val="16"/>
              </w:rPr>
              <w:t>recognisable</w:t>
            </w:r>
            <w:proofErr w:type="spellEnd"/>
            <w:r w:rsidRPr="006C7BAC">
              <w:rPr>
                <w:rFonts w:ascii="Arial" w:eastAsia="Arial" w:hAnsi="Arial" w:cs="Arial"/>
                <w:sz w:val="16"/>
                <w:szCs w:val="16"/>
              </w:rPr>
              <w:t xml:space="preserve"> product. Brand Personality Cue: casual and </w:t>
            </w:r>
            <w:proofErr w:type="spellStart"/>
            <w:r>
              <w:rPr>
                <w:rFonts w:ascii="Arial" w:eastAsia="Arial" w:hAnsi="Arial" w:cs="Arial"/>
                <w:sz w:val="16"/>
                <w:szCs w:val="16"/>
              </w:rPr>
              <w:t>energising</w:t>
            </w:r>
            <w:proofErr w:type="spellEnd"/>
            <w:r w:rsidRPr="006C7BAC">
              <w:rPr>
                <w:rFonts w:ascii="Arial" w:eastAsia="Arial" w:hAnsi="Arial" w:cs="Arial"/>
                <w:sz w:val="16"/>
                <w:szCs w:val="16"/>
              </w:rPr>
              <w:t xml:space="preserve"> voice.</w:t>
            </w:r>
          </w:p>
        </w:tc>
      </w:tr>
      <w:tr w:rsidR="003D2C5F" w14:paraId="4C9201C5" w14:textId="77777777">
        <w:tc>
          <w:tcPr>
            <w:tcW w:w="700" w:type="dxa"/>
          </w:tcPr>
          <w:p w14:paraId="431F2498" w14:textId="77777777" w:rsidR="003D2C5F" w:rsidRDefault="00000000">
            <w:pPr>
              <w:spacing w:before="20" w:after="20"/>
            </w:pPr>
            <w:r>
              <w:rPr>
                <w:rFonts w:ascii="Arial" w:eastAsia="Arial" w:hAnsi="Arial" w:cs="Arial"/>
                <w:sz w:val="16"/>
                <w:szCs w:val="16"/>
              </w:rPr>
              <w:t>P09</w:t>
            </w:r>
          </w:p>
        </w:tc>
        <w:tc>
          <w:tcPr>
            <w:tcW w:w="8195" w:type="dxa"/>
          </w:tcPr>
          <w:p w14:paraId="1CCBABFE"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asks TV judge </w:t>
            </w:r>
            <w:proofErr w:type="spellStart"/>
            <w:r>
              <w:rPr>
                <w:rFonts w:ascii="Arial" w:eastAsia="Arial" w:hAnsi="Arial" w:cs="Arial"/>
                <w:sz w:val="16"/>
                <w:szCs w:val="16"/>
              </w:rPr>
              <w:t>Judge</w:t>
            </w:r>
            <w:proofErr w:type="spellEnd"/>
            <w:r>
              <w:rPr>
                <w:rFonts w:ascii="Arial" w:eastAsia="Arial" w:hAnsi="Arial" w:cs="Arial"/>
                <w:sz w:val="16"/>
                <w:szCs w:val="16"/>
              </w:rPr>
              <w:t xml:space="preserve"> Rinder whether he is free, “Asking for a friend”. Personification: the “friend” is Cuthbert, treated as a person needing a judge. Narrative Progression: the story seeks a judge. Cultural Reference: a well-known TV personality. Brand Personality Cue: direct, conversational reply. Legal Sensitivity: refers to judging the case.</w:t>
            </w:r>
          </w:p>
        </w:tc>
      </w:tr>
      <w:tr w:rsidR="003D2C5F" w14:paraId="07D65D4D" w14:textId="77777777">
        <w:tc>
          <w:tcPr>
            <w:tcW w:w="700" w:type="dxa"/>
          </w:tcPr>
          <w:p w14:paraId="185ABBE2" w14:textId="77777777" w:rsidR="003D2C5F" w:rsidRDefault="00000000">
            <w:pPr>
              <w:spacing w:before="20" w:after="20"/>
            </w:pPr>
            <w:r>
              <w:rPr>
                <w:rFonts w:ascii="Arial" w:eastAsia="Arial" w:hAnsi="Arial" w:cs="Arial"/>
                <w:sz w:val="16"/>
                <w:szCs w:val="16"/>
              </w:rPr>
              <w:t>P10</w:t>
            </w:r>
          </w:p>
        </w:tc>
        <w:tc>
          <w:tcPr>
            <w:tcW w:w="8195" w:type="dxa"/>
          </w:tcPr>
          <w:p w14:paraId="6BE6945B"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self-deprecating question to Dulux, “How do we delete tweets?”. Narrative Progression: comments on Aldi’s own role in the unfolding story. Cultural Reference: brings in another </w:t>
            </w:r>
            <w:proofErr w:type="spellStart"/>
            <w:r>
              <w:rPr>
                <w:rFonts w:ascii="Arial" w:eastAsia="Arial" w:hAnsi="Arial" w:cs="Arial"/>
                <w:sz w:val="16"/>
                <w:szCs w:val="16"/>
              </w:rPr>
              <w:t>recognisable</w:t>
            </w:r>
            <w:proofErr w:type="spellEnd"/>
            <w:r>
              <w:rPr>
                <w:rFonts w:ascii="Arial" w:eastAsia="Arial" w:hAnsi="Arial" w:cs="Arial"/>
                <w:sz w:val="16"/>
                <w:szCs w:val="16"/>
              </w:rPr>
              <w:t xml:space="preserve"> brand. Brand Personality Cue: self-aware, informal style.</w:t>
            </w:r>
          </w:p>
        </w:tc>
      </w:tr>
      <w:tr w:rsidR="003D2C5F" w14:paraId="6429C0B8" w14:textId="77777777">
        <w:tc>
          <w:tcPr>
            <w:tcW w:w="700" w:type="dxa"/>
          </w:tcPr>
          <w:p w14:paraId="45C5F85D" w14:textId="77777777" w:rsidR="003D2C5F" w:rsidRDefault="00000000">
            <w:pPr>
              <w:spacing w:before="20" w:after="20"/>
            </w:pPr>
            <w:r>
              <w:rPr>
                <w:rFonts w:ascii="Arial" w:eastAsia="Arial" w:hAnsi="Arial" w:cs="Arial"/>
                <w:sz w:val="16"/>
                <w:szCs w:val="16"/>
              </w:rPr>
              <w:t>P11</w:t>
            </w:r>
          </w:p>
        </w:tc>
        <w:tc>
          <w:tcPr>
            <w:tcW w:w="8195" w:type="dxa"/>
          </w:tcPr>
          <w:p w14:paraId="56D5D3C3"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Cultural Reference: proposes a documentary, “Working title: Making a Caterpillar”, echoing well-known true-crime documentary titles. Narrative Progression: presents the saga as a story worthy of a film. Brand Personality Cue: playful, informal tone.</w:t>
            </w:r>
          </w:p>
        </w:tc>
      </w:tr>
      <w:tr w:rsidR="003D2C5F" w14:paraId="4C7D3F0F" w14:textId="77777777">
        <w:tc>
          <w:tcPr>
            <w:tcW w:w="700" w:type="dxa"/>
          </w:tcPr>
          <w:p w14:paraId="30D34DBA" w14:textId="77777777" w:rsidR="003D2C5F" w:rsidRDefault="00000000">
            <w:pPr>
              <w:spacing w:before="20" w:after="20"/>
            </w:pPr>
            <w:r>
              <w:rPr>
                <w:rFonts w:ascii="Arial" w:eastAsia="Arial" w:hAnsi="Arial" w:cs="Arial"/>
                <w:sz w:val="16"/>
                <w:szCs w:val="16"/>
              </w:rPr>
              <w:t>P12</w:t>
            </w:r>
          </w:p>
        </w:tc>
        <w:tc>
          <w:tcPr>
            <w:tcW w:w="8195" w:type="dxa"/>
          </w:tcPr>
          <w:p w14:paraId="3559AE37"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Cultural Reference: the “Cats and Dogs” line uses a familiar phrase in a reply to BrewDog, another </w:t>
            </w:r>
            <w:proofErr w:type="spellStart"/>
            <w:r>
              <w:rPr>
                <w:rFonts w:ascii="Arial" w:eastAsia="Arial" w:hAnsi="Arial" w:cs="Arial"/>
                <w:sz w:val="16"/>
                <w:szCs w:val="16"/>
              </w:rPr>
              <w:t>recognisable</w:t>
            </w:r>
            <w:proofErr w:type="spellEnd"/>
            <w:r>
              <w:rPr>
                <w:rFonts w:ascii="Arial" w:eastAsia="Arial" w:hAnsi="Arial" w:cs="Arial"/>
                <w:sz w:val="16"/>
                <w:szCs w:val="16"/>
              </w:rPr>
              <w:t xml:space="preserve"> brand. Personification: the campaign characters are treated as able to make friends. Narrative Progression: adds a new ally to the story. Brand Personality Cue: conversational tone.</w:t>
            </w:r>
          </w:p>
        </w:tc>
      </w:tr>
      <w:tr w:rsidR="003D2C5F" w14:paraId="2BC818C2" w14:textId="77777777">
        <w:tc>
          <w:tcPr>
            <w:tcW w:w="700" w:type="dxa"/>
          </w:tcPr>
          <w:p w14:paraId="7BE8FC6F" w14:textId="77777777" w:rsidR="003D2C5F" w:rsidRDefault="00000000">
            <w:pPr>
              <w:spacing w:before="20" w:after="20"/>
            </w:pPr>
            <w:r>
              <w:rPr>
                <w:rFonts w:ascii="Arial" w:eastAsia="Arial" w:hAnsi="Arial" w:cs="Arial"/>
                <w:sz w:val="16"/>
                <w:szCs w:val="16"/>
              </w:rPr>
              <w:t>P13</w:t>
            </w:r>
          </w:p>
        </w:tc>
        <w:tc>
          <w:tcPr>
            <w:tcW w:w="8195" w:type="dxa"/>
          </w:tcPr>
          <w:p w14:paraId="3429344C"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Brand Personality Cue: understated, slang wording (“Had a pretty busy weekend </w:t>
            </w:r>
            <w:proofErr w:type="spellStart"/>
            <w:r>
              <w:rPr>
                <w:rFonts w:ascii="Arial" w:eastAsia="Arial" w:hAnsi="Arial" w:cs="Arial"/>
                <w:sz w:val="16"/>
                <w:szCs w:val="16"/>
              </w:rPr>
              <w:t>ngl</w:t>
            </w:r>
            <w:proofErr w:type="spellEnd"/>
            <w:r>
              <w:rPr>
                <w:rFonts w:ascii="Arial" w:eastAsia="Arial" w:hAnsi="Arial" w:cs="Arial"/>
                <w:sz w:val="16"/>
                <w:szCs w:val="16"/>
              </w:rPr>
              <w:t>”). Personification: gives Cuthbert’s situation a human feel. Narrative Progression: resumes the story after the weekend. Challenger Positioning: keeps Aldi’s playful challenge to M&amp;S alive into the new week.</w:t>
            </w:r>
          </w:p>
        </w:tc>
      </w:tr>
      <w:tr w:rsidR="003D2C5F" w14:paraId="026C6354" w14:textId="77777777">
        <w:tc>
          <w:tcPr>
            <w:tcW w:w="700" w:type="dxa"/>
          </w:tcPr>
          <w:p w14:paraId="366A9974" w14:textId="77777777" w:rsidR="003D2C5F" w:rsidRDefault="00000000">
            <w:pPr>
              <w:spacing w:before="20" w:after="20"/>
            </w:pPr>
            <w:r>
              <w:rPr>
                <w:rFonts w:ascii="Arial" w:eastAsia="Arial" w:hAnsi="Arial" w:cs="Arial"/>
                <w:sz w:val="16"/>
                <w:szCs w:val="16"/>
              </w:rPr>
              <w:t>P14</w:t>
            </w:r>
          </w:p>
        </w:tc>
        <w:tc>
          <w:tcPr>
            <w:tcW w:w="8195" w:type="dxa"/>
          </w:tcPr>
          <w:p w14:paraId="328DBBDA"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Cultural Reference: asks Monopoly whether its cards “work”, referring to a familiar board game. Narrative Progression: continues the imprisonment storyline. Brand Personality Cue: playful tone.</w:t>
            </w:r>
          </w:p>
        </w:tc>
      </w:tr>
      <w:tr w:rsidR="003D2C5F" w14:paraId="4CE3C190" w14:textId="77777777">
        <w:tc>
          <w:tcPr>
            <w:tcW w:w="700" w:type="dxa"/>
          </w:tcPr>
          <w:p w14:paraId="132B4BC9" w14:textId="77777777" w:rsidR="003D2C5F" w:rsidRDefault="00000000">
            <w:pPr>
              <w:spacing w:before="20" w:after="20"/>
            </w:pPr>
            <w:r>
              <w:rPr>
                <w:rFonts w:ascii="Arial" w:eastAsia="Arial" w:hAnsi="Arial" w:cs="Arial"/>
                <w:sz w:val="16"/>
                <w:szCs w:val="16"/>
              </w:rPr>
              <w:lastRenderedPageBreak/>
              <w:t>P15</w:t>
            </w:r>
          </w:p>
        </w:tc>
        <w:tc>
          <w:tcPr>
            <w:tcW w:w="8195" w:type="dxa"/>
          </w:tcPr>
          <w:p w14:paraId="7F070F52"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Personification: suggests Colin and Cuthbert become “besties”. Narrative Progression: turns the story towards reconciliation. Challenger Positioning and Cultural Reference: addressed directly to @marksandspencer, a </w:t>
            </w:r>
            <w:proofErr w:type="spellStart"/>
            <w:r>
              <w:rPr>
                <w:rFonts w:ascii="Arial" w:eastAsia="Arial" w:hAnsi="Arial" w:cs="Arial"/>
                <w:sz w:val="16"/>
                <w:szCs w:val="16"/>
              </w:rPr>
              <w:t>recognisable</w:t>
            </w:r>
            <w:proofErr w:type="spellEnd"/>
            <w:r>
              <w:rPr>
                <w:rFonts w:ascii="Arial" w:eastAsia="Arial" w:hAnsi="Arial" w:cs="Arial"/>
                <w:sz w:val="16"/>
                <w:szCs w:val="16"/>
              </w:rPr>
              <w:t xml:space="preserve"> brand and Aldi’s opponent. Brand Personality Cue: friendly, informal tone. Charity Linkage: moves the campaign towards charity. Legal Sensitivity: contrasts charity with money spent on lawyers.</w:t>
            </w:r>
          </w:p>
        </w:tc>
      </w:tr>
      <w:tr w:rsidR="003D2C5F" w14:paraId="38CF78EE" w14:textId="77777777">
        <w:tc>
          <w:tcPr>
            <w:tcW w:w="700" w:type="dxa"/>
          </w:tcPr>
          <w:p w14:paraId="5885860E" w14:textId="77777777" w:rsidR="003D2C5F" w:rsidRDefault="00000000">
            <w:pPr>
              <w:spacing w:before="20" w:after="20"/>
            </w:pPr>
            <w:r>
              <w:rPr>
                <w:rFonts w:ascii="Arial" w:eastAsia="Arial" w:hAnsi="Arial" w:cs="Arial"/>
                <w:sz w:val="16"/>
                <w:szCs w:val="16"/>
              </w:rPr>
              <w:t>P16</w:t>
            </w:r>
          </w:p>
        </w:tc>
        <w:tc>
          <w:tcPr>
            <w:tcW w:w="8195" w:type="dxa"/>
          </w:tcPr>
          <w:p w14:paraId="1574B1A3"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and Personification: asks other supermarkets to bring their caterpillars together. Narrative Progression: extends the story into a charitable phase. Challenger Positioning and Cultural Reference: names several competing brands (@Tesco, @sainsburys, @asda). Brand Personality Cue: informal greeting. Charity Linkage: makes the charity purpose explicit. Legal Sensitivity: contrasts raising money for charity with spending money on lawyers.</w:t>
            </w:r>
          </w:p>
        </w:tc>
      </w:tr>
    </w:tbl>
    <w:p w14:paraId="0A5F1D94" w14:textId="77777777" w:rsidR="003D2C5F" w:rsidRDefault="00000000">
      <w:pPr>
        <w:pStyle w:val="Heading2"/>
        <w:spacing w:after="80" w:line="360" w:lineRule="auto"/>
      </w:pPr>
      <w:bookmarkStart w:id="192" w:name="_Toc241144247"/>
      <w:r>
        <w:rPr>
          <w:sz w:val="34"/>
          <w:szCs w:val="34"/>
        </w:rPr>
        <w:t>Appendix E: Evidence Trail from Data to Conclusions</w:t>
      </w:r>
      <w:bookmarkEnd w:id="192"/>
    </w:p>
    <w:p w14:paraId="7DFE6571" w14:textId="77777777" w:rsidR="003D2C5F" w:rsidRDefault="00000000">
      <w:pPr>
        <w:spacing w:before="120" w:after="120" w:line="300" w:lineRule="auto"/>
        <w:jc w:val="both"/>
      </w:pPr>
      <w:r>
        <w:rPr>
          <w:rFonts w:ascii="Arial" w:eastAsia="Arial" w:hAnsi="Arial" w:cs="Arial"/>
        </w:rPr>
        <w:t>Table E1 shows, for each theme reported in Chapter Four, the coded data on which it rests (Appendices A, D and F), where it is reported as a finding, where it is interpreted in Chapter Five, and which conclusions or recommendations in Chapters Five and Six draw on it. Post and source IDs refer to Appendices A and B; code frequencies refer to Table D1 and Table F2.</w:t>
      </w:r>
    </w:p>
    <w:p w14:paraId="2386A679" w14:textId="77777777" w:rsidR="003D2C5F" w:rsidRDefault="00000000">
      <w:pPr>
        <w:spacing w:before="240" w:after="120" w:line="300" w:lineRule="auto"/>
        <w:jc w:val="both"/>
      </w:pPr>
      <w:r>
        <w:rPr>
          <w:rFonts w:ascii="Arial" w:eastAsia="Arial" w:hAnsi="Arial" w:cs="Arial"/>
          <w:b/>
          <w:sz w:val="18"/>
          <w:szCs w:val="18"/>
        </w:rPr>
        <w:t>Table E1: Evidence Trail (Data → Codes → Themes → Findings → Interpretation → Conclusions)</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1500"/>
        <w:gridCol w:w="2600"/>
        <w:gridCol w:w="1100"/>
        <w:gridCol w:w="1600"/>
        <w:gridCol w:w="2095"/>
      </w:tblGrid>
      <w:tr w:rsidR="003D2C5F" w14:paraId="1311F1A2" w14:textId="77777777">
        <w:trPr>
          <w:tblHeader/>
        </w:trPr>
        <w:tc>
          <w:tcPr>
            <w:tcW w:w="1500" w:type="dxa"/>
            <w:shd w:val="clear" w:color="auto" w:fill="D9E2F3"/>
          </w:tcPr>
          <w:p w14:paraId="7FAD44B3" w14:textId="77777777" w:rsidR="003D2C5F" w:rsidRDefault="00000000">
            <w:pPr>
              <w:spacing w:before="20" w:after="20"/>
            </w:pPr>
            <w:r>
              <w:rPr>
                <w:rFonts w:ascii="Arial" w:eastAsia="Arial" w:hAnsi="Arial" w:cs="Arial"/>
                <w:b/>
                <w:sz w:val="16"/>
                <w:szCs w:val="16"/>
              </w:rPr>
              <w:t>Theme (RQ)</w:t>
            </w:r>
          </w:p>
        </w:tc>
        <w:tc>
          <w:tcPr>
            <w:tcW w:w="2600" w:type="dxa"/>
            <w:shd w:val="clear" w:color="auto" w:fill="D9E2F3"/>
          </w:tcPr>
          <w:p w14:paraId="35317194" w14:textId="77777777" w:rsidR="003D2C5F" w:rsidRDefault="00000000">
            <w:pPr>
              <w:spacing w:before="20" w:after="20"/>
            </w:pPr>
            <w:r>
              <w:rPr>
                <w:rFonts w:ascii="Arial" w:eastAsia="Arial" w:hAnsi="Arial" w:cs="Arial"/>
                <w:b/>
                <w:sz w:val="16"/>
                <w:szCs w:val="16"/>
              </w:rPr>
              <w:t>Data and codes</w:t>
            </w:r>
          </w:p>
        </w:tc>
        <w:tc>
          <w:tcPr>
            <w:tcW w:w="1100" w:type="dxa"/>
            <w:shd w:val="clear" w:color="auto" w:fill="D9E2F3"/>
          </w:tcPr>
          <w:p w14:paraId="44DEF9A1" w14:textId="77777777" w:rsidR="003D2C5F" w:rsidRDefault="00000000">
            <w:pPr>
              <w:spacing w:before="20" w:after="20"/>
            </w:pPr>
            <w:r>
              <w:rPr>
                <w:rFonts w:ascii="Arial" w:eastAsia="Arial" w:hAnsi="Arial" w:cs="Arial"/>
                <w:b/>
                <w:sz w:val="16"/>
                <w:szCs w:val="16"/>
              </w:rPr>
              <w:t>Finding</w:t>
            </w:r>
          </w:p>
        </w:tc>
        <w:tc>
          <w:tcPr>
            <w:tcW w:w="1600" w:type="dxa"/>
            <w:shd w:val="clear" w:color="auto" w:fill="D9E2F3"/>
          </w:tcPr>
          <w:p w14:paraId="391B7E8A" w14:textId="77777777" w:rsidR="003D2C5F" w:rsidRDefault="00000000">
            <w:pPr>
              <w:spacing w:before="20" w:after="20"/>
            </w:pPr>
            <w:r>
              <w:rPr>
                <w:rFonts w:ascii="Arial" w:eastAsia="Arial" w:hAnsi="Arial" w:cs="Arial"/>
                <w:b/>
                <w:sz w:val="16"/>
                <w:szCs w:val="16"/>
              </w:rPr>
              <w:t>Interpretation</w:t>
            </w:r>
          </w:p>
        </w:tc>
        <w:tc>
          <w:tcPr>
            <w:tcW w:w="2095" w:type="dxa"/>
            <w:shd w:val="clear" w:color="auto" w:fill="D9E2F3"/>
          </w:tcPr>
          <w:p w14:paraId="6ED240EF" w14:textId="77777777" w:rsidR="003D2C5F" w:rsidRDefault="00000000">
            <w:pPr>
              <w:spacing w:before="20" w:after="20"/>
            </w:pPr>
            <w:r>
              <w:rPr>
                <w:rFonts w:ascii="Arial" w:eastAsia="Arial" w:hAnsi="Arial" w:cs="Arial"/>
                <w:b/>
                <w:sz w:val="16"/>
                <w:szCs w:val="16"/>
              </w:rPr>
              <w:t>Conclusion / recommendation</w:t>
            </w:r>
          </w:p>
        </w:tc>
      </w:tr>
      <w:tr w:rsidR="003D2C5F" w14:paraId="1E5F4B1B" w14:textId="77777777">
        <w:tc>
          <w:tcPr>
            <w:tcW w:w="1500" w:type="dxa"/>
          </w:tcPr>
          <w:p w14:paraId="326FA167" w14:textId="77777777" w:rsidR="003D2C5F" w:rsidRDefault="00000000">
            <w:pPr>
              <w:spacing w:before="20" w:after="20"/>
            </w:pPr>
            <w:r>
              <w:rPr>
                <w:rFonts w:ascii="Arial" w:eastAsia="Arial" w:hAnsi="Arial" w:cs="Arial"/>
                <w:sz w:val="16"/>
                <w:szCs w:val="16"/>
              </w:rPr>
              <w:t>T1. Three-phase campaign structure (RQ1)</w:t>
            </w:r>
          </w:p>
        </w:tc>
        <w:tc>
          <w:tcPr>
            <w:tcW w:w="2600" w:type="dxa"/>
          </w:tcPr>
          <w:p w14:paraId="7F8FC62E" w14:textId="77777777" w:rsidR="003D2C5F" w:rsidRDefault="00000000">
            <w:pPr>
              <w:spacing w:before="20" w:after="20"/>
            </w:pPr>
            <w:r>
              <w:rPr>
                <w:rFonts w:ascii="Arial" w:eastAsia="Arial" w:hAnsi="Arial" w:cs="Arial"/>
                <w:sz w:val="16"/>
                <w:szCs w:val="16"/>
              </w:rPr>
              <w:t>Publication dates and times (Appendix A): P01 on 15 April; P02–P12 on 16 April; P13–P16 on 19–20 April. Narrative Progression 16/16; Charity Linkage only in P15–P16. Phase structure identified inductively from the timing data (Section 3.6).</w:t>
            </w:r>
          </w:p>
        </w:tc>
        <w:tc>
          <w:tcPr>
            <w:tcW w:w="1100" w:type="dxa"/>
          </w:tcPr>
          <w:p w14:paraId="49B2C3C7" w14:textId="77777777" w:rsidR="003D2C5F" w:rsidRDefault="00000000">
            <w:pPr>
              <w:spacing w:before="20" w:after="20"/>
            </w:pPr>
            <w:r>
              <w:rPr>
                <w:rFonts w:ascii="Arial" w:eastAsia="Arial" w:hAnsi="Arial" w:cs="Arial"/>
                <w:sz w:val="16"/>
                <w:szCs w:val="16"/>
              </w:rPr>
              <w:t>4.2.2; 4.3.2</w:t>
            </w:r>
          </w:p>
        </w:tc>
        <w:tc>
          <w:tcPr>
            <w:tcW w:w="1600" w:type="dxa"/>
          </w:tcPr>
          <w:p w14:paraId="6A0D86E0" w14:textId="77777777" w:rsidR="003D2C5F" w:rsidRDefault="00000000">
            <w:pPr>
              <w:spacing w:before="20" w:after="20"/>
            </w:pPr>
            <w:r>
              <w:rPr>
                <w:rFonts w:ascii="Arial" w:eastAsia="Arial" w:hAnsi="Arial" w:cs="Arial"/>
                <w:sz w:val="16"/>
                <w:szCs w:val="16"/>
              </w:rPr>
              <w:t>5.2.2 (structure consistent with structured improvisation, not evidence of planning)</w:t>
            </w:r>
          </w:p>
        </w:tc>
        <w:tc>
          <w:tcPr>
            <w:tcW w:w="2095" w:type="dxa"/>
          </w:tcPr>
          <w:p w14:paraId="23FC3A8F" w14:textId="77777777" w:rsidR="003D2C5F" w:rsidRDefault="00000000">
            <w:pPr>
              <w:spacing w:before="20" w:after="20"/>
            </w:pPr>
            <w:r>
              <w:rPr>
                <w:rFonts w:ascii="Arial" w:eastAsia="Arial" w:hAnsi="Arial" w:cs="Arial"/>
                <w:sz w:val="16"/>
                <w:szCs w:val="16"/>
              </w:rPr>
              <w:t>6.1 (RQ1); 6.2 Contribution 3; 5.6 Implication 4; 6.4 Recommendation 4</w:t>
            </w:r>
          </w:p>
        </w:tc>
      </w:tr>
      <w:tr w:rsidR="003D2C5F" w14:paraId="7E25CEB2" w14:textId="77777777">
        <w:tc>
          <w:tcPr>
            <w:tcW w:w="1500" w:type="dxa"/>
          </w:tcPr>
          <w:p w14:paraId="48D10567" w14:textId="77777777" w:rsidR="003D2C5F" w:rsidRDefault="00000000">
            <w:pPr>
              <w:spacing w:before="20" w:after="20"/>
            </w:pPr>
            <w:r>
              <w:rPr>
                <w:rFonts w:ascii="Arial" w:eastAsia="Arial" w:hAnsi="Arial" w:cs="Arial"/>
                <w:sz w:val="16"/>
                <w:szCs w:val="16"/>
              </w:rPr>
              <w:t xml:space="preserve">T2. </w:t>
            </w:r>
            <w:proofErr w:type="spellStart"/>
            <w:r>
              <w:rPr>
                <w:rFonts w:ascii="Arial" w:eastAsia="Arial" w:hAnsi="Arial" w:cs="Arial"/>
                <w:sz w:val="16"/>
                <w:szCs w:val="16"/>
              </w:rPr>
              <w:t>Humour</w:t>
            </w:r>
            <w:proofErr w:type="spellEnd"/>
            <w:r>
              <w:rPr>
                <w:rFonts w:ascii="Arial" w:eastAsia="Arial" w:hAnsi="Arial" w:cs="Arial"/>
                <w:sz w:val="16"/>
                <w:szCs w:val="16"/>
              </w:rPr>
              <w:t xml:space="preserve"> as a sustained but controlled device (RQ2, RQ4)</w:t>
            </w:r>
          </w:p>
        </w:tc>
        <w:tc>
          <w:tcPr>
            <w:tcW w:w="2600" w:type="dxa"/>
          </w:tcPr>
          <w:p w14:paraId="15C91BE9" w14:textId="77777777" w:rsidR="003D2C5F" w:rsidRDefault="00000000">
            <w:pPr>
              <w:spacing w:before="20" w:after="20"/>
            </w:pPr>
            <w:proofErr w:type="spellStart"/>
            <w:r>
              <w:rPr>
                <w:rFonts w:ascii="Arial" w:eastAsia="Arial" w:hAnsi="Arial" w:cs="Arial"/>
                <w:sz w:val="16"/>
                <w:szCs w:val="16"/>
              </w:rPr>
              <w:t>Humour</w:t>
            </w:r>
            <w:proofErr w:type="spellEnd"/>
            <w:r>
              <w:rPr>
                <w:rFonts w:ascii="Arial" w:eastAsia="Arial" w:hAnsi="Arial" w:cs="Arial"/>
                <w:sz w:val="16"/>
                <w:szCs w:val="16"/>
              </w:rPr>
              <w:t xml:space="preserve"> 16/16. Character-based: P03, P05, P06. Self-deprecating: P10. Observational (no personification): P04, P10, P11, P14. Only P04 mocks M&amp;S by name.</w:t>
            </w:r>
          </w:p>
        </w:tc>
        <w:tc>
          <w:tcPr>
            <w:tcW w:w="1100" w:type="dxa"/>
          </w:tcPr>
          <w:p w14:paraId="5F4064CD" w14:textId="77777777" w:rsidR="003D2C5F" w:rsidRDefault="00000000">
            <w:pPr>
              <w:spacing w:before="20" w:after="20"/>
            </w:pPr>
            <w:r>
              <w:rPr>
                <w:rFonts w:ascii="Arial" w:eastAsia="Arial" w:hAnsi="Arial" w:cs="Arial"/>
                <w:sz w:val="16"/>
                <w:szCs w:val="16"/>
              </w:rPr>
              <w:t>4.3.1; 4.4.1 Feature 2</w:t>
            </w:r>
          </w:p>
        </w:tc>
        <w:tc>
          <w:tcPr>
            <w:tcW w:w="1600" w:type="dxa"/>
          </w:tcPr>
          <w:p w14:paraId="4467FE4A" w14:textId="77777777" w:rsidR="003D2C5F" w:rsidRDefault="00000000">
            <w:pPr>
              <w:spacing w:before="20" w:after="20"/>
            </w:pPr>
            <w:r>
              <w:rPr>
                <w:rFonts w:ascii="Arial" w:eastAsia="Arial" w:hAnsi="Arial" w:cs="Arial"/>
                <w:sz w:val="16"/>
                <w:szCs w:val="16"/>
              </w:rPr>
              <w:t>5.3.1; 5.3.4</w:t>
            </w:r>
          </w:p>
        </w:tc>
        <w:tc>
          <w:tcPr>
            <w:tcW w:w="2095" w:type="dxa"/>
          </w:tcPr>
          <w:p w14:paraId="64933359" w14:textId="77777777" w:rsidR="003D2C5F" w:rsidRDefault="00000000">
            <w:pPr>
              <w:spacing w:before="20" w:after="20"/>
            </w:pPr>
            <w:r>
              <w:rPr>
                <w:rFonts w:ascii="Arial" w:eastAsia="Arial" w:hAnsi="Arial" w:cs="Arial"/>
                <w:sz w:val="16"/>
                <w:szCs w:val="16"/>
              </w:rPr>
              <w:t>6.1 (RQ2, RQ4); 6.6</w:t>
            </w:r>
          </w:p>
        </w:tc>
      </w:tr>
      <w:tr w:rsidR="003D2C5F" w14:paraId="5717D456" w14:textId="77777777">
        <w:tc>
          <w:tcPr>
            <w:tcW w:w="1500" w:type="dxa"/>
          </w:tcPr>
          <w:p w14:paraId="0B777C0D" w14:textId="77777777" w:rsidR="003D2C5F" w:rsidRDefault="00000000">
            <w:pPr>
              <w:spacing w:before="20" w:after="20"/>
            </w:pPr>
            <w:r>
              <w:rPr>
                <w:rFonts w:ascii="Arial" w:eastAsia="Arial" w:hAnsi="Arial" w:cs="Arial"/>
                <w:sz w:val="16"/>
                <w:szCs w:val="16"/>
              </w:rPr>
              <w:t>T3. Displacement of conflict onto a character (RQ2, RQ4)</w:t>
            </w:r>
          </w:p>
        </w:tc>
        <w:tc>
          <w:tcPr>
            <w:tcW w:w="2600" w:type="dxa"/>
          </w:tcPr>
          <w:p w14:paraId="01DEBC18" w14:textId="77777777" w:rsidR="003D2C5F" w:rsidRDefault="00000000">
            <w:pPr>
              <w:spacing w:before="20" w:after="20"/>
            </w:pPr>
            <w:r>
              <w:rPr>
                <w:rFonts w:ascii="Arial" w:eastAsia="Arial" w:hAnsi="Arial" w:cs="Arial"/>
                <w:sz w:val="16"/>
                <w:szCs w:val="16"/>
              </w:rPr>
              <w:t>Personification 12/16 (all posts except P04, P10, P11, P14); Legal Sensitivity 9/16, always expressed through Cuthbert’s story (P01–P03, P05–P07, P09, P15, P16).</w:t>
            </w:r>
          </w:p>
        </w:tc>
        <w:tc>
          <w:tcPr>
            <w:tcW w:w="1100" w:type="dxa"/>
          </w:tcPr>
          <w:p w14:paraId="58E28F21" w14:textId="77777777" w:rsidR="003D2C5F" w:rsidRDefault="00000000">
            <w:pPr>
              <w:spacing w:before="20" w:after="20"/>
            </w:pPr>
            <w:r>
              <w:rPr>
                <w:rFonts w:ascii="Arial" w:eastAsia="Arial" w:hAnsi="Arial" w:cs="Arial"/>
                <w:sz w:val="16"/>
                <w:szCs w:val="16"/>
              </w:rPr>
              <w:t>4.3.2; 4.4.1 Feature 1</w:t>
            </w:r>
          </w:p>
        </w:tc>
        <w:tc>
          <w:tcPr>
            <w:tcW w:w="1600" w:type="dxa"/>
          </w:tcPr>
          <w:p w14:paraId="0699B77E" w14:textId="77777777" w:rsidR="003D2C5F" w:rsidRDefault="00000000">
            <w:pPr>
              <w:spacing w:before="20" w:after="20"/>
            </w:pPr>
            <w:r>
              <w:rPr>
                <w:rFonts w:ascii="Arial" w:eastAsia="Arial" w:hAnsi="Arial" w:cs="Arial"/>
                <w:sz w:val="16"/>
                <w:szCs w:val="16"/>
              </w:rPr>
              <w:t>5.3.1; 5.4.1</w:t>
            </w:r>
          </w:p>
        </w:tc>
        <w:tc>
          <w:tcPr>
            <w:tcW w:w="2095" w:type="dxa"/>
          </w:tcPr>
          <w:p w14:paraId="5221005D" w14:textId="77777777" w:rsidR="003D2C5F" w:rsidRDefault="00000000">
            <w:pPr>
              <w:spacing w:before="20" w:after="20"/>
            </w:pPr>
            <w:r>
              <w:rPr>
                <w:rFonts w:ascii="Arial" w:eastAsia="Arial" w:hAnsi="Arial" w:cs="Arial"/>
                <w:sz w:val="16"/>
                <w:szCs w:val="16"/>
              </w:rPr>
              <w:t>5.6 Implication 3; 6.4 Recommendation 3</w:t>
            </w:r>
          </w:p>
        </w:tc>
      </w:tr>
      <w:tr w:rsidR="003D2C5F" w14:paraId="6FF578D9" w14:textId="77777777">
        <w:tc>
          <w:tcPr>
            <w:tcW w:w="1500" w:type="dxa"/>
          </w:tcPr>
          <w:p w14:paraId="4839DE4E" w14:textId="77777777" w:rsidR="003D2C5F" w:rsidRDefault="00000000">
            <w:pPr>
              <w:spacing w:before="20" w:after="20"/>
            </w:pPr>
            <w:r>
              <w:rPr>
                <w:rFonts w:ascii="Arial" w:eastAsia="Arial" w:hAnsi="Arial" w:cs="Arial"/>
                <w:sz w:val="16"/>
                <w:szCs w:val="16"/>
              </w:rPr>
              <w:t>T4. Challenger positioning that softens into cooperation (RQ2)</w:t>
            </w:r>
          </w:p>
        </w:tc>
        <w:tc>
          <w:tcPr>
            <w:tcW w:w="2600" w:type="dxa"/>
          </w:tcPr>
          <w:p w14:paraId="6F1221DC" w14:textId="77777777" w:rsidR="003D2C5F" w:rsidRDefault="00000000">
            <w:pPr>
              <w:spacing w:before="20" w:after="20"/>
            </w:pPr>
            <w:r>
              <w:rPr>
                <w:rFonts w:ascii="Arial" w:eastAsia="Arial" w:hAnsi="Arial" w:cs="Arial"/>
                <w:sz w:val="16"/>
                <w:szCs w:val="16"/>
              </w:rPr>
              <w:t>Challenger Positioning 10/16; direct jibe in P04; continued in Phase 3 (P13, P15, P16) in a cooperative form (P15 addressed to @marksandspencer). Brand Personality Cue 16/16.</w:t>
            </w:r>
          </w:p>
        </w:tc>
        <w:tc>
          <w:tcPr>
            <w:tcW w:w="1100" w:type="dxa"/>
          </w:tcPr>
          <w:p w14:paraId="25A9F8B9" w14:textId="77777777" w:rsidR="003D2C5F" w:rsidRDefault="00000000">
            <w:pPr>
              <w:spacing w:before="20" w:after="20"/>
            </w:pPr>
            <w:r>
              <w:rPr>
                <w:rFonts w:ascii="Arial" w:eastAsia="Arial" w:hAnsi="Arial" w:cs="Arial"/>
                <w:sz w:val="16"/>
                <w:szCs w:val="16"/>
              </w:rPr>
              <w:t>4.3.3</w:t>
            </w:r>
          </w:p>
        </w:tc>
        <w:tc>
          <w:tcPr>
            <w:tcW w:w="1600" w:type="dxa"/>
          </w:tcPr>
          <w:p w14:paraId="04B7982B" w14:textId="77777777" w:rsidR="003D2C5F" w:rsidRDefault="00000000">
            <w:pPr>
              <w:spacing w:before="20" w:after="20"/>
            </w:pPr>
            <w:r>
              <w:rPr>
                <w:rFonts w:ascii="Arial" w:eastAsia="Arial" w:hAnsi="Arial" w:cs="Arial"/>
                <w:sz w:val="16"/>
                <w:szCs w:val="16"/>
              </w:rPr>
              <w:t>5.3.2; 5.5 Tension 2</w:t>
            </w:r>
          </w:p>
        </w:tc>
        <w:tc>
          <w:tcPr>
            <w:tcW w:w="2095" w:type="dxa"/>
          </w:tcPr>
          <w:p w14:paraId="12555DA0" w14:textId="77777777" w:rsidR="003D2C5F" w:rsidRDefault="00000000">
            <w:pPr>
              <w:spacing w:before="20" w:after="20"/>
            </w:pPr>
            <w:r>
              <w:rPr>
                <w:rFonts w:ascii="Arial" w:eastAsia="Arial" w:hAnsi="Arial" w:cs="Arial"/>
                <w:sz w:val="16"/>
                <w:szCs w:val="16"/>
              </w:rPr>
              <w:t>5.6 Implication 2; 6.4 Recommendation 5</w:t>
            </w:r>
          </w:p>
        </w:tc>
      </w:tr>
      <w:tr w:rsidR="003D2C5F" w14:paraId="4D9941EB" w14:textId="77777777">
        <w:tc>
          <w:tcPr>
            <w:tcW w:w="1500" w:type="dxa"/>
          </w:tcPr>
          <w:p w14:paraId="3729FFBD" w14:textId="77777777" w:rsidR="003D2C5F" w:rsidRDefault="00000000">
            <w:pPr>
              <w:spacing w:before="20" w:after="20"/>
            </w:pPr>
            <w:r>
              <w:rPr>
                <w:rFonts w:ascii="Arial" w:eastAsia="Arial" w:hAnsi="Arial" w:cs="Arial"/>
                <w:sz w:val="16"/>
                <w:szCs w:val="16"/>
              </w:rPr>
              <w:lastRenderedPageBreak/>
              <w:t>T5. Constructed British cultural relevance (RQ2)</w:t>
            </w:r>
          </w:p>
        </w:tc>
        <w:tc>
          <w:tcPr>
            <w:tcW w:w="2600" w:type="dxa"/>
          </w:tcPr>
          <w:p w14:paraId="6144C682" w14:textId="77777777" w:rsidR="003D2C5F" w:rsidRDefault="00000000">
            <w:pPr>
              <w:spacing w:before="20" w:after="20"/>
            </w:pPr>
            <w:r>
              <w:rPr>
                <w:rFonts w:ascii="Arial" w:eastAsia="Arial" w:hAnsi="Arial" w:cs="Arial"/>
                <w:sz w:val="16"/>
                <w:szCs w:val="16"/>
              </w:rPr>
              <w:t>Cultural Reference 14/16 (all except P02, P13); familiar brands and public figures in P09, P10, P12, P14, P16; UK slang and understatement in P02, P13.</w:t>
            </w:r>
          </w:p>
        </w:tc>
        <w:tc>
          <w:tcPr>
            <w:tcW w:w="1100" w:type="dxa"/>
          </w:tcPr>
          <w:p w14:paraId="268042B1" w14:textId="77777777" w:rsidR="003D2C5F" w:rsidRDefault="00000000">
            <w:pPr>
              <w:spacing w:before="20" w:after="20"/>
            </w:pPr>
            <w:r>
              <w:rPr>
                <w:rFonts w:ascii="Arial" w:eastAsia="Arial" w:hAnsi="Arial" w:cs="Arial"/>
                <w:sz w:val="16"/>
                <w:szCs w:val="16"/>
              </w:rPr>
              <w:t>4.3.4</w:t>
            </w:r>
          </w:p>
        </w:tc>
        <w:tc>
          <w:tcPr>
            <w:tcW w:w="1600" w:type="dxa"/>
          </w:tcPr>
          <w:p w14:paraId="218B557F" w14:textId="77777777" w:rsidR="003D2C5F" w:rsidRDefault="00000000">
            <w:pPr>
              <w:spacing w:before="20" w:after="20"/>
            </w:pPr>
            <w:r>
              <w:rPr>
                <w:rFonts w:ascii="Arial" w:eastAsia="Arial" w:hAnsi="Arial" w:cs="Arial"/>
                <w:sz w:val="16"/>
                <w:szCs w:val="16"/>
              </w:rPr>
              <w:t>5.3.3</w:t>
            </w:r>
          </w:p>
        </w:tc>
        <w:tc>
          <w:tcPr>
            <w:tcW w:w="2095" w:type="dxa"/>
          </w:tcPr>
          <w:p w14:paraId="795BB0C4" w14:textId="77777777" w:rsidR="003D2C5F" w:rsidRDefault="00000000">
            <w:pPr>
              <w:spacing w:before="20" w:after="20"/>
            </w:pPr>
            <w:r>
              <w:rPr>
                <w:rFonts w:ascii="Arial" w:eastAsia="Arial" w:hAnsi="Arial" w:cs="Arial"/>
                <w:sz w:val="16"/>
                <w:szCs w:val="16"/>
              </w:rPr>
              <w:t>5.6 Implication 1; 6.4 Recommendation 2</w:t>
            </w:r>
          </w:p>
        </w:tc>
      </w:tr>
      <w:tr w:rsidR="003D2C5F" w14:paraId="2F277082" w14:textId="77777777">
        <w:tc>
          <w:tcPr>
            <w:tcW w:w="1500" w:type="dxa"/>
          </w:tcPr>
          <w:p w14:paraId="0B82B1CF" w14:textId="77777777" w:rsidR="003D2C5F" w:rsidRDefault="00000000">
            <w:pPr>
              <w:spacing w:before="20" w:after="20"/>
            </w:pPr>
            <w:r>
              <w:rPr>
                <w:rFonts w:ascii="Arial" w:eastAsia="Arial" w:hAnsi="Arial" w:cs="Arial"/>
                <w:sz w:val="16"/>
                <w:szCs w:val="16"/>
              </w:rPr>
              <w:t xml:space="preserve">T6. Legal sensitivity handled through </w:t>
            </w:r>
            <w:proofErr w:type="spellStart"/>
            <w:r>
              <w:rPr>
                <w:rFonts w:ascii="Arial" w:eastAsia="Arial" w:hAnsi="Arial" w:cs="Arial"/>
                <w:sz w:val="16"/>
                <w:szCs w:val="16"/>
              </w:rPr>
              <w:t>humour</w:t>
            </w:r>
            <w:proofErr w:type="spellEnd"/>
            <w:r>
              <w:rPr>
                <w:rFonts w:ascii="Arial" w:eastAsia="Arial" w:hAnsi="Arial" w:cs="Arial"/>
                <w:sz w:val="16"/>
                <w:szCs w:val="16"/>
              </w:rPr>
              <w:t>, not legal argument (RQ4)</w:t>
            </w:r>
          </w:p>
        </w:tc>
        <w:tc>
          <w:tcPr>
            <w:tcW w:w="2600" w:type="dxa"/>
          </w:tcPr>
          <w:p w14:paraId="2FEC1915" w14:textId="77777777" w:rsidR="003D2C5F" w:rsidRDefault="00000000">
            <w:pPr>
              <w:spacing w:before="20" w:after="20"/>
            </w:pPr>
            <w:r>
              <w:rPr>
                <w:rFonts w:ascii="Arial" w:eastAsia="Arial" w:hAnsi="Arial" w:cs="Arial"/>
                <w:sz w:val="16"/>
                <w:szCs w:val="16"/>
              </w:rPr>
              <w:t>Legal Sensitivity 9/16; no post argues the legal merits or denies liability (Table D2). Secondary codes SC5–SC7: none of the eleven sources suggests the campaign created new legal risk (Table F2).</w:t>
            </w:r>
          </w:p>
        </w:tc>
        <w:tc>
          <w:tcPr>
            <w:tcW w:w="1100" w:type="dxa"/>
          </w:tcPr>
          <w:p w14:paraId="0F8B0E07" w14:textId="77777777" w:rsidR="003D2C5F" w:rsidRDefault="00000000">
            <w:pPr>
              <w:spacing w:before="20" w:after="20"/>
            </w:pPr>
            <w:r>
              <w:rPr>
                <w:rFonts w:ascii="Arial" w:eastAsia="Arial" w:hAnsi="Arial" w:cs="Arial"/>
                <w:sz w:val="16"/>
                <w:szCs w:val="16"/>
              </w:rPr>
              <w:t>4.4.1 Feature 4; 4.4.2</w:t>
            </w:r>
          </w:p>
        </w:tc>
        <w:tc>
          <w:tcPr>
            <w:tcW w:w="1600" w:type="dxa"/>
          </w:tcPr>
          <w:p w14:paraId="64A5DC63" w14:textId="77777777" w:rsidR="003D2C5F" w:rsidRDefault="00000000">
            <w:pPr>
              <w:spacing w:before="20" w:after="20"/>
            </w:pPr>
            <w:r>
              <w:rPr>
                <w:rFonts w:ascii="Arial" w:eastAsia="Arial" w:hAnsi="Arial" w:cs="Arial"/>
                <w:sz w:val="16"/>
                <w:szCs w:val="16"/>
              </w:rPr>
              <w:t>5.4.2</w:t>
            </w:r>
          </w:p>
        </w:tc>
        <w:tc>
          <w:tcPr>
            <w:tcW w:w="2095" w:type="dxa"/>
          </w:tcPr>
          <w:p w14:paraId="4A04A47F" w14:textId="77777777" w:rsidR="003D2C5F" w:rsidRDefault="00000000">
            <w:pPr>
              <w:spacing w:before="20" w:after="20"/>
            </w:pPr>
            <w:r>
              <w:rPr>
                <w:rFonts w:ascii="Arial" w:eastAsia="Arial" w:hAnsi="Arial" w:cs="Arial"/>
                <w:sz w:val="16"/>
                <w:szCs w:val="16"/>
              </w:rPr>
              <w:t>5.6 Implication 3; 6.4 Recommendation 3</w:t>
            </w:r>
          </w:p>
        </w:tc>
      </w:tr>
      <w:tr w:rsidR="003D2C5F" w14:paraId="2EC64C47" w14:textId="77777777">
        <w:tc>
          <w:tcPr>
            <w:tcW w:w="1500" w:type="dxa"/>
          </w:tcPr>
          <w:p w14:paraId="1713F2F0" w14:textId="77777777" w:rsidR="003D2C5F" w:rsidRDefault="00000000">
            <w:pPr>
              <w:spacing w:before="20" w:after="20"/>
            </w:pPr>
            <w:r>
              <w:rPr>
                <w:rFonts w:ascii="Arial" w:eastAsia="Arial" w:hAnsi="Arial" w:cs="Arial"/>
                <w:sz w:val="16"/>
                <w:szCs w:val="16"/>
              </w:rPr>
              <w:t>T7. Charitable extension as a route to resolution (RQ4)</w:t>
            </w:r>
          </w:p>
        </w:tc>
        <w:tc>
          <w:tcPr>
            <w:tcW w:w="2600" w:type="dxa"/>
          </w:tcPr>
          <w:p w14:paraId="735B8E24" w14:textId="77777777" w:rsidR="003D2C5F" w:rsidRDefault="00000000">
            <w:pPr>
              <w:spacing w:before="20" w:after="20"/>
            </w:pPr>
            <w:r>
              <w:rPr>
                <w:rFonts w:ascii="Arial" w:eastAsia="Arial" w:hAnsi="Arial" w:cs="Arial"/>
                <w:sz w:val="16"/>
                <w:szCs w:val="16"/>
              </w:rPr>
              <w:t>Charity Linkage 2/16 (P15, P16), both also coded Legal Sensitivity; charity comeback reported by ITV News (S06).</w:t>
            </w:r>
          </w:p>
        </w:tc>
        <w:tc>
          <w:tcPr>
            <w:tcW w:w="1100" w:type="dxa"/>
          </w:tcPr>
          <w:p w14:paraId="1A68FAAF" w14:textId="77777777" w:rsidR="003D2C5F" w:rsidRDefault="00000000">
            <w:pPr>
              <w:spacing w:before="20" w:after="20"/>
            </w:pPr>
            <w:r>
              <w:rPr>
                <w:rFonts w:ascii="Arial" w:eastAsia="Arial" w:hAnsi="Arial" w:cs="Arial"/>
                <w:sz w:val="16"/>
                <w:szCs w:val="16"/>
              </w:rPr>
              <w:t>4.2.2; 4.4.1 Feature 3; 4.4.3</w:t>
            </w:r>
          </w:p>
        </w:tc>
        <w:tc>
          <w:tcPr>
            <w:tcW w:w="1600" w:type="dxa"/>
          </w:tcPr>
          <w:p w14:paraId="4865CBF0" w14:textId="77777777" w:rsidR="003D2C5F" w:rsidRDefault="00000000">
            <w:pPr>
              <w:spacing w:before="20" w:after="20"/>
            </w:pPr>
            <w:r>
              <w:rPr>
                <w:rFonts w:ascii="Arial" w:eastAsia="Arial" w:hAnsi="Arial" w:cs="Arial"/>
                <w:sz w:val="16"/>
                <w:szCs w:val="16"/>
              </w:rPr>
              <w:t>5.2.2; 5.4.1; 5.5 Tension 3</w:t>
            </w:r>
          </w:p>
        </w:tc>
        <w:tc>
          <w:tcPr>
            <w:tcW w:w="2095" w:type="dxa"/>
          </w:tcPr>
          <w:p w14:paraId="044D9128" w14:textId="77777777" w:rsidR="003D2C5F" w:rsidRDefault="00000000">
            <w:pPr>
              <w:spacing w:before="20" w:after="20"/>
            </w:pPr>
            <w:r>
              <w:rPr>
                <w:rFonts w:ascii="Arial" w:eastAsia="Arial" w:hAnsi="Arial" w:cs="Arial"/>
                <w:sz w:val="16"/>
                <w:szCs w:val="16"/>
              </w:rPr>
              <w:t>6.1 (RQ4); 6.4 Recommendation 4; 6.6</w:t>
            </w:r>
          </w:p>
        </w:tc>
      </w:tr>
      <w:tr w:rsidR="003D2C5F" w14:paraId="2C2A48D4" w14:textId="77777777">
        <w:tc>
          <w:tcPr>
            <w:tcW w:w="1500" w:type="dxa"/>
          </w:tcPr>
          <w:p w14:paraId="086901BC" w14:textId="77777777" w:rsidR="003D2C5F" w:rsidRDefault="00000000">
            <w:pPr>
              <w:spacing w:before="20" w:after="20"/>
            </w:pPr>
            <w:r>
              <w:rPr>
                <w:rFonts w:ascii="Arial" w:eastAsia="Arial" w:hAnsi="Arial" w:cs="Arial"/>
                <w:sz w:val="16"/>
                <w:szCs w:val="16"/>
              </w:rPr>
              <w:t>T8. Framing differs by professional lens (RQ3)</w:t>
            </w:r>
          </w:p>
        </w:tc>
        <w:tc>
          <w:tcPr>
            <w:tcW w:w="2600" w:type="dxa"/>
          </w:tcPr>
          <w:p w14:paraId="3F7436C7" w14:textId="77777777" w:rsidR="003D2C5F" w:rsidRDefault="00000000">
            <w:pPr>
              <w:spacing w:before="20" w:after="20"/>
            </w:pPr>
            <w:r>
              <w:rPr>
                <w:rFonts w:ascii="Arial" w:eastAsia="Arial" w:hAnsi="Arial" w:cs="Arial"/>
                <w:sz w:val="16"/>
                <w:szCs w:val="16"/>
              </w:rPr>
              <w:t xml:space="preserve">Secondary codes (Table F2): SC1 success framing mainly in trade press (S01–S03); SC2 </w:t>
            </w:r>
            <w:proofErr w:type="spellStart"/>
            <w:r>
              <w:rPr>
                <w:rFonts w:ascii="Arial" w:eastAsia="Arial" w:hAnsi="Arial" w:cs="Arial"/>
                <w:sz w:val="16"/>
                <w:szCs w:val="16"/>
              </w:rPr>
              <w:t>humour</w:t>
            </w:r>
            <w:proofErr w:type="spellEnd"/>
            <w:r>
              <w:rPr>
                <w:rFonts w:ascii="Arial" w:eastAsia="Arial" w:hAnsi="Arial" w:cs="Arial"/>
                <w:sz w:val="16"/>
                <w:szCs w:val="16"/>
              </w:rPr>
              <w:t>/virality framing in mainstream news (S06–S08); SC5 legal-merits focus in legal-professional sources (S04, S05, S09, S10); SC6 campaign–legal link only in S09 and S10.</w:t>
            </w:r>
          </w:p>
        </w:tc>
        <w:tc>
          <w:tcPr>
            <w:tcW w:w="1100" w:type="dxa"/>
          </w:tcPr>
          <w:p w14:paraId="686653F2" w14:textId="77777777" w:rsidR="003D2C5F" w:rsidRDefault="00000000">
            <w:pPr>
              <w:spacing w:before="20" w:after="20"/>
            </w:pPr>
            <w:r>
              <w:rPr>
                <w:rFonts w:ascii="Arial" w:eastAsia="Arial" w:hAnsi="Arial" w:cs="Arial"/>
                <w:sz w:val="16"/>
                <w:szCs w:val="16"/>
              </w:rPr>
              <w:t>4.3.5</w:t>
            </w:r>
          </w:p>
        </w:tc>
        <w:tc>
          <w:tcPr>
            <w:tcW w:w="1600" w:type="dxa"/>
          </w:tcPr>
          <w:p w14:paraId="38AF5B15" w14:textId="77777777" w:rsidR="003D2C5F" w:rsidRDefault="00000000">
            <w:pPr>
              <w:spacing w:before="20" w:after="20"/>
            </w:pPr>
            <w:r>
              <w:rPr>
                <w:rFonts w:ascii="Arial" w:eastAsia="Arial" w:hAnsi="Arial" w:cs="Arial"/>
                <w:sz w:val="16"/>
                <w:szCs w:val="16"/>
              </w:rPr>
              <w:t>5.4.1; 5.4.2</w:t>
            </w:r>
          </w:p>
        </w:tc>
        <w:tc>
          <w:tcPr>
            <w:tcW w:w="2095" w:type="dxa"/>
          </w:tcPr>
          <w:p w14:paraId="3A460B3F" w14:textId="77777777" w:rsidR="003D2C5F" w:rsidRDefault="00000000">
            <w:pPr>
              <w:spacing w:before="20" w:after="20"/>
            </w:pPr>
            <w:r>
              <w:rPr>
                <w:rFonts w:ascii="Arial" w:eastAsia="Arial" w:hAnsi="Arial" w:cs="Arial"/>
                <w:sz w:val="16"/>
                <w:szCs w:val="16"/>
              </w:rPr>
              <w:t>6.1 (RQ3); 6.2 (closing note); 6.4 Recommendation 6</w:t>
            </w:r>
          </w:p>
        </w:tc>
      </w:tr>
    </w:tbl>
    <w:p w14:paraId="6D38B7CB" w14:textId="77777777" w:rsidR="003D2C5F" w:rsidRDefault="00000000">
      <w:pPr>
        <w:spacing w:before="120" w:after="120" w:line="300" w:lineRule="auto"/>
        <w:jc w:val="both"/>
      </w:pPr>
      <w:r>
        <w:rPr>
          <w:rFonts w:ascii="Arial" w:eastAsia="Arial" w:hAnsi="Arial" w:cs="Arial"/>
          <w:i/>
          <w:sz w:val="16"/>
          <w:szCs w:val="16"/>
        </w:rPr>
        <w:t>Note: counts refer to the 16-post primary corpus (Table D1) and the eleven-source secondary corpus (Table F2). Section numbers refer to this dissertation.</w:t>
      </w:r>
    </w:p>
    <w:p w14:paraId="33EFCB3A" w14:textId="77777777" w:rsidR="003D2C5F" w:rsidRDefault="00000000">
      <w:pPr>
        <w:pStyle w:val="Heading2"/>
        <w:spacing w:after="80" w:line="360" w:lineRule="auto"/>
      </w:pPr>
      <w:bookmarkStart w:id="193" w:name="_Toc241144248"/>
      <w:r>
        <w:rPr>
          <w:sz w:val="34"/>
          <w:szCs w:val="34"/>
        </w:rPr>
        <w:t>Appendix F: Secondary Source Codebook and Coding Matrix</w:t>
      </w:r>
      <w:bookmarkEnd w:id="193"/>
    </w:p>
    <w:p w14:paraId="115439E1" w14:textId="77777777" w:rsidR="003D2C5F" w:rsidRDefault="00000000">
      <w:pPr>
        <w:spacing w:before="120" w:after="120" w:line="300" w:lineRule="auto"/>
        <w:jc w:val="both"/>
      </w:pPr>
      <w:r>
        <w:rPr>
          <w:rFonts w:ascii="Arial" w:eastAsia="Arial" w:hAnsi="Arial" w:cs="Arial"/>
        </w:rPr>
        <w:t>The eleven secondary sources (Appendix B) were coded manually against the seven framing codes in Table F1. A source received a code (1) when it met the definition and no code (0) otherwise. Table F2 records the coding, and Table F3 gives the evidence for each source’s coding. These codes support the comparison of external framing in Section 4.3.5 (RQ3).</w:t>
      </w:r>
    </w:p>
    <w:p w14:paraId="673D1CFD" w14:textId="77777777" w:rsidR="003D2C5F" w:rsidRDefault="00000000">
      <w:pPr>
        <w:spacing w:before="240" w:after="120" w:line="300" w:lineRule="auto"/>
        <w:jc w:val="both"/>
      </w:pPr>
      <w:r>
        <w:rPr>
          <w:rFonts w:ascii="Arial" w:eastAsia="Arial" w:hAnsi="Arial" w:cs="Arial"/>
          <w:b/>
          <w:sz w:val="18"/>
          <w:szCs w:val="18"/>
        </w:rPr>
        <w:t>Table F1: Secondary Source Codebook</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1800"/>
        <w:gridCol w:w="7095"/>
      </w:tblGrid>
      <w:tr w:rsidR="003D2C5F" w14:paraId="2F0D5BF5" w14:textId="77777777">
        <w:trPr>
          <w:tblHeader/>
        </w:trPr>
        <w:tc>
          <w:tcPr>
            <w:tcW w:w="1800" w:type="dxa"/>
            <w:shd w:val="clear" w:color="auto" w:fill="D9E2F3"/>
          </w:tcPr>
          <w:p w14:paraId="2E8E1537" w14:textId="77777777" w:rsidR="003D2C5F" w:rsidRDefault="00000000">
            <w:pPr>
              <w:spacing w:before="20" w:after="20"/>
            </w:pPr>
            <w:r>
              <w:rPr>
                <w:rFonts w:ascii="Arial" w:eastAsia="Arial" w:hAnsi="Arial" w:cs="Arial"/>
                <w:b/>
                <w:sz w:val="16"/>
                <w:szCs w:val="16"/>
              </w:rPr>
              <w:t>Code</w:t>
            </w:r>
          </w:p>
        </w:tc>
        <w:tc>
          <w:tcPr>
            <w:tcW w:w="7095" w:type="dxa"/>
            <w:shd w:val="clear" w:color="auto" w:fill="D9E2F3"/>
          </w:tcPr>
          <w:p w14:paraId="1BD0A9C3" w14:textId="77777777" w:rsidR="003D2C5F" w:rsidRDefault="00000000">
            <w:pPr>
              <w:spacing w:before="20" w:after="20"/>
            </w:pPr>
            <w:r>
              <w:rPr>
                <w:rFonts w:ascii="Arial" w:eastAsia="Arial" w:hAnsi="Arial" w:cs="Arial"/>
                <w:b/>
                <w:sz w:val="16"/>
                <w:szCs w:val="16"/>
              </w:rPr>
              <w:t>Definition</w:t>
            </w:r>
          </w:p>
        </w:tc>
      </w:tr>
      <w:tr w:rsidR="003D2C5F" w14:paraId="4F0E96F9" w14:textId="77777777">
        <w:tc>
          <w:tcPr>
            <w:tcW w:w="1800" w:type="dxa"/>
          </w:tcPr>
          <w:p w14:paraId="2E8D8FBC" w14:textId="77777777" w:rsidR="003D2C5F" w:rsidRDefault="00000000">
            <w:pPr>
              <w:spacing w:before="20" w:after="20"/>
            </w:pPr>
            <w:r>
              <w:rPr>
                <w:rFonts w:ascii="Arial" w:eastAsia="Arial" w:hAnsi="Arial" w:cs="Arial"/>
                <w:sz w:val="16"/>
                <w:szCs w:val="16"/>
              </w:rPr>
              <w:t>SC1 Success framing</w:t>
            </w:r>
          </w:p>
        </w:tc>
        <w:tc>
          <w:tcPr>
            <w:tcW w:w="7095" w:type="dxa"/>
          </w:tcPr>
          <w:p w14:paraId="07CFEEF3" w14:textId="77777777" w:rsidR="003D2C5F" w:rsidRDefault="00000000">
            <w:pPr>
              <w:spacing w:before="20" w:after="20"/>
            </w:pPr>
            <w:r>
              <w:rPr>
                <w:rFonts w:ascii="Arial" w:eastAsia="Arial" w:hAnsi="Arial" w:cs="Arial"/>
                <w:sz w:val="16"/>
                <w:szCs w:val="16"/>
              </w:rPr>
              <w:t>The source presents the campaign as a creative, strategic or award-worthy success.</w:t>
            </w:r>
          </w:p>
        </w:tc>
      </w:tr>
      <w:tr w:rsidR="003D2C5F" w14:paraId="26C95F17" w14:textId="77777777">
        <w:tc>
          <w:tcPr>
            <w:tcW w:w="1800" w:type="dxa"/>
          </w:tcPr>
          <w:p w14:paraId="7DC2BF38" w14:textId="77777777" w:rsidR="003D2C5F" w:rsidRDefault="00000000">
            <w:pPr>
              <w:spacing w:before="20" w:after="20"/>
            </w:pPr>
            <w:r>
              <w:rPr>
                <w:rFonts w:ascii="Arial" w:eastAsia="Arial" w:hAnsi="Arial" w:cs="Arial"/>
                <w:sz w:val="16"/>
                <w:szCs w:val="16"/>
              </w:rPr>
              <w:t xml:space="preserve">SC2 </w:t>
            </w:r>
            <w:proofErr w:type="spellStart"/>
            <w:r>
              <w:rPr>
                <w:rFonts w:ascii="Arial" w:eastAsia="Arial" w:hAnsi="Arial" w:cs="Arial"/>
                <w:sz w:val="16"/>
                <w:szCs w:val="16"/>
              </w:rPr>
              <w:t>Humour</w:t>
            </w:r>
            <w:proofErr w:type="spellEnd"/>
            <w:r>
              <w:rPr>
                <w:rFonts w:ascii="Arial" w:eastAsia="Arial" w:hAnsi="Arial" w:cs="Arial"/>
                <w:sz w:val="16"/>
                <w:szCs w:val="16"/>
              </w:rPr>
              <w:t>/virality framing</w:t>
            </w:r>
          </w:p>
        </w:tc>
        <w:tc>
          <w:tcPr>
            <w:tcW w:w="7095" w:type="dxa"/>
          </w:tcPr>
          <w:p w14:paraId="332ED5B5" w14:textId="77777777" w:rsidR="003D2C5F" w:rsidRDefault="00000000">
            <w:pPr>
              <w:spacing w:before="20" w:after="20"/>
            </w:pPr>
            <w:r>
              <w:rPr>
                <w:rFonts w:ascii="Arial" w:eastAsia="Arial" w:hAnsi="Arial" w:cs="Arial"/>
                <w:sz w:val="16"/>
                <w:szCs w:val="16"/>
              </w:rPr>
              <w:t>The source presents the campaign mainly as a humorous or viral social media story.</w:t>
            </w:r>
          </w:p>
        </w:tc>
      </w:tr>
      <w:tr w:rsidR="003D2C5F" w14:paraId="780D8CBB" w14:textId="77777777">
        <w:tc>
          <w:tcPr>
            <w:tcW w:w="1800" w:type="dxa"/>
          </w:tcPr>
          <w:p w14:paraId="1651C322" w14:textId="77777777" w:rsidR="003D2C5F" w:rsidRDefault="00000000">
            <w:pPr>
              <w:spacing w:before="20" w:after="20"/>
            </w:pPr>
            <w:r>
              <w:rPr>
                <w:rFonts w:ascii="Arial" w:eastAsia="Arial" w:hAnsi="Arial" w:cs="Arial"/>
                <w:sz w:val="16"/>
                <w:szCs w:val="16"/>
              </w:rPr>
              <w:t>SC3 Challenger framing</w:t>
            </w:r>
          </w:p>
        </w:tc>
        <w:tc>
          <w:tcPr>
            <w:tcW w:w="7095" w:type="dxa"/>
          </w:tcPr>
          <w:p w14:paraId="59B7B7A8" w14:textId="77777777" w:rsidR="003D2C5F" w:rsidRDefault="00000000">
            <w:pPr>
              <w:spacing w:before="20" w:after="20"/>
            </w:pPr>
            <w:r>
              <w:rPr>
                <w:rFonts w:ascii="Arial" w:eastAsia="Arial" w:hAnsi="Arial" w:cs="Arial"/>
                <w:sz w:val="16"/>
                <w:szCs w:val="16"/>
              </w:rPr>
              <w:t>The source presents Aldi as a challenger, disruptor or underdog in relation to M&amp;S.</w:t>
            </w:r>
          </w:p>
        </w:tc>
      </w:tr>
      <w:tr w:rsidR="003D2C5F" w14:paraId="18F04A3B" w14:textId="77777777">
        <w:tc>
          <w:tcPr>
            <w:tcW w:w="1800" w:type="dxa"/>
          </w:tcPr>
          <w:p w14:paraId="3ADCE6EF" w14:textId="77777777" w:rsidR="003D2C5F" w:rsidRDefault="00000000">
            <w:pPr>
              <w:spacing w:before="20" w:after="20"/>
            </w:pPr>
            <w:r>
              <w:rPr>
                <w:rFonts w:ascii="Arial" w:eastAsia="Arial" w:hAnsi="Arial" w:cs="Arial"/>
                <w:sz w:val="16"/>
                <w:szCs w:val="16"/>
              </w:rPr>
              <w:lastRenderedPageBreak/>
              <w:t>SC4 Public participation / cultural resonance</w:t>
            </w:r>
          </w:p>
        </w:tc>
        <w:tc>
          <w:tcPr>
            <w:tcW w:w="7095" w:type="dxa"/>
          </w:tcPr>
          <w:p w14:paraId="4794222F" w14:textId="77777777" w:rsidR="003D2C5F" w:rsidRDefault="00000000">
            <w:pPr>
              <w:spacing w:before="20" w:after="20"/>
            </w:pPr>
            <w:r>
              <w:rPr>
                <w:rFonts w:ascii="Arial" w:eastAsia="Arial" w:hAnsi="Arial" w:cs="Arial"/>
                <w:sz w:val="16"/>
                <w:szCs w:val="16"/>
              </w:rPr>
              <w:t>The source describes the public joining in with, supporting or responding to the campaign.</w:t>
            </w:r>
          </w:p>
        </w:tc>
      </w:tr>
      <w:tr w:rsidR="003D2C5F" w14:paraId="48E694CA" w14:textId="77777777">
        <w:tc>
          <w:tcPr>
            <w:tcW w:w="1800" w:type="dxa"/>
          </w:tcPr>
          <w:p w14:paraId="555C7527" w14:textId="77777777" w:rsidR="003D2C5F" w:rsidRDefault="00000000">
            <w:pPr>
              <w:spacing w:before="20" w:after="20"/>
            </w:pPr>
            <w:r>
              <w:rPr>
                <w:rFonts w:ascii="Arial" w:eastAsia="Arial" w:hAnsi="Arial" w:cs="Arial"/>
                <w:sz w:val="16"/>
                <w:szCs w:val="16"/>
              </w:rPr>
              <w:t>SC5 Legal-merits focus</w:t>
            </w:r>
          </w:p>
        </w:tc>
        <w:tc>
          <w:tcPr>
            <w:tcW w:w="7095" w:type="dxa"/>
          </w:tcPr>
          <w:p w14:paraId="57072A17" w14:textId="77777777" w:rsidR="003D2C5F" w:rsidRDefault="00000000">
            <w:pPr>
              <w:spacing w:before="20" w:after="20"/>
            </w:pPr>
            <w:r>
              <w:rPr>
                <w:rFonts w:ascii="Arial" w:eastAsia="Arial" w:hAnsi="Arial" w:cs="Arial"/>
                <w:sz w:val="16"/>
                <w:szCs w:val="16"/>
              </w:rPr>
              <w:t>The source analyses the trade mark or passing-off merits of M&amp;S’s claim.</w:t>
            </w:r>
          </w:p>
        </w:tc>
      </w:tr>
      <w:tr w:rsidR="003D2C5F" w14:paraId="0F36A46C" w14:textId="77777777">
        <w:tc>
          <w:tcPr>
            <w:tcW w:w="1800" w:type="dxa"/>
          </w:tcPr>
          <w:p w14:paraId="50E6DA74" w14:textId="77777777" w:rsidR="003D2C5F" w:rsidRDefault="00000000">
            <w:pPr>
              <w:spacing w:before="20" w:after="20"/>
            </w:pPr>
            <w:r>
              <w:rPr>
                <w:rFonts w:ascii="Arial" w:eastAsia="Arial" w:hAnsi="Arial" w:cs="Arial"/>
                <w:sz w:val="16"/>
                <w:szCs w:val="16"/>
              </w:rPr>
              <w:t>SC6 Campaign–legal link</w:t>
            </w:r>
          </w:p>
        </w:tc>
        <w:tc>
          <w:tcPr>
            <w:tcW w:w="7095" w:type="dxa"/>
          </w:tcPr>
          <w:p w14:paraId="43578283" w14:textId="77777777" w:rsidR="003D2C5F" w:rsidRDefault="00000000">
            <w:pPr>
              <w:spacing w:before="20" w:after="20"/>
            </w:pPr>
            <w:r>
              <w:rPr>
                <w:rFonts w:ascii="Arial" w:eastAsia="Arial" w:hAnsi="Arial" w:cs="Arial"/>
                <w:sz w:val="16"/>
                <w:szCs w:val="16"/>
              </w:rPr>
              <w:t>The source explicitly links the social media campaign to the legal or reputational stakes of the case.</w:t>
            </w:r>
          </w:p>
        </w:tc>
      </w:tr>
      <w:tr w:rsidR="003D2C5F" w14:paraId="24FB98B9" w14:textId="77777777">
        <w:tc>
          <w:tcPr>
            <w:tcW w:w="1800" w:type="dxa"/>
          </w:tcPr>
          <w:p w14:paraId="3E4E8BFD" w14:textId="77777777" w:rsidR="003D2C5F" w:rsidRDefault="00000000">
            <w:pPr>
              <w:spacing w:before="20" w:after="20"/>
            </w:pPr>
            <w:r>
              <w:rPr>
                <w:rFonts w:ascii="Arial" w:eastAsia="Arial" w:hAnsi="Arial" w:cs="Arial"/>
                <w:sz w:val="16"/>
                <w:szCs w:val="16"/>
              </w:rPr>
              <w:t>SC7 Risk of Aldi’s approach assessed</w:t>
            </w:r>
          </w:p>
        </w:tc>
        <w:tc>
          <w:tcPr>
            <w:tcW w:w="7095" w:type="dxa"/>
          </w:tcPr>
          <w:p w14:paraId="665D510F" w14:textId="77777777" w:rsidR="003D2C5F" w:rsidRDefault="00000000">
            <w:pPr>
              <w:spacing w:before="20" w:after="20"/>
            </w:pPr>
            <w:r>
              <w:rPr>
                <w:rFonts w:ascii="Arial" w:eastAsia="Arial" w:hAnsi="Arial" w:cs="Arial"/>
                <w:sz w:val="16"/>
                <w:szCs w:val="16"/>
              </w:rPr>
              <w:t>The source assesses reputational or legal risks created by Aldi’s social media approach.</w:t>
            </w:r>
          </w:p>
        </w:tc>
      </w:tr>
    </w:tbl>
    <w:p w14:paraId="631EB6BD" w14:textId="77777777" w:rsidR="003D2C5F" w:rsidRDefault="00000000">
      <w:pPr>
        <w:spacing w:before="240" w:after="120" w:line="300" w:lineRule="auto"/>
        <w:jc w:val="both"/>
      </w:pPr>
      <w:r>
        <w:rPr>
          <w:rFonts w:ascii="Arial" w:eastAsia="Arial" w:hAnsi="Arial" w:cs="Arial"/>
          <w:b/>
          <w:sz w:val="18"/>
          <w:szCs w:val="18"/>
        </w:rPr>
        <w:t>Table F2: Secondary Source Coding Matrix (n = 11)</w:t>
      </w:r>
    </w:p>
    <w:tbl>
      <w:tblPr>
        <w:tblStyle w:val="TableNormal0"/>
        <w:tblW w:w="889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1295"/>
        <w:gridCol w:w="1085"/>
        <w:gridCol w:w="1085"/>
        <w:gridCol w:w="1085"/>
        <w:gridCol w:w="1085"/>
        <w:gridCol w:w="1085"/>
        <w:gridCol w:w="1085"/>
        <w:gridCol w:w="1085"/>
      </w:tblGrid>
      <w:tr w:rsidR="003D2C5F" w14:paraId="18D974FB" w14:textId="77777777">
        <w:trPr>
          <w:tblHeader/>
        </w:trPr>
        <w:tc>
          <w:tcPr>
            <w:tcW w:w="1295" w:type="dxa"/>
            <w:shd w:val="clear" w:color="auto" w:fill="D9E2F3"/>
          </w:tcPr>
          <w:p w14:paraId="2C556014" w14:textId="77777777" w:rsidR="003D2C5F" w:rsidRDefault="00000000">
            <w:pPr>
              <w:spacing w:before="20" w:after="20"/>
            </w:pPr>
            <w:r>
              <w:rPr>
                <w:rFonts w:ascii="Arial" w:eastAsia="Arial" w:hAnsi="Arial" w:cs="Arial"/>
                <w:b/>
                <w:sz w:val="16"/>
                <w:szCs w:val="16"/>
              </w:rPr>
              <w:t>ID</w:t>
            </w:r>
          </w:p>
        </w:tc>
        <w:tc>
          <w:tcPr>
            <w:tcW w:w="1085" w:type="dxa"/>
            <w:shd w:val="clear" w:color="auto" w:fill="D9E2F3"/>
          </w:tcPr>
          <w:p w14:paraId="6253BCED" w14:textId="77777777" w:rsidR="003D2C5F" w:rsidRDefault="00000000">
            <w:pPr>
              <w:spacing w:before="20" w:after="20"/>
              <w:jc w:val="center"/>
            </w:pPr>
            <w:r>
              <w:rPr>
                <w:rFonts w:ascii="Arial" w:eastAsia="Arial" w:hAnsi="Arial" w:cs="Arial"/>
                <w:b/>
                <w:sz w:val="16"/>
                <w:szCs w:val="16"/>
              </w:rPr>
              <w:t>SC1</w:t>
            </w:r>
          </w:p>
        </w:tc>
        <w:tc>
          <w:tcPr>
            <w:tcW w:w="1085" w:type="dxa"/>
            <w:shd w:val="clear" w:color="auto" w:fill="D9E2F3"/>
          </w:tcPr>
          <w:p w14:paraId="4183ABE3" w14:textId="77777777" w:rsidR="003D2C5F" w:rsidRDefault="00000000">
            <w:pPr>
              <w:spacing w:before="20" w:after="20"/>
              <w:jc w:val="center"/>
            </w:pPr>
            <w:r>
              <w:rPr>
                <w:rFonts w:ascii="Arial" w:eastAsia="Arial" w:hAnsi="Arial" w:cs="Arial"/>
                <w:b/>
                <w:sz w:val="16"/>
                <w:szCs w:val="16"/>
              </w:rPr>
              <w:t>SC2</w:t>
            </w:r>
          </w:p>
        </w:tc>
        <w:tc>
          <w:tcPr>
            <w:tcW w:w="1085" w:type="dxa"/>
            <w:shd w:val="clear" w:color="auto" w:fill="D9E2F3"/>
          </w:tcPr>
          <w:p w14:paraId="7365EA7E" w14:textId="77777777" w:rsidR="003D2C5F" w:rsidRDefault="00000000">
            <w:pPr>
              <w:spacing w:before="20" w:after="20"/>
              <w:jc w:val="center"/>
            </w:pPr>
            <w:r>
              <w:rPr>
                <w:rFonts w:ascii="Arial" w:eastAsia="Arial" w:hAnsi="Arial" w:cs="Arial"/>
                <w:b/>
                <w:sz w:val="16"/>
                <w:szCs w:val="16"/>
              </w:rPr>
              <w:t>SC3</w:t>
            </w:r>
          </w:p>
        </w:tc>
        <w:tc>
          <w:tcPr>
            <w:tcW w:w="1085" w:type="dxa"/>
            <w:shd w:val="clear" w:color="auto" w:fill="D9E2F3"/>
          </w:tcPr>
          <w:p w14:paraId="27E1EB78" w14:textId="77777777" w:rsidR="003D2C5F" w:rsidRDefault="00000000">
            <w:pPr>
              <w:spacing w:before="20" w:after="20"/>
              <w:jc w:val="center"/>
            </w:pPr>
            <w:r>
              <w:rPr>
                <w:rFonts w:ascii="Arial" w:eastAsia="Arial" w:hAnsi="Arial" w:cs="Arial"/>
                <w:b/>
                <w:sz w:val="16"/>
                <w:szCs w:val="16"/>
              </w:rPr>
              <w:t>SC4</w:t>
            </w:r>
          </w:p>
        </w:tc>
        <w:tc>
          <w:tcPr>
            <w:tcW w:w="1085" w:type="dxa"/>
            <w:shd w:val="clear" w:color="auto" w:fill="D9E2F3"/>
          </w:tcPr>
          <w:p w14:paraId="211332A3" w14:textId="77777777" w:rsidR="003D2C5F" w:rsidRDefault="00000000">
            <w:pPr>
              <w:spacing w:before="20" w:after="20"/>
              <w:jc w:val="center"/>
            </w:pPr>
            <w:r>
              <w:rPr>
                <w:rFonts w:ascii="Arial" w:eastAsia="Arial" w:hAnsi="Arial" w:cs="Arial"/>
                <w:b/>
                <w:sz w:val="16"/>
                <w:szCs w:val="16"/>
              </w:rPr>
              <w:t>SC5</w:t>
            </w:r>
          </w:p>
        </w:tc>
        <w:tc>
          <w:tcPr>
            <w:tcW w:w="1085" w:type="dxa"/>
            <w:shd w:val="clear" w:color="auto" w:fill="D9E2F3"/>
          </w:tcPr>
          <w:p w14:paraId="788A5B19" w14:textId="77777777" w:rsidR="003D2C5F" w:rsidRDefault="00000000">
            <w:pPr>
              <w:spacing w:before="20" w:after="20"/>
              <w:jc w:val="center"/>
            </w:pPr>
            <w:r>
              <w:rPr>
                <w:rFonts w:ascii="Arial" w:eastAsia="Arial" w:hAnsi="Arial" w:cs="Arial"/>
                <w:b/>
                <w:sz w:val="16"/>
                <w:szCs w:val="16"/>
              </w:rPr>
              <w:t>SC6</w:t>
            </w:r>
          </w:p>
        </w:tc>
        <w:tc>
          <w:tcPr>
            <w:tcW w:w="1085" w:type="dxa"/>
            <w:shd w:val="clear" w:color="auto" w:fill="D9E2F3"/>
          </w:tcPr>
          <w:p w14:paraId="6ED5BDA6" w14:textId="77777777" w:rsidR="003D2C5F" w:rsidRDefault="00000000">
            <w:pPr>
              <w:spacing w:before="20" w:after="20"/>
              <w:jc w:val="center"/>
            </w:pPr>
            <w:r>
              <w:rPr>
                <w:rFonts w:ascii="Arial" w:eastAsia="Arial" w:hAnsi="Arial" w:cs="Arial"/>
                <w:b/>
                <w:sz w:val="16"/>
                <w:szCs w:val="16"/>
              </w:rPr>
              <w:t>SC7</w:t>
            </w:r>
          </w:p>
        </w:tc>
      </w:tr>
      <w:tr w:rsidR="003D2C5F" w14:paraId="307A04E4" w14:textId="77777777">
        <w:tc>
          <w:tcPr>
            <w:tcW w:w="1295" w:type="dxa"/>
          </w:tcPr>
          <w:p w14:paraId="69697568" w14:textId="77777777" w:rsidR="003D2C5F" w:rsidRDefault="00000000">
            <w:pPr>
              <w:spacing w:before="20" w:after="20"/>
            </w:pPr>
            <w:r>
              <w:rPr>
                <w:rFonts w:ascii="Arial" w:eastAsia="Arial" w:hAnsi="Arial" w:cs="Arial"/>
                <w:sz w:val="16"/>
                <w:szCs w:val="16"/>
              </w:rPr>
              <w:t>S01</w:t>
            </w:r>
          </w:p>
        </w:tc>
        <w:tc>
          <w:tcPr>
            <w:tcW w:w="1085" w:type="dxa"/>
          </w:tcPr>
          <w:p w14:paraId="0DCA07C7" w14:textId="77777777" w:rsidR="003D2C5F" w:rsidRDefault="00000000">
            <w:pPr>
              <w:spacing w:before="20" w:after="20"/>
              <w:jc w:val="center"/>
            </w:pPr>
            <w:r>
              <w:rPr>
                <w:rFonts w:ascii="Arial" w:eastAsia="Arial" w:hAnsi="Arial" w:cs="Arial"/>
                <w:sz w:val="16"/>
                <w:szCs w:val="16"/>
              </w:rPr>
              <w:t>1</w:t>
            </w:r>
          </w:p>
        </w:tc>
        <w:tc>
          <w:tcPr>
            <w:tcW w:w="1085" w:type="dxa"/>
          </w:tcPr>
          <w:p w14:paraId="1A990D79" w14:textId="77777777" w:rsidR="003D2C5F" w:rsidRDefault="00000000">
            <w:pPr>
              <w:spacing w:before="20" w:after="20"/>
              <w:jc w:val="center"/>
            </w:pPr>
            <w:r>
              <w:rPr>
                <w:rFonts w:ascii="Arial" w:eastAsia="Arial" w:hAnsi="Arial" w:cs="Arial"/>
                <w:sz w:val="16"/>
                <w:szCs w:val="16"/>
              </w:rPr>
              <w:t>1</w:t>
            </w:r>
          </w:p>
        </w:tc>
        <w:tc>
          <w:tcPr>
            <w:tcW w:w="1085" w:type="dxa"/>
          </w:tcPr>
          <w:p w14:paraId="7CA6ACED" w14:textId="77777777" w:rsidR="003D2C5F" w:rsidRDefault="00000000">
            <w:pPr>
              <w:spacing w:before="20" w:after="20"/>
              <w:jc w:val="center"/>
            </w:pPr>
            <w:r>
              <w:rPr>
                <w:rFonts w:ascii="Arial" w:eastAsia="Arial" w:hAnsi="Arial" w:cs="Arial"/>
                <w:sz w:val="16"/>
                <w:szCs w:val="16"/>
              </w:rPr>
              <w:t>1</w:t>
            </w:r>
          </w:p>
        </w:tc>
        <w:tc>
          <w:tcPr>
            <w:tcW w:w="1085" w:type="dxa"/>
          </w:tcPr>
          <w:p w14:paraId="2144F55D" w14:textId="77777777" w:rsidR="003D2C5F" w:rsidRDefault="00000000">
            <w:pPr>
              <w:spacing w:before="20" w:after="20"/>
              <w:jc w:val="center"/>
            </w:pPr>
            <w:r>
              <w:rPr>
                <w:rFonts w:ascii="Arial" w:eastAsia="Arial" w:hAnsi="Arial" w:cs="Arial"/>
                <w:sz w:val="16"/>
                <w:szCs w:val="16"/>
              </w:rPr>
              <w:t>1</w:t>
            </w:r>
          </w:p>
        </w:tc>
        <w:tc>
          <w:tcPr>
            <w:tcW w:w="1085" w:type="dxa"/>
          </w:tcPr>
          <w:p w14:paraId="6D85AE99" w14:textId="77777777" w:rsidR="003D2C5F" w:rsidRDefault="00000000">
            <w:pPr>
              <w:spacing w:before="20" w:after="20"/>
              <w:jc w:val="center"/>
            </w:pPr>
            <w:r>
              <w:rPr>
                <w:rFonts w:ascii="Arial" w:eastAsia="Arial" w:hAnsi="Arial" w:cs="Arial"/>
                <w:sz w:val="16"/>
                <w:szCs w:val="16"/>
              </w:rPr>
              <w:t>0</w:t>
            </w:r>
          </w:p>
        </w:tc>
        <w:tc>
          <w:tcPr>
            <w:tcW w:w="1085" w:type="dxa"/>
          </w:tcPr>
          <w:p w14:paraId="3C881E2A" w14:textId="77777777" w:rsidR="003D2C5F" w:rsidRDefault="00000000">
            <w:pPr>
              <w:spacing w:before="20" w:after="20"/>
              <w:jc w:val="center"/>
            </w:pPr>
            <w:r>
              <w:rPr>
                <w:rFonts w:ascii="Arial" w:eastAsia="Arial" w:hAnsi="Arial" w:cs="Arial"/>
                <w:sz w:val="16"/>
                <w:szCs w:val="16"/>
              </w:rPr>
              <w:t>0</w:t>
            </w:r>
          </w:p>
        </w:tc>
        <w:tc>
          <w:tcPr>
            <w:tcW w:w="1085" w:type="dxa"/>
          </w:tcPr>
          <w:p w14:paraId="4CFA1164" w14:textId="77777777" w:rsidR="003D2C5F" w:rsidRDefault="00000000">
            <w:pPr>
              <w:spacing w:before="20" w:after="20"/>
              <w:jc w:val="center"/>
            </w:pPr>
            <w:r>
              <w:rPr>
                <w:rFonts w:ascii="Arial" w:eastAsia="Arial" w:hAnsi="Arial" w:cs="Arial"/>
                <w:sz w:val="16"/>
                <w:szCs w:val="16"/>
              </w:rPr>
              <w:t>0</w:t>
            </w:r>
          </w:p>
        </w:tc>
      </w:tr>
      <w:tr w:rsidR="003D2C5F" w14:paraId="1A6BDE9D" w14:textId="77777777">
        <w:tc>
          <w:tcPr>
            <w:tcW w:w="1295" w:type="dxa"/>
          </w:tcPr>
          <w:p w14:paraId="541A7751" w14:textId="77777777" w:rsidR="003D2C5F" w:rsidRDefault="00000000">
            <w:pPr>
              <w:spacing w:before="20" w:after="20"/>
            </w:pPr>
            <w:r>
              <w:rPr>
                <w:rFonts w:ascii="Arial" w:eastAsia="Arial" w:hAnsi="Arial" w:cs="Arial"/>
                <w:sz w:val="16"/>
                <w:szCs w:val="16"/>
              </w:rPr>
              <w:t>S02</w:t>
            </w:r>
          </w:p>
        </w:tc>
        <w:tc>
          <w:tcPr>
            <w:tcW w:w="1085" w:type="dxa"/>
          </w:tcPr>
          <w:p w14:paraId="16604C20" w14:textId="77777777" w:rsidR="003D2C5F" w:rsidRDefault="00000000">
            <w:pPr>
              <w:spacing w:before="20" w:after="20"/>
              <w:jc w:val="center"/>
            </w:pPr>
            <w:r>
              <w:rPr>
                <w:rFonts w:ascii="Arial" w:eastAsia="Arial" w:hAnsi="Arial" w:cs="Arial"/>
                <w:sz w:val="16"/>
                <w:szCs w:val="16"/>
              </w:rPr>
              <w:t>1</w:t>
            </w:r>
          </w:p>
        </w:tc>
        <w:tc>
          <w:tcPr>
            <w:tcW w:w="1085" w:type="dxa"/>
          </w:tcPr>
          <w:p w14:paraId="0755181B" w14:textId="77777777" w:rsidR="003D2C5F" w:rsidRDefault="00000000">
            <w:pPr>
              <w:spacing w:before="20" w:after="20"/>
              <w:jc w:val="center"/>
            </w:pPr>
            <w:r>
              <w:rPr>
                <w:rFonts w:ascii="Arial" w:eastAsia="Arial" w:hAnsi="Arial" w:cs="Arial"/>
                <w:sz w:val="16"/>
                <w:szCs w:val="16"/>
              </w:rPr>
              <w:t>0</w:t>
            </w:r>
          </w:p>
        </w:tc>
        <w:tc>
          <w:tcPr>
            <w:tcW w:w="1085" w:type="dxa"/>
          </w:tcPr>
          <w:p w14:paraId="668A8B4A" w14:textId="77777777" w:rsidR="003D2C5F" w:rsidRDefault="00000000">
            <w:pPr>
              <w:spacing w:before="20" w:after="20"/>
              <w:jc w:val="center"/>
            </w:pPr>
            <w:r>
              <w:rPr>
                <w:rFonts w:ascii="Arial" w:eastAsia="Arial" w:hAnsi="Arial" w:cs="Arial"/>
                <w:sz w:val="16"/>
                <w:szCs w:val="16"/>
              </w:rPr>
              <w:t>0</w:t>
            </w:r>
          </w:p>
        </w:tc>
        <w:tc>
          <w:tcPr>
            <w:tcW w:w="1085" w:type="dxa"/>
          </w:tcPr>
          <w:p w14:paraId="6C0E7AA9" w14:textId="77777777" w:rsidR="003D2C5F" w:rsidRDefault="00000000">
            <w:pPr>
              <w:spacing w:before="20" w:after="20"/>
              <w:jc w:val="center"/>
            </w:pPr>
            <w:r>
              <w:rPr>
                <w:rFonts w:ascii="Arial" w:eastAsia="Arial" w:hAnsi="Arial" w:cs="Arial"/>
                <w:sz w:val="16"/>
                <w:szCs w:val="16"/>
              </w:rPr>
              <w:t>0</w:t>
            </w:r>
          </w:p>
        </w:tc>
        <w:tc>
          <w:tcPr>
            <w:tcW w:w="1085" w:type="dxa"/>
          </w:tcPr>
          <w:p w14:paraId="02848B00" w14:textId="77777777" w:rsidR="003D2C5F" w:rsidRDefault="00000000">
            <w:pPr>
              <w:spacing w:before="20" w:after="20"/>
              <w:jc w:val="center"/>
            </w:pPr>
            <w:r>
              <w:rPr>
                <w:rFonts w:ascii="Arial" w:eastAsia="Arial" w:hAnsi="Arial" w:cs="Arial"/>
                <w:sz w:val="16"/>
                <w:szCs w:val="16"/>
              </w:rPr>
              <w:t>0</w:t>
            </w:r>
          </w:p>
        </w:tc>
        <w:tc>
          <w:tcPr>
            <w:tcW w:w="1085" w:type="dxa"/>
          </w:tcPr>
          <w:p w14:paraId="31D53E2A" w14:textId="77777777" w:rsidR="003D2C5F" w:rsidRDefault="00000000">
            <w:pPr>
              <w:spacing w:before="20" w:after="20"/>
              <w:jc w:val="center"/>
            </w:pPr>
            <w:r>
              <w:rPr>
                <w:rFonts w:ascii="Arial" w:eastAsia="Arial" w:hAnsi="Arial" w:cs="Arial"/>
                <w:sz w:val="16"/>
                <w:szCs w:val="16"/>
              </w:rPr>
              <w:t>0</w:t>
            </w:r>
          </w:p>
        </w:tc>
        <w:tc>
          <w:tcPr>
            <w:tcW w:w="1085" w:type="dxa"/>
          </w:tcPr>
          <w:p w14:paraId="5CBEAFD1" w14:textId="77777777" w:rsidR="003D2C5F" w:rsidRDefault="00000000">
            <w:pPr>
              <w:spacing w:before="20" w:after="20"/>
              <w:jc w:val="center"/>
            </w:pPr>
            <w:r>
              <w:rPr>
                <w:rFonts w:ascii="Arial" w:eastAsia="Arial" w:hAnsi="Arial" w:cs="Arial"/>
                <w:sz w:val="16"/>
                <w:szCs w:val="16"/>
              </w:rPr>
              <w:t>0</w:t>
            </w:r>
          </w:p>
        </w:tc>
      </w:tr>
      <w:tr w:rsidR="003D2C5F" w14:paraId="7F54304C" w14:textId="77777777">
        <w:tc>
          <w:tcPr>
            <w:tcW w:w="1295" w:type="dxa"/>
          </w:tcPr>
          <w:p w14:paraId="3747DFEA" w14:textId="77777777" w:rsidR="003D2C5F" w:rsidRDefault="00000000">
            <w:pPr>
              <w:spacing w:before="20" w:after="20"/>
            </w:pPr>
            <w:r>
              <w:rPr>
                <w:rFonts w:ascii="Arial" w:eastAsia="Arial" w:hAnsi="Arial" w:cs="Arial"/>
                <w:sz w:val="16"/>
                <w:szCs w:val="16"/>
              </w:rPr>
              <w:t>S03</w:t>
            </w:r>
          </w:p>
        </w:tc>
        <w:tc>
          <w:tcPr>
            <w:tcW w:w="1085" w:type="dxa"/>
          </w:tcPr>
          <w:p w14:paraId="5B65D44C" w14:textId="77777777" w:rsidR="003D2C5F" w:rsidRDefault="00000000">
            <w:pPr>
              <w:spacing w:before="20" w:after="20"/>
              <w:jc w:val="center"/>
            </w:pPr>
            <w:r>
              <w:rPr>
                <w:rFonts w:ascii="Arial" w:eastAsia="Arial" w:hAnsi="Arial" w:cs="Arial"/>
                <w:sz w:val="16"/>
                <w:szCs w:val="16"/>
              </w:rPr>
              <w:t>1</w:t>
            </w:r>
          </w:p>
        </w:tc>
        <w:tc>
          <w:tcPr>
            <w:tcW w:w="1085" w:type="dxa"/>
          </w:tcPr>
          <w:p w14:paraId="6C8E3B9A" w14:textId="77777777" w:rsidR="003D2C5F" w:rsidRDefault="00000000">
            <w:pPr>
              <w:spacing w:before="20" w:after="20"/>
              <w:jc w:val="center"/>
            </w:pPr>
            <w:r>
              <w:rPr>
                <w:rFonts w:ascii="Arial" w:eastAsia="Arial" w:hAnsi="Arial" w:cs="Arial"/>
                <w:sz w:val="16"/>
                <w:szCs w:val="16"/>
              </w:rPr>
              <w:t>0</w:t>
            </w:r>
          </w:p>
        </w:tc>
        <w:tc>
          <w:tcPr>
            <w:tcW w:w="1085" w:type="dxa"/>
          </w:tcPr>
          <w:p w14:paraId="2791748A" w14:textId="77777777" w:rsidR="003D2C5F" w:rsidRDefault="00000000">
            <w:pPr>
              <w:spacing w:before="20" w:after="20"/>
              <w:jc w:val="center"/>
            </w:pPr>
            <w:r>
              <w:rPr>
                <w:rFonts w:ascii="Arial" w:eastAsia="Arial" w:hAnsi="Arial" w:cs="Arial"/>
                <w:sz w:val="16"/>
                <w:szCs w:val="16"/>
              </w:rPr>
              <w:t>0</w:t>
            </w:r>
          </w:p>
        </w:tc>
        <w:tc>
          <w:tcPr>
            <w:tcW w:w="1085" w:type="dxa"/>
          </w:tcPr>
          <w:p w14:paraId="123093B3" w14:textId="77777777" w:rsidR="003D2C5F" w:rsidRDefault="00000000">
            <w:pPr>
              <w:spacing w:before="20" w:after="20"/>
              <w:jc w:val="center"/>
            </w:pPr>
            <w:r>
              <w:rPr>
                <w:rFonts w:ascii="Arial" w:eastAsia="Arial" w:hAnsi="Arial" w:cs="Arial"/>
                <w:sz w:val="16"/>
                <w:szCs w:val="16"/>
              </w:rPr>
              <w:t>0</w:t>
            </w:r>
          </w:p>
        </w:tc>
        <w:tc>
          <w:tcPr>
            <w:tcW w:w="1085" w:type="dxa"/>
          </w:tcPr>
          <w:p w14:paraId="6C9EEB07" w14:textId="77777777" w:rsidR="003D2C5F" w:rsidRDefault="00000000">
            <w:pPr>
              <w:spacing w:before="20" w:after="20"/>
              <w:jc w:val="center"/>
            </w:pPr>
            <w:r>
              <w:rPr>
                <w:rFonts w:ascii="Arial" w:eastAsia="Arial" w:hAnsi="Arial" w:cs="Arial"/>
                <w:sz w:val="16"/>
                <w:szCs w:val="16"/>
              </w:rPr>
              <w:t>0</w:t>
            </w:r>
          </w:p>
        </w:tc>
        <w:tc>
          <w:tcPr>
            <w:tcW w:w="1085" w:type="dxa"/>
          </w:tcPr>
          <w:p w14:paraId="27AB63CE" w14:textId="77777777" w:rsidR="003D2C5F" w:rsidRDefault="00000000">
            <w:pPr>
              <w:spacing w:before="20" w:after="20"/>
              <w:jc w:val="center"/>
            </w:pPr>
            <w:r>
              <w:rPr>
                <w:rFonts w:ascii="Arial" w:eastAsia="Arial" w:hAnsi="Arial" w:cs="Arial"/>
                <w:sz w:val="16"/>
                <w:szCs w:val="16"/>
              </w:rPr>
              <w:t>0</w:t>
            </w:r>
          </w:p>
        </w:tc>
        <w:tc>
          <w:tcPr>
            <w:tcW w:w="1085" w:type="dxa"/>
          </w:tcPr>
          <w:p w14:paraId="75209DD7" w14:textId="77777777" w:rsidR="003D2C5F" w:rsidRDefault="00000000">
            <w:pPr>
              <w:spacing w:before="20" w:after="20"/>
              <w:jc w:val="center"/>
            </w:pPr>
            <w:r>
              <w:rPr>
                <w:rFonts w:ascii="Arial" w:eastAsia="Arial" w:hAnsi="Arial" w:cs="Arial"/>
                <w:sz w:val="16"/>
                <w:szCs w:val="16"/>
              </w:rPr>
              <w:t>0</w:t>
            </w:r>
          </w:p>
        </w:tc>
      </w:tr>
      <w:tr w:rsidR="003D2C5F" w14:paraId="51A40311" w14:textId="77777777">
        <w:tc>
          <w:tcPr>
            <w:tcW w:w="1295" w:type="dxa"/>
          </w:tcPr>
          <w:p w14:paraId="5BCDC2BA" w14:textId="77777777" w:rsidR="003D2C5F" w:rsidRDefault="00000000">
            <w:pPr>
              <w:spacing w:before="20" w:after="20"/>
            </w:pPr>
            <w:r>
              <w:rPr>
                <w:rFonts w:ascii="Arial" w:eastAsia="Arial" w:hAnsi="Arial" w:cs="Arial"/>
                <w:sz w:val="16"/>
                <w:szCs w:val="16"/>
              </w:rPr>
              <w:t>S04</w:t>
            </w:r>
          </w:p>
        </w:tc>
        <w:tc>
          <w:tcPr>
            <w:tcW w:w="1085" w:type="dxa"/>
          </w:tcPr>
          <w:p w14:paraId="7FB441CB" w14:textId="77777777" w:rsidR="003D2C5F" w:rsidRDefault="00000000">
            <w:pPr>
              <w:spacing w:before="20" w:after="20"/>
              <w:jc w:val="center"/>
            </w:pPr>
            <w:r>
              <w:rPr>
                <w:rFonts w:ascii="Arial" w:eastAsia="Arial" w:hAnsi="Arial" w:cs="Arial"/>
                <w:sz w:val="16"/>
                <w:szCs w:val="16"/>
              </w:rPr>
              <w:t>1</w:t>
            </w:r>
          </w:p>
        </w:tc>
        <w:tc>
          <w:tcPr>
            <w:tcW w:w="1085" w:type="dxa"/>
          </w:tcPr>
          <w:p w14:paraId="414CFBFC" w14:textId="77777777" w:rsidR="003D2C5F" w:rsidRDefault="00000000">
            <w:pPr>
              <w:spacing w:before="20" w:after="20"/>
              <w:jc w:val="center"/>
            </w:pPr>
            <w:r>
              <w:rPr>
                <w:rFonts w:ascii="Arial" w:eastAsia="Arial" w:hAnsi="Arial" w:cs="Arial"/>
                <w:sz w:val="16"/>
                <w:szCs w:val="16"/>
              </w:rPr>
              <w:t>1</w:t>
            </w:r>
          </w:p>
        </w:tc>
        <w:tc>
          <w:tcPr>
            <w:tcW w:w="1085" w:type="dxa"/>
          </w:tcPr>
          <w:p w14:paraId="416BDA79" w14:textId="77777777" w:rsidR="003D2C5F" w:rsidRDefault="00000000">
            <w:pPr>
              <w:spacing w:before="20" w:after="20"/>
              <w:jc w:val="center"/>
            </w:pPr>
            <w:r>
              <w:rPr>
                <w:rFonts w:ascii="Arial" w:eastAsia="Arial" w:hAnsi="Arial" w:cs="Arial"/>
                <w:sz w:val="16"/>
                <w:szCs w:val="16"/>
              </w:rPr>
              <w:t>0</w:t>
            </w:r>
          </w:p>
        </w:tc>
        <w:tc>
          <w:tcPr>
            <w:tcW w:w="1085" w:type="dxa"/>
          </w:tcPr>
          <w:p w14:paraId="61A92B52" w14:textId="77777777" w:rsidR="003D2C5F" w:rsidRDefault="00000000">
            <w:pPr>
              <w:spacing w:before="20" w:after="20"/>
              <w:jc w:val="center"/>
            </w:pPr>
            <w:r>
              <w:rPr>
                <w:rFonts w:ascii="Arial" w:eastAsia="Arial" w:hAnsi="Arial" w:cs="Arial"/>
                <w:sz w:val="16"/>
                <w:szCs w:val="16"/>
              </w:rPr>
              <w:t>0</w:t>
            </w:r>
          </w:p>
        </w:tc>
        <w:tc>
          <w:tcPr>
            <w:tcW w:w="1085" w:type="dxa"/>
          </w:tcPr>
          <w:p w14:paraId="31EFE10D" w14:textId="77777777" w:rsidR="003D2C5F" w:rsidRDefault="00000000">
            <w:pPr>
              <w:spacing w:before="20" w:after="20"/>
              <w:jc w:val="center"/>
            </w:pPr>
            <w:r>
              <w:rPr>
                <w:rFonts w:ascii="Arial" w:eastAsia="Arial" w:hAnsi="Arial" w:cs="Arial"/>
                <w:sz w:val="16"/>
                <w:szCs w:val="16"/>
              </w:rPr>
              <w:t>1</w:t>
            </w:r>
          </w:p>
        </w:tc>
        <w:tc>
          <w:tcPr>
            <w:tcW w:w="1085" w:type="dxa"/>
          </w:tcPr>
          <w:p w14:paraId="5A9977A7" w14:textId="77777777" w:rsidR="003D2C5F" w:rsidRDefault="00000000">
            <w:pPr>
              <w:spacing w:before="20" w:after="20"/>
              <w:jc w:val="center"/>
            </w:pPr>
            <w:r>
              <w:rPr>
                <w:rFonts w:ascii="Arial" w:eastAsia="Arial" w:hAnsi="Arial" w:cs="Arial"/>
                <w:sz w:val="16"/>
                <w:szCs w:val="16"/>
              </w:rPr>
              <w:t>0</w:t>
            </w:r>
          </w:p>
        </w:tc>
        <w:tc>
          <w:tcPr>
            <w:tcW w:w="1085" w:type="dxa"/>
          </w:tcPr>
          <w:p w14:paraId="4C9029E5" w14:textId="77777777" w:rsidR="003D2C5F" w:rsidRDefault="00000000">
            <w:pPr>
              <w:spacing w:before="20" w:after="20"/>
              <w:jc w:val="center"/>
            </w:pPr>
            <w:r>
              <w:rPr>
                <w:rFonts w:ascii="Arial" w:eastAsia="Arial" w:hAnsi="Arial" w:cs="Arial"/>
                <w:sz w:val="16"/>
                <w:szCs w:val="16"/>
              </w:rPr>
              <w:t>0</w:t>
            </w:r>
          </w:p>
        </w:tc>
      </w:tr>
      <w:tr w:rsidR="003D2C5F" w14:paraId="215F1CBA" w14:textId="77777777">
        <w:tc>
          <w:tcPr>
            <w:tcW w:w="1295" w:type="dxa"/>
          </w:tcPr>
          <w:p w14:paraId="1C168AF4" w14:textId="77777777" w:rsidR="003D2C5F" w:rsidRDefault="00000000">
            <w:pPr>
              <w:spacing w:before="20" w:after="20"/>
            </w:pPr>
            <w:r>
              <w:rPr>
                <w:rFonts w:ascii="Arial" w:eastAsia="Arial" w:hAnsi="Arial" w:cs="Arial"/>
                <w:sz w:val="16"/>
                <w:szCs w:val="16"/>
              </w:rPr>
              <w:t>S05</w:t>
            </w:r>
          </w:p>
        </w:tc>
        <w:tc>
          <w:tcPr>
            <w:tcW w:w="1085" w:type="dxa"/>
          </w:tcPr>
          <w:p w14:paraId="27DD7C12" w14:textId="77777777" w:rsidR="003D2C5F" w:rsidRDefault="00000000">
            <w:pPr>
              <w:spacing w:before="20" w:after="20"/>
              <w:jc w:val="center"/>
            </w:pPr>
            <w:r>
              <w:rPr>
                <w:rFonts w:ascii="Arial" w:eastAsia="Arial" w:hAnsi="Arial" w:cs="Arial"/>
                <w:sz w:val="16"/>
                <w:szCs w:val="16"/>
              </w:rPr>
              <w:t>0</w:t>
            </w:r>
          </w:p>
        </w:tc>
        <w:tc>
          <w:tcPr>
            <w:tcW w:w="1085" w:type="dxa"/>
          </w:tcPr>
          <w:p w14:paraId="76ED98AD" w14:textId="77777777" w:rsidR="003D2C5F" w:rsidRDefault="00000000">
            <w:pPr>
              <w:spacing w:before="20" w:after="20"/>
              <w:jc w:val="center"/>
            </w:pPr>
            <w:r>
              <w:rPr>
                <w:rFonts w:ascii="Arial" w:eastAsia="Arial" w:hAnsi="Arial" w:cs="Arial"/>
                <w:sz w:val="16"/>
                <w:szCs w:val="16"/>
              </w:rPr>
              <w:t>0</w:t>
            </w:r>
          </w:p>
        </w:tc>
        <w:tc>
          <w:tcPr>
            <w:tcW w:w="1085" w:type="dxa"/>
          </w:tcPr>
          <w:p w14:paraId="14071265" w14:textId="77777777" w:rsidR="003D2C5F" w:rsidRDefault="00000000">
            <w:pPr>
              <w:spacing w:before="20" w:after="20"/>
              <w:jc w:val="center"/>
            </w:pPr>
            <w:r>
              <w:rPr>
                <w:rFonts w:ascii="Arial" w:eastAsia="Arial" w:hAnsi="Arial" w:cs="Arial"/>
                <w:sz w:val="16"/>
                <w:szCs w:val="16"/>
              </w:rPr>
              <w:t>0</w:t>
            </w:r>
          </w:p>
        </w:tc>
        <w:tc>
          <w:tcPr>
            <w:tcW w:w="1085" w:type="dxa"/>
          </w:tcPr>
          <w:p w14:paraId="6E5975BE" w14:textId="77777777" w:rsidR="003D2C5F" w:rsidRDefault="00000000">
            <w:pPr>
              <w:spacing w:before="20" w:after="20"/>
              <w:jc w:val="center"/>
            </w:pPr>
            <w:r>
              <w:rPr>
                <w:rFonts w:ascii="Arial" w:eastAsia="Arial" w:hAnsi="Arial" w:cs="Arial"/>
                <w:sz w:val="16"/>
                <w:szCs w:val="16"/>
              </w:rPr>
              <w:t>0</w:t>
            </w:r>
          </w:p>
        </w:tc>
        <w:tc>
          <w:tcPr>
            <w:tcW w:w="1085" w:type="dxa"/>
          </w:tcPr>
          <w:p w14:paraId="7906FE0B" w14:textId="77777777" w:rsidR="003D2C5F" w:rsidRDefault="00000000">
            <w:pPr>
              <w:spacing w:before="20" w:after="20"/>
              <w:jc w:val="center"/>
            </w:pPr>
            <w:r>
              <w:rPr>
                <w:rFonts w:ascii="Arial" w:eastAsia="Arial" w:hAnsi="Arial" w:cs="Arial"/>
                <w:sz w:val="16"/>
                <w:szCs w:val="16"/>
              </w:rPr>
              <w:t>1</w:t>
            </w:r>
          </w:p>
        </w:tc>
        <w:tc>
          <w:tcPr>
            <w:tcW w:w="1085" w:type="dxa"/>
          </w:tcPr>
          <w:p w14:paraId="1C4CEE4D" w14:textId="77777777" w:rsidR="003D2C5F" w:rsidRDefault="00000000">
            <w:pPr>
              <w:spacing w:before="20" w:after="20"/>
              <w:jc w:val="center"/>
            </w:pPr>
            <w:r>
              <w:rPr>
                <w:rFonts w:ascii="Arial" w:eastAsia="Arial" w:hAnsi="Arial" w:cs="Arial"/>
                <w:sz w:val="16"/>
                <w:szCs w:val="16"/>
              </w:rPr>
              <w:t>0</w:t>
            </w:r>
          </w:p>
        </w:tc>
        <w:tc>
          <w:tcPr>
            <w:tcW w:w="1085" w:type="dxa"/>
          </w:tcPr>
          <w:p w14:paraId="4E5EAEA7" w14:textId="77777777" w:rsidR="003D2C5F" w:rsidRDefault="00000000">
            <w:pPr>
              <w:spacing w:before="20" w:after="20"/>
              <w:jc w:val="center"/>
            </w:pPr>
            <w:r>
              <w:rPr>
                <w:rFonts w:ascii="Arial" w:eastAsia="Arial" w:hAnsi="Arial" w:cs="Arial"/>
                <w:sz w:val="16"/>
                <w:szCs w:val="16"/>
              </w:rPr>
              <w:t>0</w:t>
            </w:r>
          </w:p>
        </w:tc>
      </w:tr>
      <w:tr w:rsidR="003D2C5F" w14:paraId="67847C59" w14:textId="77777777">
        <w:tc>
          <w:tcPr>
            <w:tcW w:w="1295" w:type="dxa"/>
          </w:tcPr>
          <w:p w14:paraId="58DDE02A" w14:textId="77777777" w:rsidR="003D2C5F" w:rsidRDefault="00000000">
            <w:pPr>
              <w:spacing w:before="20" w:after="20"/>
            </w:pPr>
            <w:r>
              <w:rPr>
                <w:rFonts w:ascii="Arial" w:eastAsia="Arial" w:hAnsi="Arial" w:cs="Arial"/>
                <w:sz w:val="16"/>
                <w:szCs w:val="16"/>
              </w:rPr>
              <w:t>S06</w:t>
            </w:r>
          </w:p>
        </w:tc>
        <w:tc>
          <w:tcPr>
            <w:tcW w:w="1085" w:type="dxa"/>
          </w:tcPr>
          <w:p w14:paraId="52ED87DE" w14:textId="77777777" w:rsidR="003D2C5F" w:rsidRDefault="00000000">
            <w:pPr>
              <w:spacing w:before="20" w:after="20"/>
              <w:jc w:val="center"/>
            </w:pPr>
            <w:r>
              <w:rPr>
                <w:rFonts w:ascii="Arial" w:eastAsia="Arial" w:hAnsi="Arial" w:cs="Arial"/>
                <w:sz w:val="16"/>
                <w:szCs w:val="16"/>
              </w:rPr>
              <w:t>0</w:t>
            </w:r>
          </w:p>
        </w:tc>
        <w:tc>
          <w:tcPr>
            <w:tcW w:w="1085" w:type="dxa"/>
          </w:tcPr>
          <w:p w14:paraId="7D823CF7" w14:textId="77777777" w:rsidR="003D2C5F" w:rsidRDefault="00000000">
            <w:pPr>
              <w:spacing w:before="20" w:after="20"/>
              <w:jc w:val="center"/>
            </w:pPr>
            <w:r>
              <w:rPr>
                <w:rFonts w:ascii="Arial" w:eastAsia="Arial" w:hAnsi="Arial" w:cs="Arial"/>
                <w:sz w:val="16"/>
                <w:szCs w:val="16"/>
              </w:rPr>
              <w:t>1</w:t>
            </w:r>
          </w:p>
        </w:tc>
        <w:tc>
          <w:tcPr>
            <w:tcW w:w="1085" w:type="dxa"/>
          </w:tcPr>
          <w:p w14:paraId="0869D076" w14:textId="77777777" w:rsidR="003D2C5F" w:rsidRDefault="00000000">
            <w:pPr>
              <w:spacing w:before="20" w:after="20"/>
              <w:jc w:val="center"/>
            </w:pPr>
            <w:r>
              <w:rPr>
                <w:rFonts w:ascii="Arial" w:eastAsia="Arial" w:hAnsi="Arial" w:cs="Arial"/>
                <w:sz w:val="16"/>
                <w:szCs w:val="16"/>
              </w:rPr>
              <w:t>0</w:t>
            </w:r>
          </w:p>
        </w:tc>
        <w:tc>
          <w:tcPr>
            <w:tcW w:w="1085" w:type="dxa"/>
          </w:tcPr>
          <w:p w14:paraId="5E6EF4BD" w14:textId="77777777" w:rsidR="003D2C5F" w:rsidRDefault="00000000">
            <w:pPr>
              <w:spacing w:before="20" w:after="20"/>
              <w:jc w:val="center"/>
            </w:pPr>
            <w:r>
              <w:rPr>
                <w:rFonts w:ascii="Arial" w:eastAsia="Arial" w:hAnsi="Arial" w:cs="Arial"/>
                <w:sz w:val="16"/>
                <w:szCs w:val="16"/>
              </w:rPr>
              <w:t>0</w:t>
            </w:r>
          </w:p>
        </w:tc>
        <w:tc>
          <w:tcPr>
            <w:tcW w:w="1085" w:type="dxa"/>
          </w:tcPr>
          <w:p w14:paraId="61AFE780" w14:textId="77777777" w:rsidR="003D2C5F" w:rsidRDefault="00000000">
            <w:pPr>
              <w:spacing w:before="20" w:after="20"/>
              <w:jc w:val="center"/>
            </w:pPr>
            <w:r>
              <w:rPr>
                <w:rFonts w:ascii="Arial" w:eastAsia="Arial" w:hAnsi="Arial" w:cs="Arial"/>
                <w:sz w:val="16"/>
                <w:szCs w:val="16"/>
              </w:rPr>
              <w:t>0</w:t>
            </w:r>
          </w:p>
        </w:tc>
        <w:tc>
          <w:tcPr>
            <w:tcW w:w="1085" w:type="dxa"/>
          </w:tcPr>
          <w:p w14:paraId="34510878" w14:textId="77777777" w:rsidR="003D2C5F" w:rsidRDefault="00000000">
            <w:pPr>
              <w:spacing w:before="20" w:after="20"/>
              <w:jc w:val="center"/>
            </w:pPr>
            <w:r>
              <w:rPr>
                <w:rFonts w:ascii="Arial" w:eastAsia="Arial" w:hAnsi="Arial" w:cs="Arial"/>
                <w:sz w:val="16"/>
                <w:szCs w:val="16"/>
              </w:rPr>
              <w:t>0</w:t>
            </w:r>
          </w:p>
        </w:tc>
        <w:tc>
          <w:tcPr>
            <w:tcW w:w="1085" w:type="dxa"/>
          </w:tcPr>
          <w:p w14:paraId="23BEBDCF" w14:textId="77777777" w:rsidR="003D2C5F" w:rsidRDefault="00000000">
            <w:pPr>
              <w:spacing w:before="20" w:after="20"/>
              <w:jc w:val="center"/>
            </w:pPr>
            <w:r>
              <w:rPr>
                <w:rFonts w:ascii="Arial" w:eastAsia="Arial" w:hAnsi="Arial" w:cs="Arial"/>
                <w:sz w:val="16"/>
                <w:szCs w:val="16"/>
              </w:rPr>
              <w:t>0</w:t>
            </w:r>
          </w:p>
        </w:tc>
      </w:tr>
      <w:tr w:rsidR="003D2C5F" w14:paraId="3138EEC4" w14:textId="77777777">
        <w:tc>
          <w:tcPr>
            <w:tcW w:w="1295" w:type="dxa"/>
          </w:tcPr>
          <w:p w14:paraId="60A34D7A" w14:textId="77777777" w:rsidR="003D2C5F" w:rsidRDefault="00000000">
            <w:pPr>
              <w:spacing w:before="20" w:after="20"/>
            </w:pPr>
            <w:r>
              <w:rPr>
                <w:rFonts w:ascii="Arial" w:eastAsia="Arial" w:hAnsi="Arial" w:cs="Arial"/>
                <w:sz w:val="16"/>
                <w:szCs w:val="16"/>
              </w:rPr>
              <w:t>S07</w:t>
            </w:r>
          </w:p>
        </w:tc>
        <w:tc>
          <w:tcPr>
            <w:tcW w:w="1085" w:type="dxa"/>
          </w:tcPr>
          <w:p w14:paraId="73E037C7" w14:textId="77777777" w:rsidR="003D2C5F" w:rsidRDefault="00000000">
            <w:pPr>
              <w:spacing w:before="20" w:after="20"/>
              <w:jc w:val="center"/>
            </w:pPr>
            <w:r>
              <w:rPr>
                <w:rFonts w:ascii="Arial" w:eastAsia="Arial" w:hAnsi="Arial" w:cs="Arial"/>
                <w:sz w:val="16"/>
                <w:szCs w:val="16"/>
              </w:rPr>
              <w:t>0</w:t>
            </w:r>
          </w:p>
        </w:tc>
        <w:tc>
          <w:tcPr>
            <w:tcW w:w="1085" w:type="dxa"/>
          </w:tcPr>
          <w:p w14:paraId="7BC8D429" w14:textId="77777777" w:rsidR="003D2C5F" w:rsidRDefault="00000000">
            <w:pPr>
              <w:spacing w:before="20" w:after="20"/>
              <w:jc w:val="center"/>
            </w:pPr>
            <w:r>
              <w:rPr>
                <w:rFonts w:ascii="Arial" w:eastAsia="Arial" w:hAnsi="Arial" w:cs="Arial"/>
                <w:sz w:val="16"/>
                <w:szCs w:val="16"/>
              </w:rPr>
              <w:t>1</w:t>
            </w:r>
          </w:p>
        </w:tc>
        <w:tc>
          <w:tcPr>
            <w:tcW w:w="1085" w:type="dxa"/>
          </w:tcPr>
          <w:p w14:paraId="6280274C" w14:textId="77777777" w:rsidR="003D2C5F" w:rsidRDefault="00000000">
            <w:pPr>
              <w:spacing w:before="20" w:after="20"/>
              <w:jc w:val="center"/>
            </w:pPr>
            <w:r>
              <w:rPr>
                <w:rFonts w:ascii="Arial" w:eastAsia="Arial" w:hAnsi="Arial" w:cs="Arial"/>
                <w:sz w:val="16"/>
                <w:szCs w:val="16"/>
              </w:rPr>
              <w:t>0</w:t>
            </w:r>
          </w:p>
        </w:tc>
        <w:tc>
          <w:tcPr>
            <w:tcW w:w="1085" w:type="dxa"/>
          </w:tcPr>
          <w:p w14:paraId="697078EE" w14:textId="77777777" w:rsidR="003D2C5F" w:rsidRDefault="00000000">
            <w:pPr>
              <w:spacing w:before="20" w:after="20"/>
              <w:jc w:val="center"/>
            </w:pPr>
            <w:r>
              <w:rPr>
                <w:rFonts w:ascii="Arial" w:eastAsia="Arial" w:hAnsi="Arial" w:cs="Arial"/>
                <w:sz w:val="16"/>
                <w:szCs w:val="16"/>
              </w:rPr>
              <w:t>0</w:t>
            </w:r>
          </w:p>
        </w:tc>
        <w:tc>
          <w:tcPr>
            <w:tcW w:w="1085" w:type="dxa"/>
          </w:tcPr>
          <w:p w14:paraId="1ADC3900" w14:textId="77777777" w:rsidR="003D2C5F" w:rsidRDefault="00000000">
            <w:pPr>
              <w:spacing w:before="20" w:after="20"/>
              <w:jc w:val="center"/>
            </w:pPr>
            <w:r>
              <w:rPr>
                <w:rFonts w:ascii="Arial" w:eastAsia="Arial" w:hAnsi="Arial" w:cs="Arial"/>
                <w:sz w:val="16"/>
                <w:szCs w:val="16"/>
              </w:rPr>
              <w:t>0</w:t>
            </w:r>
          </w:p>
        </w:tc>
        <w:tc>
          <w:tcPr>
            <w:tcW w:w="1085" w:type="dxa"/>
          </w:tcPr>
          <w:p w14:paraId="0D83761E" w14:textId="77777777" w:rsidR="003D2C5F" w:rsidRDefault="00000000">
            <w:pPr>
              <w:spacing w:before="20" w:after="20"/>
              <w:jc w:val="center"/>
            </w:pPr>
            <w:r>
              <w:rPr>
                <w:rFonts w:ascii="Arial" w:eastAsia="Arial" w:hAnsi="Arial" w:cs="Arial"/>
                <w:sz w:val="16"/>
                <w:szCs w:val="16"/>
              </w:rPr>
              <w:t>0</w:t>
            </w:r>
          </w:p>
        </w:tc>
        <w:tc>
          <w:tcPr>
            <w:tcW w:w="1085" w:type="dxa"/>
          </w:tcPr>
          <w:p w14:paraId="07570A75" w14:textId="77777777" w:rsidR="003D2C5F" w:rsidRDefault="00000000">
            <w:pPr>
              <w:spacing w:before="20" w:after="20"/>
              <w:jc w:val="center"/>
            </w:pPr>
            <w:r>
              <w:rPr>
                <w:rFonts w:ascii="Arial" w:eastAsia="Arial" w:hAnsi="Arial" w:cs="Arial"/>
                <w:sz w:val="16"/>
                <w:szCs w:val="16"/>
              </w:rPr>
              <w:t>0</w:t>
            </w:r>
          </w:p>
        </w:tc>
      </w:tr>
      <w:tr w:rsidR="003D2C5F" w14:paraId="0786ADCA" w14:textId="77777777">
        <w:tc>
          <w:tcPr>
            <w:tcW w:w="1295" w:type="dxa"/>
          </w:tcPr>
          <w:p w14:paraId="702C9AE2" w14:textId="77777777" w:rsidR="003D2C5F" w:rsidRDefault="00000000">
            <w:pPr>
              <w:spacing w:before="20" w:after="20"/>
            </w:pPr>
            <w:r>
              <w:rPr>
                <w:rFonts w:ascii="Arial" w:eastAsia="Arial" w:hAnsi="Arial" w:cs="Arial"/>
                <w:sz w:val="16"/>
                <w:szCs w:val="16"/>
              </w:rPr>
              <w:t>S08</w:t>
            </w:r>
          </w:p>
        </w:tc>
        <w:tc>
          <w:tcPr>
            <w:tcW w:w="1085" w:type="dxa"/>
          </w:tcPr>
          <w:p w14:paraId="7A3ECD74" w14:textId="77777777" w:rsidR="003D2C5F" w:rsidRDefault="00000000">
            <w:pPr>
              <w:spacing w:before="20" w:after="20"/>
              <w:jc w:val="center"/>
            </w:pPr>
            <w:r>
              <w:rPr>
                <w:rFonts w:ascii="Arial" w:eastAsia="Arial" w:hAnsi="Arial" w:cs="Arial"/>
                <w:sz w:val="16"/>
                <w:szCs w:val="16"/>
              </w:rPr>
              <w:t>0</w:t>
            </w:r>
          </w:p>
        </w:tc>
        <w:tc>
          <w:tcPr>
            <w:tcW w:w="1085" w:type="dxa"/>
          </w:tcPr>
          <w:p w14:paraId="565CD6FF" w14:textId="77777777" w:rsidR="003D2C5F" w:rsidRDefault="00000000">
            <w:pPr>
              <w:spacing w:before="20" w:after="20"/>
              <w:jc w:val="center"/>
            </w:pPr>
            <w:r>
              <w:rPr>
                <w:rFonts w:ascii="Arial" w:eastAsia="Arial" w:hAnsi="Arial" w:cs="Arial"/>
                <w:sz w:val="16"/>
                <w:szCs w:val="16"/>
              </w:rPr>
              <w:t>1</w:t>
            </w:r>
          </w:p>
        </w:tc>
        <w:tc>
          <w:tcPr>
            <w:tcW w:w="1085" w:type="dxa"/>
          </w:tcPr>
          <w:p w14:paraId="42B0D837" w14:textId="77777777" w:rsidR="003D2C5F" w:rsidRDefault="00000000">
            <w:pPr>
              <w:spacing w:before="20" w:after="20"/>
              <w:jc w:val="center"/>
            </w:pPr>
            <w:r>
              <w:rPr>
                <w:rFonts w:ascii="Arial" w:eastAsia="Arial" w:hAnsi="Arial" w:cs="Arial"/>
                <w:sz w:val="16"/>
                <w:szCs w:val="16"/>
              </w:rPr>
              <w:t>0</w:t>
            </w:r>
          </w:p>
        </w:tc>
        <w:tc>
          <w:tcPr>
            <w:tcW w:w="1085" w:type="dxa"/>
          </w:tcPr>
          <w:p w14:paraId="15639F2F" w14:textId="77777777" w:rsidR="003D2C5F" w:rsidRDefault="00000000">
            <w:pPr>
              <w:spacing w:before="20" w:after="20"/>
              <w:jc w:val="center"/>
            </w:pPr>
            <w:r>
              <w:rPr>
                <w:rFonts w:ascii="Arial" w:eastAsia="Arial" w:hAnsi="Arial" w:cs="Arial"/>
                <w:sz w:val="16"/>
                <w:szCs w:val="16"/>
              </w:rPr>
              <w:t>1</w:t>
            </w:r>
          </w:p>
        </w:tc>
        <w:tc>
          <w:tcPr>
            <w:tcW w:w="1085" w:type="dxa"/>
          </w:tcPr>
          <w:p w14:paraId="29DE8273" w14:textId="77777777" w:rsidR="003D2C5F" w:rsidRDefault="00000000">
            <w:pPr>
              <w:spacing w:before="20" w:after="20"/>
              <w:jc w:val="center"/>
            </w:pPr>
            <w:r>
              <w:rPr>
                <w:rFonts w:ascii="Arial" w:eastAsia="Arial" w:hAnsi="Arial" w:cs="Arial"/>
                <w:sz w:val="16"/>
                <w:szCs w:val="16"/>
              </w:rPr>
              <w:t>0</w:t>
            </w:r>
          </w:p>
        </w:tc>
        <w:tc>
          <w:tcPr>
            <w:tcW w:w="1085" w:type="dxa"/>
          </w:tcPr>
          <w:p w14:paraId="583F4E57" w14:textId="77777777" w:rsidR="003D2C5F" w:rsidRDefault="00000000">
            <w:pPr>
              <w:spacing w:before="20" w:after="20"/>
              <w:jc w:val="center"/>
            </w:pPr>
            <w:r>
              <w:rPr>
                <w:rFonts w:ascii="Arial" w:eastAsia="Arial" w:hAnsi="Arial" w:cs="Arial"/>
                <w:sz w:val="16"/>
                <w:szCs w:val="16"/>
              </w:rPr>
              <w:t>0</w:t>
            </w:r>
          </w:p>
        </w:tc>
        <w:tc>
          <w:tcPr>
            <w:tcW w:w="1085" w:type="dxa"/>
          </w:tcPr>
          <w:p w14:paraId="0FAD5446" w14:textId="77777777" w:rsidR="003D2C5F" w:rsidRDefault="00000000">
            <w:pPr>
              <w:spacing w:before="20" w:after="20"/>
              <w:jc w:val="center"/>
            </w:pPr>
            <w:r>
              <w:rPr>
                <w:rFonts w:ascii="Arial" w:eastAsia="Arial" w:hAnsi="Arial" w:cs="Arial"/>
                <w:sz w:val="16"/>
                <w:szCs w:val="16"/>
              </w:rPr>
              <w:t>0</w:t>
            </w:r>
          </w:p>
        </w:tc>
      </w:tr>
      <w:tr w:rsidR="003D2C5F" w14:paraId="23B588CC" w14:textId="77777777">
        <w:tc>
          <w:tcPr>
            <w:tcW w:w="1295" w:type="dxa"/>
          </w:tcPr>
          <w:p w14:paraId="54C5E63D" w14:textId="77777777" w:rsidR="003D2C5F" w:rsidRDefault="00000000">
            <w:pPr>
              <w:spacing w:before="20" w:after="20"/>
            </w:pPr>
            <w:r>
              <w:rPr>
                <w:rFonts w:ascii="Arial" w:eastAsia="Arial" w:hAnsi="Arial" w:cs="Arial"/>
                <w:sz w:val="16"/>
                <w:szCs w:val="16"/>
              </w:rPr>
              <w:t>S09</w:t>
            </w:r>
          </w:p>
        </w:tc>
        <w:tc>
          <w:tcPr>
            <w:tcW w:w="1085" w:type="dxa"/>
          </w:tcPr>
          <w:p w14:paraId="471E936B" w14:textId="77777777" w:rsidR="003D2C5F" w:rsidRDefault="00000000">
            <w:pPr>
              <w:spacing w:before="20" w:after="20"/>
              <w:jc w:val="center"/>
            </w:pPr>
            <w:r>
              <w:rPr>
                <w:rFonts w:ascii="Arial" w:eastAsia="Arial" w:hAnsi="Arial" w:cs="Arial"/>
                <w:sz w:val="16"/>
                <w:szCs w:val="16"/>
              </w:rPr>
              <w:t>0</w:t>
            </w:r>
          </w:p>
        </w:tc>
        <w:tc>
          <w:tcPr>
            <w:tcW w:w="1085" w:type="dxa"/>
          </w:tcPr>
          <w:p w14:paraId="7B0A40DE" w14:textId="77777777" w:rsidR="003D2C5F" w:rsidRDefault="00000000">
            <w:pPr>
              <w:spacing w:before="20" w:after="20"/>
              <w:jc w:val="center"/>
            </w:pPr>
            <w:r>
              <w:rPr>
                <w:rFonts w:ascii="Arial" w:eastAsia="Arial" w:hAnsi="Arial" w:cs="Arial"/>
                <w:sz w:val="16"/>
                <w:szCs w:val="16"/>
              </w:rPr>
              <w:t>0</w:t>
            </w:r>
          </w:p>
        </w:tc>
        <w:tc>
          <w:tcPr>
            <w:tcW w:w="1085" w:type="dxa"/>
          </w:tcPr>
          <w:p w14:paraId="53676C0C" w14:textId="77777777" w:rsidR="003D2C5F" w:rsidRDefault="00000000">
            <w:pPr>
              <w:spacing w:before="20" w:after="20"/>
              <w:jc w:val="center"/>
            </w:pPr>
            <w:r>
              <w:rPr>
                <w:rFonts w:ascii="Arial" w:eastAsia="Arial" w:hAnsi="Arial" w:cs="Arial"/>
                <w:sz w:val="16"/>
                <w:szCs w:val="16"/>
              </w:rPr>
              <w:t>0</w:t>
            </w:r>
          </w:p>
        </w:tc>
        <w:tc>
          <w:tcPr>
            <w:tcW w:w="1085" w:type="dxa"/>
          </w:tcPr>
          <w:p w14:paraId="41A8FBAD" w14:textId="77777777" w:rsidR="003D2C5F" w:rsidRDefault="00000000">
            <w:pPr>
              <w:spacing w:before="20" w:after="20"/>
              <w:jc w:val="center"/>
            </w:pPr>
            <w:r>
              <w:rPr>
                <w:rFonts w:ascii="Arial" w:eastAsia="Arial" w:hAnsi="Arial" w:cs="Arial"/>
                <w:sz w:val="16"/>
                <w:szCs w:val="16"/>
              </w:rPr>
              <w:t>1</w:t>
            </w:r>
          </w:p>
        </w:tc>
        <w:tc>
          <w:tcPr>
            <w:tcW w:w="1085" w:type="dxa"/>
          </w:tcPr>
          <w:p w14:paraId="0ACBE43B" w14:textId="77777777" w:rsidR="003D2C5F" w:rsidRDefault="00000000">
            <w:pPr>
              <w:spacing w:before="20" w:after="20"/>
              <w:jc w:val="center"/>
            </w:pPr>
            <w:r>
              <w:rPr>
                <w:rFonts w:ascii="Arial" w:eastAsia="Arial" w:hAnsi="Arial" w:cs="Arial"/>
                <w:sz w:val="16"/>
                <w:szCs w:val="16"/>
              </w:rPr>
              <w:t>1</w:t>
            </w:r>
          </w:p>
        </w:tc>
        <w:tc>
          <w:tcPr>
            <w:tcW w:w="1085" w:type="dxa"/>
          </w:tcPr>
          <w:p w14:paraId="4AFF70BE" w14:textId="77777777" w:rsidR="003D2C5F" w:rsidRDefault="00000000">
            <w:pPr>
              <w:spacing w:before="20" w:after="20"/>
              <w:jc w:val="center"/>
            </w:pPr>
            <w:r>
              <w:rPr>
                <w:rFonts w:ascii="Arial" w:eastAsia="Arial" w:hAnsi="Arial" w:cs="Arial"/>
                <w:sz w:val="16"/>
                <w:szCs w:val="16"/>
              </w:rPr>
              <w:t>1</w:t>
            </w:r>
          </w:p>
        </w:tc>
        <w:tc>
          <w:tcPr>
            <w:tcW w:w="1085" w:type="dxa"/>
          </w:tcPr>
          <w:p w14:paraId="44950389" w14:textId="77777777" w:rsidR="003D2C5F" w:rsidRDefault="00000000">
            <w:pPr>
              <w:spacing w:before="20" w:after="20"/>
              <w:jc w:val="center"/>
            </w:pPr>
            <w:r>
              <w:rPr>
                <w:rFonts w:ascii="Arial" w:eastAsia="Arial" w:hAnsi="Arial" w:cs="Arial"/>
                <w:sz w:val="16"/>
                <w:szCs w:val="16"/>
              </w:rPr>
              <w:t>0</w:t>
            </w:r>
          </w:p>
        </w:tc>
      </w:tr>
      <w:tr w:rsidR="003D2C5F" w14:paraId="7E7F5F88" w14:textId="77777777">
        <w:tc>
          <w:tcPr>
            <w:tcW w:w="1295" w:type="dxa"/>
          </w:tcPr>
          <w:p w14:paraId="064DAE6A" w14:textId="77777777" w:rsidR="003D2C5F" w:rsidRDefault="00000000">
            <w:pPr>
              <w:spacing w:before="20" w:after="20"/>
            </w:pPr>
            <w:r>
              <w:rPr>
                <w:rFonts w:ascii="Arial" w:eastAsia="Arial" w:hAnsi="Arial" w:cs="Arial"/>
                <w:sz w:val="16"/>
                <w:szCs w:val="16"/>
              </w:rPr>
              <w:t>S10</w:t>
            </w:r>
          </w:p>
        </w:tc>
        <w:tc>
          <w:tcPr>
            <w:tcW w:w="1085" w:type="dxa"/>
          </w:tcPr>
          <w:p w14:paraId="6D28C3BD" w14:textId="77777777" w:rsidR="003D2C5F" w:rsidRDefault="00000000">
            <w:pPr>
              <w:spacing w:before="20" w:after="20"/>
              <w:jc w:val="center"/>
            </w:pPr>
            <w:r>
              <w:rPr>
                <w:rFonts w:ascii="Arial" w:eastAsia="Arial" w:hAnsi="Arial" w:cs="Arial"/>
                <w:sz w:val="16"/>
                <w:szCs w:val="16"/>
              </w:rPr>
              <w:t>0</w:t>
            </w:r>
          </w:p>
        </w:tc>
        <w:tc>
          <w:tcPr>
            <w:tcW w:w="1085" w:type="dxa"/>
          </w:tcPr>
          <w:p w14:paraId="4FEA2272" w14:textId="77777777" w:rsidR="003D2C5F" w:rsidRDefault="00000000">
            <w:pPr>
              <w:spacing w:before="20" w:after="20"/>
              <w:jc w:val="center"/>
            </w:pPr>
            <w:r>
              <w:rPr>
                <w:rFonts w:ascii="Arial" w:eastAsia="Arial" w:hAnsi="Arial" w:cs="Arial"/>
                <w:sz w:val="16"/>
                <w:szCs w:val="16"/>
              </w:rPr>
              <w:t>0</w:t>
            </w:r>
          </w:p>
        </w:tc>
        <w:tc>
          <w:tcPr>
            <w:tcW w:w="1085" w:type="dxa"/>
          </w:tcPr>
          <w:p w14:paraId="643841C2" w14:textId="77777777" w:rsidR="003D2C5F" w:rsidRDefault="00000000">
            <w:pPr>
              <w:spacing w:before="20" w:after="20"/>
              <w:jc w:val="center"/>
            </w:pPr>
            <w:r>
              <w:rPr>
                <w:rFonts w:ascii="Arial" w:eastAsia="Arial" w:hAnsi="Arial" w:cs="Arial"/>
                <w:sz w:val="16"/>
                <w:szCs w:val="16"/>
              </w:rPr>
              <w:t>0</w:t>
            </w:r>
          </w:p>
        </w:tc>
        <w:tc>
          <w:tcPr>
            <w:tcW w:w="1085" w:type="dxa"/>
          </w:tcPr>
          <w:p w14:paraId="5D3FA137" w14:textId="77777777" w:rsidR="003D2C5F" w:rsidRDefault="00000000">
            <w:pPr>
              <w:spacing w:before="20" w:after="20"/>
              <w:jc w:val="center"/>
            </w:pPr>
            <w:r>
              <w:rPr>
                <w:rFonts w:ascii="Arial" w:eastAsia="Arial" w:hAnsi="Arial" w:cs="Arial"/>
                <w:sz w:val="16"/>
                <w:szCs w:val="16"/>
              </w:rPr>
              <w:t>0</w:t>
            </w:r>
          </w:p>
        </w:tc>
        <w:tc>
          <w:tcPr>
            <w:tcW w:w="1085" w:type="dxa"/>
          </w:tcPr>
          <w:p w14:paraId="6D18B0D7" w14:textId="77777777" w:rsidR="003D2C5F" w:rsidRDefault="00000000">
            <w:pPr>
              <w:spacing w:before="20" w:after="20"/>
              <w:jc w:val="center"/>
            </w:pPr>
            <w:r>
              <w:rPr>
                <w:rFonts w:ascii="Arial" w:eastAsia="Arial" w:hAnsi="Arial" w:cs="Arial"/>
                <w:sz w:val="16"/>
                <w:szCs w:val="16"/>
              </w:rPr>
              <w:t>1</w:t>
            </w:r>
          </w:p>
        </w:tc>
        <w:tc>
          <w:tcPr>
            <w:tcW w:w="1085" w:type="dxa"/>
          </w:tcPr>
          <w:p w14:paraId="67451D97" w14:textId="77777777" w:rsidR="003D2C5F" w:rsidRDefault="00000000">
            <w:pPr>
              <w:spacing w:before="20" w:after="20"/>
              <w:jc w:val="center"/>
            </w:pPr>
            <w:r>
              <w:rPr>
                <w:rFonts w:ascii="Arial" w:eastAsia="Arial" w:hAnsi="Arial" w:cs="Arial"/>
                <w:sz w:val="16"/>
                <w:szCs w:val="16"/>
              </w:rPr>
              <w:t>1</w:t>
            </w:r>
          </w:p>
        </w:tc>
        <w:tc>
          <w:tcPr>
            <w:tcW w:w="1085" w:type="dxa"/>
          </w:tcPr>
          <w:p w14:paraId="618D22DD" w14:textId="77777777" w:rsidR="003D2C5F" w:rsidRDefault="00000000">
            <w:pPr>
              <w:spacing w:before="20" w:after="20"/>
              <w:jc w:val="center"/>
            </w:pPr>
            <w:r>
              <w:rPr>
                <w:rFonts w:ascii="Arial" w:eastAsia="Arial" w:hAnsi="Arial" w:cs="Arial"/>
                <w:sz w:val="16"/>
                <w:szCs w:val="16"/>
              </w:rPr>
              <w:t>0</w:t>
            </w:r>
          </w:p>
        </w:tc>
      </w:tr>
      <w:tr w:rsidR="003D2C5F" w14:paraId="7FCDA868" w14:textId="77777777">
        <w:tc>
          <w:tcPr>
            <w:tcW w:w="1295" w:type="dxa"/>
          </w:tcPr>
          <w:p w14:paraId="7780F025" w14:textId="77777777" w:rsidR="003D2C5F" w:rsidRDefault="00000000">
            <w:pPr>
              <w:spacing w:before="20" w:after="20"/>
            </w:pPr>
            <w:r>
              <w:rPr>
                <w:rFonts w:ascii="Arial" w:eastAsia="Arial" w:hAnsi="Arial" w:cs="Arial"/>
                <w:sz w:val="16"/>
                <w:szCs w:val="16"/>
              </w:rPr>
              <w:t>S11</w:t>
            </w:r>
          </w:p>
        </w:tc>
        <w:tc>
          <w:tcPr>
            <w:tcW w:w="1085" w:type="dxa"/>
          </w:tcPr>
          <w:p w14:paraId="2889B281" w14:textId="77777777" w:rsidR="003D2C5F" w:rsidRDefault="00000000">
            <w:pPr>
              <w:spacing w:before="20" w:after="20"/>
              <w:jc w:val="center"/>
            </w:pPr>
            <w:r>
              <w:rPr>
                <w:rFonts w:ascii="Arial" w:eastAsia="Arial" w:hAnsi="Arial" w:cs="Arial"/>
                <w:sz w:val="16"/>
                <w:szCs w:val="16"/>
              </w:rPr>
              <w:t>0</w:t>
            </w:r>
          </w:p>
        </w:tc>
        <w:tc>
          <w:tcPr>
            <w:tcW w:w="1085" w:type="dxa"/>
          </w:tcPr>
          <w:p w14:paraId="4591CA77" w14:textId="77777777" w:rsidR="003D2C5F" w:rsidRDefault="00000000">
            <w:pPr>
              <w:spacing w:before="20" w:after="20"/>
              <w:jc w:val="center"/>
            </w:pPr>
            <w:r>
              <w:rPr>
                <w:rFonts w:ascii="Arial" w:eastAsia="Arial" w:hAnsi="Arial" w:cs="Arial"/>
                <w:sz w:val="16"/>
                <w:szCs w:val="16"/>
              </w:rPr>
              <w:t>1</w:t>
            </w:r>
          </w:p>
        </w:tc>
        <w:tc>
          <w:tcPr>
            <w:tcW w:w="1085" w:type="dxa"/>
          </w:tcPr>
          <w:p w14:paraId="05111BA3" w14:textId="77777777" w:rsidR="003D2C5F" w:rsidRDefault="00000000">
            <w:pPr>
              <w:spacing w:before="20" w:after="20"/>
              <w:jc w:val="center"/>
            </w:pPr>
            <w:r>
              <w:rPr>
                <w:rFonts w:ascii="Arial" w:eastAsia="Arial" w:hAnsi="Arial" w:cs="Arial"/>
                <w:sz w:val="16"/>
                <w:szCs w:val="16"/>
              </w:rPr>
              <w:t>0</w:t>
            </w:r>
          </w:p>
        </w:tc>
        <w:tc>
          <w:tcPr>
            <w:tcW w:w="1085" w:type="dxa"/>
          </w:tcPr>
          <w:p w14:paraId="7C5DFEF9" w14:textId="77777777" w:rsidR="003D2C5F" w:rsidRDefault="00000000">
            <w:pPr>
              <w:spacing w:before="20" w:after="20"/>
              <w:jc w:val="center"/>
            </w:pPr>
            <w:r>
              <w:rPr>
                <w:rFonts w:ascii="Arial" w:eastAsia="Arial" w:hAnsi="Arial" w:cs="Arial"/>
                <w:sz w:val="16"/>
                <w:szCs w:val="16"/>
              </w:rPr>
              <w:t>1</w:t>
            </w:r>
          </w:p>
        </w:tc>
        <w:tc>
          <w:tcPr>
            <w:tcW w:w="1085" w:type="dxa"/>
          </w:tcPr>
          <w:p w14:paraId="3D0B9097" w14:textId="77777777" w:rsidR="003D2C5F" w:rsidRDefault="00000000">
            <w:pPr>
              <w:spacing w:before="20" w:after="20"/>
              <w:jc w:val="center"/>
            </w:pPr>
            <w:r>
              <w:rPr>
                <w:rFonts w:ascii="Arial" w:eastAsia="Arial" w:hAnsi="Arial" w:cs="Arial"/>
                <w:sz w:val="16"/>
                <w:szCs w:val="16"/>
              </w:rPr>
              <w:t>0</w:t>
            </w:r>
          </w:p>
        </w:tc>
        <w:tc>
          <w:tcPr>
            <w:tcW w:w="1085" w:type="dxa"/>
          </w:tcPr>
          <w:p w14:paraId="7FB6CDB0" w14:textId="77777777" w:rsidR="003D2C5F" w:rsidRDefault="00000000">
            <w:pPr>
              <w:spacing w:before="20" w:after="20"/>
              <w:jc w:val="center"/>
            </w:pPr>
            <w:r>
              <w:rPr>
                <w:rFonts w:ascii="Arial" w:eastAsia="Arial" w:hAnsi="Arial" w:cs="Arial"/>
                <w:sz w:val="16"/>
                <w:szCs w:val="16"/>
              </w:rPr>
              <w:t>0</w:t>
            </w:r>
          </w:p>
        </w:tc>
        <w:tc>
          <w:tcPr>
            <w:tcW w:w="1085" w:type="dxa"/>
          </w:tcPr>
          <w:p w14:paraId="22FDDB2A" w14:textId="77777777" w:rsidR="003D2C5F" w:rsidRDefault="00000000">
            <w:pPr>
              <w:spacing w:before="20" w:after="20"/>
              <w:jc w:val="center"/>
            </w:pPr>
            <w:r>
              <w:rPr>
                <w:rFonts w:ascii="Arial" w:eastAsia="Arial" w:hAnsi="Arial" w:cs="Arial"/>
                <w:sz w:val="16"/>
                <w:szCs w:val="16"/>
              </w:rPr>
              <w:t>0</w:t>
            </w:r>
          </w:p>
        </w:tc>
      </w:tr>
      <w:tr w:rsidR="003D2C5F" w14:paraId="557FDC90" w14:textId="77777777">
        <w:tc>
          <w:tcPr>
            <w:tcW w:w="1295" w:type="dxa"/>
          </w:tcPr>
          <w:p w14:paraId="0FC288EF" w14:textId="77777777" w:rsidR="003D2C5F" w:rsidRDefault="00000000">
            <w:pPr>
              <w:spacing w:before="20" w:after="20"/>
            </w:pPr>
            <w:r>
              <w:rPr>
                <w:rFonts w:ascii="Arial" w:eastAsia="Arial" w:hAnsi="Arial" w:cs="Arial"/>
                <w:sz w:val="16"/>
                <w:szCs w:val="16"/>
              </w:rPr>
              <w:t>Total</w:t>
            </w:r>
          </w:p>
        </w:tc>
        <w:tc>
          <w:tcPr>
            <w:tcW w:w="1085" w:type="dxa"/>
          </w:tcPr>
          <w:p w14:paraId="350BE2B6" w14:textId="77777777" w:rsidR="003D2C5F" w:rsidRDefault="00000000">
            <w:pPr>
              <w:spacing w:before="20" w:after="20"/>
              <w:jc w:val="center"/>
            </w:pPr>
            <w:r>
              <w:rPr>
                <w:rFonts w:ascii="Arial" w:eastAsia="Arial" w:hAnsi="Arial" w:cs="Arial"/>
                <w:sz w:val="16"/>
                <w:szCs w:val="16"/>
              </w:rPr>
              <w:t>4</w:t>
            </w:r>
          </w:p>
        </w:tc>
        <w:tc>
          <w:tcPr>
            <w:tcW w:w="1085" w:type="dxa"/>
          </w:tcPr>
          <w:p w14:paraId="24052833" w14:textId="77777777" w:rsidR="003D2C5F" w:rsidRDefault="00000000">
            <w:pPr>
              <w:spacing w:before="20" w:after="20"/>
              <w:jc w:val="center"/>
            </w:pPr>
            <w:r>
              <w:rPr>
                <w:rFonts w:ascii="Arial" w:eastAsia="Arial" w:hAnsi="Arial" w:cs="Arial"/>
                <w:sz w:val="16"/>
                <w:szCs w:val="16"/>
              </w:rPr>
              <w:t>6</w:t>
            </w:r>
          </w:p>
        </w:tc>
        <w:tc>
          <w:tcPr>
            <w:tcW w:w="1085" w:type="dxa"/>
          </w:tcPr>
          <w:p w14:paraId="74E3FC53" w14:textId="77777777" w:rsidR="003D2C5F" w:rsidRDefault="00000000">
            <w:pPr>
              <w:spacing w:before="20" w:after="20"/>
              <w:jc w:val="center"/>
            </w:pPr>
            <w:r>
              <w:rPr>
                <w:rFonts w:ascii="Arial" w:eastAsia="Arial" w:hAnsi="Arial" w:cs="Arial"/>
                <w:sz w:val="16"/>
                <w:szCs w:val="16"/>
              </w:rPr>
              <w:t>1</w:t>
            </w:r>
          </w:p>
        </w:tc>
        <w:tc>
          <w:tcPr>
            <w:tcW w:w="1085" w:type="dxa"/>
          </w:tcPr>
          <w:p w14:paraId="6953E726" w14:textId="77777777" w:rsidR="003D2C5F" w:rsidRDefault="00000000">
            <w:pPr>
              <w:spacing w:before="20" w:after="20"/>
              <w:jc w:val="center"/>
            </w:pPr>
            <w:r>
              <w:rPr>
                <w:rFonts w:ascii="Arial" w:eastAsia="Arial" w:hAnsi="Arial" w:cs="Arial"/>
                <w:sz w:val="16"/>
                <w:szCs w:val="16"/>
              </w:rPr>
              <w:t>4</w:t>
            </w:r>
          </w:p>
        </w:tc>
        <w:tc>
          <w:tcPr>
            <w:tcW w:w="1085" w:type="dxa"/>
          </w:tcPr>
          <w:p w14:paraId="52D78554" w14:textId="77777777" w:rsidR="003D2C5F" w:rsidRDefault="00000000">
            <w:pPr>
              <w:spacing w:before="20" w:after="20"/>
              <w:jc w:val="center"/>
            </w:pPr>
            <w:r>
              <w:rPr>
                <w:rFonts w:ascii="Arial" w:eastAsia="Arial" w:hAnsi="Arial" w:cs="Arial"/>
                <w:sz w:val="16"/>
                <w:szCs w:val="16"/>
              </w:rPr>
              <w:t>4</w:t>
            </w:r>
          </w:p>
        </w:tc>
        <w:tc>
          <w:tcPr>
            <w:tcW w:w="1085" w:type="dxa"/>
          </w:tcPr>
          <w:p w14:paraId="3122D044" w14:textId="77777777" w:rsidR="003D2C5F" w:rsidRDefault="00000000">
            <w:pPr>
              <w:spacing w:before="20" w:after="20"/>
              <w:jc w:val="center"/>
            </w:pPr>
            <w:r>
              <w:rPr>
                <w:rFonts w:ascii="Arial" w:eastAsia="Arial" w:hAnsi="Arial" w:cs="Arial"/>
                <w:sz w:val="16"/>
                <w:szCs w:val="16"/>
              </w:rPr>
              <w:t>2</w:t>
            </w:r>
          </w:p>
        </w:tc>
        <w:tc>
          <w:tcPr>
            <w:tcW w:w="1085" w:type="dxa"/>
          </w:tcPr>
          <w:p w14:paraId="1F9C97FF" w14:textId="77777777" w:rsidR="003D2C5F" w:rsidRDefault="00000000">
            <w:pPr>
              <w:spacing w:before="20" w:after="20"/>
              <w:jc w:val="center"/>
            </w:pPr>
            <w:r>
              <w:rPr>
                <w:rFonts w:ascii="Arial" w:eastAsia="Arial" w:hAnsi="Arial" w:cs="Arial"/>
                <w:sz w:val="16"/>
                <w:szCs w:val="16"/>
              </w:rPr>
              <w:t>0</w:t>
            </w:r>
          </w:p>
        </w:tc>
      </w:tr>
    </w:tbl>
    <w:p w14:paraId="253D72BB" w14:textId="77777777" w:rsidR="003D2C5F" w:rsidRDefault="00000000">
      <w:pPr>
        <w:spacing w:before="120" w:after="120" w:line="300" w:lineRule="auto"/>
        <w:jc w:val="both"/>
      </w:pPr>
      <w:r>
        <w:rPr>
          <w:rFonts w:ascii="Arial" w:eastAsia="Arial" w:hAnsi="Arial" w:cs="Arial"/>
          <w:i/>
          <w:sz w:val="16"/>
          <w:szCs w:val="16"/>
        </w:rPr>
        <w:t xml:space="preserve">Key: SC1 = Success framing; SC2 = </w:t>
      </w:r>
      <w:proofErr w:type="spellStart"/>
      <w:r>
        <w:rPr>
          <w:rFonts w:ascii="Arial" w:eastAsia="Arial" w:hAnsi="Arial" w:cs="Arial"/>
          <w:i/>
          <w:sz w:val="16"/>
          <w:szCs w:val="16"/>
        </w:rPr>
        <w:t>Humour</w:t>
      </w:r>
      <w:proofErr w:type="spellEnd"/>
      <w:r>
        <w:rPr>
          <w:rFonts w:ascii="Arial" w:eastAsia="Arial" w:hAnsi="Arial" w:cs="Arial"/>
          <w:i/>
          <w:sz w:val="16"/>
          <w:szCs w:val="16"/>
        </w:rPr>
        <w:t>/virality framing; SC3 = Challenger framing; SC4 = Public participation / cultural resonance; SC5 = Legal-merits focus; SC6 = Campaign–legal link; SC7 = Risk of Aldi’s approach assessed. SC7 was applied to no source; this absence supports the finding in Section 4.3.5 that no source assessed the risks of Aldi’s approach.</w:t>
      </w:r>
    </w:p>
    <w:p w14:paraId="4167316C" w14:textId="77777777" w:rsidR="003D2C5F" w:rsidRDefault="00000000">
      <w:pPr>
        <w:spacing w:before="240" w:after="120" w:line="300" w:lineRule="auto"/>
        <w:jc w:val="both"/>
      </w:pPr>
      <w:r>
        <w:rPr>
          <w:rFonts w:ascii="Arial" w:eastAsia="Arial" w:hAnsi="Arial" w:cs="Arial"/>
          <w:b/>
          <w:sz w:val="18"/>
          <w:szCs w:val="18"/>
        </w:rPr>
        <w:t>Table F3: Secondary Source Coding Justifications</w:t>
      </w:r>
    </w:p>
    <w:tbl>
      <w:tblPr>
        <w:tblStyle w:val="TableNormal0"/>
        <w:tblW w:w="8895"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60" w:type="dxa"/>
          <w:right w:w="60" w:type="dxa"/>
        </w:tblCellMar>
        <w:tblLook w:val="04A0" w:firstRow="1" w:lastRow="0" w:firstColumn="1" w:lastColumn="0" w:noHBand="0" w:noVBand="1"/>
      </w:tblPr>
      <w:tblGrid>
        <w:gridCol w:w="700"/>
        <w:gridCol w:w="8195"/>
      </w:tblGrid>
      <w:tr w:rsidR="003D2C5F" w14:paraId="35248A92" w14:textId="77777777">
        <w:trPr>
          <w:tblHeader/>
        </w:trPr>
        <w:tc>
          <w:tcPr>
            <w:tcW w:w="700" w:type="dxa"/>
            <w:shd w:val="clear" w:color="auto" w:fill="D9E2F3"/>
          </w:tcPr>
          <w:p w14:paraId="2EDFCCA2" w14:textId="77777777" w:rsidR="003D2C5F" w:rsidRDefault="00000000">
            <w:pPr>
              <w:spacing w:before="20" w:after="20"/>
            </w:pPr>
            <w:r>
              <w:rPr>
                <w:rFonts w:ascii="Arial" w:eastAsia="Arial" w:hAnsi="Arial" w:cs="Arial"/>
                <w:b/>
                <w:sz w:val="16"/>
                <w:szCs w:val="16"/>
              </w:rPr>
              <w:t>ID</w:t>
            </w:r>
          </w:p>
        </w:tc>
        <w:tc>
          <w:tcPr>
            <w:tcW w:w="8195" w:type="dxa"/>
            <w:shd w:val="clear" w:color="auto" w:fill="D9E2F3"/>
          </w:tcPr>
          <w:p w14:paraId="5ABA38DE" w14:textId="77777777" w:rsidR="003D2C5F" w:rsidRDefault="00000000">
            <w:pPr>
              <w:spacing w:before="20" w:after="20"/>
            </w:pPr>
            <w:r>
              <w:rPr>
                <w:rFonts w:ascii="Arial" w:eastAsia="Arial" w:hAnsi="Arial" w:cs="Arial"/>
                <w:b/>
                <w:sz w:val="16"/>
                <w:szCs w:val="16"/>
              </w:rPr>
              <w:t>Why these codes were applied</w:t>
            </w:r>
          </w:p>
        </w:tc>
      </w:tr>
      <w:tr w:rsidR="003D2C5F" w14:paraId="55602A62" w14:textId="77777777">
        <w:tc>
          <w:tcPr>
            <w:tcW w:w="700" w:type="dxa"/>
          </w:tcPr>
          <w:p w14:paraId="55E4C86C" w14:textId="77777777" w:rsidR="003D2C5F" w:rsidRDefault="00000000">
            <w:pPr>
              <w:spacing w:before="20" w:after="20"/>
            </w:pPr>
            <w:r>
              <w:rPr>
                <w:rFonts w:ascii="Arial" w:eastAsia="Arial" w:hAnsi="Arial" w:cs="Arial"/>
                <w:sz w:val="16"/>
                <w:szCs w:val="16"/>
              </w:rPr>
              <w:t>S01</w:t>
            </w:r>
          </w:p>
        </w:tc>
        <w:tc>
          <w:tcPr>
            <w:tcW w:w="8195" w:type="dxa"/>
          </w:tcPr>
          <w:p w14:paraId="44E9B8B7" w14:textId="77777777" w:rsidR="003D2C5F" w:rsidRDefault="00000000">
            <w:pPr>
              <w:spacing w:before="20" w:after="20"/>
            </w:pPr>
            <w:r>
              <w:rPr>
                <w:rFonts w:ascii="Arial" w:eastAsia="Arial" w:hAnsi="Arial" w:cs="Arial"/>
                <w:sz w:val="16"/>
                <w:szCs w:val="16"/>
              </w:rPr>
              <w:t>SC1: reports the campaign as Aldi’s biggest news story to date. SC2: reports number-one trending status. SC3: links it to Aldi’s ‘lovable disrupter’ reputation. SC4: reports more than 30 million views of user-generated video (Table 4.2).</w:t>
            </w:r>
          </w:p>
        </w:tc>
      </w:tr>
      <w:tr w:rsidR="003D2C5F" w14:paraId="015253DA" w14:textId="77777777">
        <w:tc>
          <w:tcPr>
            <w:tcW w:w="700" w:type="dxa"/>
          </w:tcPr>
          <w:p w14:paraId="6546CCA3" w14:textId="77777777" w:rsidR="003D2C5F" w:rsidRDefault="00000000">
            <w:pPr>
              <w:spacing w:before="20" w:after="20"/>
            </w:pPr>
            <w:r>
              <w:rPr>
                <w:rFonts w:ascii="Arial" w:eastAsia="Arial" w:hAnsi="Arial" w:cs="Arial"/>
                <w:sz w:val="16"/>
                <w:szCs w:val="16"/>
              </w:rPr>
              <w:t>S02</w:t>
            </w:r>
          </w:p>
        </w:tc>
        <w:tc>
          <w:tcPr>
            <w:tcW w:w="8195" w:type="dxa"/>
          </w:tcPr>
          <w:p w14:paraId="68257DA7" w14:textId="77777777" w:rsidR="003D2C5F" w:rsidRDefault="00000000">
            <w:pPr>
              <w:spacing w:before="20" w:after="20"/>
            </w:pPr>
            <w:r>
              <w:rPr>
                <w:rFonts w:ascii="Arial" w:eastAsia="Arial" w:hAnsi="Arial" w:cs="Arial"/>
                <w:sz w:val="16"/>
                <w:szCs w:val="16"/>
              </w:rPr>
              <w:t>SC1: describes the campaign as a “masterclass” in reactive social media marketing and reports the jury chair’s praise for it as crisis management; it does not assess the risks of Aldi’s approach (SC7 = 0).</w:t>
            </w:r>
          </w:p>
        </w:tc>
      </w:tr>
      <w:tr w:rsidR="003D2C5F" w14:paraId="1B7F8296" w14:textId="77777777">
        <w:tc>
          <w:tcPr>
            <w:tcW w:w="700" w:type="dxa"/>
          </w:tcPr>
          <w:p w14:paraId="4E67800D" w14:textId="77777777" w:rsidR="003D2C5F" w:rsidRDefault="00000000">
            <w:pPr>
              <w:spacing w:before="20" w:after="20"/>
            </w:pPr>
            <w:r>
              <w:rPr>
                <w:rFonts w:ascii="Arial" w:eastAsia="Arial" w:hAnsi="Arial" w:cs="Arial"/>
                <w:sz w:val="16"/>
                <w:szCs w:val="16"/>
              </w:rPr>
              <w:lastRenderedPageBreak/>
              <w:t>S03</w:t>
            </w:r>
          </w:p>
        </w:tc>
        <w:tc>
          <w:tcPr>
            <w:tcW w:w="8195" w:type="dxa"/>
          </w:tcPr>
          <w:p w14:paraId="73A852DB" w14:textId="77777777" w:rsidR="003D2C5F" w:rsidRDefault="00000000">
            <w:pPr>
              <w:spacing w:before="20" w:after="20"/>
            </w:pPr>
            <w:r>
              <w:rPr>
                <w:rFonts w:ascii="Arial" w:eastAsia="Arial" w:hAnsi="Arial" w:cs="Arial"/>
                <w:sz w:val="16"/>
                <w:szCs w:val="16"/>
              </w:rPr>
              <w:t>SC1: the campaign creators’ awards entry presents the campaign as agile and super-responsive and describes the decision to “turn up the volume” (Section 5.2.2).</w:t>
            </w:r>
          </w:p>
        </w:tc>
      </w:tr>
      <w:tr w:rsidR="003D2C5F" w14:paraId="3131C42C" w14:textId="77777777">
        <w:tc>
          <w:tcPr>
            <w:tcW w:w="700" w:type="dxa"/>
          </w:tcPr>
          <w:p w14:paraId="05C1850B" w14:textId="77777777" w:rsidR="003D2C5F" w:rsidRDefault="00000000">
            <w:pPr>
              <w:spacing w:before="20" w:after="20"/>
            </w:pPr>
            <w:r>
              <w:rPr>
                <w:rFonts w:ascii="Arial" w:eastAsia="Arial" w:hAnsi="Arial" w:cs="Arial"/>
                <w:sz w:val="16"/>
                <w:szCs w:val="16"/>
              </w:rPr>
              <w:t>S04</w:t>
            </w:r>
          </w:p>
        </w:tc>
        <w:tc>
          <w:tcPr>
            <w:tcW w:w="8195" w:type="dxa"/>
          </w:tcPr>
          <w:p w14:paraId="6C19B496" w14:textId="77777777" w:rsidR="003D2C5F" w:rsidRDefault="00000000">
            <w:pPr>
              <w:spacing w:before="20" w:after="20"/>
            </w:pPr>
            <w:r>
              <w:rPr>
                <w:rFonts w:ascii="Arial" w:eastAsia="Arial" w:hAnsi="Arial" w:cs="Arial"/>
                <w:sz w:val="16"/>
                <w:szCs w:val="16"/>
              </w:rPr>
              <w:t>SC5: concentrates on the legal basis of M&amp;S’s claim. SC1 and SC2: separately describes Aldi’s Twitter response as an exceptionally successful PR campaign attracting thousands of likes and retweets. SC6 = 0 because the campaign is not linked to the legal stakes.</w:t>
            </w:r>
          </w:p>
        </w:tc>
      </w:tr>
      <w:tr w:rsidR="003D2C5F" w14:paraId="05972731" w14:textId="77777777">
        <w:tc>
          <w:tcPr>
            <w:tcW w:w="700" w:type="dxa"/>
          </w:tcPr>
          <w:p w14:paraId="5D3F9231" w14:textId="77777777" w:rsidR="003D2C5F" w:rsidRDefault="00000000">
            <w:pPr>
              <w:spacing w:before="20" w:after="20"/>
            </w:pPr>
            <w:r>
              <w:rPr>
                <w:rFonts w:ascii="Arial" w:eastAsia="Arial" w:hAnsi="Arial" w:cs="Arial"/>
                <w:sz w:val="16"/>
                <w:szCs w:val="16"/>
              </w:rPr>
              <w:t>S05</w:t>
            </w:r>
          </w:p>
        </w:tc>
        <w:tc>
          <w:tcPr>
            <w:tcW w:w="8195" w:type="dxa"/>
          </w:tcPr>
          <w:p w14:paraId="6AD84335" w14:textId="77777777" w:rsidR="003D2C5F" w:rsidRDefault="00000000">
            <w:pPr>
              <w:spacing w:before="20" w:after="20"/>
            </w:pPr>
            <w:r>
              <w:rPr>
                <w:rFonts w:ascii="Arial" w:eastAsia="Arial" w:hAnsi="Arial" w:cs="Arial"/>
                <w:sz w:val="16"/>
                <w:szCs w:val="16"/>
              </w:rPr>
              <w:t>SC5: analyses M&amp;S’s trade mark and passing-off arguments without discussing Aldi’s social media campaign.</w:t>
            </w:r>
          </w:p>
        </w:tc>
      </w:tr>
      <w:tr w:rsidR="003D2C5F" w14:paraId="0D175DC0" w14:textId="77777777">
        <w:tc>
          <w:tcPr>
            <w:tcW w:w="700" w:type="dxa"/>
          </w:tcPr>
          <w:p w14:paraId="12C73BAD" w14:textId="77777777" w:rsidR="003D2C5F" w:rsidRDefault="00000000">
            <w:pPr>
              <w:spacing w:before="20" w:after="20"/>
            </w:pPr>
            <w:r>
              <w:rPr>
                <w:rFonts w:ascii="Arial" w:eastAsia="Arial" w:hAnsi="Arial" w:cs="Arial"/>
                <w:sz w:val="16"/>
                <w:szCs w:val="16"/>
              </w:rPr>
              <w:t>S06</w:t>
            </w:r>
          </w:p>
        </w:tc>
        <w:tc>
          <w:tcPr>
            <w:tcW w:w="8195" w:type="dxa"/>
          </w:tcPr>
          <w:p w14:paraId="00490A28" w14:textId="77777777" w:rsidR="003D2C5F" w:rsidRDefault="00000000">
            <w:pPr>
              <w:spacing w:before="20" w:after="20"/>
            </w:pPr>
            <w:r>
              <w:rPr>
                <w:rFonts w:ascii="Arial" w:eastAsia="Arial" w:hAnsi="Arial" w:cs="Arial"/>
                <w:sz w:val="16"/>
                <w:szCs w:val="16"/>
              </w:rPr>
              <w:t>SC2: reports that Aldi’s social media team responded to the legal action with “a stream of mocking posts and memes” and reports the later move towards charity.</w:t>
            </w:r>
          </w:p>
        </w:tc>
      </w:tr>
      <w:tr w:rsidR="003D2C5F" w14:paraId="55D1B528" w14:textId="77777777">
        <w:tc>
          <w:tcPr>
            <w:tcW w:w="700" w:type="dxa"/>
          </w:tcPr>
          <w:p w14:paraId="54745196" w14:textId="77777777" w:rsidR="003D2C5F" w:rsidRDefault="00000000">
            <w:pPr>
              <w:spacing w:before="20" w:after="20"/>
            </w:pPr>
            <w:r>
              <w:rPr>
                <w:rFonts w:ascii="Arial" w:eastAsia="Arial" w:hAnsi="Arial" w:cs="Arial"/>
                <w:sz w:val="16"/>
                <w:szCs w:val="16"/>
              </w:rPr>
              <w:t>S07</w:t>
            </w:r>
          </w:p>
        </w:tc>
        <w:tc>
          <w:tcPr>
            <w:tcW w:w="8195" w:type="dxa"/>
          </w:tcPr>
          <w:p w14:paraId="0D6AD09C" w14:textId="77777777" w:rsidR="003D2C5F" w:rsidRDefault="00000000">
            <w:pPr>
              <w:spacing w:before="20" w:after="20"/>
            </w:pPr>
            <w:r>
              <w:rPr>
                <w:rFonts w:ascii="Arial" w:eastAsia="Arial" w:hAnsi="Arial" w:cs="Arial"/>
                <w:sz w:val="16"/>
                <w:szCs w:val="16"/>
              </w:rPr>
              <w:t>SC2: describes a stream of posts about the legal challenge, including a sketch of Cuthbert in court.</w:t>
            </w:r>
          </w:p>
        </w:tc>
      </w:tr>
      <w:tr w:rsidR="003D2C5F" w14:paraId="4B803E5F" w14:textId="77777777">
        <w:tc>
          <w:tcPr>
            <w:tcW w:w="700" w:type="dxa"/>
          </w:tcPr>
          <w:p w14:paraId="691F9A1E" w14:textId="77777777" w:rsidR="003D2C5F" w:rsidRDefault="00000000">
            <w:pPr>
              <w:spacing w:before="20" w:after="20"/>
            </w:pPr>
            <w:r>
              <w:rPr>
                <w:rFonts w:ascii="Arial" w:eastAsia="Arial" w:hAnsi="Arial" w:cs="Arial"/>
                <w:sz w:val="16"/>
                <w:szCs w:val="16"/>
              </w:rPr>
              <w:t>S08</w:t>
            </w:r>
          </w:p>
        </w:tc>
        <w:tc>
          <w:tcPr>
            <w:tcW w:w="8195" w:type="dxa"/>
          </w:tcPr>
          <w:p w14:paraId="7C6861E3" w14:textId="77777777" w:rsidR="003D2C5F" w:rsidRDefault="00000000">
            <w:pPr>
              <w:spacing w:before="20" w:after="20"/>
            </w:pPr>
            <w:r>
              <w:rPr>
                <w:rFonts w:ascii="Arial" w:eastAsia="Arial" w:hAnsi="Arial" w:cs="Arial"/>
                <w:sz w:val="16"/>
                <w:szCs w:val="16"/>
              </w:rPr>
              <w:t>SC2 and SC4: presents the dispute as a viral story in which users joined in with jokes and photos of their own caterpillar cakes.</w:t>
            </w:r>
          </w:p>
        </w:tc>
      </w:tr>
      <w:tr w:rsidR="003D2C5F" w14:paraId="0415BCEA" w14:textId="77777777">
        <w:tc>
          <w:tcPr>
            <w:tcW w:w="700" w:type="dxa"/>
          </w:tcPr>
          <w:p w14:paraId="11E59490" w14:textId="77777777" w:rsidR="003D2C5F" w:rsidRDefault="00000000">
            <w:pPr>
              <w:spacing w:before="20" w:after="20"/>
            </w:pPr>
            <w:r>
              <w:rPr>
                <w:rFonts w:ascii="Arial" w:eastAsia="Arial" w:hAnsi="Arial" w:cs="Arial"/>
                <w:sz w:val="16"/>
                <w:szCs w:val="16"/>
              </w:rPr>
              <w:t>S09</w:t>
            </w:r>
          </w:p>
        </w:tc>
        <w:tc>
          <w:tcPr>
            <w:tcW w:w="8195" w:type="dxa"/>
          </w:tcPr>
          <w:p w14:paraId="2F8107D2" w14:textId="77777777" w:rsidR="003D2C5F" w:rsidRDefault="00000000">
            <w:pPr>
              <w:spacing w:before="20" w:after="20"/>
            </w:pPr>
            <w:r>
              <w:rPr>
                <w:rFonts w:ascii="Arial" w:eastAsia="Arial" w:hAnsi="Arial" w:cs="Arial"/>
                <w:sz w:val="16"/>
                <w:szCs w:val="16"/>
              </w:rPr>
              <w:t>SC5: discusses the legal merits. SC4 and SC6: links the volume of social media comment and the public’s apparent support for Aldi to the suggestion that M&amp;S may have misjudged the moment.</w:t>
            </w:r>
          </w:p>
        </w:tc>
      </w:tr>
      <w:tr w:rsidR="003D2C5F" w14:paraId="43609E0E" w14:textId="77777777">
        <w:tc>
          <w:tcPr>
            <w:tcW w:w="700" w:type="dxa"/>
          </w:tcPr>
          <w:p w14:paraId="50FD0445" w14:textId="77777777" w:rsidR="003D2C5F" w:rsidRDefault="00000000">
            <w:pPr>
              <w:spacing w:before="20" w:after="20"/>
            </w:pPr>
            <w:r>
              <w:rPr>
                <w:rFonts w:ascii="Arial" w:eastAsia="Arial" w:hAnsi="Arial" w:cs="Arial"/>
                <w:sz w:val="16"/>
                <w:szCs w:val="16"/>
              </w:rPr>
              <w:t>S10</w:t>
            </w:r>
          </w:p>
        </w:tc>
        <w:tc>
          <w:tcPr>
            <w:tcW w:w="8195" w:type="dxa"/>
          </w:tcPr>
          <w:p w14:paraId="1599ABCD" w14:textId="77777777" w:rsidR="003D2C5F" w:rsidRDefault="00000000">
            <w:pPr>
              <w:spacing w:before="20" w:after="20"/>
            </w:pPr>
            <w:r>
              <w:rPr>
                <w:rFonts w:ascii="Arial" w:eastAsia="Arial" w:hAnsi="Arial" w:cs="Arial"/>
                <w:sz w:val="16"/>
                <w:szCs w:val="16"/>
              </w:rPr>
              <w:t>SC5: sets out key legal considerations. SC6: asks whether Aldi’s campaign, by drawing in other retailers, highlighted how many similar cakes exist and so weakened M&amp;S’s case.</w:t>
            </w:r>
          </w:p>
        </w:tc>
      </w:tr>
      <w:tr w:rsidR="003D2C5F" w14:paraId="46EAAE0D" w14:textId="77777777">
        <w:tc>
          <w:tcPr>
            <w:tcW w:w="700" w:type="dxa"/>
          </w:tcPr>
          <w:p w14:paraId="6C9C5CF8" w14:textId="77777777" w:rsidR="003D2C5F" w:rsidRDefault="00000000">
            <w:pPr>
              <w:spacing w:before="20" w:after="20"/>
            </w:pPr>
            <w:r>
              <w:rPr>
                <w:rFonts w:ascii="Arial" w:eastAsia="Arial" w:hAnsi="Arial" w:cs="Arial"/>
                <w:sz w:val="16"/>
                <w:szCs w:val="16"/>
              </w:rPr>
              <w:t>S11</w:t>
            </w:r>
          </w:p>
        </w:tc>
        <w:tc>
          <w:tcPr>
            <w:tcW w:w="8195" w:type="dxa"/>
          </w:tcPr>
          <w:p w14:paraId="45A786C9" w14:textId="77777777" w:rsidR="003D2C5F" w:rsidRDefault="00000000">
            <w:pPr>
              <w:spacing w:before="20" w:after="20"/>
            </w:pPr>
            <w:r>
              <w:rPr>
                <w:rFonts w:ascii="Arial" w:eastAsia="Arial" w:hAnsi="Arial" w:cs="Arial"/>
                <w:sz w:val="16"/>
                <w:szCs w:val="16"/>
              </w:rPr>
              <w:t xml:space="preserve">SC2 and SC4: reports the dispute light-heartedly, repeating Aldi’s jokey tweets and describing a lawyer baking a cake to “defend” Cuthbert; it does not </w:t>
            </w:r>
            <w:proofErr w:type="spellStart"/>
            <w:r>
              <w:rPr>
                <w:rFonts w:ascii="Arial" w:eastAsia="Arial" w:hAnsi="Arial" w:cs="Arial"/>
                <w:sz w:val="16"/>
                <w:szCs w:val="16"/>
              </w:rPr>
              <w:t>analyse</w:t>
            </w:r>
            <w:proofErr w:type="spellEnd"/>
            <w:r>
              <w:rPr>
                <w:rFonts w:ascii="Arial" w:eastAsia="Arial" w:hAnsi="Arial" w:cs="Arial"/>
                <w:sz w:val="16"/>
                <w:szCs w:val="16"/>
              </w:rPr>
              <w:t xml:space="preserve"> the legal issues (SC5 = 0).</w:t>
            </w:r>
          </w:p>
        </w:tc>
      </w:tr>
    </w:tbl>
    <w:p w14:paraId="482EEE76" w14:textId="77777777" w:rsidR="00FB78AA" w:rsidRDefault="00FB78AA"/>
    <w:sectPr w:rsidR="00FB78AA">
      <w:footerReference w:type="default" r:id="rId7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941B9" w14:textId="77777777" w:rsidR="00FB78AA" w:rsidRDefault="00FB78AA">
      <w:pPr>
        <w:spacing w:after="0"/>
      </w:pPr>
      <w:r>
        <w:separator/>
      </w:r>
    </w:p>
  </w:endnote>
  <w:endnote w:type="continuationSeparator" w:id="0">
    <w:p w14:paraId="038A6C69" w14:textId="77777777" w:rsidR="00FB78AA" w:rsidRDefault="00FB78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E226F441-B530-4A5E-945E-07FE2C61F1BF}"/>
    <w:embedBold r:id="rId2" w:fontKey="{8770F3BB-CD75-4DB6-ACC1-C97B408C7EA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02E13994-7F47-458A-97C8-CE0E3F20B858}"/>
    <w:embedBold r:id="rId4" w:fontKey="{E6677C17-18A2-4219-A914-699C207AC464}"/>
    <w:embedItalic r:id="rId5" w:fontKey="{5F441415-46AC-4636-BD4C-BC168F16FA75}"/>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8F" w14:textId="77777777" w:rsidR="003D2C5F" w:rsidRPr="008717E9" w:rsidRDefault="003D2C5F" w:rsidP="00871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0715D" w14:textId="77777777" w:rsidR="003D2C5F" w:rsidRPr="008717E9" w:rsidRDefault="003D2C5F" w:rsidP="00871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98DC4" w14:textId="77777777" w:rsidR="00FB78AA" w:rsidRDefault="00FB78AA">
      <w:pPr>
        <w:spacing w:after="0"/>
      </w:pPr>
      <w:r>
        <w:separator/>
      </w:r>
    </w:p>
  </w:footnote>
  <w:footnote w:type="continuationSeparator" w:id="0">
    <w:p w14:paraId="0023C091" w14:textId="77777777" w:rsidR="00FB78AA" w:rsidRDefault="00FB78A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C5F"/>
    <w:rsid w:val="001C5730"/>
    <w:rsid w:val="002A1606"/>
    <w:rsid w:val="003401E1"/>
    <w:rsid w:val="003D2C5F"/>
    <w:rsid w:val="005C2A2A"/>
    <w:rsid w:val="006C7BAC"/>
    <w:rsid w:val="008717E9"/>
    <w:rsid w:val="00874F25"/>
    <w:rsid w:val="00AB5845"/>
    <w:rsid w:val="00CA2914"/>
    <w:rsid w:val="00D47D26"/>
    <w:rsid w:val="00DD359E"/>
    <w:rsid w:val="00FB7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8E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line="360" w:lineRule="auto"/>
      <w:jc w:val="both"/>
      <w:outlineLvl w:val="0"/>
    </w:pPr>
    <w:rPr>
      <w:rFonts w:ascii="Arial" w:eastAsia="Arial" w:hAnsi="Arial" w:cs="Arial"/>
      <w:b/>
      <w:bCs/>
      <w:sz w:val="32"/>
      <w:szCs w:val="32"/>
    </w:rPr>
  </w:style>
  <w:style w:type="paragraph" w:styleId="Heading2">
    <w:name w:val="heading 2"/>
    <w:basedOn w:val="Normal"/>
    <w:next w:val="Normal"/>
    <w:uiPriority w:val="9"/>
    <w:unhideWhenUsed/>
    <w:qFormat/>
    <w:pPr>
      <w:keepNext/>
      <w:keepLines/>
      <w:spacing w:before="120" w:after="120"/>
      <w:jc w:val="both"/>
      <w:outlineLvl w:val="1"/>
    </w:pPr>
    <w:rPr>
      <w:rFonts w:ascii="Arial" w:eastAsia="Arial" w:hAnsi="Arial" w:cs="Arial"/>
      <w:b/>
      <w:bCs/>
      <w:color w:val="000000"/>
      <w:sz w:val="28"/>
      <w:szCs w:val="28"/>
    </w:rPr>
  </w:style>
  <w:style w:type="paragraph" w:styleId="Heading3">
    <w:name w:val="heading 3"/>
    <w:basedOn w:val="Normal"/>
    <w:next w:val="Normal"/>
    <w:uiPriority w:val="9"/>
    <w:unhideWhenUsed/>
    <w:qFormat/>
    <w:pPr>
      <w:keepNext/>
      <w:keepLines/>
      <w:spacing w:before="200" w:after="0"/>
      <w:outlineLvl w:val="2"/>
    </w:pPr>
    <w:rPr>
      <w:rFonts w:ascii="Arial" w:eastAsia="Arial" w:hAnsi="Arial" w:cs="Arial"/>
      <w:b/>
      <w:bCs/>
      <w:color w:val="000000"/>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4F81BD"/>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240"/>
      <w:jc w:val="center"/>
    </w:pPr>
    <w:rPr>
      <w:rFonts w:ascii="Calibri" w:eastAsia="Calibri" w:hAnsi="Calibri" w:cs="Calibri"/>
      <w:b/>
      <w:bCs/>
      <w:color w:val="335B8A"/>
      <w:sz w:val="36"/>
      <w:szCs w:val="36"/>
    </w:rPr>
  </w:style>
  <w:style w:type="paragraph" w:styleId="Subtitle">
    <w:name w:val="Subtitle"/>
    <w:basedOn w:val="Normal"/>
    <w:next w:val="Normal"/>
    <w:uiPriority w:val="11"/>
    <w:qFormat/>
    <w:pPr>
      <w:keepNext/>
      <w:keepLines/>
      <w:spacing w:before="240" w:after="240"/>
      <w:jc w:val="center"/>
    </w:pPr>
    <w:rPr>
      <w:rFonts w:ascii="Calibri" w:eastAsia="Calibri" w:hAnsi="Calibri" w:cs="Calibri"/>
      <w:b/>
      <w:bCs/>
      <w:color w:val="335B8A"/>
      <w:sz w:val="30"/>
      <w:szCs w:val="30"/>
    </w:rPr>
  </w:style>
  <w:style w:type="table" w:customStyle="1" w:styleId="a">
    <w:basedOn w:val="TableNormal0"/>
    <w:pPr>
      <w:spacing w:after="0"/>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0"/>
    <w:pPr>
      <w:spacing w:after="0"/>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0"/>
    <w:pPr>
      <w:spacing w:after="0"/>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2">
    <w:basedOn w:val="TableNormal0"/>
    <w:pPr>
      <w:spacing w:after="0"/>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0"/>
    <w:pPr>
      <w:spacing w:after="0"/>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OC2">
    <w:name w:val="toc 2"/>
    <w:basedOn w:val="Normal"/>
    <w:next w:val="Normal"/>
    <w:autoRedefine/>
    <w:uiPriority w:val="39"/>
    <w:unhideWhenUsed/>
    <w:rsid w:val="00DD359E"/>
    <w:pPr>
      <w:spacing w:after="100"/>
      <w:ind w:left="240"/>
    </w:pPr>
  </w:style>
  <w:style w:type="paragraph" w:styleId="TOC1">
    <w:name w:val="toc 1"/>
    <w:basedOn w:val="Normal"/>
    <w:next w:val="Normal"/>
    <w:autoRedefine/>
    <w:uiPriority w:val="39"/>
    <w:unhideWhenUsed/>
    <w:rsid w:val="00DD359E"/>
    <w:pPr>
      <w:spacing w:after="100"/>
    </w:pPr>
  </w:style>
  <w:style w:type="paragraph" w:styleId="TOC3">
    <w:name w:val="toc 3"/>
    <w:basedOn w:val="Normal"/>
    <w:next w:val="Normal"/>
    <w:autoRedefine/>
    <w:uiPriority w:val="39"/>
    <w:unhideWhenUsed/>
    <w:rsid w:val="00DD359E"/>
    <w:pPr>
      <w:spacing w:after="100"/>
      <w:ind w:left="480"/>
    </w:pPr>
  </w:style>
  <w:style w:type="paragraph" w:styleId="TOC4">
    <w:name w:val="toc 4"/>
    <w:basedOn w:val="Normal"/>
    <w:next w:val="Normal"/>
    <w:autoRedefine/>
    <w:uiPriority w:val="39"/>
    <w:unhideWhenUsed/>
    <w:rsid w:val="00DD359E"/>
    <w:pPr>
      <w:spacing w:after="100" w:line="278" w:lineRule="auto"/>
      <w:ind w:left="720"/>
    </w:pPr>
    <w:rPr>
      <w:rFonts w:asciiTheme="minorHAnsi" w:eastAsiaTheme="minorEastAsia" w:hAnsiTheme="minorHAnsi" w:cstheme="minorBidi"/>
      <w:kern w:val="2"/>
      <w:lang w:val="en-GB"/>
      <w14:ligatures w14:val="standardContextual"/>
    </w:rPr>
  </w:style>
  <w:style w:type="paragraph" w:styleId="TOC5">
    <w:name w:val="toc 5"/>
    <w:basedOn w:val="Normal"/>
    <w:next w:val="Normal"/>
    <w:autoRedefine/>
    <w:uiPriority w:val="39"/>
    <w:unhideWhenUsed/>
    <w:rsid w:val="00DD359E"/>
    <w:pPr>
      <w:spacing w:after="100" w:line="278" w:lineRule="auto"/>
      <w:ind w:left="960"/>
    </w:pPr>
    <w:rPr>
      <w:rFonts w:asciiTheme="minorHAnsi" w:eastAsiaTheme="minorEastAsia" w:hAnsiTheme="minorHAnsi" w:cstheme="minorBidi"/>
      <w:kern w:val="2"/>
      <w:lang w:val="en-GB"/>
      <w14:ligatures w14:val="standardContextual"/>
    </w:rPr>
  </w:style>
  <w:style w:type="paragraph" w:styleId="TOC6">
    <w:name w:val="toc 6"/>
    <w:basedOn w:val="Normal"/>
    <w:next w:val="Normal"/>
    <w:autoRedefine/>
    <w:uiPriority w:val="39"/>
    <w:unhideWhenUsed/>
    <w:rsid w:val="00DD359E"/>
    <w:pPr>
      <w:spacing w:after="100" w:line="278" w:lineRule="auto"/>
      <w:ind w:left="1200"/>
    </w:pPr>
    <w:rPr>
      <w:rFonts w:asciiTheme="minorHAnsi" w:eastAsiaTheme="minorEastAsia" w:hAnsiTheme="minorHAnsi" w:cstheme="minorBidi"/>
      <w:kern w:val="2"/>
      <w:lang w:val="en-GB"/>
      <w14:ligatures w14:val="standardContextual"/>
    </w:rPr>
  </w:style>
  <w:style w:type="paragraph" w:styleId="TOC7">
    <w:name w:val="toc 7"/>
    <w:basedOn w:val="Normal"/>
    <w:next w:val="Normal"/>
    <w:autoRedefine/>
    <w:uiPriority w:val="39"/>
    <w:unhideWhenUsed/>
    <w:rsid w:val="00DD359E"/>
    <w:pPr>
      <w:spacing w:after="100" w:line="278" w:lineRule="auto"/>
      <w:ind w:left="1440"/>
    </w:pPr>
    <w:rPr>
      <w:rFonts w:asciiTheme="minorHAnsi" w:eastAsiaTheme="minorEastAsia" w:hAnsiTheme="minorHAnsi" w:cstheme="minorBidi"/>
      <w:kern w:val="2"/>
      <w:lang w:val="en-GB"/>
      <w14:ligatures w14:val="standardContextual"/>
    </w:rPr>
  </w:style>
  <w:style w:type="paragraph" w:styleId="TOC8">
    <w:name w:val="toc 8"/>
    <w:basedOn w:val="Normal"/>
    <w:next w:val="Normal"/>
    <w:autoRedefine/>
    <w:uiPriority w:val="39"/>
    <w:unhideWhenUsed/>
    <w:rsid w:val="00DD359E"/>
    <w:pPr>
      <w:spacing w:after="100" w:line="278" w:lineRule="auto"/>
      <w:ind w:left="1680"/>
    </w:pPr>
    <w:rPr>
      <w:rFonts w:asciiTheme="minorHAnsi" w:eastAsiaTheme="minorEastAsia" w:hAnsiTheme="minorHAnsi" w:cstheme="minorBidi"/>
      <w:kern w:val="2"/>
      <w:lang w:val="en-GB"/>
      <w14:ligatures w14:val="standardContextual"/>
    </w:rPr>
  </w:style>
  <w:style w:type="paragraph" w:styleId="TOC9">
    <w:name w:val="toc 9"/>
    <w:basedOn w:val="Normal"/>
    <w:next w:val="Normal"/>
    <w:autoRedefine/>
    <w:uiPriority w:val="39"/>
    <w:unhideWhenUsed/>
    <w:rsid w:val="00DD359E"/>
    <w:pPr>
      <w:spacing w:after="100" w:line="278" w:lineRule="auto"/>
      <w:ind w:left="1920"/>
    </w:pPr>
    <w:rPr>
      <w:rFonts w:asciiTheme="minorHAnsi" w:eastAsiaTheme="minorEastAsia" w:hAnsiTheme="minorHAnsi" w:cstheme="minorBidi"/>
      <w:kern w:val="2"/>
      <w:lang w:val="en-GB"/>
      <w14:ligatures w14:val="standardContextual"/>
    </w:rPr>
  </w:style>
  <w:style w:type="character" w:styleId="Hyperlink">
    <w:name w:val="Hyperlink"/>
    <w:basedOn w:val="DefaultParagraphFont"/>
    <w:uiPriority w:val="99"/>
    <w:unhideWhenUsed/>
    <w:rsid w:val="00DD359E"/>
    <w:rPr>
      <w:color w:val="0000FF" w:themeColor="hyperlink"/>
      <w:u w:val="single"/>
    </w:rPr>
  </w:style>
  <w:style w:type="character" w:styleId="UnresolvedMention">
    <w:name w:val="Unresolved Mention"/>
    <w:basedOn w:val="DefaultParagraphFont"/>
    <w:uiPriority w:val="99"/>
    <w:semiHidden/>
    <w:unhideWhenUsed/>
    <w:rsid w:val="00DD359E"/>
    <w:rPr>
      <w:color w:val="605E5C"/>
      <w:shd w:val="clear" w:color="auto" w:fill="E1DFDD"/>
    </w:rPr>
  </w:style>
  <w:style w:type="paragraph" w:styleId="Header">
    <w:name w:val="header"/>
    <w:basedOn w:val="Normal"/>
    <w:link w:val="HeaderChar"/>
    <w:uiPriority w:val="99"/>
    <w:unhideWhenUsed/>
    <w:rsid w:val="008717E9"/>
    <w:pPr>
      <w:tabs>
        <w:tab w:val="center" w:pos="4513"/>
        <w:tab w:val="right" w:pos="9026"/>
      </w:tabs>
      <w:spacing w:after="0"/>
    </w:pPr>
  </w:style>
  <w:style w:type="character" w:customStyle="1" w:styleId="HeaderChar">
    <w:name w:val="Header Char"/>
    <w:basedOn w:val="DefaultParagraphFont"/>
    <w:link w:val="Header"/>
    <w:uiPriority w:val="99"/>
    <w:rsid w:val="008717E9"/>
  </w:style>
  <w:style w:type="paragraph" w:styleId="Footer">
    <w:name w:val="footer"/>
    <w:basedOn w:val="Normal"/>
    <w:link w:val="FooterChar"/>
    <w:uiPriority w:val="99"/>
    <w:unhideWhenUsed/>
    <w:rsid w:val="008717E9"/>
    <w:pPr>
      <w:tabs>
        <w:tab w:val="center" w:pos="4513"/>
        <w:tab w:val="right" w:pos="9026"/>
      </w:tabs>
      <w:spacing w:after="0"/>
    </w:pPr>
  </w:style>
  <w:style w:type="character" w:customStyle="1" w:styleId="FooterChar">
    <w:name w:val="Footer Char"/>
    <w:basedOn w:val="DefaultParagraphFont"/>
    <w:link w:val="Footer"/>
    <w:uiPriority w:val="99"/>
    <w:rsid w:val="00871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0276146710367786" TargetMode="External"/><Relationship Id="rId18" Type="http://schemas.openxmlformats.org/officeDocument/2006/relationships/hyperlink" Target="https://doi.org/10.1191/1478088706qp063oa" TargetMode="External"/><Relationship Id="rId26" Type="http://schemas.openxmlformats.org/officeDocument/2006/relationships/hyperlink" Target="https://doi.org/10.1108/02651331111121954" TargetMode="External"/><Relationship Id="rId39" Type="http://schemas.openxmlformats.org/officeDocument/2006/relationships/hyperlink" Target="https://www.itv.com/news/2021-04-20/cuthbert-the-caterpillar-stages-comeback-to-raise-money-for-charity-amid-copyright-row-with-m-and-s" TargetMode="External"/><Relationship Id="rId21" Type="http://schemas.openxmlformats.org/officeDocument/2006/relationships/hyperlink" Target="https://doi.org/10.2501/JAR-51-1-313-320" TargetMode="External"/><Relationship Id="rId34" Type="http://schemas.openxmlformats.org/officeDocument/2006/relationships/hyperlink" Target="https://doi.org/10.1287/isre.1120.0469" TargetMode="External"/><Relationship Id="rId42" Type="http://schemas.openxmlformats.org/officeDocument/2006/relationships/hyperlink" Target="https://doi.org/10.1016/j.bushor.2011.01.005" TargetMode="External"/><Relationship Id="rId47" Type="http://schemas.openxmlformats.org/officeDocument/2006/relationships/hyperlink" Target="https://doi.org/10.1080/1553118X.2013.822373" TargetMode="External"/><Relationship Id="rId50" Type="http://schemas.openxmlformats.org/officeDocument/2006/relationships/hyperlink" Target="https://www.rte.ie/news/newslens/2021/0416/1210355-cake-dispute/" TargetMode="External"/><Relationship Id="rId55" Type="http://schemas.openxmlformats.org/officeDocument/2006/relationships/hyperlink" Target="https://doi.org/10.1016/S0969-5931(02)00094-X" TargetMode="External"/><Relationship Id="rId63" Type="http://schemas.openxmlformats.org/officeDocument/2006/relationships/image" Target="media/image5.jpg"/><Relationship Id="rId68" Type="http://schemas.openxmlformats.org/officeDocument/2006/relationships/image" Target="media/image10.jpg"/><Relationship Id="rId76" Type="http://schemas.openxmlformats.org/officeDocument/2006/relationships/image" Target="media/image18.jpg"/><Relationship Id="rId7" Type="http://schemas.openxmlformats.org/officeDocument/2006/relationships/image" Target="media/image2.png"/><Relationship Id="rId71" Type="http://schemas.openxmlformats.org/officeDocument/2006/relationships/image" Target="media/image13.jpg"/><Relationship Id="rId2" Type="http://schemas.openxmlformats.org/officeDocument/2006/relationships/settings" Target="settings.xml"/><Relationship Id="rId16" Type="http://schemas.openxmlformats.org/officeDocument/2006/relationships/hyperlink" Target="https://doi.org/10.1016/j.bushor.2012.01.007" TargetMode="External"/><Relationship Id="rId29" Type="http://schemas.openxmlformats.org/officeDocument/2006/relationships/hyperlink" Target="https://www2.eurobest.com/winners/2021/social_and_influencer/entry.cfm?entryid=3529" TargetMode="External"/><Relationship Id="rId11" Type="http://schemas.openxmlformats.org/officeDocument/2006/relationships/hyperlink" Target="https://doi.org/10.1108/ITP-04-2019-0177" TargetMode="External"/><Relationship Id="rId24" Type="http://schemas.openxmlformats.org/officeDocument/2006/relationships/hyperlink" Target="https://doi.org/10.1016/j.pubrev.2012.04.004" TargetMode="External"/><Relationship Id="rId32" Type="http://schemas.openxmlformats.org/officeDocument/2006/relationships/hyperlink" Target="https://www.geldards.com/insights/colin-v-cuthbert-not-just-any-caterpillar-cake/" TargetMode="External"/><Relationship Id="rId37" Type="http://schemas.openxmlformats.org/officeDocument/2006/relationships/hyperlink" Target="https://archive.org/details/howbrandsbecomei0000holt" TargetMode="External"/><Relationship Id="rId40" Type="http://schemas.openxmlformats.org/officeDocument/2006/relationships/hyperlink" Target="https://doi.org/10.1016/j.bushor.2009.09.003" TargetMode="External"/><Relationship Id="rId45" Type="http://schemas.openxmlformats.org/officeDocument/2006/relationships/hyperlink" Target="https://in.sagepub.com/en-in/sas/book/naturalistic-inquiry" TargetMode="External"/><Relationship Id="rId53" Type="http://schemas.openxmlformats.org/officeDocument/2006/relationships/hyperlink" Target="https://www.swinburnemaddison.co.uk/insights/article/key-legal-considerations-in-the-battle-of-colin-v-cuthbert/" TargetMode="External"/><Relationship Id="rId58" Type="http://schemas.openxmlformats.org/officeDocument/2006/relationships/hyperlink" Target="https://www.wilsongunn.com/resource/news/trade-marks/marks-and-spencer-v-aldi-colin-v-cuthbert-2" TargetMode="External"/><Relationship Id="rId66" Type="http://schemas.openxmlformats.org/officeDocument/2006/relationships/image" Target="media/image8.jpg"/><Relationship Id="rId74" Type="http://schemas.openxmlformats.org/officeDocument/2006/relationships/image" Target="media/image16.jpg"/><Relationship Id="rId79"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image" Target="media/image3.jpg"/><Relationship Id="rId10" Type="http://schemas.openxmlformats.org/officeDocument/2006/relationships/hyperlink" Target="https://doi.org/10.1177/002224379703400304" TargetMode="External"/><Relationship Id="rId19" Type="http://schemas.openxmlformats.org/officeDocument/2006/relationships/hyperlink" Target="https://doi.org/10.1509/jimk.16.4.86" TargetMode="External"/><Relationship Id="rId31" Type="http://schemas.openxmlformats.org/officeDocument/2006/relationships/hyperlink" Target="https://aoir.org/reports/ethics3.pdf" TargetMode="External"/><Relationship Id="rId44" Type="http://schemas.openxmlformats.org/officeDocument/2006/relationships/hyperlink" Target="https://hbr.org/1983/05/the-globalization-of-markets" TargetMode="External"/><Relationship Id="rId52" Type="http://schemas.openxmlformats.org/officeDocument/2006/relationships/hyperlink" Target="https://doi.org/10.1080/01633392.1991.10504957" TargetMode="External"/><Relationship Id="rId60" Type="http://schemas.openxmlformats.org/officeDocument/2006/relationships/hyperlink" Target="https://doi.org/10.1177/10949968221123771" TargetMode="External"/><Relationship Id="rId65" Type="http://schemas.openxmlformats.org/officeDocument/2006/relationships/image" Target="media/image7.jpg"/><Relationship Id="rId73" Type="http://schemas.openxmlformats.org/officeDocument/2006/relationships/image" Target="media/image15.jpg"/><Relationship Id="rId78"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archive.org/details/buildingstrongbr00aake" TargetMode="External"/><Relationship Id="rId14" Type="http://schemas.openxmlformats.org/officeDocument/2006/relationships/hyperlink" Target="https://doi.org/10.1177/10949968241266828" TargetMode="External"/><Relationship Id="rId22" Type="http://schemas.openxmlformats.org/officeDocument/2006/relationships/hyperlink" Target="https://doi.org/10.1057/palgrave.crr.1550049" TargetMode="External"/><Relationship Id="rId27" Type="http://schemas.openxmlformats.org/officeDocument/2006/relationships/hyperlink" Target="https://doi.org/10.1007/s11002-010-9116-z" TargetMode="External"/><Relationship Id="rId30" Type="http://schemas.openxmlformats.org/officeDocument/2006/relationships/hyperlink" Target="https://doi.org/10.1086/209515" TargetMode="External"/><Relationship Id="rId35" Type="http://schemas.openxmlformats.org/officeDocument/2006/relationships/hyperlink" Target="https://www.harpermacleod.co.uk/insights/colin-v-cuthbert-the-great-british-cakeoff/" TargetMode="External"/><Relationship Id="rId43" Type="http://schemas.openxmlformats.org/officeDocument/2006/relationships/hyperlink" Target="https://www.lbc.co.uk/article/063c59b70fc3458aaaf7da5bcf2e13ab-DWyts5_2/" TargetMode="External"/><Relationship Id="rId48" Type="http://schemas.openxmlformats.org/officeDocument/2006/relationships/hyperlink" Target="https://archive.org/details/qualitativedataa00mile" TargetMode="External"/><Relationship Id="rId56" Type="http://schemas.openxmlformats.org/officeDocument/2006/relationships/hyperlink" Target="https://doi.org/10.1177/1077800410383121" TargetMode="External"/><Relationship Id="rId64" Type="http://schemas.openxmlformats.org/officeDocument/2006/relationships/image" Target="media/image6.jpg"/><Relationship Id="rId69" Type="http://schemas.openxmlformats.org/officeDocument/2006/relationships/image" Target="media/image11.jpg"/><Relationship Id="rId77" Type="http://schemas.openxmlformats.org/officeDocument/2006/relationships/footer" Target="footer2.xml"/><Relationship Id="rId8" Type="http://schemas.openxmlformats.org/officeDocument/2006/relationships/footer" Target="footer1.xml"/><Relationship Id="rId51" Type="http://schemas.openxmlformats.org/officeDocument/2006/relationships/hyperlink" Target="https://archive.org/details/doingqualitative0000silv_r4r5" TargetMode="External"/><Relationship Id="rId72" Type="http://schemas.openxmlformats.org/officeDocument/2006/relationships/image" Target="media/image14.jpg"/><Relationship Id="rId3" Type="http://schemas.openxmlformats.org/officeDocument/2006/relationships/webSettings" Target="webSettings.xml"/><Relationship Id="rId12" Type="http://schemas.openxmlformats.org/officeDocument/2006/relationships/hyperlink" Target="https://doi.org/10.1002/mar.20761" TargetMode="External"/><Relationship Id="rId17" Type="http://schemas.openxmlformats.org/officeDocument/2006/relationships/hyperlink" Target="https://doi.org/10.1177/0022242919899383" TargetMode="External"/><Relationship Id="rId25" Type="http://schemas.openxmlformats.org/officeDocument/2006/relationships/hyperlink" Target="https://doi.org/10.1016/j.intmar.2012.01.003" TargetMode="External"/><Relationship Id="rId33" Type="http://schemas.openxmlformats.org/officeDocument/2006/relationships/hyperlink" Target="https://doi.org/10.1016/j.intmar.2013.09.004" TargetMode="External"/><Relationship Id="rId38" Type="http://schemas.openxmlformats.org/officeDocument/2006/relationships/hyperlink" Target="https://www.legalcheek.com/2021/04/lawyer-bakes-kavanagh-caterpillar-qc-cake-to-defend-aldis-cuthbert-in-tasty-ip-battle/" TargetMode="External"/><Relationship Id="rId46" Type="http://schemas.openxmlformats.org/officeDocument/2006/relationships/hyperlink" Target="https://www.marketingweek.com/masters-awards-aldi-free-cuthbert/" TargetMode="External"/><Relationship Id="rId59" Type="http://schemas.openxmlformats.org/officeDocument/2006/relationships/hyperlink" Target="https://us.sagepub.com/en-us/nam/case-study-research-and-applications/book250150" TargetMode="External"/><Relationship Id="rId67" Type="http://schemas.openxmlformats.org/officeDocument/2006/relationships/image" Target="media/image9.jpg"/><Relationship Id="rId20" Type="http://schemas.openxmlformats.org/officeDocument/2006/relationships/hyperlink" Target="https://doi.org/10.1016/j.jbusres.2025.115266" TargetMode="External"/><Relationship Id="rId41" Type="http://schemas.openxmlformats.org/officeDocument/2006/relationships/hyperlink" Target="https://doi.org/10.1177/002224299305700101" TargetMode="External"/><Relationship Id="rId54" Type="http://schemas.openxmlformats.org/officeDocument/2006/relationships/hyperlink" Target="https://www.thedrum.com/news/aldis-freecuthbert-campaign-takes-grand-prix-the-drum-awards-social-media" TargetMode="External"/><Relationship Id="rId62" Type="http://schemas.openxmlformats.org/officeDocument/2006/relationships/image" Target="media/image4.jpg"/><Relationship Id="rId70" Type="http://schemas.openxmlformats.org/officeDocument/2006/relationships/image" Target="media/image12.jpg"/><Relationship Id="rId75" Type="http://schemas.openxmlformats.org/officeDocument/2006/relationships/image" Target="media/image17.jp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doi.org/10.1016/j.jbusres.2018.03.015" TargetMode="External"/><Relationship Id="rId23" Type="http://schemas.openxmlformats.org/officeDocument/2006/relationships/hyperlink" Target="https://collegepublishing.sagepub.com/products/ongoing-crisis-communication-4-238868" TargetMode="External"/><Relationship Id="rId28" Type="http://schemas.openxmlformats.org/officeDocument/2006/relationships/hyperlink" Target="https://doi.org/10.1207/s15327663jcp1401&amp;2_19" TargetMode="External"/><Relationship Id="rId36" Type="http://schemas.openxmlformats.org/officeDocument/2006/relationships/hyperlink" Target="https://doi.org/10.1016/j.intmar.2013.12.002" TargetMode="External"/><Relationship Id="rId49" Type="http://schemas.openxmlformats.org/officeDocument/2006/relationships/hyperlink" Target="https://archive.org/details/eatingbigfishhow00morg" TargetMode="External"/><Relationship Id="rId57" Type="http://schemas.openxmlformats.org/officeDocument/2006/relationships/hyperlink" Target="https://doi.org/10.1080/00913367.1992.1067338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85</Pages>
  <Words>24222</Words>
  <Characters>138066</Characters>
  <Application>Microsoft Office Word</Application>
  <DocSecurity>0</DocSecurity>
  <Lines>1150</Lines>
  <Paragraphs>323</Paragraphs>
  <ScaleCrop>false</ScaleCrop>
  <Company/>
  <LinksUpToDate>false</LinksUpToDate>
  <CharactersWithSpaces>161965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2026-09-24T06:09:00Z</dcterms:created>
  <dcterms:modified xsi:type="dcterms:W3CDTF">2026-09-24T06:10:00Z</dcterms:modified>
</cp:coreProperties>
</file>