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p>
    <w:p>
      <w:pPr>
        <w:jc w:val="center"/>
        <w:rPr>
          <w:rFonts w:ascii="Arial" w:hAnsi="Arial" w:cs="Arial"/>
          <w:b/>
          <w:bCs/>
          <w:sz w:val="28"/>
          <w:szCs w:val="28"/>
        </w:rPr>
      </w:pPr>
      <w:r>
        <w:rPr>
          <w:rFonts w:ascii="Arial" w:hAnsi="Arial" w:cs="Arial"/>
          <w:b/>
          <w:bCs/>
          <w:sz w:val="28"/>
          <w:szCs w:val="28"/>
        </w:rPr>
        <w:t xml:space="preserve">An exploration of cultural differences in business ethics. </w:t>
      </w:r>
    </w:p>
    <w:p>
      <w:pPr>
        <w:jc w:val="center"/>
        <w:rPr>
          <w:rFonts w:ascii="Arial" w:hAnsi="Arial" w:cs="Arial"/>
          <w:b/>
          <w:bCs/>
          <w:sz w:val="28"/>
          <w:szCs w:val="28"/>
        </w:rPr>
      </w:pPr>
      <w:r>
        <w:rPr>
          <w:rFonts w:ascii="Arial" w:hAnsi="Arial" w:cs="Arial"/>
          <w:b/>
          <w:bCs/>
          <w:sz w:val="28"/>
          <w:szCs w:val="28"/>
        </w:rPr>
        <w:t>(2599 words)</w:t>
      </w: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bookmarkStart w:id="6" w:name="_GoBack"/>
      <w:bookmarkEnd w:id="6"/>
    </w:p>
    <w:p>
      <w:pPr>
        <w:rPr>
          <w:rFonts w:ascii="Arial" w:hAnsi="Arial" w:cs="Arial"/>
        </w:rPr>
      </w:pPr>
    </w:p>
    <w:p>
      <w:pPr>
        <w:rPr>
          <w:rFonts w:ascii="Arial" w:hAnsi="Arial" w:cs="Arial"/>
        </w:rPr>
      </w:pPr>
    </w:p>
    <w:p>
      <w:pPr>
        <w:pStyle w:val="22"/>
        <w:jc w:val="right"/>
        <w:rPr>
          <w:rFonts w:ascii="Arial" w:hAnsi="Arial" w:cs="Arial"/>
          <w:color w:val="595959"/>
          <w:sz w:val="28"/>
          <w:szCs w:val="28"/>
        </w:rPr>
      </w:pPr>
      <w:r>
        <w:rPr>
          <w:rFonts w:ascii="Arial" w:hAnsi="Arial" w:cs="Arial"/>
          <w:color w:val="595959"/>
          <w:sz w:val="28"/>
          <w:szCs w:val="28"/>
          <w:lang w:val="en-US"/>
        </w:rPr>
        <w:t>Tongxin Tang 2107042</w:t>
      </w:r>
      <w:r>
        <w:rPr>
          <w:rFonts w:ascii="Arial" w:hAnsi="Arial" w:cs="Arial"/>
          <w:color w:val="595959"/>
          <w:sz w:val="28"/>
          <w:szCs w:val="28"/>
        </w:rPr>
        <w:t xml:space="preserve"> </w:t>
      </w:r>
    </w:p>
    <w:p>
      <w:pPr>
        <w:pStyle w:val="22"/>
        <w:jc w:val="right"/>
        <w:rPr>
          <w:rFonts w:ascii="Arial" w:hAnsi="Arial" w:cs="Arial"/>
          <w:color w:val="595959"/>
          <w:sz w:val="24"/>
          <w:szCs w:val="24"/>
        </w:rPr>
      </w:pPr>
      <w:r>
        <w:rPr>
          <w:rFonts w:ascii="Arial" w:hAnsi="Arial" w:cs="Arial"/>
          <w:color w:val="595959"/>
          <w:sz w:val="24"/>
          <w:szCs w:val="24"/>
          <w:lang w:val="en-US"/>
        </w:rPr>
        <w:t>Global Ethics BMBM6008</w:t>
      </w:r>
    </w:p>
    <w:p>
      <w:pPr>
        <w:rPr>
          <w:rFonts w:ascii="Arial" w:hAnsi="Arial" w:cs="Arial"/>
        </w:rPr>
        <w:sectPr>
          <w:footerReference r:id="rId5" w:type="default"/>
          <w:pgSz w:w="11906" w:h="16838"/>
          <w:pgMar w:top="1440" w:right="1440" w:bottom="1440" w:left="1440" w:header="708" w:footer="708" w:gutter="0"/>
          <w:pgNumType w:fmt="lowerRoman"/>
          <w:cols w:space="708" w:num="1"/>
          <w:docGrid w:linePitch="360" w:charSpace="0"/>
        </w:sectPr>
      </w:pPr>
    </w:p>
    <w:p>
      <w:pPr>
        <w:spacing w:after="0" w:line="480" w:lineRule="auto"/>
        <w:rPr>
          <w:rFonts w:ascii="Arial" w:hAnsi="Arial" w:cs="Arial"/>
          <w:b/>
          <w:bCs/>
          <w:sz w:val="24"/>
          <w:szCs w:val="24"/>
        </w:rPr>
      </w:pPr>
      <w:r>
        <w:rPr>
          <w:rFonts w:ascii="Arial" w:hAnsi="Arial" w:cs="Arial"/>
          <w:b/>
          <w:bCs/>
          <w:sz w:val="24"/>
          <w:szCs w:val="24"/>
        </w:rPr>
        <w:t xml:space="preserve">Executive summary </w:t>
      </w:r>
    </w:p>
    <w:p>
      <w:pPr>
        <w:spacing w:after="0" w:line="480" w:lineRule="auto"/>
        <w:jc w:val="both"/>
        <w:rPr>
          <w:rFonts w:ascii="Arial" w:hAnsi="Arial" w:cs="Arial"/>
          <w:sz w:val="24"/>
          <w:szCs w:val="24"/>
        </w:rPr>
      </w:pPr>
      <w:r>
        <w:rPr>
          <w:rFonts w:ascii="Arial" w:hAnsi="Arial" w:cs="Arial"/>
          <w:sz w:val="24"/>
          <w:szCs w:val="24"/>
        </w:rPr>
        <w:t xml:space="preserve">The report sought to outline a critical evaluation of how businesses are constrained by their cultural, political and social environment. Overall, the report highlights that in the increasingly globalised business environment, it is imperative for businesses to navigate the constraints presented by the political, cultural and social environments within which they operate. The report reveals that most businesses are trading in the global marketplace by compromising ethical principles, and that this is attributable to a number of factors including businesses’ emphasis on shareholder primacy and share value. In addressing some of these challenges, the report recommends the need for businesses to subscribe to a blend of ethical absolutism and ethical pluralism. Further, there is need for businesses to take a compatibilist approach by </w:t>
      </w:r>
      <w:r>
        <w:rPr>
          <w:rFonts w:ascii="Arial" w:hAnsi="Arial" w:cs="Arial"/>
          <w:sz w:val="24"/>
          <w:szCs w:val="24"/>
          <w:shd w:val="clear" w:color="auto" w:fill="FFFFFF"/>
        </w:rPr>
        <w:t>understanding that the relationship between business and society is embedded with ethical values.</w:t>
      </w:r>
    </w:p>
    <w:p>
      <w:pPr>
        <w:rPr>
          <w:rFonts w:ascii="Arial" w:hAnsi="Arial" w:cs="Arial"/>
          <w:b/>
          <w:bCs/>
          <w:sz w:val="24"/>
          <w:szCs w:val="24"/>
        </w:rPr>
      </w:pPr>
    </w:p>
    <w:p>
      <w:pPr>
        <w:rPr>
          <w:rFonts w:ascii="Arial" w:hAnsi="Arial" w:cs="Arial"/>
          <w:b/>
          <w:bCs/>
          <w:sz w:val="24"/>
          <w:szCs w:val="24"/>
        </w:rPr>
      </w:pPr>
    </w:p>
    <w:p>
      <w:pPr>
        <w:rPr>
          <w:rFonts w:ascii="Arial" w:hAnsi="Arial" w:cs="Arial"/>
          <w:b/>
          <w:bCs/>
          <w:sz w:val="24"/>
          <w:szCs w:val="24"/>
        </w:rPr>
        <w:sectPr>
          <w:pgSz w:w="11906" w:h="16838"/>
          <w:pgMar w:top="1440" w:right="1440" w:bottom="1440" w:left="1440" w:header="708" w:footer="708" w:gutter="0"/>
          <w:pgNumType w:fmt="lowerRoman"/>
          <w:cols w:space="708" w:num="1"/>
          <w:docGrid w:linePitch="360" w:charSpace="0"/>
        </w:sectPr>
      </w:pPr>
    </w:p>
    <w:sdt>
      <w:sdtPr>
        <w:rPr>
          <w:rFonts w:ascii="Arial" w:hAnsi="Arial" w:cs="Arial" w:eastAsiaTheme="minorHAnsi"/>
          <w:color w:val="auto"/>
          <w:kern w:val="2"/>
          <w:sz w:val="22"/>
          <w:szCs w:val="22"/>
          <w14:ligatures w14:val="standardContextual"/>
        </w:rPr>
        <w:id w:val="-1308159574"/>
        <w:docPartObj>
          <w:docPartGallery w:val="Table of Contents"/>
          <w:docPartUnique/>
        </w:docPartObj>
      </w:sdtPr>
      <w:sdtEndPr>
        <w:rPr>
          <w:rFonts w:ascii="Arial" w:hAnsi="Arial" w:cs="Arial" w:eastAsiaTheme="minorEastAsia"/>
          <w:b/>
          <w:bCs/>
          <w:color w:val="auto"/>
          <w:kern w:val="2"/>
          <w:sz w:val="22"/>
          <w:szCs w:val="22"/>
          <w14:ligatures w14:val="standardContextual"/>
        </w:rPr>
      </w:sdtEndPr>
      <w:sdtContent>
        <w:p>
          <w:pPr>
            <w:pStyle w:val="21"/>
            <w:jc w:val="both"/>
            <w:rPr>
              <w:rFonts w:ascii="Arial" w:hAnsi="Arial" w:cs="Arial"/>
              <w:b/>
              <w:bCs/>
              <w:color w:val="auto"/>
              <w:sz w:val="24"/>
              <w:szCs w:val="24"/>
            </w:rPr>
          </w:pPr>
          <w:r>
            <w:rPr>
              <w:rFonts w:ascii="Arial" w:hAnsi="Arial" w:cs="Arial"/>
              <w:b/>
              <w:bCs/>
              <w:color w:val="auto"/>
              <w:sz w:val="24"/>
              <w:szCs w:val="24"/>
            </w:rPr>
            <w:t>Contents</w:t>
          </w:r>
        </w:p>
        <w:p>
          <w:pPr>
            <w:pStyle w:val="6"/>
            <w:tabs>
              <w:tab w:val="right" w:leader="dot" w:pos="9016"/>
            </w:tabs>
            <w:rPr>
              <w:sz w:val="21"/>
              <w:lang w:eastAsia="zh-CN"/>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r>
            <w:fldChar w:fldCharType="begin"/>
          </w:r>
          <w:r>
            <w:instrText xml:space="preserve"> HYPERLINK \l "_Toc155958426" </w:instrText>
          </w:r>
          <w:r>
            <w:fldChar w:fldCharType="separate"/>
          </w:r>
          <w:r>
            <w:rPr>
              <w:rStyle w:val="13"/>
              <w:rFonts w:ascii="Arial" w:hAnsi="Arial" w:cs="Arial"/>
              <w:color w:val="auto"/>
            </w:rPr>
            <w:t>1.Introduction</w:t>
          </w:r>
          <w:r>
            <w:tab/>
          </w:r>
          <w:r>
            <w:fldChar w:fldCharType="begin"/>
          </w:r>
          <w:r>
            <w:instrText xml:space="preserve"> PAGEREF _Toc155958426 \h </w:instrText>
          </w:r>
          <w:r>
            <w:fldChar w:fldCharType="separate"/>
          </w:r>
          <w:r>
            <w:t>1</w:t>
          </w:r>
          <w:r>
            <w:fldChar w:fldCharType="end"/>
          </w:r>
          <w:r>
            <w:fldChar w:fldCharType="end"/>
          </w:r>
        </w:p>
        <w:p>
          <w:pPr>
            <w:pStyle w:val="6"/>
            <w:tabs>
              <w:tab w:val="right" w:leader="dot" w:pos="9016"/>
            </w:tabs>
            <w:rPr>
              <w:sz w:val="21"/>
              <w:lang w:eastAsia="zh-CN"/>
            </w:rPr>
          </w:pPr>
          <w:r>
            <w:fldChar w:fldCharType="begin"/>
          </w:r>
          <w:r>
            <w:instrText xml:space="preserve"> HYPERLINK \l "_Toc155958427" </w:instrText>
          </w:r>
          <w:r>
            <w:fldChar w:fldCharType="separate"/>
          </w:r>
          <w:r>
            <w:rPr>
              <w:rStyle w:val="13"/>
              <w:rFonts w:ascii="Arial" w:hAnsi="Arial" w:cs="Arial"/>
              <w:color w:val="auto"/>
            </w:rPr>
            <w:t>2. Critical evaluation of how businesses are constrained by their cultural, political and social environments</w:t>
          </w:r>
          <w:r>
            <w:tab/>
          </w:r>
          <w:r>
            <w:fldChar w:fldCharType="begin"/>
          </w:r>
          <w:r>
            <w:instrText xml:space="preserve"> PAGEREF _Toc155958427 \h </w:instrText>
          </w:r>
          <w:r>
            <w:fldChar w:fldCharType="separate"/>
          </w:r>
          <w:r>
            <w:t>1</w:t>
          </w:r>
          <w:r>
            <w:fldChar w:fldCharType="end"/>
          </w:r>
          <w:r>
            <w:fldChar w:fldCharType="end"/>
          </w:r>
        </w:p>
        <w:p>
          <w:pPr>
            <w:pStyle w:val="8"/>
            <w:tabs>
              <w:tab w:val="right" w:leader="dot" w:pos="9016"/>
            </w:tabs>
            <w:rPr>
              <w:sz w:val="21"/>
              <w:lang w:eastAsia="zh-CN"/>
            </w:rPr>
          </w:pPr>
          <w:r>
            <w:fldChar w:fldCharType="begin"/>
          </w:r>
          <w:r>
            <w:instrText xml:space="preserve"> HYPERLINK \l "_Toc155958428" </w:instrText>
          </w:r>
          <w:r>
            <w:fldChar w:fldCharType="separate"/>
          </w:r>
          <w:r>
            <w:rPr>
              <w:rStyle w:val="13"/>
              <w:rFonts w:ascii="Arial" w:hAnsi="Arial" w:cs="Arial"/>
              <w:color w:val="auto"/>
            </w:rPr>
            <w:t>2.1 Analysis of facts and circumstances</w:t>
          </w:r>
          <w:r>
            <w:tab/>
          </w:r>
          <w:r>
            <w:fldChar w:fldCharType="begin"/>
          </w:r>
          <w:r>
            <w:instrText xml:space="preserve"> PAGEREF _Toc155958428 \h </w:instrText>
          </w:r>
          <w:r>
            <w:fldChar w:fldCharType="separate"/>
          </w:r>
          <w:r>
            <w:t>1</w:t>
          </w:r>
          <w:r>
            <w:fldChar w:fldCharType="end"/>
          </w:r>
          <w:r>
            <w:fldChar w:fldCharType="end"/>
          </w:r>
        </w:p>
        <w:p>
          <w:pPr>
            <w:pStyle w:val="8"/>
            <w:tabs>
              <w:tab w:val="right" w:leader="dot" w:pos="9016"/>
            </w:tabs>
            <w:rPr>
              <w:sz w:val="21"/>
              <w:lang w:eastAsia="zh-CN"/>
            </w:rPr>
          </w:pPr>
          <w:r>
            <w:fldChar w:fldCharType="begin"/>
          </w:r>
          <w:r>
            <w:instrText xml:space="preserve"> HYPERLINK \l "_Toc155958429" </w:instrText>
          </w:r>
          <w:r>
            <w:fldChar w:fldCharType="separate"/>
          </w:r>
          <w:r>
            <w:rPr>
              <w:rStyle w:val="13"/>
              <w:rFonts w:ascii="Arial" w:hAnsi="Arial" w:cs="Arial"/>
              <w:color w:val="auto"/>
            </w:rPr>
            <w:t>2.2 Attempt at finding solutions</w:t>
          </w:r>
          <w:r>
            <w:tab/>
          </w:r>
          <w:r>
            <w:fldChar w:fldCharType="begin"/>
          </w:r>
          <w:r>
            <w:instrText xml:space="preserve"> PAGEREF _Toc155958429 \h </w:instrText>
          </w:r>
          <w:r>
            <w:fldChar w:fldCharType="separate"/>
          </w:r>
          <w:r>
            <w:t>7</w:t>
          </w:r>
          <w:r>
            <w:fldChar w:fldCharType="end"/>
          </w:r>
          <w:r>
            <w:fldChar w:fldCharType="end"/>
          </w:r>
        </w:p>
        <w:p>
          <w:pPr>
            <w:pStyle w:val="6"/>
            <w:tabs>
              <w:tab w:val="right" w:leader="dot" w:pos="9016"/>
            </w:tabs>
            <w:rPr>
              <w:sz w:val="21"/>
              <w:lang w:eastAsia="zh-CN"/>
            </w:rPr>
          </w:pPr>
          <w:r>
            <w:fldChar w:fldCharType="begin"/>
          </w:r>
          <w:r>
            <w:instrText xml:space="preserve"> HYPERLINK \l "_Toc155958430" </w:instrText>
          </w:r>
          <w:r>
            <w:fldChar w:fldCharType="separate"/>
          </w:r>
          <w:r>
            <w:rPr>
              <w:rStyle w:val="13"/>
              <w:rFonts w:ascii="Arial" w:hAnsi="Arial" w:cs="Arial"/>
              <w:color w:val="auto"/>
            </w:rPr>
            <w:t>3 Conclusion</w:t>
          </w:r>
          <w:r>
            <w:tab/>
          </w:r>
          <w:r>
            <w:fldChar w:fldCharType="begin"/>
          </w:r>
          <w:r>
            <w:instrText xml:space="preserve"> PAGEREF _Toc155958430 \h </w:instrText>
          </w:r>
          <w:r>
            <w:fldChar w:fldCharType="separate"/>
          </w:r>
          <w:r>
            <w:t>9</w:t>
          </w:r>
          <w:r>
            <w:fldChar w:fldCharType="end"/>
          </w:r>
          <w:r>
            <w:fldChar w:fldCharType="end"/>
          </w:r>
        </w:p>
        <w:p>
          <w:pPr>
            <w:pStyle w:val="6"/>
            <w:tabs>
              <w:tab w:val="right" w:leader="dot" w:pos="9016"/>
            </w:tabs>
            <w:rPr>
              <w:sz w:val="21"/>
              <w:lang w:eastAsia="zh-CN"/>
            </w:rPr>
          </w:pPr>
          <w:r>
            <w:fldChar w:fldCharType="begin"/>
          </w:r>
          <w:r>
            <w:instrText xml:space="preserve"> HYPERLINK \l "_Toc155958431" </w:instrText>
          </w:r>
          <w:r>
            <w:fldChar w:fldCharType="separate"/>
          </w:r>
          <w:r>
            <w:rPr>
              <w:rStyle w:val="13"/>
              <w:rFonts w:ascii="Arial" w:hAnsi="Arial" w:cs="Arial"/>
              <w:color w:val="auto"/>
            </w:rPr>
            <w:t>References</w:t>
          </w:r>
          <w:r>
            <w:tab/>
          </w:r>
          <w:r>
            <w:fldChar w:fldCharType="begin"/>
          </w:r>
          <w:r>
            <w:instrText xml:space="preserve"> PAGEREF _Toc155958431 \h </w:instrText>
          </w:r>
          <w:r>
            <w:fldChar w:fldCharType="separate"/>
          </w:r>
          <w:r>
            <w:t>9</w:t>
          </w:r>
          <w:r>
            <w:fldChar w:fldCharType="end"/>
          </w:r>
          <w:r>
            <w:fldChar w:fldCharType="end"/>
          </w:r>
        </w:p>
        <w:p>
          <w:pPr>
            <w:rPr>
              <w:rFonts w:ascii="Arial" w:hAnsi="Arial" w:cs="Arial"/>
            </w:rPr>
          </w:pPr>
          <w:r>
            <w:rPr>
              <w:rFonts w:ascii="Arial" w:hAnsi="Arial" w:cs="Arial"/>
              <w:b/>
              <w:bCs/>
            </w:rPr>
            <w:fldChar w:fldCharType="end"/>
          </w:r>
        </w:p>
      </w:sdtContent>
    </w:sdt>
    <w:p>
      <w:pPr>
        <w:rPr>
          <w:rFonts w:ascii="Arial" w:hAnsi="Arial" w:cs="Arial"/>
        </w:rPr>
      </w:pPr>
    </w:p>
    <w:p>
      <w:pPr>
        <w:rPr>
          <w:rFonts w:ascii="Arial" w:hAnsi="Arial" w:cs="Arial"/>
        </w:rPr>
      </w:pPr>
    </w:p>
    <w:p>
      <w:pPr>
        <w:pStyle w:val="2"/>
        <w:spacing w:line="360" w:lineRule="auto"/>
        <w:rPr>
          <w:rFonts w:ascii="Arial" w:hAnsi="Arial" w:cs="Arial"/>
          <w:szCs w:val="24"/>
        </w:rPr>
        <w:sectPr>
          <w:pgSz w:w="11906" w:h="16838"/>
          <w:pgMar w:top="1440" w:right="1440" w:bottom="1440" w:left="1440" w:header="708" w:footer="708" w:gutter="0"/>
          <w:pgNumType w:fmt="lowerRoman"/>
          <w:cols w:space="708" w:num="1"/>
          <w:docGrid w:linePitch="360" w:charSpace="0"/>
        </w:sectPr>
      </w:pPr>
    </w:p>
    <w:p>
      <w:pPr>
        <w:pStyle w:val="2"/>
        <w:spacing w:before="0" w:line="480" w:lineRule="auto"/>
        <w:rPr>
          <w:rFonts w:ascii="Arial" w:hAnsi="Arial" w:cs="Arial"/>
          <w:szCs w:val="24"/>
        </w:rPr>
      </w:pPr>
      <w:bookmarkStart w:id="0" w:name="_Toc155958426"/>
      <w:r>
        <w:rPr>
          <w:rFonts w:ascii="Arial" w:hAnsi="Arial" w:cs="Arial"/>
          <w:szCs w:val="24"/>
        </w:rPr>
        <w:t>1.Introduction</w:t>
      </w:r>
      <w:bookmarkEnd w:id="0"/>
      <w:r>
        <w:rPr>
          <w:rFonts w:ascii="Arial" w:hAnsi="Arial" w:cs="Arial"/>
          <w:szCs w:val="24"/>
        </w:rPr>
        <w:t xml:space="preserve"> </w:t>
      </w:r>
    </w:p>
    <w:p>
      <w:pPr>
        <w:spacing w:after="0" w:line="480" w:lineRule="auto"/>
        <w:jc w:val="both"/>
        <w:rPr>
          <w:rFonts w:ascii="Arial" w:hAnsi="Arial" w:cs="Arial"/>
          <w:sz w:val="24"/>
          <w:szCs w:val="24"/>
        </w:rPr>
      </w:pPr>
      <w:r>
        <w:rPr>
          <w:rFonts w:ascii="Arial" w:hAnsi="Arial" w:cs="Arial"/>
          <w:sz w:val="24"/>
          <w:szCs w:val="24"/>
        </w:rPr>
        <w:t xml:space="preserve">Drawing from the works of thinkers such as Kishore Mahbubani among many others, it is discernible that there are significant differences in business practices in different parts of the world. A case in point is the paid maternity leave whereby, in countries such as the United Kingdom, paid maternity leave is provided for up to 52 weeks, in other countries such as the United States of America, the legislations in this regard are largely weak and as such, most businesses do not provide paid maternity or paternity leaves. Further, scholars such as Mahbubani (2015) lay emphasis on the need to recognise that culture has an impact on the ethics and business ethics and this is evidenced for instance by the fact that, unlike Chinese businesses, Japanese businesses tend to assume a more family-like focus and as such, strive first and foremost to take care of their employees. The above points are indicative of the idea that businesses are constrained by their cultural, political as well as social environments. It is therefore against this background that the report, with the aid of international comparisons, seeks to evaluate how businesses are constrained by their cultural, political and social environment. The report also highlights the values which lay at the heart of the ethical tensions, the causes of which and how the tensions can be addressed. </w:t>
      </w:r>
    </w:p>
    <w:p>
      <w:pPr>
        <w:pStyle w:val="2"/>
        <w:spacing w:before="0" w:line="480" w:lineRule="auto"/>
        <w:rPr>
          <w:rFonts w:ascii="Arial" w:hAnsi="Arial" w:cs="Arial"/>
          <w:szCs w:val="24"/>
        </w:rPr>
      </w:pPr>
      <w:bookmarkStart w:id="1" w:name="_Toc155958427"/>
      <w:r>
        <w:rPr>
          <w:rFonts w:ascii="Arial" w:hAnsi="Arial" w:cs="Arial"/>
          <w:szCs w:val="24"/>
        </w:rPr>
        <w:t>2. How businesses are constrained by their cultural, political and social environments</w:t>
      </w:r>
      <w:bookmarkEnd w:id="1"/>
      <w:r>
        <w:rPr>
          <w:rFonts w:ascii="Arial" w:hAnsi="Arial" w:cs="Arial"/>
          <w:szCs w:val="24"/>
        </w:rPr>
        <w:t>?</w:t>
      </w:r>
    </w:p>
    <w:p>
      <w:pPr>
        <w:pStyle w:val="3"/>
        <w:spacing w:before="0" w:line="480" w:lineRule="auto"/>
        <w:rPr>
          <w:rFonts w:ascii="Arial" w:hAnsi="Arial" w:cs="Arial"/>
          <w:szCs w:val="24"/>
        </w:rPr>
      </w:pPr>
      <w:bookmarkStart w:id="2" w:name="_Toc155958428"/>
      <w:r>
        <w:rPr>
          <w:rFonts w:ascii="Arial" w:hAnsi="Arial" w:cs="Arial"/>
          <w:szCs w:val="24"/>
        </w:rPr>
        <w:t>2.1 Analysis of facts and circumstances</w:t>
      </w:r>
      <w:bookmarkEnd w:id="2"/>
    </w:p>
    <w:p>
      <w:pPr>
        <w:spacing w:after="0" w:line="480" w:lineRule="auto"/>
        <w:jc w:val="both"/>
        <w:rPr>
          <w:rFonts w:ascii="Arial" w:hAnsi="Arial" w:cs="Arial"/>
          <w:sz w:val="24"/>
          <w:szCs w:val="24"/>
          <w:shd w:val="clear" w:color="auto" w:fill="FFFFFF"/>
        </w:rPr>
      </w:pPr>
      <w:r>
        <w:rPr>
          <w:rFonts w:ascii="Arial" w:hAnsi="Arial" w:cs="Arial"/>
          <w:sz w:val="24"/>
          <w:szCs w:val="24"/>
        </w:rPr>
        <w:t xml:space="preserve">According to </w:t>
      </w:r>
      <w:r>
        <w:rPr>
          <w:rFonts w:ascii="Arial" w:hAnsi="Arial" w:eastAsia="Times New Roman" w:cs="Arial"/>
          <w:bCs/>
          <w:sz w:val="24"/>
          <w:szCs w:val="24"/>
        </w:rPr>
        <w:t>Eade and O’Byrne (2017), ethical relativism refers to a perspective of ethics where what is considered ethical or unethical is judged based on the local moral standards, which are different from one country to another. This is different from the principle of ethical absolutism which is based on the premise of universalism-that judgement of what is ethical or unethical should be applied for all similarly situated individuals, irrespective of religion, nationality, culture and race among other distinguishing features (</w:t>
      </w:r>
      <w:r>
        <w:rPr>
          <w:rFonts w:ascii="Arial" w:hAnsi="Arial" w:cs="Arial"/>
          <w:sz w:val="24"/>
          <w:szCs w:val="24"/>
          <w:shd w:val="clear" w:color="auto" w:fill="FFFFFF"/>
        </w:rPr>
        <w:t xml:space="preserve">Abun and Magallanez, 2018). While some businesses, more so multinational enterprises (MNEs), subscribe to the principle of ethical relativism, others subscribe to the principle of ethical absolutism. This has in turn brought about the debate on whether it is possible to trade in a global market place without necessarily having to compromise some ethical principles. </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addressing the above question, the report focuses on the case of Glaxo Smith Kline (GSK) and the company’s strategies in different parts of the world. To begin with, it can be argued that the business practices by GSK are constrained not only the political but also by the cultural environment within which the company operates. For instance, over the recent years, GSK’s CSR strategy has been characterised by the emphasis on reduction of the prices of drugs in least developed countries such as Rwanda and Cambodia with the aim of making drugs affordable in these markets (Kollewe, 2016). Further, the decision by GSK to reduce drug prices in the least developed markets is informed, partly, by the limited resources by the governments in these countries, thereby making it challenging for such governments to subsidise the manufacturing and distribution of drugs more so to the less fortunate members of the society (Saïd, Sevic and Phillips, 2019). In other markets, GSK has also been waving patent protection on some of its blockbuster drugs with the aim of allowing production of cheaper generics so that these drugs can be readily available to consumers at reasonable prices (Kollewe, 2016). More importantly, in least developed countries, GSK’s CSR strategy encompasses making sure that the prices of its drugs do not exceed 25% of the prices of the same drugs sold in developed markets such as the United States and UK (Saïd, Sevic and Phillips, 2019). </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On one hand, it can be argued that the CSR strategy by GSK is playing an influential role in the creation of shared value-the company is able to create economic value while at the same time addressing some of the major challenges that the society is grappling with, including the unreasonable prices of drugs in many countries. The need for businesses to create shared value is echoed by Porter and Kramer (2011) who point out that creation of shared value is important re-legitimising businesses- bringing back together businesses and societies. However, critics of the concept of shared value point out that the concept could be misused as a form of ‘greenwashing’ or ‘social washing’ to pursue marketing objectives rather than genuine environment and social impact. Further, critics of the concept also highlight that it falls short of taking into account the fact that, when faced with trade-offs, businesses may prioritise generation of profits over environmental and social concerns (</w:t>
      </w:r>
      <w:r>
        <w:rPr>
          <w:rFonts w:ascii="Arial" w:hAnsi="Arial" w:cs="Arial"/>
          <w:sz w:val="24"/>
          <w:szCs w:val="24"/>
        </w:rPr>
        <w:t>Carroll and Buchholtz</w:t>
      </w:r>
      <w:r>
        <w:rPr>
          <w:rFonts w:ascii="Arial" w:hAnsi="Arial" w:cs="Arial"/>
          <w:sz w:val="24"/>
          <w:szCs w:val="24"/>
          <w:shd w:val="clear" w:color="auto" w:fill="FFFFFF"/>
        </w:rPr>
        <w:t xml:space="preserve">, 2014). </w:t>
      </w:r>
    </w:p>
    <w:p>
      <w:pPr>
        <w:spacing w:after="0" w:line="480" w:lineRule="auto"/>
        <w:jc w:val="both"/>
        <w:rPr>
          <w:rFonts w:ascii="Arial" w:hAnsi="Arial" w:cs="Arial"/>
          <w:kern w:val="0"/>
          <w:sz w:val="24"/>
          <w:szCs w:val="24"/>
          <w:shd w:val="clear" w:color="auto" w:fill="FFFFFF"/>
          <w14:ligatures w14:val="none"/>
        </w:rPr>
      </w:pPr>
      <w:r>
        <w:rPr>
          <w:rFonts w:ascii="Arial" w:hAnsi="Arial" w:cs="Arial"/>
          <w:sz w:val="24"/>
          <w:szCs w:val="24"/>
          <w:shd w:val="clear" w:color="auto" w:fill="FFFFFF"/>
        </w:rPr>
        <w:t>The limitations of the concept of shared value can be said to be evident in GSK’s CSR strategy. For example, there have been concerns that GSK charges exorbitant prices for its drugs in developed markets in order to cover for the losses incurred in least developed markets. For instance, the report by Brookings (2021) revealed that up to 79% of Americans find prescription drugs to be exorbitantly and unreasonably priced, with close to a third of them going without prescribed medications because they cannot afford. Again, despite GSK’s glossy CSR strategy, the company, in the year 2013, was found to have ben involved in bribery scandal after it was established that the company’s employees had bribed Chinese officials in exchange for pushing the sale of GSK’s drugs in the market (Sullivan, 2018). Further,</w:t>
      </w:r>
      <w:r>
        <w:rPr>
          <w:rFonts w:ascii="Arial" w:hAnsi="Arial" w:cs="Arial"/>
          <w:kern w:val="0"/>
          <w:sz w:val="24"/>
          <w:szCs w:val="24"/>
          <w:shd w:val="clear" w:color="auto" w:fill="FFFFFF"/>
          <w14:ligatures w14:val="none"/>
        </w:rPr>
        <w:t xml:space="preserve"> Rizhamadze (2020)</w:t>
      </w:r>
      <w:r>
        <w:rPr>
          <w:rFonts w:ascii="Arial" w:hAnsi="Arial" w:cs="Arial"/>
          <w:sz w:val="24"/>
          <w:szCs w:val="24"/>
          <w:shd w:val="clear" w:color="auto" w:fill="FFFFFF"/>
        </w:rPr>
        <w:t xml:space="preserve"> has also indicated that the move by GSK to lower drug prices in least developed markets has served to expose the MNE to the risk of middle-men re-exporting drugs to developed markets where the drugs are sold at high prices</w:t>
      </w:r>
      <w:r>
        <w:rPr>
          <w:rFonts w:ascii="Arial" w:hAnsi="Arial" w:cs="Arial"/>
          <w:kern w:val="0"/>
          <w:sz w:val="24"/>
          <w:szCs w:val="24"/>
          <w:shd w:val="clear" w:color="auto" w:fill="FFFFFF"/>
          <w14:ligatures w14:val="none"/>
        </w:rPr>
        <w:t>.</w:t>
      </w:r>
    </w:p>
    <w:p>
      <w:pPr>
        <w:spacing w:after="0" w:line="480" w:lineRule="auto"/>
        <w:jc w:val="both"/>
        <w:rPr>
          <w:rFonts w:ascii="Arial" w:hAnsi="Arial" w:cs="Arial"/>
          <w:kern w:val="0"/>
          <w:sz w:val="24"/>
          <w:szCs w:val="24"/>
          <w:shd w:val="clear" w:color="auto" w:fill="FFFFFF"/>
          <w14:ligatures w14:val="none"/>
        </w:rPr>
      </w:pPr>
      <w:r>
        <w:rPr>
          <w:rFonts w:ascii="Arial" w:hAnsi="Arial" w:cs="Arial"/>
          <w:kern w:val="0"/>
          <w:sz w:val="24"/>
          <w:szCs w:val="24"/>
          <w:shd w:val="clear" w:color="auto" w:fill="FFFFFF"/>
          <w14:ligatures w14:val="none"/>
        </w:rPr>
        <w:t xml:space="preserve">Based on the discussions above, it can be argued that, in contrast to assertions by proponents of ethical relativism, local morality is not an adequate guide for ethical behaviour (Lloyd, 2010). For instance, Mahbubani (2015) states that, in China, the existence of private firms is driven by the goal of providing shareholder value and that this shareholder value is mainly for the few people holding top positions. In addition, in the Chinese culture, the creation of family wealth is important and in achieving this, the society is wired towards exploitation of workers. Therefore, in light of the Chinese culture and ethical relativism, the bribery of Chinese health officials by GSK employees can be said to be tolerable (Hutchings, 2010). Again, from the perspective of teleological ethics, it can be argued that the decision by GSK to lower drug prices in least developed countries was morally good because the move has had generally good consequences, key among which is the enhanced access to drugs by individuals in these markets (Hutchings, 2010). However, based on deontological ethics, it is discernible that the actions by GSK, in and of themselves, are morally bad and unethical. First, it can be argued that the lowering of drug prices by GSK is mainly aimed at furthering the company’s marketing objectives, such as enhancing the company’s penetration of the African continent. </w:t>
      </w:r>
    </w:p>
    <w:p>
      <w:pPr>
        <w:spacing w:after="0" w:line="480" w:lineRule="auto"/>
        <w:jc w:val="both"/>
        <w:rPr>
          <w:rFonts w:ascii="Arial" w:hAnsi="Arial" w:cs="Arial"/>
          <w:kern w:val="0"/>
          <w:sz w:val="24"/>
          <w:szCs w:val="24"/>
          <w:shd w:val="clear" w:color="auto" w:fill="FFFFFF"/>
          <w14:ligatures w14:val="none"/>
        </w:rPr>
      </w:pPr>
      <w:r>
        <w:rPr>
          <w:rFonts w:ascii="Arial" w:hAnsi="Arial" w:cs="Arial"/>
          <w:kern w:val="0"/>
          <w:sz w:val="24"/>
          <w:szCs w:val="24"/>
          <w:shd w:val="clear" w:color="auto" w:fill="FFFFFF"/>
          <w14:ligatures w14:val="none"/>
        </w:rPr>
        <w:t xml:space="preserve">Evidently, the case of GSK helps in highlighting some of the major limitations associated with the shareholder primacy advanced by Milton Friedman. For instance, shareholder primacy is based on the premise that businesses are “nexus” of contracts in the sense that, the relationship between businesses and stakeholders are governed by contracts (Friedman, 2007). These contracts stipulate the compensation due to each of the stakeholders, with shareholders being described as “residual claimants”-they only get what is left after other stakeholders have been paid (Friedman, 2007. However, the example of GSK above echoes the argument by critics of shareholder primacy on the basis that, large corporations, have the ability to externalise their costs onto customers, suppliers and employees among other stakeholders (Blair, 2003). By being able to shift their risks onto stakeholders such as employees and customers, the argument by shareholder theorists that maximisation of share value leads to maximisation of total social value created by a firm does not hold (Blair, 2003). For instance, by charging high prices for drugs in developed markets, GSK is able to externalise its costs onto the customers and as such, maximisation of the company’s shareholder value does not necessarily translate into maximisation of total share value created by the firm. Moreover, the limitations of GSK’s CSR strategy also bring to the fore the naivety of the concept of shared value on matters business compliance (Crane, 2014). Precisely, critiques of the concept emphasise that it does not take into account the tensions existing between economic and social goals (Banerjee, 2008). For instance, owing to the high costs associated with monitoring the activities of all pharmaceutical companies across the globe, it becomes difficult for relevant watchdog institutions to keep track of the activities of the businesses and whether they are in line with existing legislations and expectations. This in turn provides loopholes for pharmaceutical companies, among many other businesses to prioritise profits in instances where there are trade-offs between social, environmental and economic interests (Crane et al., 2014). </w:t>
      </w:r>
    </w:p>
    <w:p>
      <w:pPr>
        <w:spacing w:after="0" w:line="480" w:lineRule="auto"/>
        <w:jc w:val="both"/>
        <w:rPr>
          <w:rFonts w:ascii="Arial" w:hAnsi="Arial" w:cs="Arial"/>
          <w:kern w:val="0"/>
          <w:sz w:val="24"/>
          <w:szCs w:val="24"/>
          <w:shd w:val="clear" w:color="auto" w:fill="FFFFFF"/>
          <w14:ligatures w14:val="none"/>
        </w:rPr>
      </w:pPr>
      <w:r>
        <w:rPr>
          <w:rFonts w:ascii="Arial" w:hAnsi="Arial" w:cs="Arial"/>
          <w:kern w:val="0"/>
          <w:sz w:val="24"/>
          <w:szCs w:val="24"/>
          <w:shd w:val="clear" w:color="auto" w:fill="FFFFFF"/>
          <w14:ligatures w14:val="none"/>
        </w:rPr>
        <w:t xml:space="preserve">Notably, it is evident that businesses should not only be accountable to shareholders but should also strive to remain accountable to other stakeholders. From a reputation perspective, it is notable that in the current information age, consumers among other stakeholders are not only interested in the products and/services that a business provides but also what the given business stands for (Crane and Matten, 2010). As such, businesses that are perceived as furthering sustainable goals are perceived favourably. On the other hand, businesses that are perceived as prioritising profits over social and environmental concerns are perceived unfavourably, and this manifests in the form of public backlash and even litigations and fines (Crane and Matten, 2010). For example, as a result of bribing Chinese health officials, the Chinese government fined GSK a total of $489 million (Reuters, 2014). This serves to reinforce the argument that, in the modern business world, companies should not only be concerned about profits but should be concerned about remaining accountable to all stakeholders as well. </w:t>
      </w:r>
    </w:p>
    <w:p>
      <w:pPr>
        <w:spacing w:after="0" w:line="480" w:lineRule="auto"/>
        <w:jc w:val="both"/>
        <w:rPr>
          <w:rFonts w:ascii="Arial" w:hAnsi="Arial" w:cs="Arial"/>
          <w:sz w:val="24"/>
          <w:szCs w:val="24"/>
        </w:rPr>
      </w:pPr>
      <w:r>
        <w:rPr>
          <w:rFonts w:ascii="Arial" w:hAnsi="Arial" w:cs="Arial"/>
          <w:kern w:val="0"/>
          <w:sz w:val="24"/>
          <w:szCs w:val="24"/>
          <w:shd w:val="clear" w:color="auto" w:fill="FFFFFF"/>
          <w14:ligatures w14:val="none"/>
        </w:rPr>
        <w:t xml:space="preserve">More importantly, the discussions above reveal why most of the societies’ challenges persist despite the existence of a number of global policy interventions which are put in place to address these challenges. For instance, in addressing environmental degradation, a number of global climate agreements have been entered into by the United Nations, including the Paris Agreement. However, the impact of these interventions in bringing about fundamental change remains to be seen. In this regard, scholars such as Giddings et al. (2002) have pointed out that businesses are simply using CSR as a form of window dressing, to conceal the unsustainable practices by these organisations. In the same vein, Cook and </w:t>
      </w:r>
      <w:r>
        <w:rPr>
          <w:rFonts w:ascii="Arial" w:hAnsi="Arial" w:cs="Arial"/>
          <w:sz w:val="24"/>
          <w:szCs w:val="24"/>
        </w:rPr>
        <w:t>Swyngedouw (2012) also argue that Brundtland’s report emphasis on rapid economic growth as a means to addressing global problems such as poverty is also being misused by businesses in justifying and legitimising a number of practices which are not wholly sustainable. For example, in what was dubbed as the ‘diesel dupe’, the Environmental Protection Agency (EPA) revealed that many of Volkswagen cars sold in America were fitted with a device that could detect emission tests and change the vehicles’ performances in a manner that enabled the company to cheat the tests (BBC News, 2015). From the example of Volkswagen and GSK, it is notable that Brundtland’s definition of the concept of ‘sustainable development’ provides opportunity for businesses and capitalist societies to hide behind economic growth as the ‘morally bankrupt’ solution to most of the problems that the society is grappling with (</w:t>
      </w:r>
      <w:r>
        <w:rPr>
          <w:rFonts w:ascii="Arial" w:hAnsi="Arial" w:cs="Arial"/>
          <w:kern w:val="0"/>
          <w:sz w:val="24"/>
          <w:szCs w:val="24"/>
          <w:shd w:val="clear" w:color="auto" w:fill="FFFFFF"/>
          <w14:ligatures w14:val="none"/>
        </w:rPr>
        <w:t xml:space="preserve">Cook and </w:t>
      </w:r>
      <w:r>
        <w:rPr>
          <w:rFonts w:ascii="Arial" w:hAnsi="Arial" w:cs="Arial"/>
          <w:sz w:val="24"/>
          <w:szCs w:val="24"/>
        </w:rPr>
        <w:t xml:space="preserve">Swyngedouw, 2012). This in turn leads to trade-offs between social issues and environmental issues. </w:t>
      </w:r>
    </w:p>
    <w:p>
      <w:pPr>
        <w:spacing w:after="0" w:line="480" w:lineRule="auto"/>
        <w:jc w:val="both"/>
        <w:rPr>
          <w:rFonts w:ascii="Arial" w:hAnsi="Arial" w:cs="Arial"/>
          <w:sz w:val="24"/>
          <w:szCs w:val="24"/>
        </w:rPr>
      </w:pPr>
      <w:r>
        <w:rPr>
          <w:rFonts w:ascii="Arial" w:hAnsi="Arial" w:cs="Arial"/>
          <w:sz w:val="24"/>
          <w:szCs w:val="24"/>
        </w:rPr>
        <w:t xml:space="preserve">Evidently, in line with Groucho Marx’s assertions, the secrets of business success are transparency and honesty. The scholar goes ahead to state that businesses that are able to fake these two have got it made (Banerjee, 2008). This is evidenced by most of the companies that have been embroiled in scandals including Enron, GSK and Volkswagen among many others. That is, prior to their respective scandals, the companies are recognised for their perceived positive impact in the society. For example, prior to the bribery scandal, GSK was hailed as one of the most innovative pharmaceutical companies that is impacting positively on the society, more so in least developed countries (Kollewe, 2016). Therefore, drawing from the case of Volkswagen, GSK and Enron among other companies, it can be argued that CSR is a zero-sum game owing to the fact that, more often, CSR strategies are primarily aimed at meeting marketing purposes rather than addressing genuine social and environmental concerns. This explains why societal problems such as gambling, smoking, healthy eating and climate change persist today. </w:t>
      </w:r>
    </w:p>
    <w:p>
      <w:pPr>
        <w:pStyle w:val="3"/>
        <w:spacing w:before="0" w:line="480" w:lineRule="auto"/>
        <w:rPr>
          <w:rFonts w:ascii="Arial" w:hAnsi="Arial" w:cs="Arial"/>
          <w:szCs w:val="24"/>
        </w:rPr>
      </w:pPr>
      <w:bookmarkStart w:id="3" w:name="_Toc155958429"/>
      <w:r>
        <w:rPr>
          <w:rFonts w:ascii="Arial" w:hAnsi="Arial" w:cs="Arial"/>
          <w:szCs w:val="24"/>
        </w:rPr>
        <w:t>2.2 Attempt at finding solutions</w:t>
      </w:r>
      <w:bookmarkEnd w:id="3"/>
    </w:p>
    <w:p>
      <w:pPr>
        <w:spacing w:after="0" w:line="480" w:lineRule="auto"/>
        <w:jc w:val="both"/>
        <w:rPr>
          <w:rFonts w:ascii="Arial" w:hAnsi="Arial" w:cs="Arial"/>
          <w:sz w:val="24"/>
          <w:szCs w:val="24"/>
        </w:rPr>
      </w:pPr>
      <w:r>
        <w:rPr>
          <w:rFonts w:ascii="Arial" w:hAnsi="Arial" w:cs="Arial"/>
          <w:sz w:val="24"/>
          <w:szCs w:val="24"/>
        </w:rPr>
        <w:t xml:space="preserve">In summary, it is notable that despite the claims by science that human activities are polluting the planet besides creating a climate emergency, business do not seem to care. Instead, businesses are hiding behind the rallying calls for a more sustainable planet as a means to make even more profit. Specifically, businesses achieve this through window dressing-employing CSR strategy as a way of concealing the unsustainable practices by these companies (Bingley, 2012). Moreover, the discussions in the report reveal that there are ethical differences in what counts as ‘normal’ in different countries. </w:t>
      </w:r>
    </w:p>
    <w:p>
      <w:pPr>
        <w:spacing w:after="0" w:line="480" w:lineRule="auto"/>
        <w:jc w:val="both"/>
        <w:rPr>
          <w:rFonts w:ascii="Arial" w:hAnsi="Arial" w:cs="Arial"/>
          <w:sz w:val="24"/>
          <w:szCs w:val="24"/>
          <w:shd w:val="clear" w:color="auto" w:fill="FFFFFF"/>
        </w:rPr>
      </w:pPr>
      <w:r>
        <w:rPr>
          <w:rFonts w:ascii="Arial" w:hAnsi="Arial" w:cs="Arial"/>
          <w:sz w:val="24"/>
          <w:szCs w:val="24"/>
        </w:rPr>
        <w:t xml:space="preserve">Despite the differences, the report holds the stance that it is possible for trade to take place in the global marketplace without compromising the ethical principles. This can be achieved through blending of the concepts of ethical absolutism and ethical pluralism. According to </w:t>
      </w:r>
      <w:r>
        <w:rPr>
          <w:rFonts w:ascii="Arial" w:hAnsi="Arial" w:cs="Arial"/>
          <w:sz w:val="24"/>
          <w:szCs w:val="24"/>
          <w:shd w:val="clear" w:color="auto" w:fill="FFFFFF"/>
        </w:rPr>
        <w:t>Blowfield and Murray (2014)</w:t>
      </w:r>
      <w:r>
        <w:rPr>
          <w:rFonts w:ascii="Arial" w:hAnsi="Arial" w:cs="Arial"/>
          <w:sz w:val="24"/>
          <w:szCs w:val="24"/>
        </w:rPr>
        <w:t>, the principle of ethical pluralism is based on the premise that, cultures can legitimately pass judgements on one another and that there is need for businesses to listen to what other cultures say about particular ethical and moral standards. Based on ethical pluralism, businesses such as GSK will be able to realise that while some actions may be ethical in some cultures, this can be overturned in view of the judgements by other cultures. Moreover, based on ethical absolutism, businesses, governments among other relevant stakeholders can be able to come up with ethical standards that apply to all rational human beings and to all businesses beyond culture (</w:t>
      </w:r>
      <w:r>
        <w:rPr>
          <w:rFonts w:ascii="Arial" w:hAnsi="Arial" w:cs="Arial"/>
          <w:sz w:val="24"/>
          <w:szCs w:val="24"/>
          <w:shd w:val="clear" w:color="auto" w:fill="FFFFFF"/>
        </w:rPr>
        <w:t xml:space="preserve">Abun and Magallanez, 2018). </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Moreover, businesses should subscribe to the principles of teleological ethics whereby, how bad or good or how ethical or unethical a given action is determined by examining the action itself and not the consequences (Bingley, 2012). Further, drawing from Garriga and Melé (2004), the report takes the stance that a compatibilist approach whereby business challenges are balanced with environmental considerations can be achieved by understanding that the relationship between business and society is embedded with ethical values. Through this approach, firms will be able to develop a vision of CSR from ethical perspective and as such, accept social responsibilities as an ethical obligation above any other consideration. </w:t>
      </w:r>
    </w:p>
    <w:p>
      <w:pPr>
        <w:pStyle w:val="2"/>
        <w:spacing w:before="0" w:line="480" w:lineRule="auto"/>
        <w:rPr>
          <w:rFonts w:ascii="Arial" w:hAnsi="Arial" w:cs="Arial"/>
          <w:szCs w:val="24"/>
        </w:rPr>
      </w:pPr>
      <w:bookmarkStart w:id="4" w:name="_Toc155958430"/>
      <w:r>
        <w:rPr>
          <w:rFonts w:ascii="Arial" w:hAnsi="Arial" w:cs="Arial"/>
          <w:szCs w:val="24"/>
        </w:rPr>
        <w:t>3 Conclusion</w:t>
      </w:r>
      <w:bookmarkEnd w:id="4"/>
      <w:r>
        <w:rPr>
          <w:rFonts w:ascii="Arial" w:hAnsi="Arial" w:cs="Arial"/>
          <w:szCs w:val="24"/>
        </w:rPr>
        <w:t xml:space="preserve"> </w:t>
      </w:r>
    </w:p>
    <w:p>
      <w:pPr>
        <w:spacing w:after="0" w:line="480" w:lineRule="auto"/>
        <w:jc w:val="both"/>
        <w:rPr>
          <w:rFonts w:ascii="Arial" w:hAnsi="Arial" w:cs="Arial"/>
          <w:sz w:val="24"/>
          <w:szCs w:val="24"/>
        </w:rPr>
      </w:pPr>
      <w:r>
        <w:rPr>
          <w:rFonts w:ascii="Arial" w:hAnsi="Arial" w:cs="Arial"/>
          <w:sz w:val="24"/>
          <w:szCs w:val="24"/>
        </w:rPr>
        <w:t xml:space="preserve">Overall, the report highlights that in the increasingly globalised business environment, it is imperative for businesses to navigate the constraints presented by the political, cultural and social environments within which they operate. The report reveals that most businesses are trading in the global marketplace by compromising ethical principles, and that this is attributable to a number of factors including businesses’ emphasis on shareholder primacy and share value. In addressing some of these challenges, the report recommends the need for businesses to subscribe to a blend of ethical absolutism and ethical pluralism. Further, there is need for businesses to take a compatibilist approach by </w:t>
      </w:r>
      <w:r>
        <w:rPr>
          <w:rFonts w:ascii="Arial" w:hAnsi="Arial" w:cs="Arial"/>
          <w:sz w:val="24"/>
          <w:szCs w:val="24"/>
          <w:shd w:val="clear" w:color="auto" w:fill="FFFFFF"/>
        </w:rPr>
        <w:t>understanding that the relationship between business and society is embedded with ethical values.</w:t>
      </w:r>
    </w:p>
    <w:p>
      <w:pPr>
        <w:spacing w:after="0" w:line="480" w:lineRule="auto"/>
        <w:jc w:val="both"/>
        <w:rPr>
          <w:rFonts w:ascii="Arial" w:hAnsi="Arial" w:cs="Arial"/>
          <w:sz w:val="24"/>
          <w:szCs w:val="24"/>
        </w:rPr>
      </w:pPr>
    </w:p>
    <w:p>
      <w:pPr>
        <w:spacing w:after="0" w:line="480" w:lineRule="auto"/>
        <w:jc w:val="both"/>
        <w:rPr>
          <w:rFonts w:ascii="Arial" w:hAnsi="Arial" w:cs="Arial"/>
          <w:sz w:val="24"/>
          <w:szCs w:val="24"/>
        </w:rPr>
      </w:pPr>
    </w:p>
    <w:p>
      <w:pPr>
        <w:pStyle w:val="2"/>
        <w:spacing w:before="0" w:line="480" w:lineRule="auto"/>
        <w:rPr>
          <w:rFonts w:ascii="Arial" w:hAnsi="Arial" w:cs="Arial"/>
          <w:szCs w:val="24"/>
        </w:rPr>
      </w:pPr>
      <w:bookmarkStart w:id="5" w:name="_Toc155958431"/>
      <w:r>
        <w:rPr>
          <w:rFonts w:ascii="Arial" w:hAnsi="Arial" w:cs="Arial"/>
          <w:szCs w:val="24"/>
        </w:rPr>
        <w:t>References</w:t>
      </w:r>
      <w:bookmarkEnd w:id="5"/>
      <w:r>
        <w:rPr>
          <w:rFonts w:ascii="Arial" w:hAnsi="Arial" w:cs="Arial"/>
          <w:szCs w:val="24"/>
        </w:rPr>
        <w:t xml:space="preserve"> </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Abun, D., </w:t>
      </w:r>
      <w:r>
        <w:rPr>
          <w:rFonts w:ascii="Arial" w:hAnsi="Arial" w:eastAsia="Times New Roman" w:cs="Arial"/>
          <w:bCs/>
          <w:sz w:val="24"/>
          <w:szCs w:val="24"/>
        </w:rPr>
        <w:t>and</w:t>
      </w:r>
      <w:r>
        <w:rPr>
          <w:rFonts w:ascii="Arial" w:hAnsi="Arial" w:cs="Arial"/>
          <w:sz w:val="24"/>
          <w:szCs w:val="24"/>
          <w:shd w:val="clear" w:color="auto" w:fill="FFFFFF"/>
        </w:rPr>
        <w:t xml:space="preserve"> Magallanez, T. (2018) ‘Universal business ethics: A challenge to multinational companies’, </w:t>
      </w:r>
      <w:r>
        <w:rPr>
          <w:rFonts w:ascii="Arial" w:hAnsi="Arial" w:cs="Arial"/>
          <w:i/>
          <w:iCs/>
          <w:sz w:val="24"/>
          <w:szCs w:val="24"/>
          <w:shd w:val="clear" w:color="auto" w:fill="FFFFFF"/>
        </w:rPr>
        <w:t>IJAR</w:t>
      </w:r>
      <w:r>
        <w:rPr>
          <w:rFonts w:ascii="Arial" w:hAnsi="Arial" w:cs="Arial"/>
          <w:sz w:val="24"/>
          <w:szCs w:val="24"/>
          <w:shd w:val="clear" w:color="auto" w:fill="FFFFFF"/>
        </w:rPr>
        <w:t>, </w:t>
      </w:r>
      <w:r>
        <w:rPr>
          <w:rFonts w:ascii="Arial" w:hAnsi="Arial" w:cs="Arial"/>
          <w:i/>
          <w:iCs/>
          <w:sz w:val="24"/>
          <w:szCs w:val="24"/>
          <w:shd w:val="clear" w:color="auto" w:fill="FFFFFF"/>
        </w:rPr>
        <w:t>4</w:t>
      </w:r>
      <w:r>
        <w:rPr>
          <w:rFonts w:ascii="Arial" w:hAnsi="Arial" w:cs="Arial"/>
          <w:sz w:val="24"/>
          <w:szCs w:val="24"/>
          <w:shd w:val="clear" w:color="auto" w:fill="FFFFFF"/>
        </w:rPr>
        <w:t>(9), pp.190-195.</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lang w:val="en-GB"/>
        </w:rPr>
        <w:t xml:space="preserve">Banerjee, S. B. (2008) ‘Corporate social responsibility: The good, the bad and the ugly’, </w:t>
      </w:r>
      <w:r>
        <w:rPr>
          <w:rFonts w:ascii="Arial" w:hAnsi="Arial" w:cs="Arial"/>
          <w:i/>
          <w:iCs/>
          <w:sz w:val="24"/>
          <w:szCs w:val="24"/>
          <w:shd w:val="clear" w:color="auto" w:fill="FFFFFF"/>
          <w:lang w:val="en-GB"/>
        </w:rPr>
        <w:t>Critical Sociology</w:t>
      </w:r>
      <w:r>
        <w:rPr>
          <w:rFonts w:ascii="Arial" w:hAnsi="Arial" w:cs="Arial"/>
          <w:sz w:val="24"/>
          <w:szCs w:val="24"/>
          <w:shd w:val="clear" w:color="auto" w:fill="FFFFFF"/>
          <w:lang w:val="en-GB"/>
        </w:rPr>
        <w:t>, 34 (Jan.), pp. 51-79.</w:t>
      </w:r>
    </w:p>
    <w:p>
      <w:pPr>
        <w:spacing w:after="0" w:line="480" w:lineRule="auto"/>
        <w:jc w:val="both"/>
        <w:rPr>
          <w:rFonts w:ascii="Arial" w:hAnsi="Arial" w:eastAsia="Times New Roman" w:cs="Arial"/>
          <w:bCs/>
          <w:sz w:val="24"/>
          <w:szCs w:val="24"/>
        </w:rPr>
      </w:pPr>
      <w:r>
        <w:rPr>
          <w:rFonts w:ascii="Arial" w:hAnsi="Arial" w:eastAsia="Times New Roman" w:cs="Arial"/>
          <w:bCs/>
          <w:sz w:val="24"/>
          <w:szCs w:val="24"/>
        </w:rPr>
        <w:t xml:space="preserve">Bingley, M. (2012) </w:t>
      </w:r>
      <w:r>
        <w:rPr>
          <w:rFonts w:ascii="Arial" w:hAnsi="Arial" w:eastAsia="Times New Roman" w:cs="Arial"/>
          <w:bCs/>
          <w:i/>
          <w:iCs/>
          <w:sz w:val="24"/>
          <w:szCs w:val="24"/>
        </w:rPr>
        <w:t>Business, society and politics multinationals in emerging markets</w:t>
      </w:r>
      <w:r>
        <w:rPr>
          <w:rFonts w:ascii="Arial" w:hAnsi="Arial" w:eastAsia="Times New Roman" w:cs="Arial"/>
          <w:bCs/>
          <w:sz w:val="24"/>
          <w:szCs w:val="24"/>
        </w:rPr>
        <w:t xml:space="preserve">. UK: Emerald, </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Blair, M. M. (2003) ‘Shareholder value, corporate governance, and corporate performance’, </w:t>
      </w:r>
      <w:r>
        <w:rPr>
          <w:rFonts w:ascii="Arial" w:hAnsi="Arial" w:cs="Arial"/>
          <w:i/>
          <w:iCs/>
          <w:sz w:val="24"/>
          <w:szCs w:val="24"/>
          <w:shd w:val="clear" w:color="auto" w:fill="FFFFFF"/>
        </w:rPr>
        <w:t>Corporate governance and capital flows in a global economy</w:t>
      </w:r>
      <w:r>
        <w:rPr>
          <w:rFonts w:ascii="Arial" w:hAnsi="Arial" w:cs="Arial"/>
          <w:sz w:val="24"/>
          <w:szCs w:val="24"/>
          <w:shd w:val="clear" w:color="auto" w:fill="FFFFFF"/>
        </w:rPr>
        <w:t>, pp. 53-82.</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Blowfield, M. and Murray, A. (2014) </w:t>
      </w:r>
      <w:r>
        <w:rPr>
          <w:rFonts w:ascii="Arial" w:hAnsi="Arial" w:cs="Arial"/>
          <w:i/>
          <w:iCs/>
          <w:sz w:val="24"/>
          <w:szCs w:val="24"/>
          <w:shd w:val="clear" w:color="auto" w:fill="FFFFFF"/>
        </w:rPr>
        <w:t>Corporate responsibility: a critical introduction</w:t>
      </w:r>
      <w:r>
        <w:rPr>
          <w:rFonts w:ascii="Arial" w:hAnsi="Arial" w:cs="Arial"/>
          <w:sz w:val="24"/>
          <w:szCs w:val="24"/>
          <w:shd w:val="clear" w:color="auto" w:fill="FFFFFF"/>
        </w:rPr>
        <w:t>. 3rd Edition</w:t>
      </w:r>
      <w:r>
        <w:rPr>
          <w:rFonts w:hint="eastAsia" w:ascii="Arial" w:hAnsi="Arial" w:cs="Arial"/>
          <w:sz w:val="24"/>
          <w:szCs w:val="24"/>
          <w:shd w:val="clear" w:color="auto" w:fill="FFFFFF"/>
          <w:lang w:eastAsia="zh-CN"/>
        </w:rPr>
        <w:t>.</w:t>
      </w:r>
      <w:r>
        <w:rPr>
          <w:rFonts w:ascii="Arial" w:hAnsi="Arial" w:cs="Arial"/>
          <w:sz w:val="24"/>
          <w:szCs w:val="24"/>
          <w:shd w:val="clear" w:color="auto" w:fill="FFFFFF"/>
          <w:lang w:eastAsia="zh-CN"/>
        </w:rPr>
        <w:t xml:space="preserve"> </w:t>
      </w:r>
      <w:r>
        <w:rPr>
          <w:rFonts w:ascii="Arial" w:hAnsi="Arial" w:cs="Arial"/>
          <w:sz w:val="24"/>
          <w:szCs w:val="24"/>
          <w:shd w:val="clear" w:color="auto" w:fill="FFFFFF"/>
        </w:rPr>
        <w:t>Oxford: Oxford OUP.</w:t>
      </w:r>
    </w:p>
    <w:p>
      <w:pPr>
        <w:spacing w:after="0" w:line="480" w:lineRule="auto"/>
        <w:jc w:val="both"/>
        <w:rPr>
          <w:rFonts w:ascii="Arial" w:hAnsi="Arial" w:cs="Arial"/>
          <w:sz w:val="24"/>
          <w:szCs w:val="24"/>
        </w:rPr>
      </w:pPr>
      <w:r>
        <w:rPr>
          <w:rFonts w:ascii="Arial" w:hAnsi="Arial" w:cs="Arial"/>
          <w:sz w:val="24"/>
          <w:szCs w:val="24"/>
        </w:rPr>
        <w:t xml:space="preserve">Brookings (2021) </w:t>
      </w:r>
      <w:r>
        <w:rPr>
          <w:rFonts w:ascii="Arial" w:hAnsi="Arial" w:cs="Arial"/>
          <w:i/>
          <w:iCs/>
          <w:sz w:val="24"/>
          <w:szCs w:val="24"/>
        </w:rPr>
        <w:t>Government regulated or negotiated drug prices: Key design considerations</w:t>
      </w:r>
      <w:r>
        <w:rPr>
          <w:rFonts w:ascii="Arial" w:hAnsi="Arial" w:cs="Arial"/>
          <w:sz w:val="24"/>
          <w:szCs w:val="24"/>
        </w:rPr>
        <w:t xml:space="preserve">. Available at: https://www.brookings.edu/essay/government-regulated-or-negotiated-drug-prices-key-design-considerations/ (Accessed 06 Jan 2024). </w:t>
      </w:r>
    </w:p>
    <w:p>
      <w:pPr>
        <w:spacing w:after="0" w:line="480" w:lineRule="auto"/>
        <w:jc w:val="both"/>
        <w:rPr>
          <w:rFonts w:ascii="Arial" w:hAnsi="Arial" w:cs="Arial"/>
          <w:sz w:val="24"/>
          <w:szCs w:val="24"/>
        </w:rPr>
      </w:pPr>
      <w:r>
        <w:rPr>
          <w:rFonts w:ascii="Arial" w:hAnsi="Arial" w:cs="Arial"/>
          <w:sz w:val="24"/>
          <w:szCs w:val="24"/>
        </w:rPr>
        <w:t xml:space="preserve">Carroll A and Buchholtz A. (2014) </w:t>
      </w:r>
      <w:r>
        <w:rPr>
          <w:rFonts w:ascii="Arial" w:hAnsi="Arial" w:cs="Arial"/>
          <w:i/>
          <w:iCs/>
          <w:sz w:val="24"/>
          <w:szCs w:val="24"/>
        </w:rPr>
        <w:t>Business and Society: Ethics &amp; Stakeholder Management</w:t>
      </w:r>
      <w:r>
        <w:rPr>
          <w:rFonts w:ascii="Arial" w:hAnsi="Arial" w:cs="Arial"/>
          <w:sz w:val="24"/>
          <w:szCs w:val="24"/>
        </w:rPr>
        <w:t>. Cincinnati. USA: South-Western College Publishing.</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Cook, I. R., </w:t>
      </w:r>
      <w:r>
        <w:rPr>
          <w:rFonts w:ascii="Arial" w:hAnsi="Arial" w:eastAsia="Times New Roman" w:cs="Arial"/>
          <w:bCs/>
          <w:sz w:val="24"/>
          <w:szCs w:val="24"/>
        </w:rPr>
        <w:t>and</w:t>
      </w:r>
      <w:r>
        <w:rPr>
          <w:rFonts w:ascii="Arial" w:hAnsi="Arial" w:cs="Arial"/>
          <w:sz w:val="24"/>
          <w:szCs w:val="24"/>
          <w:shd w:val="clear" w:color="auto" w:fill="FFFFFF"/>
        </w:rPr>
        <w:t xml:space="preserve"> Swyngedouw, E. (2012) ‘Cities, social cohesion and the environment: towards a future research agenda’, </w:t>
      </w:r>
      <w:r>
        <w:rPr>
          <w:rFonts w:ascii="Arial" w:hAnsi="Arial" w:cs="Arial"/>
          <w:i/>
          <w:iCs/>
          <w:sz w:val="24"/>
          <w:szCs w:val="24"/>
          <w:shd w:val="clear" w:color="auto" w:fill="FFFFFF"/>
        </w:rPr>
        <w:t>Urban Studies</w:t>
      </w:r>
      <w:r>
        <w:rPr>
          <w:rFonts w:ascii="Arial" w:hAnsi="Arial" w:cs="Arial"/>
          <w:sz w:val="24"/>
          <w:szCs w:val="24"/>
          <w:shd w:val="clear" w:color="auto" w:fill="FFFFFF"/>
        </w:rPr>
        <w:t>, </w:t>
      </w:r>
      <w:r>
        <w:rPr>
          <w:rFonts w:ascii="Arial" w:hAnsi="Arial" w:cs="Arial"/>
          <w:i/>
          <w:iCs/>
          <w:sz w:val="24"/>
          <w:szCs w:val="24"/>
          <w:shd w:val="clear" w:color="auto" w:fill="FFFFFF"/>
        </w:rPr>
        <w:t>49</w:t>
      </w:r>
      <w:r>
        <w:rPr>
          <w:rFonts w:ascii="Arial" w:hAnsi="Arial" w:cs="Arial"/>
          <w:sz w:val="24"/>
          <w:szCs w:val="24"/>
          <w:shd w:val="clear" w:color="auto" w:fill="FFFFFF"/>
        </w:rPr>
        <w:t>(9), pp. 1959-1979.</w:t>
      </w:r>
    </w:p>
    <w:p>
      <w:pPr>
        <w:spacing w:after="0" w:line="480" w:lineRule="auto"/>
        <w:jc w:val="both"/>
        <w:rPr>
          <w:rFonts w:ascii="Arial" w:hAnsi="Arial" w:eastAsia="Times New Roman" w:cs="Arial"/>
          <w:bCs/>
          <w:sz w:val="24"/>
          <w:szCs w:val="24"/>
        </w:rPr>
      </w:pPr>
      <w:r>
        <w:rPr>
          <w:rFonts w:ascii="Arial" w:hAnsi="Arial" w:eastAsia="Times New Roman" w:cs="Arial"/>
          <w:bCs/>
          <w:sz w:val="24"/>
          <w:szCs w:val="24"/>
        </w:rPr>
        <w:t xml:space="preserve">Crane, A. and Matten, D. (2010) </w:t>
      </w:r>
      <w:r>
        <w:rPr>
          <w:rFonts w:ascii="Arial" w:hAnsi="Arial" w:eastAsia="Times New Roman" w:cs="Arial"/>
          <w:bCs/>
          <w:i/>
          <w:iCs/>
          <w:sz w:val="24"/>
          <w:szCs w:val="24"/>
        </w:rPr>
        <w:t xml:space="preserve">Business Ethics: Managing Corporate Citizenship and Sustainability in the age of globalisation. </w:t>
      </w:r>
      <w:r>
        <w:rPr>
          <w:rFonts w:ascii="Arial" w:hAnsi="Arial" w:eastAsia="Times New Roman" w:cs="Arial"/>
          <w:bCs/>
          <w:sz w:val="24"/>
          <w:szCs w:val="24"/>
        </w:rPr>
        <w:t>Oxford OUP.</w:t>
      </w:r>
    </w:p>
    <w:p>
      <w:pPr>
        <w:spacing w:after="0" w:line="480" w:lineRule="auto"/>
        <w:jc w:val="both"/>
        <w:rPr>
          <w:rFonts w:ascii="Arial" w:hAnsi="Arial" w:eastAsia="宋体" w:cs="Arial"/>
          <w:sz w:val="24"/>
          <w:szCs w:val="24"/>
        </w:rPr>
      </w:pPr>
      <w:r>
        <w:rPr>
          <w:rFonts w:ascii="Arial" w:hAnsi="Arial" w:eastAsia="宋体" w:cs="Arial"/>
          <w:sz w:val="24"/>
          <w:szCs w:val="24"/>
        </w:rPr>
        <w:t>Crane, A., Palazzo, G., Spence, L. J., and Matten, D. (2014) ‘Contesting the value of 'creating shared value’, </w:t>
      </w:r>
      <w:r>
        <w:rPr>
          <w:rFonts w:ascii="Arial" w:hAnsi="Arial" w:eastAsia="宋体" w:cs="Arial"/>
          <w:i/>
          <w:iCs/>
          <w:sz w:val="24"/>
          <w:szCs w:val="24"/>
        </w:rPr>
        <w:t>California Management Review</w:t>
      </w:r>
      <w:r>
        <w:rPr>
          <w:rFonts w:ascii="Arial" w:hAnsi="Arial" w:eastAsia="宋体" w:cs="Arial"/>
          <w:sz w:val="24"/>
          <w:szCs w:val="24"/>
        </w:rPr>
        <w:t>, 56 (2), pp. 130-153.</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Eade, J., </w:t>
      </w:r>
      <w:r>
        <w:rPr>
          <w:rFonts w:ascii="Arial" w:hAnsi="Arial" w:eastAsia="Times New Roman" w:cs="Arial"/>
          <w:bCs/>
          <w:sz w:val="24"/>
          <w:szCs w:val="24"/>
        </w:rPr>
        <w:t>and</w:t>
      </w:r>
      <w:r>
        <w:rPr>
          <w:rFonts w:ascii="Arial" w:hAnsi="Arial" w:cs="Arial"/>
          <w:sz w:val="24"/>
          <w:szCs w:val="24"/>
          <w:shd w:val="clear" w:color="auto" w:fill="FFFFFF"/>
        </w:rPr>
        <w:t xml:space="preserve"> O'Byrne, D. (2017) </w:t>
      </w:r>
      <w:r>
        <w:rPr>
          <w:rFonts w:ascii="Arial" w:hAnsi="Arial" w:cs="Arial"/>
          <w:i/>
          <w:iCs/>
          <w:sz w:val="24"/>
          <w:szCs w:val="24"/>
          <w:shd w:val="clear" w:color="auto" w:fill="FFFFFF"/>
        </w:rPr>
        <w:t>Global ethics and civil society</w:t>
      </w:r>
      <w:r>
        <w:rPr>
          <w:rFonts w:ascii="Arial" w:hAnsi="Arial" w:cs="Arial"/>
          <w:sz w:val="24"/>
          <w:szCs w:val="24"/>
          <w:shd w:val="clear" w:color="auto" w:fill="FFFFFF"/>
        </w:rPr>
        <w:t>. London: Routledge.</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Friedman, M. (2007) ‘The social responsibility of business is to increase its profits’, </w:t>
      </w:r>
      <w:r>
        <w:rPr>
          <w:rFonts w:ascii="Arial" w:hAnsi="Arial" w:cs="Arial"/>
          <w:i/>
          <w:iCs/>
          <w:sz w:val="24"/>
          <w:szCs w:val="24"/>
          <w:shd w:val="clear" w:color="auto" w:fill="FFFFFF"/>
        </w:rPr>
        <w:t>Corporate ethics and corporate governance</w:t>
      </w:r>
      <w:r>
        <w:rPr>
          <w:rFonts w:ascii="Arial" w:hAnsi="Arial" w:cs="Arial"/>
          <w:sz w:val="24"/>
          <w:szCs w:val="24"/>
          <w:shd w:val="clear" w:color="auto" w:fill="FFFFFF"/>
        </w:rPr>
        <w:t>, pp. 173-178.</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Garriga, E., </w:t>
      </w:r>
      <w:r>
        <w:rPr>
          <w:rFonts w:ascii="Arial" w:hAnsi="Arial" w:eastAsia="Times New Roman" w:cs="Arial"/>
          <w:bCs/>
          <w:sz w:val="24"/>
          <w:szCs w:val="24"/>
        </w:rPr>
        <w:t>and</w:t>
      </w:r>
      <w:r>
        <w:rPr>
          <w:rFonts w:ascii="Arial" w:hAnsi="Arial" w:cs="Arial"/>
          <w:sz w:val="24"/>
          <w:szCs w:val="24"/>
          <w:shd w:val="clear" w:color="auto" w:fill="FFFFFF"/>
        </w:rPr>
        <w:t xml:space="preserve"> Melé, D. (2004) ‘Corporate social responsibility theories: Mapping the territory’, </w:t>
      </w:r>
      <w:r>
        <w:rPr>
          <w:rFonts w:ascii="Arial" w:hAnsi="Arial" w:cs="Arial"/>
          <w:i/>
          <w:iCs/>
          <w:sz w:val="24"/>
          <w:szCs w:val="24"/>
          <w:shd w:val="clear" w:color="auto" w:fill="FFFFFF"/>
        </w:rPr>
        <w:t>Journal of business ethics</w:t>
      </w:r>
      <w:r>
        <w:rPr>
          <w:rFonts w:ascii="Arial" w:hAnsi="Arial" w:cs="Arial"/>
          <w:sz w:val="24"/>
          <w:szCs w:val="24"/>
          <w:shd w:val="clear" w:color="auto" w:fill="FFFFFF"/>
        </w:rPr>
        <w:t>, </w:t>
      </w:r>
      <w:r>
        <w:rPr>
          <w:rFonts w:ascii="Arial" w:hAnsi="Arial" w:cs="Arial"/>
          <w:i/>
          <w:iCs/>
          <w:sz w:val="24"/>
          <w:szCs w:val="24"/>
          <w:shd w:val="clear" w:color="auto" w:fill="FFFFFF"/>
        </w:rPr>
        <w:t>53</w:t>
      </w:r>
      <w:r>
        <w:rPr>
          <w:rFonts w:ascii="Arial" w:hAnsi="Arial" w:cs="Arial"/>
          <w:sz w:val="24"/>
          <w:szCs w:val="24"/>
          <w:shd w:val="clear" w:color="auto" w:fill="FFFFFF"/>
        </w:rPr>
        <w:t>, pp. 51-71.</w:t>
      </w:r>
    </w:p>
    <w:p>
      <w:pPr>
        <w:spacing w:after="0" w:line="480" w:lineRule="auto"/>
        <w:jc w:val="both"/>
        <w:rPr>
          <w:rFonts w:ascii="Arial" w:hAnsi="Arial" w:cs="Arial"/>
          <w:sz w:val="24"/>
          <w:szCs w:val="24"/>
        </w:rPr>
      </w:pPr>
      <w:r>
        <w:rPr>
          <w:rFonts w:ascii="Arial" w:hAnsi="Arial" w:cs="Arial"/>
          <w:sz w:val="24"/>
          <w:szCs w:val="24"/>
        </w:rPr>
        <w:t xml:space="preserve">Giddings B, Hopwood B, </w:t>
      </w:r>
      <w:r>
        <w:rPr>
          <w:rFonts w:ascii="Arial" w:hAnsi="Arial" w:eastAsia="Times New Roman" w:cs="Arial"/>
          <w:bCs/>
          <w:sz w:val="24"/>
          <w:szCs w:val="24"/>
        </w:rPr>
        <w:t>and</w:t>
      </w:r>
      <w:r>
        <w:rPr>
          <w:rFonts w:ascii="Arial" w:hAnsi="Arial" w:cs="Arial"/>
          <w:sz w:val="24"/>
          <w:szCs w:val="24"/>
        </w:rPr>
        <w:t xml:space="preserve"> O’Brien G. (2002) ‘Environment, economy and society: fitting them together into sustainable development’</w:t>
      </w:r>
      <w:r>
        <w:rPr>
          <w:rFonts w:ascii="Arial" w:hAnsi="Arial" w:cs="Arial"/>
          <w:i/>
          <w:sz w:val="24"/>
          <w:szCs w:val="24"/>
        </w:rPr>
        <w:t>, Sustainable Development</w:t>
      </w:r>
      <w:r>
        <w:rPr>
          <w:rFonts w:ascii="Arial" w:hAnsi="Arial" w:cs="Arial"/>
          <w:sz w:val="24"/>
          <w:szCs w:val="24"/>
        </w:rPr>
        <w:t xml:space="preserve"> 10, pp. 187–196. </w:t>
      </w:r>
    </w:p>
    <w:p>
      <w:pPr>
        <w:spacing w:after="0" w:line="480" w:lineRule="auto"/>
        <w:jc w:val="both"/>
        <w:rPr>
          <w:rFonts w:ascii="Arial" w:hAnsi="Arial" w:eastAsia="Times New Roman" w:cs="Arial"/>
          <w:bCs/>
          <w:sz w:val="24"/>
          <w:szCs w:val="24"/>
        </w:rPr>
      </w:pPr>
      <w:r>
        <w:rPr>
          <w:rFonts w:ascii="Arial" w:hAnsi="Arial" w:eastAsia="Times New Roman" w:cs="Arial"/>
          <w:bCs/>
          <w:sz w:val="24"/>
          <w:szCs w:val="24"/>
        </w:rPr>
        <w:t xml:space="preserve">Hutchings, K. (2010) </w:t>
      </w:r>
      <w:r>
        <w:rPr>
          <w:rFonts w:ascii="Arial" w:hAnsi="Arial" w:eastAsia="Times New Roman" w:cs="Arial"/>
          <w:bCs/>
          <w:i/>
          <w:iCs/>
          <w:sz w:val="24"/>
          <w:szCs w:val="24"/>
        </w:rPr>
        <w:t>Global Ethics: An Introduction.</w:t>
      </w:r>
      <w:r>
        <w:rPr>
          <w:rFonts w:ascii="Arial" w:hAnsi="Arial" w:eastAsia="Times New Roman" w:cs="Arial"/>
          <w:bCs/>
          <w:sz w:val="24"/>
          <w:szCs w:val="24"/>
        </w:rPr>
        <w:t xml:space="preserve"> New York: Polity Press.</w:t>
      </w:r>
    </w:p>
    <w:p>
      <w:pPr>
        <w:spacing w:after="0" w:line="480" w:lineRule="auto"/>
        <w:jc w:val="both"/>
        <w:rPr>
          <w:rFonts w:ascii="Arial" w:hAnsi="Arial" w:cs="Arial"/>
          <w:sz w:val="24"/>
          <w:szCs w:val="24"/>
        </w:rPr>
      </w:pPr>
      <w:r>
        <w:rPr>
          <w:rFonts w:ascii="Arial" w:hAnsi="Arial" w:cs="Arial"/>
          <w:sz w:val="24"/>
          <w:szCs w:val="24"/>
        </w:rPr>
        <w:t xml:space="preserve">Kollewe, J. (2016) GlaxoSmithKline to lower drug prices in poorer countries. </w:t>
      </w:r>
      <w:r>
        <w:rPr>
          <w:rFonts w:ascii="Arial" w:hAnsi="Arial" w:cs="Arial"/>
          <w:i/>
          <w:iCs/>
          <w:sz w:val="24"/>
          <w:szCs w:val="24"/>
        </w:rPr>
        <w:t>The Guardian.</w:t>
      </w:r>
      <w:r>
        <w:rPr>
          <w:rFonts w:ascii="Arial" w:hAnsi="Arial" w:cs="Arial"/>
          <w:sz w:val="24"/>
          <w:szCs w:val="24"/>
        </w:rPr>
        <w:t xml:space="preserve"> Available at: https://www.theguardian.com/business/2016/mar/31/glaxosmithkline-to-lower-drug-prices-to-help-poorer-countries  (Accessed 01 Jan 2024).</w:t>
      </w:r>
    </w:p>
    <w:p>
      <w:pPr>
        <w:spacing w:after="0" w:line="480" w:lineRule="auto"/>
        <w:jc w:val="both"/>
        <w:rPr>
          <w:rFonts w:ascii="Arial" w:hAnsi="Arial" w:eastAsia="Times New Roman" w:cs="Arial"/>
          <w:bCs/>
          <w:sz w:val="24"/>
          <w:szCs w:val="24"/>
        </w:rPr>
      </w:pPr>
      <w:r>
        <w:rPr>
          <w:rFonts w:ascii="Arial" w:hAnsi="Arial" w:eastAsia="Times New Roman" w:cs="Arial"/>
          <w:bCs/>
          <w:sz w:val="24"/>
          <w:szCs w:val="24"/>
        </w:rPr>
        <w:t xml:space="preserve">Lloyd, M. (2010) </w:t>
      </w:r>
      <w:r>
        <w:rPr>
          <w:rFonts w:ascii="Arial" w:hAnsi="Arial" w:eastAsia="Times New Roman" w:cs="Arial"/>
          <w:bCs/>
          <w:i/>
          <w:iCs/>
          <w:sz w:val="24"/>
          <w:szCs w:val="24"/>
        </w:rPr>
        <w:t>Business at a crossroads</w:t>
      </w:r>
      <w:r>
        <w:rPr>
          <w:rFonts w:ascii="Arial" w:hAnsi="Arial" w:eastAsia="Times New Roman" w:cs="Arial"/>
          <w:bCs/>
          <w:sz w:val="24"/>
          <w:szCs w:val="24"/>
        </w:rPr>
        <w:t>. London: Palgrave Macmillan UK</w:t>
      </w:r>
    </w:p>
    <w:p>
      <w:pPr>
        <w:spacing w:after="0" w:line="480" w:lineRule="auto"/>
        <w:jc w:val="both"/>
        <w:rPr>
          <w:rFonts w:ascii="Arial" w:hAnsi="Arial" w:eastAsia="宋体" w:cs="Arial"/>
          <w:sz w:val="24"/>
          <w:szCs w:val="24"/>
        </w:rPr>
      </w:pPr>
      <w:r>
        <w:rPr>
          <w:rFonts w:ascii="Arial" w:hAnsi="Arial" w:eastAsia="宋体" w:cs="Arial"/>
          <w:sz w:val="24"/>
          <w:szCs w:val="24"/>
        </w:rPr>
        <w:t xml:space="preserve">Porter, M., and Kramer, M. R. (2011) ‘Creating shared value’, </w:t>
      </w:r>
      <w:r>
        <w:rPr>
          <w:rFonts w:ascii="Arial" w:hAnsi="Arial" w:eastAsia="宋体" w:cs="Arial"/>
          <w:sz w:val="24"/>
          <w:szCs w:val="24"/>
        </w:rPr>
        <w:t>Harvard Business Review</w:t>
      </w:r>
      <w:r>
        <w:rPr>
          <w:rFonts w:ascii="Arial" w:hAnsi="Arial" w:eastAsia="宋体" w:cs="Arial"/>
          <w:sz w:val="24"/>
          <w:szCs w:val="24"/>
        </w:rPr>
        <w:t>, 89 (1/2), pp. 62-77.</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Rizhamadze, K. (2020) ‘Analyzing Business Model, Narrative and Numbers of GSK (Glaxosmithkline)’, </w:t>
      </w:r>
      <w:r>
        <w:rPr>
          <w:rFonts w:ascii="Arial" w:hAnsi="Arial" w:cs="Arial"/>
          <w:i/>
          <w:iCs/>
          <w:sz w:val="24"/>
          <w:szCs w:val="24"/>
          <w:shd w:val="clear" w:color="auto" w:fill="FFFFFF"/>
        </w:rPr>
        <w:t>Eurasian Journal of Social Sciences</w:t>
      </w:r>
      <w:r>
        <w:rPr>
          <w:rFonts w:ascii="Arial" w:hAnsi="Arial" w:cs="Arial"/>
          <w:sz w:val="24"/>
          <w:szCs w:val="24"/>
          <w:shd w:val="clear" w:color="auto" w:fill="FFFFFF"/>
        </w:rPr>
        <w:t>, </w:t>
      </w:r>
      <w:r>
        <w:rPr>
          <w:rFonts w:ascii="Arial" w:hAnsi="Arial" w:cs="Arial"/>
          <w:i/>
          <w:iCs/>
          <w:sz w:val="24"/>
          <w:szCs w:val="24"/>
          <w:shd w:val="clear" w:color="auto" w:fill="FFFFFF"/>
        </w:rPr>
        <w:t>8</w:t>
      </w:r>
      <w:r>
        <w:rPr>
          <w:rFonts w:ascii="Arial" w:hAnsi="Arial" w:cs="Arial"/>
          <w:sz w:val="24"/>
          <w:szCs w:val="24"/>
          <w:shd w:val="clear" w:color="auto" w:fill="FFFFFF"/>
        </w:rPr>
        <w:t>(1), pp. 35-41.</w:t>
      </w:r>
    </w:p>
    <w:p>
      <w:pPr>
        <w:spacing w:after="0" w:line="480" w:lineRule="auto"/>
        <w:jc w:val="both"/>
        <w:rPr>
          <w:rFonts w:ascii="Arial" w:hAnsi="Arial" w:cs="Arial"/>
          <w:sz w:val="24"/>
          <w:szCs w:val="24"/>
          <w:shd w:val="clear" w:color="auto" w:fill="FFFFFF"/>
        </w:rPr>
      </w:pPr>
      <w:r>
        <w:rPr>
          <w:rFonts w:ascii="Arial" w:hAnsi="Arial" w:cs="Arial"/>
          <w:sz w:val="24"/>
          <w:szCs w:val="24"/>
          <w:shd w:val="clear" w:color="auto" w:fill="FFFFFF"/>
        </w:rPr>
        <w:t>Saïd, K., Sevic, Z., &amp; Phillips, I. L. (2019) ‘The challenges of addressing stakeholders’ expectations through corporate non-market strategies in emergent countries: The GlaxoSmithKline (GSK) case’, </w:t>
      </w:r>
      <w:r>
        <w:rPr>
          <w:rFonts w:ascii="Arial" w:hAnsi="Arial" w:cs="Arial"/>
          <w:i/>
          <w:iCs/>
          <w:sz w:val="24"/>
          <w:szCs w:val="24"/>
          <w:shd w:val="clear" w:color="auto" w:fill="FFFFFF"/>
        </w:rPr>
        <w:t>critical perspectives on international business</w:t>
      </w:r>
      <w:r>
        <w:rPr>
          <w:rFonts w:ascii="Arial" w:hAnsi="Arial" w:cs="Arial"/>
          <w:sz w:val="24"/>
          <w:szCs w:val="24"/>
          <w:shd w:val="clear" w:color="auto" w:fill="FFFFFF"/>
        </w:rPr>
        <w:t>, </w:t>
      </w:r>
      <w:r>
        <w:rPr>
          <w:rFonts w:ascii="Arial" w:hAnsi="Arial" w:cs="Arial"/>
          <w:i/>
          <w:iCs/>
          <w:sz w:val="24"/>
          <w:szCs w:val="24"/>
          <w:shd w:val="clear" w:color="auto" w:fill="FFFFFF"/>
        </w:rPr>
        <w:t>15</w:t>
      </w:r>
      <w:r>
        <w:rPr>
          <w:rFonts w:ascii="Arial" w:hAnsi="Arial" w:cs="Arial"/>
          <w:sz w:val="24"/>
          <w:szCs w:val="24"/>
          <w:shd w:val="clear" w:color="auto" w:fill="FFFFFF"/>
        </w:rPr>
        <w:t>(1), pp. 87-106.</w:t>
      </w:r>
    </w:p>
    <w:p>
      <w:pPr>
        <w:spacing w:after="0" w:line="480" w:lineRule="auto"/>
        <w:jc w:val="both"/>
        <w:rPr>
          <w:rFonts w:ascii="Arial" w:hAnsi="Arial" w:cs="Arial"/>
          <w:sz w:val="24"/>
          <w:szCs w:val="24"/>
        </w:rPr>
      </w:pPr>
      <w:r>
        <w:rPr>
          <w:rFonts w:ascii="Arial" w:hAnsi="Arial" w:cs="Arial"/>
          <w:sz w:val="24"/>
          <w:szCs w:val="24"/>
        </w:rPr>
        <w:t xml:space="preserve">Sullivan, T. (2018) GSK Chinese Bribery Scandal Ends in $489 Million Fine, Executive Sentenced. </w:t>
      </w:r>
      <w:r>
        <w:rPr>
          <w:rFonts w:ascii="Arial" w:hAnsi="Arial" w:cs="Arial"/>
          <w:i/>
          <w:iCs/>
          <w:sz w:val="24"/>
          <w:szCs w:val="24"/>
        </w:rPr>
        <w:t xml:space="preserve">Policy and Medicine. </w:t>
      </w:r>
      <w:r>
        <w:rPr>
          <w:rFonts w:ascii="Arial" w:hAnsi="Arial" w:cs="Arial"/>
          <w:sz w:val="24"/>
          <w:szCs w:val="24"/>
        </w:rPr>
        <w:t xml:space="preserve">Available at: https://www.policymed.com/2014/09/gsk-chinese-bribery-scandal-ends-in-489-million-fine-executive-sentenced.html (Accessed 08 Jan 2024). </w:t>
      </w:r>
    </w:p>
    <w:p>
      <w:pPr>
        <w:spacing w:line="360" w:lineRule="auto"/>
        <w:jc w:val="both"/>
        <w:rPr>
          <w:rFonts w:ascii="Arial" w:hAnsi="Arial" w:cs="Arial"/>
          <w:kern w:val="0"/>
          <w:sz w:val="24"/>
          <w:szCs w:val="24"/>
          <w:shd w:val="clear" w:color="auto" w:fill="FFFFFF"/>
          <w14:ligatures w14:val="none"/>
        </w:rPr>
      </w:pPr>
    </w:p>
    <w:p>
      <w:pPr>
        <w:spacing w:line="360" w:lineRule="auto"/>
        <w:jc w:val="both"/>
        <w:rPr>
          <w:rFonts w:ascii="Arial" w:hAnsi="Arial" w:cs="Arial"/>
          <w:kern w:val="0"/>
          <w:sz w:val="24"/>
          <w:szCs w:val="24"/>
          <w:shd w:val="clear" w:color="auto" w:fill="FFFFFF"/>
          <w14:ligatures w14:val="none"/>
        </w:rPr>
      </w:pPr>
    </w:p>
    <w:p>
      <w:pPr>
        <w:spacing w:line="360" w:lineRule="auto"/>
        <w:jc w:val="both"/>
        <w:rPr>
          <w:rFonts w:ascii="Arial" w:hAnsi="Arial" w:cs="Arial"/>
          <w:kern w:val="0"/>
          <w:sz w:val="24"/>
          <w:szCs w:val="24"/>
          <w:shd w:val="clear" w:color="auto" w:fill="FFFFFF"/>
          <w14:ligatures w14:val="none"/>
        </w:rPr>
      </w:pPr>
    </w:p>
    <w:p>
      <w:pPr>
        <w:spacing w:line="360" w:lineRule="auto"/>
        <w:jc w:val="both"/>
        <w:rPr>
          <w:rFonts w:ascii="Arial" w:hAnsi="Arial" w:cs="Arial"/>
          <w:kern w:val="0"/>
          <w:sz w:val="24"/>
          <w:szCs w:val="24"/>
          <w:shd w:val="clear" w:color="auto" w:fill="FFFFFF"/>
          <w14:ligatures w14:val="none"/>
        </w:rPr>
      </w:pPr>
    </w:p>
    <w:p>
      <w:pPr>
        <w:spacing w:line="360" w:lineRule="auto"/>
        <w:jc w:val="both"/>
        <w:rPr>
          <w:rFonts w:ascii="Arial" w:hAnsi="Arial" w:cs="Arial"/>
          <w:sz w:val="24"/>
          <w:szCs w:val="24"/>
          <w:shd w:val="clear" w:color="auto" w:fill="FFFFFF"/>
        </w:rPr>
      </w:pPr>
    </w:p>
    <w:p>
      <w:pPr>
        <w:spacing w:line="480" w:lineRule="auto"/>
        <w:jc w:val="both"/>
        <w:rPr>
          <w:rFonts w:ascii="Arial" w:hAnsi="Arial" w:cs="Arial"/>
          <w:sz w:val="24"/>
          <w:szCs w:val="24"/>
        </w:rPr>
      </w:pPr>
    </w:p>
    <w:p>
      <w:pPr>
        <w:spacing w:line="360" w:lineRule="auto"/>
        <w:jc w:val="both"/>
        <w:rPr>
          <w:rFonts w:ascii="Arial" w:hAnsi="Arial" w:eastAsia="Times New Roman" w:cs="Arial"/>
          <w:bCs/>
          <w:sz w:val="24"/>
          <w:szCs w:val="24"/>
        </w:rPr>
      </w:pPr>
    </w:p>
    <w:p>
      <w:pPr>
        <w:rPr>
          <w:rFonts w:ascii="Arial" w:hAnsi="Arial" w:eastAsia="Times New Roman" w:cs="Arial"/>
          <w:bCs/>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p>
      <w:pPr>
        <w:rPr>
          <w:rFonts w:ascii="Arial" w:hAnsi="Arial" w:cs="Arial"/>
        </w:rPr>
      </w:pPr>
    </w:p>
    <w:sectPr>
      <w:pgSz w:w="11906" w:h="16838"/>
      <w:pgMar w:top="1440" w:right="1440" w:bottom="1440" w:left="1440" w:header="708" w:footer="708" w:gutter="0"/>
      <w:pgNumType w:start="1"/>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4002EFF" w:usb1="C000247B" w:usb2="00000009" w:usb3="00000000" w:csb0="200001FF" w:csb1="00000000"/>
  </w:font>
  <w:font w:name="Arial">
    <w:panose1 w:val="020B0604020202020204"/>
    <w:charset w:val="00"/>
    <w:family w:val="swiss"/>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093507023"/>
      <w:docPartObj>
        <w:docPartGallery w:val="AutoText"/>
      </w:docPartObj>
    </w:sdtPr>
    <w:sdtContent>
      <w:p>
        <w:pPr>
          <w:pStyle w:val="4"/>
          <w:jc w:val="right"/>
        </w:pPr>
        <w:r>
          <w:fldChar w:fldCharType="begin"/>
        </w:r>
        <w:r>
          <w:instrText xml:space="preserve"> PAGE   \* MERGEFORMAT </w:instrText>
        </w:r>
        <w:r>
          <w:fldChar w:fldCharType="separate"/>
        </w:r>
        <w:r>
          <w:t>2</w:t>
        </w:r>
        <w:r>
          <w:fldChar w:fldCharType="end"/>
        </w:r>
      </w:p>
    </w:sdtContent>
  </w:sdt>
  <w:p>
    <w:pPr>
      <w:pStyle w:val="4"/>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1"/>
  <w:bordersDoNotSurroundFooter w:val="1"/>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TE2MWQ0ODhhYWViNmMwZTIzYjg4ZDRlMjQ5NjZiMTIifQ=="/>
  </w:docVars>
  <w:rsids>
    <w:rsidRoot w:val="002A557A"/>
    <w:rsid w:val="0004657A"/>
    <w:rsid w:val="00073ACF"/>
    <w:rsid w:val="000B1A35"/>
    <w:rsid w:val="000C27E8"/>
    <w:rsid w:val="000D2263"/>
    <w:rsid w:val="00217CCA"/>
    <w:rsid w:val="002A557A"/>
    <w:rsid w:val="002E7303"/>
    <w:rsid w:val="00467FE8"/>
    <w:rsid w:val="00474501"/>
    <w:rsid w:val="004B1C3C"/>
    <w:rsid w:val="00505593"/>
    <w:rsid w:val="006B275F"/>
    <w:rsid w:val="00733AEA"/>
    <w:rsid w:val="0079658E"/>
    <w:rsid w:val="007C4E54"/>
    <w:rsid w:val="00846029"/>
    <w:rsid w:val="00873A16"/>
    <w:rsid w:val="00982489"/>
    <w:rsid w:val="009B4560"/>
    <w:rsid w:val="009D09CF"/>
    <w:rsid w:val="009E6914"/>
    <w:rsid w:val="00A242D5"/>
    <w:rsid w:val="00A40695"/>
    <w:rsid w:val="00A83836"/>
    <w:rsid w:val="00AE7CC9"/>
    <w:rsid w:val="00B4035D"/>
    <w:rsid w:val="00B5421B"/>
    <w:rsid w:val="00B8245C"/>
    <w:rsid w:val="00B869C5"/>
    <w:rsid w:val="00B91447"/>
    <w:rsid w:val="00C210B7"/>
    <w:rsid w:val="00C44ED6"/>
    <w:rsid w:val="00C9586E"/>
    <w:rsid w:val="00CB29E2"/>
    <w:rsid w:val="00DA298D"/>
    <w:rsid w:val="00E709FF"/>
    <w:rsid w:val="00E72C5F"/>
    <w:rsid w:val="00EA74BE"/>
    <w:rsid w:val="00EF2AC7"/>
    <w:rsid w:val="00F83882"/>
    <w:rsid w:val="6A4567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spacing w:after="160" w:line="259" w:lineRule="auto"/>
    </w:pPr>
    <w:rPr>
      <w:rFonts w:asciiTheme="minorHAnsi" w:hAnsiTheme="minorHAnsi" w:eastAsiaTheme="minorEastAsia" w:cstheme="minorBidi"/>
      <w:kern w:val="2"/>
      <w:sz w:val="22"/>
      <w:szCs w:val="22"/>
      <w:lang w:val="en-US" w:eastAsia="en-US" w:bidi="ar-SA"/>
      <w14:ligatures w14:val="standardContextual"/>
    </w:rPr>
  </w:style>
  <w:style w:type="paragraph" w:styleId="2">
    <w:name w:val="heading 1"/>
    <w:basedOn w:val="1"/>
    <w:next w:val="1"/>
    <w:link w:val="15"/>
    <w:autoRedefine/>
    <w:qFormat/>
    <w:uiPriority w:val="9"/>
    <w:pPr>
      <w:keepNext/>
      <w:keepLines/>
      <w:spacing w:before="240" w:after="0"/>
      <w:jc w:val="both"/>
      <w:outlineLvl w:val="0"/>
    </w:pPr>
    <w:rPr>
      <w:rFonts w:ascii="Times New Roman" w:hAnsi="Times New Roman" w:eastAsiaTheme="majorEastAsia" w:cstheme="majorBidi"/>
      <w:b/>
      <w:sz w:val="24"/>
      <w:szCs w:val="32"/>
    </w:rPr>
  </w:style>
  <w:style w:type="paragraph" w:styleId="3">
    <w:name w:val="heading 2"/>
    <w:basedOn w:val="1"/>
    <w:next w:val="1"/>
    <w:link w:val="18"/>
    <w:unhideWhenUsed/>
    <w:qFormat/>
    <w:uiPriority w:val="9"/>
    <w:pPr>
      <w:keepNext/>
      <w:keepLines/>
      <w:spacing w:before="40" w:after="0"/>
      <w:jc w:val="both"/>
      <w:outlineLvl w:val="1"/>
    </w:pPr>
    <w:rPr>
      <w:rFonts w:ascii="Times New Roman" w:hAnsi="Times New Roman" w:eastAsiaTheme="majorEastAsia" w:cstheme="majorBidi"/>
      <w:b/>
      <w:sz w:val="24"/>
      <w:szCs w:val="26"/>
    </w:rPr>
  </w:style>
  <w:style w:type="character" w:default="1" w:styleId="11">
    <w:name w:val="Default Paragraph Font"/>
    <w:autoRedefine/>
    <w:semiHidden/>
    <w:unhideWhenUsed/>
    <w:qFormat/>
    <w:uiPriority w:val="1"/>
  </w:style>
  <w:style w:type="table" w:default="1" w:styleId="10">
    <w:name w:val="Normal Table"/>
    <w:autoRedefine/>
    <w:semiHidden/>
    <w:unhideWhenUsed/>
    <w:qFormat/>
    <w:uiPriority w:val="99"/>
    <w:tblPr>
      <w:tblCellMar>
        <w:top w:w="0" w:type="dxa"/>
        <w:left w:w="108" w:type="dxa"/>
        <w:bottom w:w="0" w:type="dxa"/>
        <w:right w:w="108" w:type="dxa"/>
      </w:tblCellMar>
    </w:tblPr>
  </w:style>
  <w:style w:type="paragraph" w:styleId="4">
    <w:name w:val="footer"/>
    <w:basedOn w:val="1"/>
    <w:link w:val="20"/>
    <w:autoRedefine/>
    <w:unhideWhenUsed/>
    <w:qFormat/>
    <w:uiPriority w:val="99"/>
    <w:pPr>
      <w:tabs>
        <w:tab w:val="center" w:pos="4513"/>
        <w:tab w:val="right" w:pos="9026"/>
      </w:tabs>
      <w:spacing w:after="0" w:line="240" w:lineRule="auto"/>
    </w:pPr>
  </w:style>
  <w:style w:type="paragraph" w:styleId="5">
    <w:name w:val="header"/>
    <w:basedOn w:val="1"/>
    <w:link w:val="19"/>
    <w:autoRedefine/>
    <w:unhideWhenUsed/>
    <w:qFormat/>
    <w:uiPriority w:val="99"/>
    <w:pPr>
      <w:tabs>
        <w:tab w:val="center" w:pos="4513"/>
        <w:tab w:val="right" w:pos="9026"/>
      </w:tabs>
      <w:spacing w:after="0" w:line="240" w:lineRule="auto"/>
    </w:pPr>
  </w:style>
  <w:style w:type="paragraph" w:styleId="6">
    <w:name w:val="toc 1"/>
    <w:basedOn w:val="1"/>
    <w:next w:val="1"/>
    <w:autoRedefine/>
    <w:unhideWhenUsed/>
    <w:qFormat/>
    <w:uiPriority w:val="39"/>
    <w:pPr>
      <w:spacing w:after="100"/>
    </w:pPr>
  </w:style>
  <w:style w:type="paragraph" w:styleId="7">
    <w:name w:val="footnote text"/>
    <w:basedOn w:val="1"/>
    <w:link w:val="17"/>
    <w:semiHidden/>
    <w:unhideWhenUsed/>
    <w:uiPriority w:val="99"/>
    <w:pPr>
      <w:spacing w:after="0" w:line="240" w:lineRule="auto"/>
    </w:pPr>
    <w:rPr>
      <w:kern w:val="0"/>
      <w:sz w:val="20"/>
      <w:szCs w:val="20"/>
      <w14:ligatures w14:val="none"/>
    </w:rPr>
  </w:style>
  <w:style w:type="paragraph" w:styleId="8">
    <w:name w:val="toc 2"/>
    <w:basedOn w:val="1"/>
    <w:next w:val="1"/>
    <w:autoRedefine/>
    <w:unhideWhenUsed/>
    <w:qFormat/>
    <w:uiPriority w:val="39"/>
    <w:pPr>
      <w:spacing w:after="100"/>
      <w:ind w:left="220"/>
    </w:pPr>
  </w:style>
  <w:style w:type="paragraph" w:styleId="9">
    <w:name w:val="Normal (Web)"/>
    <w:basedOn w:val="1"/>
    <w:autoRedefine/>
    <w:semiHidden/>
    <w:unhideWhenUsed/>
    <w:qFormat/>
    <w:uiPriority w:val="99"/>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12">
    <w:name w:val="Strong"/>
    <w:basedOn w:val="11"/>
    <w:qFormat/>
    <w:uiPriority w:val="22"/>
    <w:rPr>
      <w:b/>
      <w:bCs/>
    </w:rPr>
  </w:style>
  <w:style w:type="character" w:styleId="13">
    <w:name w:val="Hyperlink"/>
    <w:basedOn w:val="11"/>
    <w:autoRedefine/>
    <w:unhideWhenUsed/>
    <w:qFormat/>
    <w:uiPriority w:val="99"/>
    <w:rPr>
      <w:color w:val="0000FF"/>
      <w:u w:val="single"/>
    </w:rPr>
  </w:style>
  <w:style w:type="character" w:styleId="14">
    <w:name w:val="footnote reference"/>
    <w:basedOn w:val="11"/>
    <w:autoRedefine/>
    <w:semiHidden/>
    <w:unhideWhenUsed/>
    <w:qFormat/>
    <w:uiPriority w:val="99"/>
    <w:rPr>
      <w:vertAlign w:val="superscript"/>
    </w:rPr>
  </w:style>
  <w:style w:type="character" w:customStyle="1" w:styleId="15">
    <w:name w:val="标题 1 字符"/>
    <w:basedOn w:val="11"/>
    <w:link w:val="2"/>
    <w:autoRedefine/>
    <w:qFormat/>
    <w:uiPriority w:val="9"/>
    <w:rPr>
      <w:rFonts w:ascii="Times New Roman" w:hAnsi="Times New Roman" w:eastAsiaTheme="majorEastAsia" w:cstheme="majorBidi"/>
      <w:b/>
      <w:sz w:val="24"/>
      <w:szCs w:val="32"/>
    </w:rPr>
  </w:style>
  <w:style w:type="paragraph" w:styleId="16">
    <w:name w:val="List Paragraph"/>
    <w:basedOn w:val="1"/>
    <w:autoRedefine/>
    <w:qFormat/>
    <w:uiPriority w:val="34"/>
    <w:pPr>
      <w:spacing w:after="0" w:line="240" w:lineRule="auto"/>
      <w:ind w:left="720"/>
      <w:contextualSpacing/>
    </w:pPr>
    <w:rPr>
      <w:rFonts w:ascii="Times New Roman" w:hAnsi="Times New Roman" w:eastAsia="Times New Roman" w:cs="Times New Roman"/>
      <w:kern w:val="0"/>
      <w:sz w:val="20"/>
      <w:szCs w:val="20"/>
      <w:lang w:val="en-GB" w:eastAsia="en-GB"/>
      <w14:ligatures w14:val="none"/>
    </w:rPr>
  </w:style>
  <w:style w:type="character" w:customStyle="1" w:styleId="17">
    <w:name w:val="脚注文本 字符"/>
    <w:basedOn w:val="11"/>
    <w:link w:val="7"/>
    <w:autoRedefine/>
    <w:semiHidden/>
    <w:qFormat/>
    <w:uiPriority w:val="99"/>
    <w:rPr>
      <w:rFonts w:eastAsiaTheme="minorEastAsia"/>
      <w:kern w:val="0"/>
      <w:sz w:val="20"/>
      <w:szCs w:val="20"/>
      <w:lang w:val="en-US"/>
      <w14:ligatures w14:val="none"/>
    </w:rPr>
  </w:style>
  <w:style w:type="character" w:customStyle="1" w:styleId="18">
    <w:name w:val="标题 2 字符"/>
    <w:basedOn w:val="11"/>
    <w:link w:val="3"/>
    <w:autoRedefine/>
    <w:qFormat/>
    <w:uiPriority w:val="9"/>
    <w:rPr>
      <w:rFonts w:ascii="Times New Roman" w:hAnsi="Times New Roman" w:eastAsiaTheme="majorEastAsia" w:cstheme="majorBidi"/>
      <w:b/>
      <w:sz w:val="24"/>
      <w:szCs w:val="26"/>
    </w:rPr>
  </w:style>
  <w:style w:type="character" w:customStyle="1" w:styleId="19">
    <w:name w:val="页眉 字符"/>
    <w:basedOn w:val="11"/>
    <w:link w:val="5"/>
    <w:autoRedefine/>
    <w:qFormat/>
    <w:uiPriority w:val="99"/>
  </w:style>
  <w:style w:type="character" w:customStyle="1" w:styleId="20">
    <w:name w:val="页脚 字符"/>
    <w:basedOn w:val="11"/>
    <w:link w:val="4"/>
    <w:autoRedefine/>
    <w:qFormat/>
    <w:uiPriority w:val="99"/>
  </w:style>
  <w:style w:type="paragraph" w:customStyle="1" w:styleId="21">
    <w:name w:val="TOC Heading"/>
    <w:basedOn w:val="2"/>
    <w:next w:val="1"/>
    <w:autoRedefine/>
    <w:unhideWhenUsed/>
    <w:qFormat/>
    <w:uiPriority w:val="39"/>
    <w:pPr>
      <w:jc w:val="left"/>
      <w:outlineLvl w:val="9"/>
    </w:pPr>
    <w:rPr>
      <w:rFonts w:asciiTheme="majorHAnsi" w:hAnsiTheme="majorHAnsi"/>
      <w:b w:val="0"/>
      <w:color w:val="2F5597" w:themeColor="accent1" w:themeShade="BF"/>
      <w:kern w:val="0"/>
      <w:sz w:val="32"/>
      <w14:ligatures w14:val="none"/>
    </w:rPr>
  </w:style>
  <w:style w:type="paragraph" w:styleId="22">
    <w:name w:val="No Spacing"/>
    <w:autoRedefine/>
    <w:qFormat/>
    <w:uiPriority w:val="1"/>
    <w:pPr>
      <w:spacing w:after="0" w:line="240" w:lineRule="auto"/>
    </w:pPr>
    <w:rPr>
      <w:rFonts w:ascii="Calibri" w:hAnsi="Calibri" w:eastAsia="等线" w:cs="宋体"/>
      <w:sz w:val="22"/>
      <w:szCs w:val="22"/>
      <w:lang w:val="en-US" w:eastAsia="en-US"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F1D24-05B7-43E5-843B-945DE211092E}">
  <ds:schemaRefs/>
</ds:datastoreItem>
</file>

<file path=docProps/app.xml><?xml version="1.0" encoding="utf-8"?>
<Properties xmlns="http://schemas.openxmlformats.org/officeDocument/2006/extended-properties" xmlns:vt="http://schemas.openxmlformats.org/officeDocument/2006/docPropsVTypes">
  <Template>Normal</Template>
  <Pages>14</Pages>
  <Words>3227</Words>
  <Characters>18397</Characters>
  <Lines>153</Lines>
  <Paragraphs>43</Paragraphs>
  <TotalTime>0</TotalTime>
  <ScaleCrop>false</ScaleCrop>
  <LinksUpToDate>false</LinksUpToDate>
  <CharactersWithSpaces>21581</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2024-01-11T08:11:00Z</dcterms:created>
  <dc:creator>Tang1224</dc:creator>
  <cp:lastModifiedBy>*</cp:lastModifiedBy>
  <dcterms:modified xsi:type="dcterms:W3CDTF">2024-01-12T20:13:55Z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2052-12.1.0.16120</vt:lpwstr>
  </property>
  <property fmtid="{D5CDD505-2E9C-101B-9397-08002B2CF9AE}" pid="3" name="ICV">
    <vt:lpwstr>5AA6FA41D19F41AFA065D5A60180C6F5_12</vt:lpwstr>
  </property>
</Properties>
</file>