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41564A" w14:textId="77777777" w:rsidR="00671122" w:rsidRDefault="00671122" w:rsidP="00671122">
      <w:pPr>
        <w:spacing w:line="360" w:lineRule="auto"/>
        <w:jc w:val="center"/>
        <w:rPr>
          <w:rFonts w:ascii="Times New Roman" w:hAnsi="Times New Roman" w:cs="Times New Roman"/>
          <w:b/>
          <w:bCs/>
          <w:sz w:val="28"/>
          <w:szCs w:val="28"/>
        </w:rPr>
      </w:pPr>
    </w:p>
    <w:p w14:paraId="78EEADCF" w14:textId="77777777" w:rsidR="00671122" w:rsidRDefault="00671122" w:rsidP="00671122">
      <w:pPr>
        <w:spacing w:line="360" w:lineRule="auto"/>
        <w:jc w:val="center"/>
        <w:rPr>
          <w:rFonts w:ascii="Times New Roman" w:hAnsi="Times New Roman" w:cs="Times New Roman"/>
          <w:b/>
          <w:bCs/>
          <w:sz w:val="28"/>
          <w:szCs w:val="28"/>
        </w:rPr>
      </w:pPr>
    </w:p>
    <w:p w14:paraId="5042AC09" w14:textId="669839CF" w:rsidR="00DA2CF8" w:rsidRPr="00671122" w:rsidRDefault="00C160B3" w:rsidP="00671122">
      <w:pPr>
        <w:spacing w:line="360" w:lineRule="auto"/>
        <w:jc w:val="center"/>
        <w:rPr>
          <w:rFonts w:ascii="Times New Roman" w:hAnsi="Times New Roman" w:cs="Times New Roman"/>
          <w:b/>
          <w:bCs/>
          <w:sz w:val="28"/>
          <w:szCs w:val="28"/>
        </w:rPr>
      </w:pPr>
      <w:r w:rsidRPr="00671122">
        <w:rPr>
          <w:rFonts w:ascii="Times New Roman" w:hAnsi="Times New Roman" w:cs="Times New Roman"/>
          <w:b/>
          <w:bCs/>
          <w:sz w:val="28"/>
          <w:szCs w:val="28"/>
        </w:rPr>
        <w:t>BMPL 4001 Evidence Based Policing</w:t>
      </w:r>
    </w:p>
    <w:p w14:paraId="2909DCCD" w14:textId="77777777" w:rsidR="004D139C" w:rsidRDefault="004D139C" w:rsidP="00671122">
      <w:pPr>
        <w:spacing w:line="360" w:lineRule="auto"/>
        <w:jc w:val="both"/>
        <w:rPr>
          <w:rFonts w:ascii="Times New Roman" w:hAnsi="Times New Roman" w:cs="Times New Roman"/>
          <w:b/>
          <w:bCs/>
          <w:sz w:val="24"/>
          <w:szCs w:val="24"/>
        </w:rPr>
      </w:pPr>
    </w:p>
    <w:p w14:paraId="1116CA89" w14:textId="77777777" w:rsidR="004D139C" w:rsidRDefault="004D139C" w:rsidP="00671122">
      <w:pPr>
        <w:spacing w:line="360" w:lineRule="auto"/>
        <w:jc w:val="both"/>
        <w:rPr>
          <w:rFonts w:ascii="Times New Roman" w:hAnsi="Times New Roman" w:cs="Times New Roman"/>
          <w:b/>
          <w:bCs/>
          <w:sz w:val="24"/>
          <w:szCs w:val="24"/>
        </w:rPr>
      </w:pPr>
    </w:p>
    <w:p w14:paraId="5CD99E8D" w14:textId="77777777" w:rsidR="004D139C" w:rsidRDefault="004D139C" w:rsidP="00671122">
      <w:pPr>
        <w:spacing w:line="360" w:lineRule="auto"/>
        <w:jc w:val="both"/>
        <w:rPr>
          <w:rFonts w:ascii="Times New Roman" w:hAnsi="Times New Roman" w:cs="Times New Roman"/>
          <w:b/>
          <w:bCs/>
          <w:sz w:val="24"/>
          <w:szCs w:val="24"/>
        </w:rPr>
      </w:pPr>
    </w:p>
    <w:p w14:paraId="77A78C64" w14:textId="77777777" w:rsidR="004D139C" w:rsidRDefault="004D139C" w:rsidP="00671122">
      <w:pPr>
        <w:spacing w:line="360" w:lineRule="auto"/>
        <w:jc w:val="both"/>
        <w:rPr>
          <w:rFonts w:ascii="Times New Roman" w:hAnsi="Times New Roman" w:cs="Times New Roman"/>
          <w:b/>
          <w:bCs/>
          <w:sz w:val="24"/>
          <w:szCs w:val="24"/>
        </w:rPr>
      </w:pPr>
    </w:p>
    <w:p w14:paraId="32D0BFD9" w14:textId="77777777" w:rsidR="004D139C" w:rsidRDefault="004D139C" w:rsidP="00671122">
      <w:pPr>
        <w:spacing w:line="360" w:lineRule="auto"/>
        <w:jc w:val="both"/>
        <w:rPr>
          <w:rFonts w:ascii="Times New Roman" w:hAnsi="Times New Roman" w:cs="Times New Roman"/>
          <w:b/>
          <w:bCs/>
          <w:sz w:val="24"/>
          <w:szCs w:val="24"/>
        </w:rPr>
      </w:pPr>
    </w:p>
    <w:p w14:paraId="36CFDF93" w14:textId="77777777" w:rsidR="004D139C" w:rsidRDefault="004D139C" w:rsidP="00671122">
      <w:pPr>
        <w:spacing w:line="360" w:lineRule="auto"/>
        <w:jc w:val="both"/>
        <w:rPr>
          <w:rFonts w:ascii="Times New Roman" w:hAnsi="Times New Roman" w:cs="Times New Roman"/>
          <w:b/>
          <w:bCs/>
          <w:sz w:val="24"/>
          <w:szCs w:val="24"/>
        </w:rPr>
      </w:pPr>
    </w:p>
    <w:p w14:paraId="0748A175" w14:textId="77777777" w:rsidR="004D139C" w:rsidRDefault="004D139C" w:rsidP="00671122">
      <w:pPr>
        <w:spacing w:line="360" w:lineRule="auto"/>
        <w:jc w:val="both"/>
        <w:rPr>
          <w:rFonts w:ascii="Times New Roman" w:hAnsi="Times New Roman" w:cs="Times New Roman"/>
          <w:b/>
          <w:bCs/>
          <w:sz w:val="24"/>
          <w:szCs w:val="24"/>
        </w:rPr>
      </w:pPr>
    </w:p>
    <w:p w14:paraId="6657D7ED" w14:textId="77777777" w:rsidR="004D139C" w:rsidRDefault="004D139C" w:rsidP="00671122">
      <w:pPr>
        <w:spacing w:line="360" w:lineRule="auto"/>
        <w:jc w:val="both"/>
        <w:rPr>
          <w:rFonts w:ascii="Times New Roman" w:hAnsi="Times New Roman" w:cs="Times New Roman"/>
          <w:b/>
          <w:bCs/>
          <w:sz w:val="24"/>
          <w:szCs w:val="24"/>
        </w:rPr>
      </w:pPr>
    </w:p>
    <w:p w14:paraId="483A95BD" w14:textId="77777777" w:rsidR="004D139C" w:rsidRDefault="004D139C" w:rsidP="00671122">
      <w:pPr>
        <w:spacing w:line="360" w:lineRule="auto"/>
        <w:jc w:val="both"/>
        <w:rPr>
          <w:rFonts w:ascii="Times New Roman" w:hAnsi="Times New Roman" w:cs="Times New Roman"/>
          <w:b/>
          <w:bCs/>
          <w:sz w:val="24"/>
          <w:szCs w:val="24"/>
        </w:rPr>
      </w:pPr>
    </w:p>
    <w:p w14:paraId="352D09BA" w14:textId="77777777" w:rsidR="004D139C" w:rsidRDefault="004D139C" w:rsidP="00671122">
      <w:pPr>
        <w:spacing w:line="360" w:lineRule="auto"/>
        <w:jc w:val="both"/>
        <w:rPr>
          <w:rFonts w:ascii="Times New Roman" w:hAnsi="Times New Roman" w:cs="Times New Roman"/>
          <w:b/>
          <w:bCs/>
          <w:sz w:val="24"/>
          <w:szCs w:val="24"/>
        </w:rPr>
      </w:pPr>
    </w:p>
    <w:p w14:paraId="39DDA526" w14:textId="77777777" w:rsidR="004D139C" w:rsidRDefault="004D139C" w:rsidP="00671122">
      <w:pPr>
        <w:spacing w:line="360" w:lineRule="auto"/>
        <w:jc w:val="both"/>
        <w:rPr>
          <w:rFonts w:ascii="Times New Roman" w:hAnsi="Times New Roman" w:cs="Times New Roman"/>
          <w:b/>
          <w:bCs/>
          <w:sz w:val="24"/>
          <w:szCs w:val="24"/>
        </w:rPr>
      </w:pPr>
    </w:p>
    <w:p w14:paraId="5ACF407B" w14:textId="77777777" w:rsidR="004D139C" w:rsidRDefault="004D139C" w:rsidP="00671122">
      <w:pPr>
        <w:spacing w:line="360" w:lineRule="auto"/>
        <w:jc w:val="both"/>
        <w:rPr>
          <w:rFonts w:ascii="Times New Roman" w:hAnsi="Times New Roman" w:cs="Times New Roman"/>
          <w:b/>
          <w:bCs/>
          <w:sz w:val="24"/>
          <w:szCs w:val="24"/>
        </w:rPr>
      </w:pPr>
    </w:p>
    <w:p w14:paraId="28C592C0" w14:textId="77777777" w:rsidR="004D139C" w:rsidRDefault="004D139C" w:rsidP="00671122">
      <w:pPr>
        <w:spacing w:line="360" w:lineRule="auto"/>
        <w:jc w:val="both"/>
        <w:rPr>
          <w:rFonts w:ascii="Times New Roman" w:hAnsi="Times New Roman" w:cs="Times New Roman"/>
          <w:b/>
          <w:bCs/>
          <w:sz w:val="24"/>
          <w:szCs w:val="24"/>
        </w:rPr>
      </w:pPr>
    </w:p>
    <w:p w14:paraId="72B4EF52" w14:textId="77777777" w:rsidR="004D139C" w:rsidRDefault="004D139C" w:rsidP="00671122">
      <w:pPr>
        <w:spacing w:line="360" w:lineRule="auto"/>
        <w:jc w:val="both"/>
        <w:rPr>
          <w:rFonts w:ascii="Times New Roman" w:hAnsi="Times New Roman" w:cs="Times New Roman"/>
          <w:b/>
          <w:bCs/>
          <w:sz w:val="24"/>
          <w:szCs w:val="24"/>
        </w:rPr>
      </w:pPr>
    </w:p>
    <w:p w14:paraId="2850DE51" w14:textId="77777777" w:rsidR="004D139C" w:rsidRDefault="004D139C" w:rsidP="00671122">
      <w:pPr>
        <w:spacing w:line="360" w:lineRule="auto"/>
        <w:jc w:val="both"/>
        <w:rPr>
          <w:rFonts w:ascii="Times New Roman" w:hAnsi="Times New Roman" w:cs="Times New Roman"/>
          <w:b/>
          <w:bCs/>
          <w:sz w:val="24"/>
          <w:szCs w:val="24"/>
        </w:rPr>
      </w:pPr>
    </w:p>
    <w:p w14:paraId="246B2CE8" w14:textId="77777777" w:rsidR="004D139C" w:rsidRDefault="004D139C" w:rsidP="00671122">
      <w:pPr>
        <w:spacing w:line="360" w:lineRule="auto"/>
        <w:jc w:val="both"/>
        <w:rPr>
          <w:rFonts w:ascii="Times New Roman" w:hAnsi="Times New Roman" w:cs="Times New Roman"/>
          <w:b/>
          <w:bCs/>
          <w:sz w:val="24"/>
          <w:szCs w:val="24"/>
        </w:rPr>
      </w:pPr>
    </w:p>
    <w:p w14:paraId="13E73D50" w14:textId="77777777" w:rsidR="004D139C" w:rsidRDefault="004D139C" w:rsidP="00671122">
      <w:pPr>
        <w:spacing w:line="360" w:lineRule="auto"/>
        <w:jc w:val="both"/>
        <w:rPr>
          <w:rFonts w:ascii="Times New Roman" w:hAnsi="Times New Roman" w:cs="Times New Roman"/>
          <w:b/>
          <w:bCs/>
          <w:sz w:val="24"/>
          <w:szCs w:val="24"/>
        </w:rPr>
      </w:pPr>
    </w:p>
    <w:p w14:paraId="7BA89415" w14:textId="77777777" w:rsidR="004D139C" w:rsidRDefault="004D139C" w:rsidP="00671122">
      <w:pPr>
        <w:spacing w:line="360" w:lineRule="auto"/>
        <w:jc w:val="both"/>
        <w:rPr>
          <w:rFonts w:ascii="Times New Roman" w:hAnsi="Times New Roman" w:cs="Times New Roman"/>
          <w:b/>
          <w:bCs/>
          <w:sz w:val="24"/>
          <w:szCs w:val="24"/>
        </w:rPr>
      </w:pPr>
    </w:p>
    <w:p w14:paraId="4D118EBF" w14:textId="77777777" w:rsidR="004D139C" w:rsidRDefault="004D139C" w:rsidP="00671122">
      <w:pPr>
        <w:spacing w:line="360" w:lineRule="auto"/>
        <w:jc w:val="both"/>
        <w:rPr>
          <w:rFonts w:ascii="Times New Roman" w:hAnsi="Times New Roman" w:cs="Times New Roman"/>
          <w:b/>
          <w:bCs/>
          <w:sz w:val="24"/>
          <w:szCs w:val="24"/>
        </w:rPr>
      </w:pPr>
    </w:p>
    <w:p w14:paraId="679C8C5D" w14:textId="77777777" w:rsidR="009C5EC8" w:rsidRDefault="009C5EC8" w:rsidP="004D139C">
      <w:pPr>
        <w:spacing w:after="0" w:line="360" w:lineRule="auto"/>
        <w:jc w:val="both"/>
        <w:rPr>
          <w:rFonts w:ascii="Times New Roman" w:hAnsi="Times New Roman" w:cs="Times New Roman"/>
          <w:b/>
          <w:bCs/>
          <w:sz w:val="28"/>
          <w:szCs w:val="28"/>
        </w:rPr>
        <w:sectPr w:rsidR="009C5EC8">
          <w:footerReference w:type="default" r:id="rId7"/>
          <w:pgSz w:w="12240" w:h="15840"/>
          <w:pgMar w:top="1440" w:right="1440" w:bottom="1440" w:left="1440" w:header="720" w:footer="720" w:gutter="0"/>
          <w:cols w:space="720"/>
          <w:docGrid w:linePitch="360"/>
        </w:sectPr>
      </w:pPr>
    </w:p>
    <w:p w14:paraId="7B1C06A7" w14:textId="13E8DE15" w:rsidR="00C160B3" w:rsidRPr="004D139C" w:rsidRDefault="00EE04DA" w:rsidP="004D139C">
      <w:pPr>
        <w:spacing w:after="0" w:line="360" w:lineRule="auto"/>
        <w:jc w:val="both"/>
        <w:rPr>
          <w:rFonts w:ascii="Times New Roman" w:hAnsi="Times New Roman" w:cs="Times New Roman"/>
          <w:b/>
          <w:bCs/>
          <w:sz w:val="28"/>
          <w:szCs w:val="28"/>
        </w:rPr>
      </w:pPr>
      <w:r w:rsidRPr="004D139C">
        <w:rPr>
          <w:rFonts w:ascii="Times New Roman" w:hAnsi="Times New Roman" w:cs="Times New Roman"/>
          <w:b/>
          <w:bCs/>
          <w:sz w:val="28"/>
          <w:szCs w:val="28"/>
        </w:rPr>
        <w:lastRenderedPageBreak/>
        <w:t>Introduction</w:t>
      </w:r>
    </w:p>
    <w:p w14:paraId="3CC4595D" w14:textId="2C71E9B2" w:rsidR="00EE04DA" w:rsidRPr="00671122" w:rsidRDefault="00FC260E" w:rsidP="00671122">
      <w:pPr>
        <w:spacing w:line="360" w:lineRule="auto"/>
        <w:jc w:val="both"/>
        <w:rPr>
          <w:rFonts w:ascii="Times New Roman" w:hAnsi="Times New Roman" w:cs="Times New Roman"/>
          <w:sz w:val="24"/>
          <w:szCs w:val="24"/>
        </w:rPr>
      </w:pPr>
      <w:r w:rsidRPr="00671122">
        <w:rPr>
          <w:rFonts w:ascii="Times New Roman" w:hAnsi="Times New Roman" w:cs="Times New Roman"/>
          <w:sz w:val="24"/>
          <w:szCs w:val="24"/>
        </w:rPr>
        <w:t>An approach to law enforcement known as "evidence-based policing" places a premium on using findings from empirical studies and statistical analyses to inform policy choices and daily operations. In law enforcement, this means basing decisions on evidence from things like research, tests, and assessments. Evidence-based policing seeks to improve police operations' efficacy and efficiency by making judgments based on hard data rather than gut feelings</w:t>
      </w:r>
      <w:r w:rsidR="00400F0C">
        <w:rPr>
          <w:rFonts w:ascii="Times New Roman" w:hAnsi="Times New Roman" w:cs="Times New Roman"/>
          <w:sz w:val="24"/>
          <w:szCs w:val="24"/>
        </w:rPr>
        <w:t xml:space="preserve"> (Sherman, 2017)</w:t>
      </w:r>
      <w:r w:rsidRPr="00671122">
        <w:rPr>
          <w:rFonts w:ascii="Times New Roman" w:hAnsi="Times New Roman" w:cs="Times New Roman"/>
          <w:sz w:val="24"/>
          <w:szCs w:val="24"/>
        </w:rPr>
        <w:t xml:space="preserve">. Police departments can better prevent crime, reduce victimization rates, improve community relations, allocate resources effectively, and assess the results of their efforts by analyzing data on crime patterns, offender behavior, community dynamics, and other relevant factors. </w:t>
      </w:r>
      <w:r w:rsidR="006D52CD" w:rsidRPr="006D52CD">
        <w:rPr>
          <w:rFonts w:ascii="Times New Roman" w:hAnsi="Times New Roman" w:cs="Times New Roman"/>
          <w:sz w:val="24"/>
          <w:szCs w:val="24"/>
        </w:rPr>
        <w:t>Common names for this kind of camera include bodycam, body worn video (BWV), body-worn camera, and wearable camera. There is a wide variety of applications and styles for body cameras, but perhaps the most well-known is as a tool for law enforcement. In addition to sports and hobbies (like cycling), action cameras may be used in the business sector, as well as in healthcare, the military, journalism, citizen sousveillance, and covert surveillance. Mixed results have been found in studies examining the effects of body cameras on police brutality and public confidence in the police.</w:t>
      </w:r>
      <w:r w:rsidR="00DA2B90" w:rsidRPr="00DA2B90">
        <w:t xml:space="preserve"> </w:t>
      </w:r>
      <w:r w:rsidR="004265A0" w:rsidRPr="004265A0">
        <w:rPr>
          <w:rFonts w:ascii="Times New Roman" w:hAnsi="Times New Roman" w:cs="Times New Roman"/>
          <w:sz w:val="24"/>
          <w:szCs w:val="24"/>
        </w:rPr>
        <w:t>In the UK, one research undertaken by Fagan et al. (2019) studied the impact of body-worn cameras on police use of force and complaints. The research examined numerous police departments throughout the nation and found that the deployment of body cameras resulted in a substantial drop in both the use of force events and complaints against officers.</w:t>
      </w:r>
      <w:r w:rsidR="004265A0">
        <w:rPr>
          <w:rFonts w:ascii="Times New Roman" w:hAnsi="Times New Roman" w:cs="Times New Roman"/>
          <w:sz w:val="24"/>
          <w:szCs w:val="24"/>
        </w:rPr>
        <w:t xml:space="preserve"> </w:t>
      </w:r>
      <w:r w:rsidR="00311F7A" w:rsidRPr="00311F7A">
        <w:rPr>
          <w:rFonts w:ascii="Times New Roman" w:hAnsi="Times New Roman" w:cs="Times New Roman"/>
          <w:sz w:val="24"/>
          <w:szCs w:val="24"/>
        </w:rPr>
        <w:t>The purpose of this paper is to examine the central concepts of evidence-based policing, the role of body-worn video cameras in this approach, a specific incident involving such a camera in the United Kingdom, and the advantages and disadvantages of this method of gathering evidence with respect to a specific crime.</w:t>
      </w:r>
    </w:p>
    <w:p w14:paraId="2AD70D32" w14:textId="0BAB8E6A" w:rsidR="00FC260E" w:rsidRPr="00671122" w:rsidRDefault="00F45CE6" w:rsidP="00671122">
      <w:pPr>
        <w:spacing w:line="360" w:lineRule="auto"/>
        <w:jc w:val="both"/>
        <w:rPr>
          <w:rFonts w:ascii="Times New Roman" w:hAnsi="Times New Roman" w:cs="Times New Roman"/>
          <w:sz w:val="24"/>
          <w:szCs w:val="24"/>
        </w:rPr>
      </w:pPr>
      <w:r w:rsidRPr="00671122">
        <w:rPr>
          <w:rFonts w:ascii="Times New Roman" w:hAnsi="Times New Roman" w:cs="Times New Roman"/>
          <w:sz w:val="24"/>
          <w:szCs w:val="24"/>
        </w:rPr>
        <w:t>Evidence-based policing is predicated on the premise that decisions, results, and the overall efficacy of law enforcement procedures may all be enhanced via the use of research and data. Evidence-based policing is an approach that prioritizes the use of empirical data in the conduct of police work</w:t>
      </w:r>
      <w:r w:rsidR="00400F0C">
        <w:rPr>
          <w:rFonts w:ascii="Times New Roman" w:hAnsi="Times New Roman" w:cs="Times New Roman"/>
          <w:sz w:val="24"/>
          <w:szCs w:val="24"/>
        </w:rPr>
        <w:t xml:space="preserve"> (Lum and Koper, 2017)</w:t>
      </w:r>
      <w:r w:rsidRPr="00671122">
        <w:rPr>
          <w:rFonts w:ascii="Times New Roman" w:hAnsi="Times New Roman" w:cs="Times New Roman"/>
          <w:sz w:val="24"/>
          <w:szCs w:val="24"/>
        </w:rPr>
        <w:t xml:space="preserve">. It entails using evidence gleaned from fields as diverse as criminology, sociology, psychology, and data analysis. This guiding concept encourages law enforcement authorities to make well-informed decisions based on solid evidence. Police departments may better address local concerns by identifying root causes via data analysis of crime trends, criminal profiles, and community dynamics. When it comes to the impact and efficacy of </w:t>
      </w:r>
      <w:r w:rsidRPr="00671122">
        <w:rPr>
          <w:rFonts w:ascii="Times New Roman" w:hAnsi="Times New Roman" w:cs="Times New Roman"/>
          <w:sz w:val="24"/>
          <w:szCs w:val="24"/>
        </w:rPr>
        <w:lastRenderedPageBreak/>
        <w:t>programs or interventions performed by law enforcement authorities, evidence-based policing promotes the use of rigorous assessment methodologies</w:t>
      </w:r>
      <w:r w:rsidR="00673186">
        <w:rPr>
          <w:rFonts w:ascii="Times New Roman" w:hAnsi="Times New Roman" w:cs="Times New Roman"/>
          <w:sz w:val="24"/>
          <w:szCs w:val="24"/>
        </w:rPr>
        <w:t xml:space="preserve"> (Cairney, 2019)</w:t>
      </w:r>
      <w:r w:rsidRPr="00671122">
        <w:rPr>
          <w:rFonts w:ascii="Times New Roman" w:hAnsi="Times New Roman" w:cs="Times New Roman"/>
          <w:sz w:val="24"/>
          <w:szCs w:val="24"/>
        </w:rPr>
        <w:t xml:space="preserve">. Crime rates, public safety results, community trust, etc. may all be reduced, improved, etc. with the use of evaluations, which help determine what works best. Evidence-based policing relies heavily on partnerships between academics/researchers and police officers. A culture where academic discoveries may be immediately applied to real-world law enforcement difficulties can be fostered via relationship building. </w:t>
      </w:r>
      <w:r w:rsidR="00673186">
        <w:rPr>
          <w:rFonts w:ascii="Times New Roman" w:hAnsi="Times New Roman" w:cs="Times New Roman"/>
          <w:sz w:val="24"/>
          <w:szCs w:val="24"/>
        </w:rPr>
        <w:t>According to Stevens (2011), e</w:t>
      </w:r>
      <w:r w:rsidRPr="00671122">
        <w:rPr>
          <w:rFonts w:ascii="Times New Roman" w:hAnsi="Times New Roman" w:cs="Times New Roman"/>
          <w:sz w:val="24"/>
          <w:szCs w:val="24"/>
        </w:rPr>
        <w:t>vidence-based policing relies heavily on the idea of lifelong education. In order to adapt their methods to the latest research and best practices, police departments should prioritize providing their personnel with opportunity for continual professional development.</w:t>
      </w:r>
    </w:p>
    <w:p w14:paraId="47AA999A" w14:textId="134D43ED" w:rsidR="00F45CE6" w:rsidRPr="00671122" w:rsidRDefault="00485CFE" w:rsidP="00671122">
      <w:pPr>
        <w:spacing w:line="360" w:lineRule="auto"/>
        <w:jc w:val="both"/>
        <w:rPr>
          <w:rFonts w:ascii="Times New Roman" w:hAnsi="Times New Roman" w:cs="Times New Roman"/>
          <w:sz w:val="24"/>
          <w:szCs w:val="24"/>
        </w:rPr>
      </w:pPr>
      <w:r w:rsidRPr="00671122">
        <w:rPr>
          <w:rFonts w:ascii="Times New Roman" w:hAnsi="Times New Roman" w:cs="Times New Roman"/>
          <w:sz w:val="24"/>
          <w:szCs w:val="24"/>
        </w:rPr>
        <w:t>Body-worn video cameras, also known as BWVCs, are an essential piece of equipment for today's contemporary law enforcement agencies since they adhere to the principles of evidence-based policing</w:t>
      </w:r>
      <w:r w:rsidR="00400F0C">
        <w:rPr>
          <w:rFonts w:ascii="Times New Roman" w:hAnsi="Times New Roman" w:cs="Times New Roman"/>
          <w:sz w:val="24"/>
          <w:szCs w:val="24"/>
        </w:rPr>
        <w:t xml:space="preserve"> (Lum et al., 2019)</w:t>
      </w:r>
      <w:r w:rsidRPr="00671122">
        <w:rPr>
          <w:rFonts w:ascii="Times New Roman" w:hAnsi="Times New Roman" w:cs="Times New Roman"/>
          <w:sz w:val="24"/>
          <w:szCs w:val="24"/>
        </w:rPr>
        <w:t>. Officers are able to keep an impartial record of their contacts with members of the public due to body cameras. They enhance openness and accountability by recording interactions, and these recordings may be used as a source of evidence that is not prejudiced during investigations or judicial procedures. When police are dealing with members of the public or responding to situations, the availability of body-worn cameras may serve as an incentive for them to adhere to professional standards and established procedures. When people are aware that their activities are being filmed, it may lead to better decision-making, skills for de-escalation, and conduct that is courteous toward residents</w:t>
      </w:r>
      <w:r w:rsidR="00673186">
        <w:rPr>
          <w:rFonts w:ascii="Times New Roman" w:hAnsi="Times New Roman" w:cs="Times New Roman"/>
          <w:sz w:val="24"/>
          <w:szCs w:val="24"/>
        </w:rPr>
        <w:t xml:space="preserve"> (Geyer, 2012)</w:t>
      </w:r>
      <w:r w:rsidRPr="00671122">
        <w:rPr>
          <w:rFonts w:ascii="Times New Roman" w:hAnsi="Times New Roman" w:cs="Times New Roman"/>
          <w:sz w:val="24"/>
          <w:szCs w:val="24"/>
        </w:rPr>
        <w:t>. The video captured by body-worn cameras at the scene of a crime or during an arrest may serve as a credible piece of evidence in legal proceedings since it provides visual proof of these events. This contributes to the improvement of the prosecution process by providing an accurate description of the events from a variety of views. When utilized responsibly and with consideration for privacy issues, the use of body-worn cameras has shown the ability to improve relations between the police and the community. The open and honest acknowledgment of their usage within communities helps to build trust since it displays a commitment to the employment of fair police tactics</w:t>
      </w:r>
      <w:r w:rsidR="00400F0C">
        <w:rPr>
          <w:rFonts w:ascii="Times New Roman" w:hAnsi="Times New Roman" w:cs="Times New Roman"/>
          <w:sz w:val="24"/>
          <w:szCs w:val="24"/>
        </w:rPr>
        <w:t xml:space="preserve"> (White, 2014)</w:t>
      </w:r>
      <w:r w:rsidRPr="00671122">
        <w:rPr>
          <w:rFonts w:ascii="Times New Roman" w:hAnsi="Times New Roman" w:cs="Times New Roman"/>
          <w:sz w:val="24"/>
          <w:szCs w:val="24"/>
        </w:rPr>
        <w:t xml:space="preserve">. The recorded video from body-worn cameras enables supervisors and administrators to conduct objective evaluations of officer performance. This opens the door for constructive comments, chances for training, the identification of areas that need improvement, and revisions to policy. However, it is absolutely necessary for law enforcement agencies that use body-worn video </w:t>
      </w:r>
      <w:r w:rsidRPr="00671122">
        <w:rPr>
          <w:rFonts w:ascii="Times New Roman" w:hAnsi="Times New Roman" w:cs="Times New Roman"/>
          <w:sz w:val="24"/>
          <w:szCs w:val="24"/>
        </w:rPr>
        <w:lastRenderedPageBreak/>
        <w:t>cameras to establish clear guidelines on when recording should occur (for example, during arrests or investigative stops), ensuring proper storage protocols protecting citizen privacy rights, addressing concerns regarding data security, and developing policies regarding access to recordings while respecting constitutional safeguards</w:t>
      </w:r>
      <w:r w:rsidR="00673186">
        <w:rPr>
          <w:rFonts w:ascii="Times New Roman" w:hAnsi="Times New Roman" w:cs="Times New Roman"/>
          <w:sz w:val="24"/>
          <w:szCs w:val="24"/>
        </w:rPr>
        <w:t xml:space="preserve"> (Bristow et al., 2018)</w:t>
      </w:r>
      <w:r w:rsidRPr="00671122">
        <w:rPr>
          <w:rFonts w:ascii="Times New Roman" w:hAnsi="Times New Roman" w:cs="Times New Roman"/>
          <w:sz w:val="24"/>
          <w:szCs w:val="24"/>
        </w:rPr>
        <w:t>.</w:t>
      </w:r>
    </w:p>
    <w:p w14:paraId="33AA4C12" w14:textId="02918024" w:rsidR="00485CFE" w:rsidRPr="00671122" w:rsidRDefault="00E12C11" w:rsidP="00671122">
      <w:pPr>
        <w:spacing w:line="360" w:lineRule="auto"/>
        <w:jc w:val="both"/>
        <w:rPr>
          <w:rFonts w:ascii="Times New Roman" w:hAnsi="Times New Roman" w:cs="Times New Roman"/>
          <w:sz w:val="24"/>
          <w:szCs w:val="24"/>
        </w:rPr>
      </w:pPr>
      <w:r w:rsidRPr="00671122">
        <w:rPr>
          <w:rFonts w:ascii="Times New Roman" w:hAnsi="Times New Roman" w:cs="Times New Roman"/>
          <w:sz w:val="24"/>
          <w:szCs w:val="24"/>
        </w:rPr>
        <w:t>The "George Floyd incident" that took place in 2020 in the UK is an example of a prominent case that used the deployment of body-worn cameras</w:t>
      </w:r>
      <w:r w:rsidR="007A3AB7">
        <w:rPr>
          <w:rFonts w:ascii="Times New Roman" w:hAnsi="Times New Roman" w:cs="Times New Roman"/>
          <w:sz w:val="24"/>
          <w:szCs w:val="24"/>
        </w:rPr>
        <w:t xml:space="preserve"> (Chistian et al. 2022)</w:t>
      </w:r>
      <w:r w:rsidRPr="00671122">
        <w:rPr>
          <w:rFonts w:ascii="Times New Roman" w:hAnsi="Times New Roman" w:cs="Times New Roman"/>
          <w:sz w:val="24"/>
          <w:szCs w:val="24"/>
        </w:rPr>
        <w:t xml:space="preserve">. </w:t>
      </w:r>
      <w:r w:rsidR="007A3AB7" w:rsidRPr="007A3AB7">
        <w:rPr>
          <w:rFonts w:ascii="Times New Roman" w:hAnsi="Times New Roman" w:cs="Times New Roman"/>
          <w:sz w:val="24"/>
          <w:szCs w:val="24"/>
        </w:rPr>
        <w:t xml:space="preserve">An African-American guy named George Floyd was killed by police while being apprehended. Although body-worn cameras have been </w:t>
      </w:r>
      <w:r w:rsidR="007A3AB7" w:rsidRPr="007A3AB7">
        <w:rPr>
          <w:rFonts w:ascii="Times New Roman" w:hAnsi="Times New Roman" w:cs="Times New Roman"/>
          <w:sz w:val="24"/>
          <w:szCs w:val="24"/>
        </w:rPr>
        <w:t>utilized</w:t>
      </w:r>
      <w:r w:rsidR="007A3AB7" w:rsidRPr="007A3AB7">
        <w:rPr>
          <w:rFonts w:ascii="Times New Roman" w:hAnsi="Times New Roman" w:cs="Times New Roman"/>
          <w:sz w:val="24"/>
          <w:szCs w:val="24"/>
        </w:rPr>
        <w:t xml:space="preserve"> in a number of situations throughout the globe, including the United Kingdom, it is crucial to get the details right when discussing individual occurrences.</w:t>
      </w:r>
      <w:r w:rsidR="007A3AB7">
        <w:rPr>
          <w:rFonts w:ascii="Times New Roman" w:hAnsi="Times New Roman" w:cs="Times New Roman"/>
          <w:sz w:val="24"/>
          <w:szCs w:val="24"/>
        </w:rPr>
        <w:t xml:space="preserve"> According to Christian, e</w:t>
      </w:r>
      <w:r w:rsidRPr="00671122">
        <w:rPr>
          <w:rFonts w:ascii="Times New Roman" w:hAnsi="Times New Roman" w:cs="Times New Roman"/>
          <w:sz w:val="24"/>
          <w:szCs w:val="24"/>
        </w:rPr>
        <w:t>ven though it took place in Minneapolis, United States of America, this event had a tremendous influence all over the world and generated concerns about the accountability and transparency of the police. In this particular incident, George Floyd, a black man who was not armed, passed away as he was being apprehended by a police officer who squatted on his neck for a significant amount of time</w:t>
      </w:r>
      <w:r w:rsidR="00400F0C">
        <w:rPr>
          <w:rFonts w:ascii="Times New Roman" w:hAnsi="Times New Roman" w:cs="Times New Roman"/>
          <w:sz w:val="24"/>
          <w:szCs w:val="24"/>
        </w:rPr>
        <w:t xml:space="preserve"> (White et al., 2022)</w:t>
      </w:r>
      <w:r w:rsidRPr="00671122">
        <w:rPr>
          <w:rFonts w:ascii="Times New Roman" w:hAnsi="Times New Roman" w:cs="Times New Roman"/>
          <w:sz w:val="24"/>
          <w:szCs w:val="24"/>
        </w:rPr>
        <w:t xml:space="preserve">. The event was documented in a number of films taken on onlookers' cellphones and on footage obtained from the body-worn camera worn by one of the officers engaged in the incident. The video footage obtained during Mr. Floyd's arrest, both by civilian witnesses and by the officer wearing the body camera, was significant in drawing attention to the events that took place during the arrest. It offered visual evidence that contributed to the shaping of public opinion on the excessive use of force and raised issues regarding the procedures of police and the racial prejudices that they may have. </w:t>
      </w:r>
      <w:r w:rsidR="0080140D">
        <w:rPr>
          <w:rFonts w:ascii="Times New Roman" w:hAnsi="Times New Roman" w:cs="Times New Roman"/>
          <w:sz w:val="24"/>
          <w:szCs w:val="24"/>
        </w:rPr>
        <w:t>Valentine et al. (2020) have said that p</w:t>
      </w:r>
      <w:r w:rsidRPr="00671122">
        <w:rPr>
          <w:rFonts w:ascii="Times New Roman" w:hAnsi="Times New Roman" w:cs="Times New Roman"/>
          <w:sz w:val="24"/>
          <w:szCs w:val="24"/>
        </w:rPr>
        <w:t>rotests calling for justice were held not only in major cities in the United States but also in other parts of the globe, including numerous areas of Europe and the United Kingdom. These films were widely disseminated online, which contributed to their wider diffusion. The tragedy resulted in fresh demands for police reform and intensified scrutiny on the tactics of law enforcement worldwide. Although this particular incident did not involve a British law enforcement agency or take place within the UK itself, it demonstrates how video recordings from a variety of sources can contribute to public discourse surrounding policing issues</w:t>
      </w:r>
      <w:r w:rsidR="0080140D">
        <w:rPr>
          <w:rFonts w:ascii="Times New Roman" w:hAnsi="Times New Roman" w:cs="Times New Roman"/>
          <w:sz w:val="24"/>
          <w:szCs w:val="24"/>
        </w:rPr>
        <w:t xml:space="preserve"> (Kitchen and Berry, 2022)</w:t>
      </w:r>
      <w:r w:rsidRPr="00671122">
        <w:rPr>
          <w:rFonts w:ascii="Times New Roman" w:hAnsi="Times New Roman" w:cs="Times New Roman"/>
          <w:sz w:val="24"/>
          <w:szCs w:val="24"/>
        </w:rPr>
        <w:t>. It also highlights the potential impact that these recordings can have on shaping conversations regarding accountability, transparency, and demands for change within law enforcement agencies worldwide.</w:t>
      </w:r>
    </w:p>
    <w:p w14:paraId="5CFFCE43" w14:textId="2DE623A2" w:rsidR="007F3B45" w:rsidRPr="00671122" w:rsidRDefault="00540FAF" w:rsidP="00671122">
      <w:pPr>
        <w:spacing w:line="360" w:lineRule="auto"/>
        <w:jc w:val="both"/>
        <w:rPr>
          <w:rFonts w:ascii="Times New Roman" w:hAnsi="Times New Roman" w:cs="Times New Roman"/>
          <w:sz w:val="24"/>
          <w:szCs w:val="24"/>
        </w:rPr>
      </w:pPr>
      <w:r w:rsidRPr="00671122">
        <w:rPr>
          <w:rFonts w:ascii="Times New Roman" w:hAnsi="Times New Roman" w:cs="Times New Roman"/>
          <w:sz w:val="24"/>
          <w:szCs w:val="24"/>
        </w:rPr>
        <w:lastRenderedPageBreak/>
        <w:t>When employed in the field of law enforcement, body-worn cameras (also known as BWCs) provide a number of advantages. BWCs encourage accountability by providing an unbiased record of interactions between police and members of the community. The tape that was obtained may be used as vital evidence during investigations, ensuring that events are documented accurately and transparently</w:t>
      </w:r>
      <w:r w:rsidR="00400F0C">
        <w:rPr>
          <w:rFonts w:ascii="Times New Roman" w:hAnsi="Times New Roman" w:cs="Times New Roman"/>
          <w:sz w:val="24"/>
          <w:szCs w:val="24"/>
        </w:rPr>
        <w:t xml:space="preserve"> (Brown et al., 2018)</w:t>
      </w:r>
      <w:r w:rsidRPr="00671122">
        <w:rPr>
          <w:rFonts w:ascii="Times New Roman" w:hAnsi="Times New Roman" w:cs="Times New Roman"/>
          <w:sz w:val="24"/>
          <w:szCs w:val="24"/>
        </w:rPr>
        <w:t xml:space="preserve">. It has been shown that the existence of BWCs has a favorable influence on the conduct of officers, which in turn leads to an increased adherence to professional standards and best practices. Officers are more likely to behave professionally, de-escalate potentially dangerous situations, and follow procedure when they are aware that their actions are being videotaped. </w:t>
      </w:r>
      <w:r w:rsidR="0080140D">
        <w:rPr>
          <w:rFonts w:ascii="Times New Roman" w:hAnsi="Times New Roman" w:cs="Times New Roman"/>
          <w:sz w:val="24"/>
          <w:szCs w:val="24"/>
        </w:rPr>
        <w:t>According to Eden and Wagstaff (2021), t</w:t>
      </w:r>
      <w:r w:rsidRPr="00671122">
        <w:rPr>
          <w:rFonts w:ascii="Times New Roman" w:hAnsi="Times New Roman" w:cs="Times New Roman"/>
          <w:sz w:val="24"/>
          <w:szCs w:val="24"/>
        </w:rPr>
        <w:t>he video captured by body cameras is admissible as evidence in court proceedings since it is a trustworthy source. Because it records events as they happen in real time, it increases the reliability of the evidence that is presented in courtrooms or during investigations.</w:t>
      </w:r>
      <w:r w:rsidR="00E72DA0" w:rsidRPr="00671122">
        <w:rPr>
          <w:rFonts w:ascii="Times New Roman" w:hAnsi="Times New Roman" w:cs="Times New Roman"/>
          <w:sz w:val="24"/>
          <w:szCs w:val="24"/>
        </w:rPr>
        <w:t xml:space="preserve"> By capturing events from different participants' points of view, BWC recordings eliminate the need to rely on the biased memories of eyewitnesses or those directly engaged in the occurrence. Video captured by officers' body cameras may be used for instructional reasons. The recordings will let supervisors assess officers' work more fairly, zero in on problem areas, provide officers useful feedback, and improve their training as a whole</w:t>
      </w:r>
      <w:r w:rsidR="00400F0C">
        <w:rPr>
          <w:rFonts w:ascii="Times New Roman" w:hAnsi="Times New Roman" w:cs="Times New Roman"/>
          <w:sz w:val="24"/>
          <w:szCs w:val="24"/>
        </w:rPr>
        <w:t xml:space="preserve"> (Coudert et al., 2015)</w:t>
      </w:r>
      <w:r w:rsidR="00E72DA0" w:rsidRPr="00671122">
        <w:rPr>
          <w:rFonts w:ascii="Times New Roman" w:hAnsi="Times New Roman" w:cs="Times New Roman"/>
          <w:sz w:val="24"/>
          <w:szCs w:val="24"/>
        </w:rPr>
        <w:t xml:space="preserve">. By demonstrating a dedication to transparency and accountable policing practices, BWC usage helps build trust between law enforcement agencies and the communities they serve. It also fosters positive relationships by increasing perceptions of fairness and aids the complaint resolution process through video review capabilities, if necessary. </w:t>
      </w:r>
      <w:r w:rsidR="00627DDC">
        <w:rPr>
          <w:rFonts w:ascii="Times New Roman" w:hAnsi="Times New Roman" w:cs="Times New Roman"/>
          <w:sz w:val="24"/>
          <w:szCs w:val="24"/>
        </w:rPr>
        <w:t>Boaz and Davies (2019) have stated in their research that e</w:t>
      </w:r>
      <w:r w:rsidR="00E72DA0" w:rsidRPr="00671122">
        <w:rPr>
          <w:rFonts w:ascii="Times New Roman" w:hAnsi="Times New Roman" w:cs="Times New Roman"/>
          <w:sz w:val="24"/>
          <w:szCs w:val="24"/>
        </w:rPr>
        <w:t>vidence-based decision-making processes within agencies, such as resource allocation strategies based on identified crime patterns, hotspots; refining policies addressing recurring issues identified through video analysis, etc., can be optimized by analyzing data collected from body-worn cameras, providing insights into patterns or trends in police encounters.</w:t>
      </w:r>
    </w:p>
    <w:p w14:paraId="7C769644" w14:textId="0833E447" w:rsidR="00E72DA0" w:rsidRPr="00671122" w:rsidRDefault="00CC6D37" w:rsidP="00671122">
      <w:pPr>
        <w:spacing w:line="360" w:lineRule="auto"/>
        <w:jc w:val="both"/>
        <w:rPr>
          <w:rFonts w:ascii="Times New Roman" w:hAnsi="Times New Roman" w:cs="Times New Roman"/>
          <w:sz w:val="24"/>
          <w:szCs w:val="24"/>
        </w:rPr>
      </w:pPr>
      <w:r w:rsidRPr="00671122">
        <w:rPr>
          <w:rFonts w:ascii="Times New Roman" w:hAnsi="Times New Roman" w:cs="Times New Roman"/>
          <w:sz w:val="24"/>
          <w:szCs w:val="24"/>
        </w:rPr>
        <w:t xml:space="preserve">While there are many benefits to using body-worn cameras (BWCs), it is critical to understand their drawbacks and ethical constraints. Due to technological limits or officer discretion, BWCs may not record every instant of a contact. The camera's reliability and completeness may be compromised if officers are free to decide when to turn it on and off, at their own discretion. Various people's viewpoints and prejudices might lead them to draw various conclusions about what happened in a video. It is possible that one camera perspective will not give the whole picture </w:t>
      </w:r>
      <w:r w:rsidRPr="00671122">
        <w:rPr>
          <w:rFonts w:ascii="Times New Roman" w:hAnsi="Times New Roman" w:cs="Times New Roman"/>
          <w:sz w:val="24"/>
          <w:szCs w:val="24"/>
        </w:rPr>
        <w:lastRenderedPageBreak/>
        <w:t>when it comes to capturing the context of an occurrence. The use of BWCs creates privacy issues among both the general public and law enforcement</w:t>
      </w:r>
      <w:r w:rsidR="00400F0C">
        <w:rPr>
          <w:rFonts w:ascii="Times New Roman" w:hAnsi="Times New Roman" w:cs="Times New Roman"/>
          <w:sz w:val="24"/>
          <w:szCs w:val="24"/>
        </w:rPr>
        <w:t xml:space="preserve"> (Hyland, 2018)</w:t>
      </w:r>
      <w:r w:rsidRPr="00671122">
        <w:rPr>
          <w:rFonts w:ascii="Times New Roman" w:hAnsi="Times New Roman" w:cs="Times New Roman"/>
          <w:sz w:val="24"/>
          <w:szCs w:val="24"/>
        </w:rPr>
        <w:t>. When used in private homes or during talks involving victims or witnesses, recording devices violate the privacy of those involved. Law enforcement agencies have practical issues when attempting to store the massive volumes of video data produced by BWCs, such as the financial implications connected with secure storage infrastructure and the need to adhere to retention regulations that are compliance with legal standards</w:t>
      </w:r>
      <w:r w:rsidR="00627DDC">
        <w:rPr>
          <w:rFonts w:ascii="Times New Roman" w:hAnsi="Times New Roman" w:cs="Times New Roman"/>
          <w:sz w:val="24"/>
          <w:szCs w:val="24"/>
        </w:rPr>
        <w:t xml:space="preserve"> (Little et al., 2012)</w:t>
      </w:r>
      <w:r w:rsidRPr="00671122">
        <w:rPr>
          <w:rFonts w:ascii="Times New Roman" w:hAnsi="Times New Roman" w:cs="Times New Roman"/>
          <w:sz w:val="24"/>
          <w:szCs w:val="24"/>
        </w:rPr>
        <w:t xml:space="preserve">. </w:t>
      </w:r>
      <w:r w:rsidR="00627DDC" w:rsidRPr="00627DDC">
        <w:rPr>
          <w:rFonts w:ascii="Times New Roman" w:hAnsi="Times New Roman" w:cs="Times New Roman"/>
          <w:sz w:val="24"/>
          <w:szCs w:val="24"/>
        </w:rPr>
        <w:t>The presence of body-worn cameras may affect the dynamics between police and members of the public they contact with, and this has generated concerns about the validity of encounters if parties feel forced to behave differently because they are aware they are being filmed. The goals of transparency and accountability need to be carefully balanced against the expectations of privacy for each individual when encounters are recorded in private settings like homes or hospitals where people may not expect constant surveillance</w:t>
      </w:r>
      <w:r w:rsidR="00B107B2">
        <w:rPr>
          <w:rFonts w:ascii="Times New Roman" w:hAnsi="Times New Roman" w:cs="Times New Roman"/>
          <w:sz w:val="24"/>
          <w:szCs w:val="24"/>
        </w:rPr>
        <w:t xml:space="preserve"> (Bailey and Lloyd, 2017)</w:t>
      </w:r>
      <w:r w:rsidRPr="00671122">
        <w:rPr>
          <w:rFonts w:ascii="Times New Roman" w:hAnsi="Times New Roman" w:cs="Times New Roman"/>
          <w:sz w:val="24"/>
          <w:szCs w:val="24"/>
        </w:rPr>
        <w:t xml:space="preserve">. In order to guarantee that BWCs continue to operate properly and prevent any instances of tampering or manipulation of recorded video, they need to be regularly maintained and upgraded, just like any other technical instrument. Guidelines on BWC activation or deactivation, data management protocols, privacy safeguards, officer training in video usage or interpretation; respecting constitutional rights while fostering transparency and accountability; are all examples of policies that law enforcement agencies should implement to address these weaknesses and ethical limitations. </w:t>
      </w:r>
      <w:r w:rsidR="00DD28B5">
        <w:rPr>
          <w:rFonts w:ascii="Times New Roman" w:hAnsi="Times New Roman" w:cs="Times New Roman"/>
          <w:sz w:val="24"/>
          <w:szCs w:val="24"/>
        </w:rPr>
        <w:t>According to Mair and Thompson (2009), c</w:t>
      </w:r>
      <w:r w:rsidRPr="00671122">
        <w:rPr>
          <w:rFonts w:ascii="Times New Roman" w:hAnsi="Times New Roman" w:cs="Times New Roman"/>
          <w:sz w:val="24"/>
          <w:szCs w:val="24"/>
        </w:rPr>
        <w:t>oncerns must be adequately addressed throughout the evolution of BWC initiatives, therefore continuous review and public involvement are crucial.</w:t>
      </w:r>
      <w:r w:rsidR="00DD28B5">
        <w:rPr>
          <w:rFonts w:ascii="Times New Roman" w:hAnsi="Times New Roman" w:cs="Times New Roman"/>
          <w:sz w:val="24"/>
          <w:szCs w:val="24"/>
        </w:rPr>
        <w:t xml:space="preserve"> They have said that i</w:t>
      </w:r>
      <w:r w:rsidR="00DD28B5" w:rsidRPr="00DD28B5">
        <w:rPr>
          <w:rFonts w:ascii="Times New Roman" w:hAnsi="Times New Roman" w:cs="Times New Roman"/>
          <w:sz w:val="24"/>
          <w:szCs w:val="24"/>
        </w:rPr>
        <w:t>t is imperative that law enforcement agencies have regulations in place regarding the activation or deactivation of BWCs, data storage standards, privacy measures, and officer training in the use or interpretation of video. The possible abuse of BWCs, privacy issues, and the preservation of constitutional rights are all areas that are addressed by these rules.</w:t>
      </w:r>
    </w:p>
    <w:p w14:paraId="0A7EDB1F" w14:textId="2009E61E" w:rsidR="00CC6D37" w:rsidRPr="00671122" w:rsidRDefault="00DE2A4E" w:rsidP="00671122">
      <w:pPr>
        <w:spacing w:line="360" w:lineRule="auto"/>
        <w:jc w:val="both"/>
        <w:rPr>
          <w:rFonts w:ascii="Times New Roman" w:hAnsi="Times New Roman" w:cs="Times New Roman"/>
          <w:sz w:val="24"/>
          <w:szCs w:val="24"/>
        </w:rPr>
      </w:pPr>
      <w:r w:rsidRPr="00671122">
        <w:rPr>
          <w:rFonts w:ascii="Times New Roman" w:hAnsi="Times New Roman" w:cs="Times New Roman"/>
          <w:sz w:val="24"/>
          <w:szCs w:val="24"/>
        </w:rPr>
        <w:t>There are both advantages and drawbacks to using evidence obtained by body-worn cameras (BWCs) while discussing criminal matters. BWC film is an unbiased description of what happened, which may be used to corroborate or refute witness testimony in investigations and court cases</w:t>
      </w:r>
      <w:r w:rsidR="00400F0C">
        <w:rPr>
          <w:rFonts w:ascii="Times New Roman" w:hAnsi="Times New Roman" w:cs="Times New Roman"/>
          <w:sz w:val="24"/>
          <w:szCs w:val="24"/>
        </w:rPr>
        <w:t xml:space="preserve"> (Stoughton, 2017)</w:t>
      </w:r>
      <w:r w:rsidRPr="00671122">
        <w:rPr>
          <w:rFonts w:ascii="Times New Roman" w:hAnsi="Times New Roman" w:cs="Times New Roman"/>
          <w:sz w:val="24"/>
          <w:szCs w:val="24"/>
        </w:rPr>
        <w:t>.</w:t>
      </w:r>
      <w:r w:rsidR="004D139C">
        <w:rPr>
          <w:rFonts w:ascii="Times New Roman" w:hAnsi="Times New Roman" w:cs="Times New Roman"/>
          <w:sz w:val="24"/>
          <w:szCs w:val="24"/>
        </w:rPr>
        <w:t xml:space="preserve"> </w:t>
      </w:r>
      <w:r w:rsidRPr="00671122">
        <w:rPr>
          <w:rFonts w:ascii="Times New Roman" w:hAnsi="Times New Roman" w:cs="Times New Roman"/>
          <w:sz w:val="24"/>
          <w:szCs w:val="24"/>
        </w:rPr>
        <w:t xml:space="preserve">Forensic investigators may benefit from BWC video evidence by using it to piece together what happened, zero in on crucial details, and verify or disprove statements made by eyewitnesses. Officers may decide for themselves whether and when to use </w:t>
      </w:r>
      <w:r w:rsidRPr="00671122">
        <w:rPr>
          <w:rFonts w:ascii="Times New Roman" w:hAnsi="Times New Roman" w:cs="Times New Roman"/>
          <w:sz w:val="24"/>
          <w:szCs w:val="24"/>
        </w:rPr>
        <w:lastRenderedPageBreak/>
        <w:t>their BWCs. If not handled appropriately, this might lead to unusable recordings that are missing important parts of conversations. Camera angles, lighting, and audio quality all have a role in how viewers perceive video evidence, which may lead to conflicting interpretations about the players' intentions or motivations</w:t>
      </w:r>
      <w:r w:rsidR="00DD28B5">
        <w:rPr>
          <w:rFonts w:ascii="Times New Roman" w:hAnsi="Times New Roman" w:cs="Times New Roman"/>
          <w:sz w:val="24"/>
          <w:szCs w:val="24"/>
        </w:rPr>
        <w:t xml:space="preserve"> (Morago, 2010)</w:t>
      </w:r>
      <w:r w:rsidRPr="00671122">
        <w:rPr>
          <w:rFonts w:ascii="Times New Roman" w:hAnsi="Times New Roman" w:cs="Times New Roman"/>
          <w:sz w:val="24"/>
          <w:szCs w:val="24"/>
        </w:rPr>
        <w:t>.</w:t>
      </w:r>
    </w:p>
    <w:p w14:paraId="5603A80E" w14:textId="37ACE159" w:rsidR="00DE2A4E" w:rsidRPr="004D139C" w:rsidRDefault="00DE2A4E" w:rsidP="004D139C">
      <w:pPr>
        <w:spacing w:after="0" w:line="360" w:lineRule="auto"/>
        <w:jc w:val="both"/>
        <w:rPr>
          <w:rFonts w:ascii="Times New Roman" w:hAnsi="Times New Roman" w:cs="Times New Roman"/>
          <w:b/>
          <w:bCs/>
          <w:sz w:val="28"/>
          <w:szCs w:val="28"/>
        </w:rPr>
      </w:pPr>
      <w:r w:rsidRPr="004D139C">
        <w:rPr>
          <w:rFonts w:ascii="Times New Roman" w:hAnsi="Times New Roman" w:cs="Times New Roman"/>
          <w:b/>
          <w:bCs/>
          <w:sz w:val="28"/>
          <w:szCs w:val="28"/>
        </w:rPr>
        <w:t>Conclusion</w:t>
      </w:r>
    </w:p>
    <w:p w14:paraId="7E4DDB1C" w14:textId="3F5F2053" w:rsidR="00DE2A4E" w:rsidRDefault="00DE2A4E" w:rsidP="00671122">
      <w:pPr>
        <w:spacing w:line="360" w:lineRule="auto"/>
        <w:jc w:val="both"/>
        <w:rPr>
          <w:rFonts w:ascii="Times New Roman" w:hAnsi="Times New Roman" w:cs="Times New Roman"/>
          <w:sz w:val="24"/>
          <w:szCs w:val="24"/>
        </w:rPr>
      </w:pPr>
      <w:r w:rsidRPr="00671122">
        <w:rPr>
          <w:rFonts w:ascii="Times New Roman" w:hAnsi="Times New Roman" w:cs="Times New Roman"/>
          <w:sz w:val="24"/>
          <w:szCs w:val="24"/>
        </w:rPr>
        <w:t>In conclusion, BWCs are consistent with the ideals of evidence-based policing. When BWCs are properly developed and maintained, they may help improve law enforcement agencies' efficacy, transparency, and accountability</w:t>
      </w:r>
      <w:r w:rsidR="00134192">
        <w:rPr>
          <w:rFonts w:ascii="Times New Roman" w:hAnsi="Times New Roman" w:cs="Times New Roman"/>
          <w:sz w:val="24"/>
          <w:szCs w:val="24"/>
        </w:rPr>
        <w:t xml:space="preserve"> (Boaz and Davies, 2019)</w:t>
      </w:r>
      <w:r w:rsidRPr="00671122">
        <w:rPr>
          <w:rFonts w:ascii="Times New Roman" w:hAnsi="Times New Roman" w:cs="Times New Roman"/>
          <w:sz w:val="24"/>
          <w:szCs w:val="24"/>
        </w:rPr>
        <w:t>. BWCs' benefits in evidence-based police include more transparency and accountability via objective documentation, better officer conduct, more solid evidence collecting for investigations and prosecutions, and more informed, data-driven decisions</w:t>
      </w:r>
      <w:r w:rsidR="00134192">
        <w:rPr>
          <w:rFonts w:ascii="Times New Roman" w:hAnsi="Times New Roman" w:cs="Times New Roman"/>
          <w:sz w:val="24"/>
          <w:szCs w:val="24"/>
        </w:rPr>
        <w:t xml:space="preserve"> (Mair and Thompson, 2009)</w:t>
      </w:r>
      <w:r w:rsidRPr="00671122">
        <w:rPr>
          <w:rFonts w:ascii="Times New Roman" w:hAnsi="Times New Roman" w:cs="Times New Roman"/>
          <w:sz w:val="24"/>
          <w:szCs w:val="24"/>
        </w:rPr>
        <w:t>. Video captured at a BWC may also be used to assess police efficiency, build confidence with locals, and inform police training</w:t>
      </w:r>
      <w:r w:rsidR="00134192">
        <w:rPr>
          <w:rFonts w:ascii="Times New Roman" w:hAnsi="Times New Roman" w:cs="Times New Roman"/>
          <w:sz w:val="24"/>
          <w:szCs w:val="24"/>
        </w:rPr>
        <w:t xml:space="preserve"> (Eden and Wagstaff, 2021)</w:t>
      </w:r>
      <w:r w:rsidRPr="00671122">
        <w:rPr>
          <w:rFonts w:ascii="Times New Roman" w:hAnsi="Times New Roman" w:cs="Times New Roman"/>
          <w:sz w:val="24"/>
          <w:szCs w:val="24"/>
        </w:rPr>
        <w:t>.</w:t>
      </w:r>
    </w:p>
    <w:p w14:paraId="07ED9622" w14:textId="29AC9375" w:rsidR="00400F0C" w:rsidRDefault="00400F0C" w:rsidP="00671122">
      <w:pPr>
        <w:spacing w:line="360" w:lineRule="auto"/>
        <w:jc w:val="both"/>
        <w:rPr>
          <w:rFonts w:ascii="Times New Roman" w:hAnsi="Times New Roman" w:cs="Times New Roman"/>
          <w:sz w:val="24"/>
          <w:szCs w:val="24"/>
        </w:rPr>
      </w:pPr>
    </w:p>
    <w:p w14:paraId="5CA1C838" w14:textId="458AE895" w:rsidR="0094295E" w:rsidRDefault="0094295E" w:rsidP="00671122">
      <w:pPr>
        <w:spacing w:line="360" w:lineRule="auto"/>
        <w:jc w:val="both"/>
        <w:rPr>
          <w:rFonts w:ascii="Times New Roman" w:hAnsi="Times New Roman" w:cs="Times New Roman"/>
          <w:sz w:val="24"/>
          <w:szCs w:val="24"/>
        </w:rPr>
      </w:pPr>
    </w:p>
    <w:p w14:paraId="7D09669B" w14:textId="6CB23746" w:rsidR="0094295E" w:rsidRDefault="0094295E" w:rsidP="00671122">
      <w:pPr>
        <w:spacing w:line="360" w:lineRule="auto"/>
        <w:jc w:val="both"/>
        <w:rPr>
          <w:rFonts w:ascii="Times New Roman" w:hAnsi="Times New Roman" w:cs="Times New Roman"/>
          <w:sz w:val="24"/>
          <w:szCs w:val="24"/>
        </w:rPr>
      </w:pPr>
    </w:p>
    <w:p w14:paraId="0BFF7916" w14:textId="62D4EFD2" w:rsidR="0094295E" w:rsidRDefault="0094295E" w:rsidP="00671122">
      <w:pPr>
        <w:spacing w:line="360" w:lineRule="auto"/>
        <w:jc w:val="both"/>
        <w:rPr>
          <w:rFonts w:ascii="Times New Roman" w:hAnsi="Times New Roman" w:cs="Times New Roman"/>
          <w:sz w:val="24"/>
          <w:szCs w:val="24"/>
        </w:rPr>
      </w:pPr>
    </w:p>
    <w:p w14:paraId="1E013949" w14:textId="2FFF71DF" w:rsidR="0094295E" w:rsidRDefault="0094295E" w:rsidP="00671122">
      <w:pPr>
        <w:spacing w:line="360" w:lineRule="auto"/>
        <w:jc w:val="both"/>
        <w:rPr>
          <w:rFonts w:ascii="Times New Roman" w:hAnsi="Times New Roman" w:cs="Times New Roman"/>
          <w:sz w:val="24"/>
          <w:szCs w:val="24"/>
        </w:rPr>
      </w:pPr>
    </w:p>
    <w:p w14:paraId="75C0555F" w14:textId="6E9803C9" w:rsidR="0094295E" w:rsidRDefault="0094295E" w:rsidP="00671122">
      <w:pPr>
        <w:spacing w:line="360" w:lineRule="auto"/>
        <w:jc w:val="both"/>
        <w:rPr>
          <w:rFonts w:ascii="Times New Roman" w:hAnsi="Times New Roman" w:cs="Times New Roman"/>
          <w:sz w:val="24"/>
          <w:szCs w:val="24"/>
        </w:rPr>
      </w:pPr>
    </w:p>
    <w:p w14:paraId="58D633F9" w14:textId="2C94BE56" w:rsidR="0094295E" w:rsidRDefault="0094295E" w:rsidP="00671122">
      <w:pPr>
        <w:spacing w:line="360" w:lineRule="auto"/>
        <w:jc w:val="both"/>
        <w:rPr>
          <w:rFonts w:ascii="Times New Roman" w:hAnsi="Times New Roman" w:cs="Times New Roman"/>
          <w:sz w:val="24"/>
          <w:szCs w:val="24"/>
        </w:rPr>
      </w:pPr>
    </w:p>
    <w:p w14:paraId="6156ABC7" w14:textId="5508D685" w:rsidR="0094295E" w:rsidRDefault="0094295E" w:rsidP="00671122">
      <w:pPr>
        <w:spacing w:line="360" w:lineRule="auto"/>
        <w:jc w:val="both"/>
        <w:rPr>
          <w:rFonts w:ascii="Times New Roman" w:hAnsi="Times New Roman" w:cs="Times New Roman"/>
          <w:sz w:val="24"/>
          <w:szCs w:val="24"/>
        </w:rPr>
      </w:pPr>
    </w:p>
    <w:p w14:paraId="4F1A955E" w14:textId="49E103F3" w:rsidR="0094295E" w:rsidRDefault="0094295E" w:rsidP="00671122">
      <w:pPr>
        <w:spacing w:line="360" w:lineRule="auto"/>
        <w:jc w:val="both"/>
        <w:rPr>
          <w:rFonts w:ascii="Times New Roman" w:hAnsi="Times New Roman" w:cs="Times New Roman"/>
          <w:sz w:val="24"/>
          <w:szCs w:val="24"/>
        </w:rPr>
      </w:pPr>
    </w:p>
    <w:p w14:paraId="58616215" w14:textId="2AFCB38B" w:rsidR="0094295E" w:rsidRDefault="0094295E" w:rsidP="00671122">
      <w:pPr>
        <w:spacing w:line="360" w:lineRule="auto"/>
        <w:jc w:val="both"/>
        <w:rPr>
          <w:rFonts w:ascii="Times New Roman" w:hAnsi="Times New Roman" w:cs="Times New Roman"/>
          <w:sz w:val="24"/>
          <w:szCs w:val="24"/>
        </w:rPr>
      </w:pPr>
    </w:p>
    <w:p w14:paraId="3B80B543" w14:textId="53B6960B" w:rsidR="0094295E" w:rsidRDefault="0094295E" w:rsidP="00671122">
      <w:pPr>
        <w:spacing w:line="360" w:lineRule="auto"/>
        <w:jc w:val="both"/>
        <w:rPr>
          <w:rFonts w:ascii="Times New Roman" w:hAnsi="Times New Roman" w:cs="Times New Roman"/>
          <w:sz w:val="24"/>
          <w:szCs w:val="24"/>
        </w:rPr>
      </w:pPr>
    </w:p>
    <w:p w14:paraId="1EA70182" w14:textId="07F1A615" w:rsidR="0094295E" w:rsidRDefault="0094295E" w:rsidP="00671122">
      <w:pPr>
        <w:spacing w:line="360" w:lineRule="auto"/>
        <w:jc w:val="both"/>
        <w:rPr>
          <w:rFonts w:ascii="Times New Roman" w:hAnsi="Times New Roman" w:cs="Times New Roman"/>
          <w:sz w:val="24"/>
          <w:szCs w:val="24"/>
        </w:rPr>
      </w:pPr>
    </w:p>
    <w:p w14:paraId="5C7D1C8A" w14:textId="77777777" w:rsidR="0094295E" w:rsidRDefault="0094295E" w:rsidP="00671122">
      <w:pPr>
        <w:spacing w:line="360" w:lineRule="auto"/>
        <w:jc w:val="both"/>
        <w:rPr>
          <w:rFonts w:ascii="Times New Roman" w:hAnsi="Times New Roman" w:cs="Times New Roman"/>
          <w:sz w:val="24"/>
          <w:szCs w:val="24"/>
        </w:rPr>
      </w:pPr>
    </w:p>
    <w:p w14:paraId="20CBD327" w14:textId="35F69E57" w:rsidR="00400F0C" w:rsidRPr="00400F0C" w:rsidRDefault="00400F0C" w:rsidP="00400F0C">
      <w:pPr>
        <w:spacing w:after="0" w:line="360" w:lineRule="auto"/>
        <w:jc w:val="both"/>
        <w:rPr>
          <w:rFonts w:ascii="Times New Roman" w:hAnsi="Times New Roman" w:cs="Times New Roman"/>
          <w:b/>
          <w:bCs/>
          <w:sz w:val="28"/>
          <w:szCs w:val="28"/>
        </w:rPr>
      </w:pPr>
      <w:r w:rsidRPr="00400F0C">
        <w:rPr>
          <w:rFonts w:ascii="Times New Roman" w:hAnsi="Times New Roman" w:cs="Times New Roman"/>
          <w:b/>
          <w:bCs/>
          <w:sz w:val="28"/>
          <w:szCs w:val="28"/>
        </w:rPr>
        <w:lastRenderedPageBreak/>
        <w:t>References</w:t>
      </w:r>
    </w:p>
    <w:p w14:paraId="459123E6" w14:textId="77777777" w:rsidR="00134192" w:rsidRPr="00134192" w:rsidRDefault="00134192" w:rsidP="00134192">
      <w:pPr>
        <w:ind w:left="720" w:hanging="720"/>
        <w:rPr>
          <w:rFonts w:ascii="Times New Roman" w:hAnsi="Times New Roman" w:cs="Times New Roman"/>
          <w:color w:val="0D0D0D" w:themeColor="text1" w:themeTint="F2"/>
          <w:sz w:val="24"/>
          <w:szCs w:val="24"/>
          <w:shd w:val="clear" w:color="auto" w:fill="FFFFFF"/>
        </w:rPr>
      </w:pPr>
      <w:r w:rsidRPr="00134192">
        <w:rPr>
          <w:rFonts w:ascii="Times New Roman" w:hAnsi="Times New Roman" w:cs="Times New Roman"/>
          <w:color w:val="0D0D0D" w:themeColor="text1" w:themeTint="F2"/>
          <w:sz w:val="24"/>
          <w:szCs w:val="24"/>
          <w:shd w:val="clear" w:color="auto" w:fill="FFFFFF"/>
        </w:rPr>
        <w:t>Bailey, J. and Lloyd, P., 2017. The introduction of design to policymaking: Policy Lab and the UK government. </w:t>
      </w:r>
      <w:r w:rsidRPr="00134192">
        <w:rPr>
          <w:rFonts w:ascii="Times New Roman" w:hAnsi="Times New Roman" w:cs="Times New Roman"/>
          <w:i/>
          <w:iCs/>
          <w:color w:val="0D0D0D" w:themeColor="text1" w:themeTint="F2"/>
          <w:sz w:val="24"/>
          <w:szCs w:val="24"/>
          <w:shd w:val="clear" w:color="auto" w:fill="FFFFFF"/>
        </w:rPr>
        <w:t>Annual Review of Policy Design</w:t>
      </w:r>
      <w:r w:rsidRPr="00134192">
        <w:rPr>
          <w:rFonts w:ascii="Times New Roman" w:hAnsi="Times New Roman" w:cs="Times New Roman"/>
          <w:color w:val="0D0D0D" w:themeColor="text1" w:themeTint="F2"/>
          <w:sz w:val="24"/>
          <w:szCs w:val="24"/>
          <w:shd w:val="clear" w:color="auto" w:fill="FFFFFF"/>
        </w:rPr>
        <w:t>, </w:t>
      </w:r>
      <w:r w:rsidRPr="00134192">
        <w:rPr>
          <w:rFonts w:ascii="Times New Roman" w:hAnsi="Times New Roman" w:cs="Times New Roman"/>
          <w:i/>
          <w:iCs/>
          <w:color w:val="0D0D0D" w:themeColor="text1" w:themeTint="F2"/>
          <w:sz w:val="24"/>
          <w:szCs w:val="24"/>
          <w:shd w:val="clear" w:color="auto" w:fill="FFFFFF"/>
        </w:rPr>
        <w:t>5</w:t>
      </w:r>
      <w:r w:rsidRPr="00134192">
        <w:rPr>
          <w:rFonts w:ascii="Times New Roman" w:hAnsi="Times New Roman" w:cs="Times New Roman"/>
          <w:color w:val="0D0D0D" w:themeColor="text1" w:themeTint="F2"/>
          <w:sz w:val="24"/>
          <w:szCs w:val="24"/>
          <w:shd w:val="clear" w:color="auto" w:fill="FFFFFF"/>
        </w:rPr>
        <w:t>(1), pp.1-14.</w:t>
      </w:r>
    </w:p>
    <w:p w14:paraId="6C1B107C" w14:textId="77777777" w:rsidR="00134192" w:rsidRPr="00134192" w:rsidRDefault="00134192" w:rsidP="00134192">
      <w:pPr>
        <w:ind w:left="720" w:hanging="720"/>
        <w:rPr>
          <w:rFonts w:ascii="Times New Roman" w:hAnsi="Times New Roman" w:cs="Times New Roman"/>
          <w:color w:val="0D0D0D" w:themeColor="text1" w:themeTint="F2"/>
          <w:sz w:val="24"/>
          <w:szCs w:val="24"/>
          <w:shd w:val="clear" w:color="auto" w:fill="FFFFFF"/>
        </w:rPr>
      </w:pPr>
      <w:r w:rsidRPr="00134192">
        <w:rPr>
          <w:rFonts w:ascii="Times New Roman" w:hAnsi="Times New Roman" w:cs="Times New Roman"/>
          <w:color w:val="0D0D0D" w:themeColor="text1" w:themeTint="F2"/>
          <w:sz w:val="24"/>
          <w:szCs w:val="24"/>
          <w:shd w:val="clear" w:color="auto" w:fill="FFFFFF"/>
        </w:rPr>
        <w:t>Boaz, A. and Davies, H. eds., 2019. </w:t>
      </w:r>
      <w:r w:rsidRPr="00134192">
        <w:rPr>
          <w:rFonts w:ascii="Times New Roman" w:hAnsi="Times New Roman" w:cs="Times New Roman"/>
          <w:i/>
          <w:iCs/>
          <w:color w:val="0D0D0D" w:themeColor="text1" w:themeTint="F2"/>
          <w:sz w:val="24"/>
          <w:szCs w:val="24"/>
          <w:shd w:val="clear" w:color="auto" w:fill="FFFFFF"/>
        </w:rPr>
        <w:t xml:space="preserve">What works </w:t>
      </w:r>
      <w:proofErr w:type="gramStart"/>
      <w:r w:rsidRPr="00134192">
        <w:rPr>
          <w:rFonts w:ascii="Times New Roman" w:hAnsi="Times New Roman" w:cs="Times New Roman"/>
          <w:i/>
          <w:iCs/>
          <w:color w:val="0D0D0D" w:themeColor="text1" w:themeTint="F2"/>
          <w:sz w:val="24"/>
          <w:szCs w:val="24"/>
          <w:shd w:val="clear" w:color="auto" w:fill="FFFFFF"/>
        </w:rPr>
        <w:t>now?:</w:t>
      </w:r>
      <w:proofErr w:type="gramEnd"/>
      <w:r w:rsidRPr="00134192">
        <w:rPr>
          <w:rFonts w:ascii="Times New Roman" w:hAnsi="Times New Roman" w:cs="Times New Roman"/>
          <w:i/>
          <w:iCs/>
          <w:color w:val="0D0D0D" w:themeColor="text1" w:themeTint="F2"/>
          <w:sz w:val="24"/>
          <w:szCs w:val="24"/>
          <w:shd w:val="clear" w:color="auto" w:fill="FFFFFF"/>
        </w:rPr>
        <w:t xml:space="preserve"> evidence-informed policy and practice</w:t>
      </w:r>
      <w:r w:rsidRPr="00134192">
        <w:rPr>
          <w:rFonts w:ascii="Times New Roman" w:hAnsi="Times New Roman" w:cs="Times New Roman"/>
          <w:color w:val="0D0D0D" w:themeColor="text1" w:themeTint="F2"/>
          <w:sz w:val="24"/>
          <w:szCs w:val="24"/>
          <w:shd w:val="clear" w:color="auto" w:fill="FFFFFF"/>
        </w:rPr>
        <w:t>. Policy Press.</w:t>
      </w:r>
    </w:p>
    <w:p w14:paraId="65544E65" w14:textId="77777777" w:rsidR="00134192" w:rsidRPr="00134192" w:rsidRDefault="00134192" w:rsidP="00134192">
      <w:pPr>
        <w:ind w:left="720" w:hanging="720"/>
        <w:rPr>
          <w:rFonts w:ascii="Times New Roman" w:hAnsi="Times New Roman" w:cs="Times New Roman"/>
          <w:color w:val="0D0D0D" w:themeColor="text1" w:themeTint="F2"/>
          <w:sz w:val="24"/>
          <w:szCs w:val="24"/>
          <w:shd w:val="clear" w:color="auto" w:fill="FFFFFF"/>
        </w:rPr>
      </w:pPr>
      <w:r w:rsidRPr="00134192">
        <w:rPr>
          <w:rFonts w:ascii="Times New Roman" w:hAnsi="Times New Roman" w:cs="Times New Roman"/>
          <w:color w:val="0D0D0D" w:themeColor="text1" w:themeTint="F2"/>
          <w:sz w:val="24"/>
          <w:szCs w:val="24"/>
          <w:shd w:val="clear" w:color="auto" w:fill="FFFFFF"/>
        </w:rPr>
        <w:t xml:space="preserve">Bristow, D., Carter, L. and Martin, S., 2018. Using evidence to improve policy and practice: the UK What Works </w:t>
      </w:r>
      <w:proofErr w:type="spellStart"/>
      <w:r w:rsidRPr="00134192">
        <w:rPr>
          <w:rFonts w:ascii="Times New Roman" w:hAnsi="Times New Roman" w:cs="Times New Roman"/>
          <w:color w:val="0D0D0D" w:themeColor="text1" w:themeTint="F2"/>
          <w:sz w:val="24"/>
          <w:szCs w:val="24"/>
          <w:shd w:val="clear" w:color="auto" w:fill="FFFFFF"/>
        </w:rPr>
        <w:t>Centres</w:t>
      </w:r>
      <w:proofErr w:type="spellEnd"/>
      <w:r w:rsidRPr="00134192">
        <w:rPr>
          <w:rFonts w:ascii="Times New Roman" w:hAnsi="Times New Roman" w:cs="Times New Roman"/>
          <w:color w:val="0D0D0D" w:themeColor="text1" w:themeTint="F2"/>
          <w:sz w:val="24"/>
          <w:szCs w:val="24"/>
          <w:shd w:val="clear" w:color="auto" w:fill="FFFFFF"/>
        </w:rPr>
        <w:t>. In </w:t>
      </w:r>
      <w:r w:rsidRPr="00134192">
        <w:rPr>
          <w:rFonts w:ascii="Times New Roman" w:hAnsi="Times New Roman" w:cs="Times New Roman"/>
          <w:i/>
          <w:iCs/>
          <w:color w:val="0D0D0D" w:themeColor="text1" w:themeTint="F2"/>
          <w:sz w:val="24"/>
          <w:szCs w:val="24"/>
          <w:shd w:val="clear" w:color="auto" w:fill="FFFFFF"/>
        </w:rPr>
        <w:t>International and Interdisciplinary Insights into Evidence and Policy</w:t>
      </w:r>
      <w:r w:rsidRPr="00134192">
        <w:rPr>
          <w:rFonts w:ascii="Times New Roman" w:hAnsi="Times New Roman" w:cs="Times New Roman"/>
          <w:color w:val="0D0D0D" w:themeColor="text1" w:themeTint="F2"/>
          <w:sz w:val="24"/>
          <w:szCs w:val="24"/>
          <w:shd w:val="clear" w:color="auto" w:fill="FFFFFF"/>
        </w:rPr>
        <w:t> (pp. 40-51). Routledge.</w:t>
      </w:r>
    </w:p>
    <w:p w14:paraId="6E506183" w14:textId="77777777" w:rsidR="00134192" w:rsidRPr="00134192" w:rsidRDefault="00134192" w:rsidP="00134192">
      <w:pPr>
        <w:ind w:left="720" w:hanging="720"/>
        <w:rPr>
          <w:rFonts w:ascii="Times New Roman" w:hAnsi="Times New Roman" w:cs="Times New Roman"/>
          <w:color w:val="0D0D0D" w:themeColor="text1" w:themeTint="F2"/>
          <w:sz w:val="24"/>
          <w:szCs w:val="24"/>
          <w:shd w:val="clear" w:color="auto" w:fill="FFFFFF"/>
        </w:rPr>
      </w:pPr>
      <w:r w:rsidRPr="00134192">
        <w:rPr>
          <w:rFonts w:ascii="Times New Roman" w:hAnsi="Times New Roman" w:cs="Times New Roman"/>
          <w:color w:val="0D0D0D" w:themeColor="text1" w:themeTint="F2"/>
          <w:sz w:val="24"/>
          <w:szCs w:val="24"/>
          <w:shd w:val="clear" w:color="auto" w:fill="FFFFFF"/>
        </w:rPr>
        <w:t xml:space="preserve">Brown, J., </w:t>
      </w:r>
      <w:proofErr w:type="spellStart"/>
      <w:r w:rsidRPr="00134192">
        <w:rPr>
          <w:rFonts w:ascii="Times New Roman" w:hAnsi="Times New Roman" w:cs="Times New Roman"/>
          <w:color w:val="0D0D0D" w:themeColor="text1" w:themeTint="F2"/>
          <w:sz w:val="24"/>
          <w:szCs w:val="24"/>
          <w:shd w:val="clear" w:color="auto" w:fill="FFFFFF"/>
        </w:rPr>
        <w:t>Belur</w:t>
      </w:r>
      <w:proofErr w:type="spellEnd"/>
      <w:r w:rsidRPr="00134192">
        <w:rPr>
          <w:rFonts w:ascii="Times New Roman" w:hAnsi="Times New Roman" w:cs="Times New Roman"/>
          <w:color w:val="0D0D0D" w:themeColor="text1" w:themeTint="F2"/>
          <w:sz w:val="24"/>
          <w:szCs w:val="24"/>
          <w:shd w:val="clear" w:color="auto" w:fill="FFFFFF"/>
        </w:rPr>
        <w:t>, J., Tompson, L., McDowall, A., Hunter, G. and May, T., 2018. Extending the remit of evidence-based policing. </w:t>
      </w:r>
      <w:r w:rsidRPr="00134192">
        <w:rPr>
          <w:rFonts w:ascii="Times New Roman" w:hAnsi="Times New Roman" w:cs="Times New Roman"/>
          <w:i/>
          <w:iCs/>
          <w:color w:val="0D0D0D" w:themeColor="text1" w:themeTint="F2"/>
          <w:sz w:val="24"/>
          <w:szCs w:val="24"/>
          <w:shd w:val="clear" w:color="auto" w:fill="FFFFFF"/>
        </w:rPr>
        <w:t>International journal of police science &amp; management</w:t>
      </w:r>
      <w:r w:rsidRPr="00134192">
        <w:rPr>
          <w:rFonts w:ascii="Times New Roman" w:hAnsi="Times New Roman" w:cs="Times New Roman"/>
          <w:color w:val="0D0D0D" w:themeColor="text1" w:themeTint="F2"/>
          <w:sz w:val="24"/>
          <w:szCs w:val="24"/>
          <w:shd w:val="clear" w:color="auto" w:fill="FFFFFF"/>
        </w:rPr>
        <w:t>, </w:t>
      </w:r>
      <w:r w:rsidRPr="00134192">
        <w:rPr>
          <w:rFonts w:ascii="Times New Roman" w:hAnsi="Times New Roman" w:cs="Times New Roman"/>
          <w:i/>
          <w:iCs/>
          <w:color w:val="0D0D0D" w:themeColor="text1" w:themeTint="F2"/>
          <w:sz w:val="24"/>
          <w:szCs w:val="24"/>
          <w:shd w:val="clear" w:color="auto" w:fill="FFFFFF"/>
        </w:rPr>
        <w:t>20</w:t>
      </w:r>
      <w:r w:rsidRPr="00134192">
        <w:rPr>
          <w:rFonts w:ascii="Times New Roman" w:hAnsi="Times New Roman" w:cs="Times New Roman"/>
          <w:color w:val="0D0D0D" w:themeColor="text1" w:themeTint="F2"/>
          <w:sz w:val="24"/>
          <w:szCs w:val="24"/>
          <w:shd w:val="clear" w:color="auto" w:fill="FFFFFF"/>
        </w:rPr>
        <w:t>(1), pp.38-51.</w:t>
      </w:r>
    </w:p>
    <w:p w14:paraId="1CB9E337" w14:textId="77777777" w:rsidR="00134192" w:rsidRPr="00134192" w:rsidRDefault="00134192" w:rsidP="00134192">
      <w:pPr>
        <w:ind w:left="720" w:hanging="720"/>
        <w:rPr>
          <w:rFonts w:ascii="Times New Roman" w:hAnsi="Times New Roman" w:cs="Times New Roman"/>
          <w:color w:val="0D0D0D" w:themeColor="text1" w:themeTint="F2"/>
          <w:sz w:val="24"/>
          <w:szCs w:val="24"/>
          <w:shd w:val="clear" w:color="auto" w:fill="FFFFFF"/>
        </w:rPr>
      </w:pPr>
      <w:r w:rsidRPr="00134192">
        <w:rPr>
          <w:rFonts w:ascii="Times New Roman" w:hAnsi="Times New Roman" w:cs="Times New Roman"/>
          <w:color w:val="0D0D0D" w:themeColor="text1" w:themeTint="F2"/>
          <w:sz w:val="24"/>
          <w:szCs w:val="24"/>
          <w:shd w:val="clear" w:color="auto" w:fill="FFFFFF"/>
        </w:rPr>
        <w:t>Cairney, P., 2019. Evidence and policy making. In </w:t>
      </w:r>
      <w:r w:rsidRPr="00134192">
        <w:rPr>
          <w:rFonts w:ascii="Times New Roman" w:hAnsi="Times New Roman" w:cs="Times New Roman"/>
          <w:i/>
          <w:iCs/>
          <w:color w:val="0D0D0D" w:themeColor="text1" w:themeTint="F2"/>
          <w:sz w:val="24"/>
          <w:szCs w:val="24"/>
          <w:shd w:val="clear" w:color="auto" w:fill="FFFFFF"/>
        </w:rPr>
        <w:t>What works now?</w:t>
      </w:r>
      <w:r w:rsidRPr="00134192">
        <w:rPr>
          <w:rFonts w:ascii="Times New Roman" w:hAnsi="Times New Roman" w:cs="Times New Roman"/>
          <w:color w:val="0D0D0D" w:themeColor="text1" w:themeTint="F2"/>
          <w:sz w:val="24"/>
          <w:szCs w:val="24"/>
          <w:shd w:val="clear" w:color="auto" w:fill="FFFFFF"/>
        </w:rPr>
        <w:t> (pp. 21-40). Policy Press.</w:t>
      </w:r>
    </w:p>
    <w:p w14:paraId="224E7BF1" w14:textId="77777777" w:rsidR="00134192" w:rsidRPr="00134192" w:rsidRDefault="00134192" w:rsidP="00134192">
      <w:pPr>
        <w:ind w:left="720" w:hanging="720"/>
        <w:rPr>
          <w:rFonts w:ascii="Times New Roman" w:hAnsi="Times New Roman" w:cs="Times New Roman"/>
          <w:color w:val="0D0D0D" w:themeColor="text1" w:themeTint="F2"/>
          <w:sz w:val="24"/>
          <w:szCs w:val="24"/>
          <w:shd w:val="clear" w:color="auto" w:fill="FFFFFF"/>
        </w:rPr>
      </w:pPr>
      <w:proofErr w:type="spellStart"/>
      <w:r w:rsidRPr="00134192">
        <w:rPr>
          <w:rFonts w:ascii="Times New Roman" w:hAnsi="Times New Roman" w:cs="Times New Roman"/>
          <w:color w:val="0D0D0D" w:themeColor="text1" w:themeTint="F2"/>
          <w:sz w:val="24"/>
          <w:szCs w:val="24"/>
          <w:shd w:val="clear" w:color="auto" w:fill="FFFFFF"/>
        </w:rPr>
        <w:t>Christián</w:t>
      </w:r>
      <w:proofErr w:type="spellEnd"/>
      <w:r w:rsidRPr="00134192">
        <w:rPr>
          <w:rFonts w:ascii="Times New Roman" w:hAnsi="Times New Roman" w:cs="Times New Roman"/>
          <w:color w:val="0D0D0D" w:themeColor="text1" w:themeTint="F2"/>
          <w:sz w:val="24"/>
          <w:szCs w:val="24"/>
          <w:shd w:val="clear" w:color="auto" w:fill="FFFFFF"/>
        </w:rPr>
        <w:t>, L., Erdős, Á. and Háló, G., 2022. The Background and repercussions of the George Floyd case. </w:t>
      </w:r>
      <w:r w:rsidRPr="00134192">
        <w:rPr>
          <w:rFonts w:ascii="Times New Roman" w:hAnsi="Times New Roman" w:cs="Times New Roman"/>
          <w:i/>
          <w:iCs/>
          <w:color w:val="0D0D0D" w:themeColor="text1" w:themeTint="F2"/>
          <w:sz w:val="24"/>
          <w:szCs w:val="24"/>
          <w:shd w:val="clear" w:color="auto" w:fill="FFFFFF"/>
        </w:rPr>
        <w:t>Cogent Social Sciences</w:t>
      </w:r>
      <w:r w:rsidRPr="00134192">
        <w:rPr>
          <w:rFonts w:ascii="Times New Roman" w:hAnsi="Times New Roman" w:cs="Times New Roman"/>
          <w:color w:val="0D0D0D" w:themeColor="text1" w:themeTint="F2"/>
          <w:sz w:val="24"/>
          <w:szCs w:val="24"/>
          <w:shd w:val="clear" w:color="auto" w:fill="FFFFFF"/>
        </w:rPr>
        <w:t>, </w:t>
      </w:r>
      <w:r w:rsidRPr="00134192">
        <w:rPr>
          <w:rFonts w:ascii="Times New Roman" w:hAnsi="Times New Roman" w:cs="Times New Roman"/>
          <w:i/>
          <w:iCs/>
          <w:color w:val="0D0D0D" w:themeColor="text1" w:themeTint="F2"/>
          <w:sz w:val="24"/>
          <w:szCs w:val="24"/>
          <w:shd w:val="clear" w:color="auto" w:fill="FFFFFF"/>
        </w:rPr>
        <w:t>8</w:t>
      </w:r>
      <w:r w:rsidRPr="00134192">
        <w:rPr>
          <w:rFonts w:ascii="Times New Roman" w:hAnsi="Times New Roman" w:cs="Times New Roman"/>
          <w:color w:val="0D0D0D" w:themeColor="text1" w:themeTint="F2"/>
          <w:sz w:val="24"/>
          <w:szCs w:val="24"/>
          <w:shd w:val="clear" w:color="auto" w:fill="FFFFFF"/>
        </w:rPr>
        <w:t>(1), p.2082094.</w:t>
      </w:r>
    </w:p>
    <w:p w14:paraId="37F5808D" w14:textId="77777777" w:rsidR="00134192" w:rsidRPr="00134192" w:rsidRDefault="00134192" w:rsidP="00134192">
      <w:pPr>
        <w:ind w:left="720" w:hanging="720"/>
        <w:rPr>
          <w:rFonts w:ascii="Times New Roman" w:hAnsi="Times New Roman" w:cs="Times New Roman"/>
          <w:color w:val="0D0D0D" w:themeColor="text1" w:themeTint="F2"/>
          <w:sz w:val="24"/>
          <w:szCs w:val="24"/>
          <w:shd w:val="clear" w:color="auto" w:fill="FFFFFF"/>
        </w:rPr>
      </w:pPr>
      <w:r w:rsidRPr="00134192">
        <w:rPr>
          <w:rFonts w:ascii="Times New Roman" w:hAnsi="Times New Roman" w:cs="Times New Roman"/>
          <w:color w:val="0D0D0D" w:themeColor="text1" w:themeTint="F2"/>
          <w:sz w:val="24"/>
          <w:szCs w:val="24"/>
          <w:shd w:val="clear" w:color="auto" w:fill="FFFFFF"/>
        </w:rPr>
        <w:t xml:space="preserve">Coudert, F., Butin, D. and Le </w:t>
      </w:r>
      <w:proofErr w:type="spellStart"/>
      <w:r w:rsidRPr="00134192">
        <w:rPr>
          <w:rFonts w:ascii="Times New Roman" w:hAnsi="Times New Roman" w:cs="Times New Roman"/>
          <w:color w:val="0D0D0D" w:themeColor="text1" w:themeTint="F2"/>
          <w:sz w:val="24"/>
          <w:szCs w:val="24"/>
          <w:shd w:val="clear" w:color="auto" w:fill="FFFFFF"/>
        </w:rPr>
        <w:t>Métayer</w:t>
      </w:r>
      <w:proofErr w:type="spellEnd"/>
      <w:r w:rsidRPr="00134192">
        <w:rPr>
          <w:rFonts w:ascii="Times New Roman" w:hAnsi="Times New Roman" w:cs="Times New Roman"/>
          <w:color w:val="0D0D0D" w:themeColor="text1" w:themeTint="F2"/>
          <w:sz w:val="24"/>
          <w:szCs w:val="24"/>
          <w:shd w:val="clear" w:color="auto" w:fill="FFFFFF"/>
        </w:rPr>
        <w:t>, D., 2015. Body-worn cameras for police accountability: Opportunities and risks. </w:t>
      </w:r>
      <w:r w:rsidRPr="00134192">
        <w:rPr>
          <w:rFonts w:ascii="Times New Roman" w:hAnsi="Times New Roman" w:cs="Times New Roman"/>
          <w:i/>
          <w:iCs/>
          <w:color w:val="0D0D0D" w:themeColor="text1" w:themeTint="F2"/>
          <w:sz w:val="24"/>
          <w:szCs w:val="24"/>
          <w:shd w:val="clear" w:color="auto" w:fill="FFFFFF"/>
        </w:rPr>
        <w:t>Computer law &amp; security review</w:t>
      </w:r>
      <w:r w:rsidRPr="00134192">
        <w:rPr>
          <w:rFonts w:ascii="Times New Roman" w:hAnsi="Times New Roman" w:cs="Times New Roman"/>
          <w:color w:val="0D0D0D" w:themeColor="text1" w:themeTint="F2"/>
          <w:sz w:val="24"/>
          <w:szCs w:val="24"/>
          <w:shd w:val="clear" w:color="auto" w:fill="FFFFFF"/>
        </w:rPr>
        <w:t>, </w:t>
      </w:r>
      <w:r w:rsidRPr="00134192">
        <w:rPr>
          <w:rFonts w:ascii="Times New Roman" w:hAnsi="Times New Roman" w:cs="Times New Roman"/>
          <w:i/>
          <w:iCs/>
          <w:color w:val="0D0D0D" w:themeColor="text1" w:themeTint="F2"/>
          <w:sz w:val="24"/>
          <w:szCs w:val="24"/>
          <w:shd w:val="clear" w:color="auto" w:fill="FFFFFF"/>
        </w:rPr>
        <w:t>31</w:t>
      </w:r>
      <w:r w:rsidRPr="00134192">
        <w:rPr>
          <w:rFonts w:ascii="Times New Roman" w:hAnsi="Times New Roman" w:cs="Times New Roman"/>
          <w:color w:val="0D0D0D" w:themeColor="text1" w:themeTint="F2"/>
          <w:sz w:val="24"/>
          <w:szCs w:val="24"/>
          <w:shd w:val="clear" w:color="auto" w:fill="FFFFFF"/>
        </w:rPr>
        <w:t>(6), pp.749-762.</w:t>
      </w:r>
    </w:p>
    <w:p w14:paraId="60517D4F" w14:textId="77777777" w:rsidR="00134192" w:rsidRPr="00134192" w:rsidRDefault="00134192" w:rsidP="00134192">
      <w:pPr>
        <w:ind w:left="720" w:hanging="720"/>
        <w:rPr>
          <w:rFonts w:ascii="Times New Roman" w:hAnsi="Times New Roman" w:cs="Times New Roman"/>
          <w:color w:val="0D0D0D" w:themeColor="text1" w:themeTint="F2"/>
          <w:sz w:val="24"/>
          <w:szCs w:val="24"/>
          <w:shd w:val="clear" w:color="auto" w:fill="FFFFFF"/>
        </w:rPr>
      </w:pPr>
      <w:r w:rsidRPr="00134192">
        <w:rPr>
          <w:rFonts w:ascii="Times New Roman" w:hAnsi="Times New Roman" w:cs="Times New Roman"/>
          <w:color w:val="0D0D0D" w:themeColor="text1" w:themeTint="F2"/>
          <w:sz w:val="24"/>
          <w:szCs w:val="24"/>
          <w:shd w:val="clear" w:color="auto" w:fill="FFFFFF"/>
        </w:rPr>
        <w:t>Eden, L. and Wagstaff, M.F., 2021. Evidence-based policymaking and the wicked problem of SDG 5 Gender Equality. </w:t>
      </w:r>
      <w:r w:rsidRPr="00134192">
        <w:rPr>
          <w:rFonts w:ascii="Times New Roman" w:hAnsi="Times New Roman" w:cs="Times New Roman"/>
          <w:i/>
          <w:iCs/>
          <w:color w:val="0D0D0D" w:themeColor="text1" w:themeTint="F2"/>
          <w:sz w:val="24"/>
          <w:szCs w:val="24"/>
          <w:shd w:val="clear" w:color="auto" w:fill="FFFFFF"/>
        </w:rPr>
        <w:t>Journal of International Business Policy</w:t>
      </w:r>
      <w:r w:rsidRPr="00134192">
        <w:rPr>
          <w:rFonts w:ascii="Times New Roman" w:hAnsi="Times New Roman" w:cs="Times New Roman"/>
          <w:color w:val="0D0D0D" w:themeColor="text1" w:themeTint="F2"/>
          <w:sz w:val="24"/>
          <w:szCs w:val="24"/>
          <w:shd w:val="clear" w:color="auto" w:fill="FFFFFF"/>
        </w:rPr>
        <w:t>, </w:t>
      </w:r>
      <w:r w:rsidRPr="00134192">
        <w:rPr>
          <w:rFonts w:ascii="Times New Roman" w:hAnsi="Times New Roman" w:cs="Times New Roman"/>
          <w:i/>
          <w:iCs/>
          <w:color w:val="0D0D0D" w:themeColor="text1" w:themeTint="F2"/>
          <w:sz w:val="24"/>
          <w:szCs w:val="24"/>
          <w:shd w:val="clear" w:color="auto" w:fill="FFFFFF"/>
        </w:rPr>
        <w:t>4</w:t>
      </w:r>
      <w:r w:rsidRPr="00134192">
        <w:rPr>
          <w:rFonts w:ascii="Times New Roman" w:hAnsi="Times New Roman" w:cs="Times New Roman"/>
          <w:color w:val="0D0D0D" w:themeColor="text1" w:themeTint="F2"/>
          <w:sz w:val="24"/>
          <w:szCs w:val="24"/>
          <w:shd w:val="clear" w:color="auto" w:fill="FFFFFF"/>
        </w:rPr>
        <w:t>, pp.28-57.</w:t>
      </w:r>
    </w:p>
    <w:p w14:paraId="3141229B" w14:textId="77777777" w:rsidR="00134192" w:rsidRPr="00134192" w:rsidRDefault="00134192" w:rsidP="00134192">
      <w:pPr>
        <w:spacing w:line="360" w:lineRule="auto"/>
        <w:ind w:left="720" w:hanging="720"/>
        <w:jc w:val="both"/>
        <w:rPr>
          <w:rFonts w:ascii="Times New Roman" w:hAnsi="Times New Roman" w:cs="Times New Roman"/>
          <w:color w:val="0D0D0D" w:themeColor="text1" w:themeTint="F2"/>
          <w:sz w:val="24"/>
          <w:szCs w:val="24"/>
        </w:rPr>
      </w:pPr>
      <w:r w:rsidRPr="00134192">
        <w:rPr>
          <w:rFonts w:ascii="Times New Roman" w:hAnsi="Times New Roman" w:cs="Times New Roman"/>
          <w:color w:val="0D0D0D" w:themeColor="text1" w:themeTint="F2"/>
          <w:sz w:val="24"/>
          <w:szCs w:val="24"/>
        </w:rPr>
        <w:t xml:space="preserve">Fagan, A.A., Bumbarger, B.K., Barth, R.P., Bradshaw, C.P., Cooper, B.R., Supplee, L.H. and Walker, D.K., 2019. </w:t>
      </w:r>
      <w:r w:rsidRPr="00134192">
        <w:rPr>
          <w:rFonts w:ascii="Times New Roman" w:hAnsi="Times New Roman" w:cs="Times New Roman"/>
          <w:i/>
          <w:iCs/>
          <w:color w:val="0D0D0D" w:themeColor="text1" w:themeTint="F2"/>
          <w:sz w:val="24"/>
          <w:szCs w:val="24"/>
        </w:rPr>
        <w:t>Scaling up evidence-based interventions in US public systems to prevent behavioral health problems: Challenges and opportunities.</w:t>
      </w:r>
      <w:r w:rsidRPr="00134192">
        <w:rPr>
          <w:rFonts w:ascii="Times New Roman" w:hAnsi="Times New Roman" w:cs="Times New Roman"/>
          <w:color w:val="0D0D0D" w:themeColor="text1" w:themeTint="F2"/>
          <w:sz w:val="24"/>
          <w:szCs w:val="24"/>
        </w:rPr>
        <w:t xml:space="preserve"> Prevention Science, 20, pp.1147-1168.</w:t>
      </w:r>
    </w:p>
    <w:p w14:paraId="2AD96528" w14:textId="77777777" w:rsidR="00134192" w:rsidRPr="00134192" w:rsidRDefault="00134192" w:rsidP="00134192">
      <w:pPr>
        <w:ind w:left="720" w:hanging="720"/>
        <w:rPr>
          <w:rFonts w:ascii="Times New Roman" w:hAnsi="Times New Roman" w:cs="Times New Roman"/>
          <w:color w:val="0D0D0D" w:themeColor="text1" w:themeTint="F2"/>
          <w:sz w:val="24"/>
          <w:szCs w:val="24"/>
          <w:shd w:val="clear" w:color="auto" w:fill="FFFFFF"/>
        </w:rPr>
      </w:pPr>
      <w:r w:rsidRPr="00134192">
        <w:rPr>
          <w:rFonts w:ascii="Times New Roman" w:hAnsi="Times New Roman" w:cs="Times New Roman"/>
          <w:color w:val="0D0D0D" w:themeColor="text1" w:themeTint="F2"/>
          <w:sz w:val="24"/>
          <w:szCs w:val="24"/>
          <w:shd w:val="clear" w:color="auto" w:fill="FFFFFF"/>
        </w:rPr>
        <w:t xml:space="preserve">Geyer, R., 2012. Can complexity move UK policy beyond ‘evidence-based policy </w:t>
      </w:r>
      <w:proofErr w:type="spellStart"/>
      <w:r w:rsidRPr="00134192">
        <w:rPr>
          <w:rFonts w:ascii="Times New Roman" w:hAnsi="Times New Roman" w:cs="Times New Roman"/>
          <w:color w:val="0D0D0D" w:themeColor="text1" w:themeTint="F2"/>
          <w:sz w:val="24"/>
          <w:szCs w:val="24"/>
          <w:shd w:val="clear" w:color="auto" w:fill="FFFFFF"/>
        </w:rPr>
        <w:t>making’and</w:t>
      </w:r>
      <w:proofErr w:type="spellEnd"/>
      <w:r w:rsidRPr="00134192">
        <w:rPr>
          <w:rFonts w:ascii="Times New Roman" w:hAnsi="Times New Roman" w:cs="Times New Roman"/>
          <w:color w:val="0D0D0D" w:themeColor="text1" w:themeTint="F2"/>
          <w:sz w:val="24"/>
          <w:szCs w:val="24"/>
          <w:shd w:val="clear" w:color="auto" w:fill="FFFFFF"/>
        </w:rPr>
        <w:t xml:space="preserve"> the ‘audit culture’? Applying a ‘complexity </w:t>
      </w:r>
      <w:proofErr w:type="spellStart"/>
      <w:r w:rsidRPr="00134192">
        <w:rPr>
          <w:rFonts w:ascii="Times New Roman" w:hAnsi="Times New Roman" w:cs="Times New Roman"/>
          <w:color w:val="0D0D0D" w:themeColor="text1" w:themeTint="F2"/>
          <w:sz w:val="24"/>
          <w:szCs w:val="24"/>
          <w:shd w:val="clear" w:color="auto" w:fill="FFFFFF"/>
        </w:rPr>
        <w:t>cascade’to</w:t>
      </w:r>
      <w:proofErr w:type="spellEnd"/>
      <w:r w:rsidRPr="00134192">
        <w:rPr>
          <w:rFonts w:ascii="Times New Roman" w:hAnsi="Times New Roman" w:cs="Times New Roman"/>
          <w:color w:val="0D0D0D" w:themeColor="text1" w:themeTint="F2"/>
          <w:sz w:val="24"/>
          <w:szCs w:val="24"/>
          <w:shd w:val="clear" w:color="auto" w:fill="FFFFFF"/>
        </w:rPr>
        <w:t xml:space="preserve"> education and health policy. </w:t>
      </w:r>
      <w:r w:rsidRPr="00134192">
        <w:rPr>
          <w:rFonts w:ascii="Times New Roman" w:hAnsi="Times New Roman" w:cs="Times New Roman"/>
          <w:i/>
          <w:iCs/>
          <w:color w:val="0D0D0D" w:themeColor="text1" w:themeTint="F2"/>
          <w:sz w:val="24"/>
          <w:szCs w:val="24"/>
          <w:shd w:val="clear" w:color="auto" w:fill="FFFFFF"/>
        </w:rPr>
        <w:t>Political studies</w:t>
      </w:r>
      <w:r w:rsidRPr="00134192">
        <w:rPr>
          <w:rFonts w:ascii="Times New Roman" w:hAnsi="Times New Roman" w:cs="Times New Roman"/>
          <w:color w:val="0D0D0D" w:themeColor="text1" w:themeTint="F2"/>
          <w:sz w:val="24"/>
          <w:szCs w:val="24"/>
          <w:shd w:val="clear" w:color="auto" w:fill="FFFFFF"/>
        </w:rPr>
        <w:t>, </w:t>
      </w:r>
      <w:r w:rsidRPr="00134192">
        <w:rPr>
          <w:rFonts w:ascii="Times New Roman" w:hAnsi="Times New Roman" w:cs="Times New Roman"/>
          <w:i/>
          <w:iCs/>
          <w:color w:val="0D0D0D" w:themeColor="text1" w:themeTint="F2"/>
          <w:sz w:val="24"/>
          <w:szCs w:val="24"/>
          <w:shd w:val="clear" w:color="auto" w:fill="FFFFFF"/>
        </w:rPr>
        <w:t>60</w:t>
      </w:r>
      <w:r w:rsidRPr="00134192">
        <w:rPr>
          <w:rFonts w:ascii="Times New Roman" w:hAnsi="Times New Roman" w:cs="Times New Roman"/>
          <w:color w:val="0D0D0D" w:themeColor="text1" w:themeTint="F2"/>
          <w:sz w:val="24"/>
          <w:szCs w:val="24"/>
          <w:shd w:val="clear" w:color="auto" w:fill="FFFFFF"/>
        </w:rPr>
        <w:t>(1), pp.20-43.</w:t>
      </w:r>
    </w:p>
    <w:p w14:paraId="710A88FE" w14:textId="77777777" w:rsidR="00134192" w:rsidRPr="00134192" w:rsidRDefault="00134192" w:rsidP="00134192">
      <w:pPr>
        <w:ind w:left="720" w:hanging="720"/>
        <w:rPr>
          <w:rFonts w:ascii="Times New Roman" w:hAnsi="Times New Roman" w:cs="Times New Roman"/>
          <w:color w:val="0D0D0D" w:themeColor="text1" w:themeTint="F2"/>
          <w:sz w:val="24"/>
          <w:szCs w:val="24"/>
          <w:shd w:val="clear" w:color="auto" w:fill="FFFFFF"/>
        </w:rPr>
      </w:pPr>
      <w:r w:rsidRPr="00134192">
        <w:rPr>
          <w:rFonts w:ascii="Times New Roman" w:hAnsi="Times New Roman" w:cs="Times New Roman"/>
          <w:color w:val="0D0D0D" w:themeColor="text1" w:themeTint="F2"/>
          <w:sz w:val="24"/>
          <w:szCs w:val="24"/>
          <w:shd w:val="clear" w:color="auto" w:fill="FFFFFF"/>
        </w:rPr>
        <w:t>Hyland, S., 2018. </w:t>
      </w:r>
      <w:r w:rsidRPr="00134192">
        <w:rPr>
          <w:rFonts w:ascii="Times New Roman" w:hAnsi="Times New Roman" w:cs="Times New Roman"/>
          <w:i/>
          <w:iCs/>
          <w:color w:val="0D0D0D" w:themeColor="text1" w:themeTint="F2"/>
          <w:sz w:val="24"/>
          <w:szCs w:val="24"/>
          <w:shd w:val="clear" w:color="auto" w:fill="FFFFFF"/>
        </w:rPr>
        <w:t>Body-worn cameras in law enforcement agencies, 2016</w:t>
      </w:r>
      <w:r w:rsidRPr="00134192">
        <w:rPr>
          <w:rFonts w:ascii="Times New Roman" w:hAnsi="Times New Roman" w:cs="Times New Roman"/>
          <w:color w:val="0D0D0D" w:themeColor="text1" w:themeTint="F2"/>
          <w:sz w:val="24"/>
          <w:szCs w:val="24"/>
          <w:shd w:val="clear" w:color="auto" w:fill="FFFFFF"/>
        </w:rPr>
        <w:t> (pp. 1-20). Washington, DC: US Department of Justice, Office of Justice Programs, Bureau of Justice Statistics.</w:t>
      </w:r>
    </w:p>
    <w:p w14:paraId="3C3673D5" w14:textId="77777777" w:rsidR="00134192" w:rsidRPr="00134192" w:rsidRDefault="00134192" w:rsidP="00134192">
      <w:pPr>
        <w:ind w:left="720" w:hanging="720"/>
        <w:rPr>
          <w:rFonts w:ascii="Times New Roman" w:hAnsi="Times New Roman" w:cs="Times New Roman"/>
          <w:color w:val="0D0D0D" w:themeColor="text1" w:themeTint="F2"/>
          <w:sz w:val="24"/>
          <w:szCs w:val="24"/>
          <w:shd w:val="clear" w:color="auto" w:fill="FFFFFF"/>
        </w:rPr>
      </w:pPr>
      <w:r w:rsidRPr="00134192">
        <w:rPr>
          <w:rFonts w:ascii="Times New Roman" w:hAnsi="Times New Roman" w:cs="Times New Roman"/>
          <w:color w:val="0D0D0D" w:themeColor="text1" w:themeTint="F2"/>
          <w:sz w:val="24"/>
          <w:szCs w:val="24"/>
          <w:shd w:val="clear" w:color="auto" w:fill="FFFFFF"/>
        </w:rPr>
        <w:t>Kitchen, J. and Berry, A., 2022. In Memory of George Floyd. </w:t>
      </w:r>
      <w:r w:rsidRPr="00134192">
        <w:rPr>
          <w:rFonts w:ascii="Times New Roman" w:hAnsi="Times New Roman" w:cs="Times New Roman"/>
          <w:i/>
          <w:iCs/>
          <w:color w:val="0D0D0D" w:themeColor="text1" w:themeTint="F2"/>
          <w:sz w:val="24"/>
          <w:szCs w:val="24"/>
          <w:shd w:val="clear" w:color="auto" w:fill="FFFFFF"/>
        </w:rPr>
        <w:t>Studying Teacher Education</w:t>
      </w:r>
      <w:r w:rsidRPr="00134192">
        <w:rPr>
          <w:rFonts w:ascii="Times New Roman" w:hAnsi="Times New Roman" w:cs="Times New Roman"/>
          <w:color w:val="0D0D0D" w:themeColor="text1" w:themeTint="F2"/>
          <w:sz w:val="24"/>
          <w:szCs w:val="24"/>
          <w:shd w:val="clear" w:color="auto" w:fill="FFFFFF"/>
        </w:rPr>
        <w:t>, </w:t>
      </w:r>
      <w:r w:rsidRPr="00134192">
        <w:rPr>
          <w:rFonts w:ascii="Times New Roman" w:hAnsi="Times New Roman" w:cs="Times New Roman"/>
          <w:i/>
          <w:iCs/>
          <w:color w:val="0D0D0D" w:themeColor="text1" w:themeTint="F2"/>
          <w:sz w:val="24"/>
          <w:szCs w:val="24"/>
          <w:shd w:val="clear" w:color="auto" w:fill="FFFFFF"/>
        </w:rPr>
        <w:t>18</w:t>
      </w:r>
      <w:r w:rsidRPr="00134192">
        <w:rPr>
          <w:rFonts w:ascii="Times New Roman" w:hAnsi="Times New Roman" w:cs="Times New Roman"/>
          <w:color w:val="0D0D0D" w:themeColor="text1" w:themeTint="F2"/>
          <w:sz w:val="24"/>
          <w:szCs w:val="24"/>
          <w:shd w:val="clear" w:color="auto" w:fill="FFFFFF"/>
        </w:rPr>
        <w:t>(1), pp.1-4.</w:t>
      </w:r>
    </w:p>
    <w:p w14:paraId="10067A17" w14:textId="77777777" w:rsidR="00134192" w:rsidRPr="00134192" w:rsidRDefault="00134192" w:rsidP="00134192">
      <w:pPr>
        <w:ind w:left="720" w:hanging="720"/>
        <w:rPr>
          <w:rFonts w:ascii="Times New Roman" w:hAnsi="Times New Roman" w:cs="Times New Roman"/>
          <w:color w:val="0D0D0D" w:themeColor="text1" w:themeTint="F2"/>
          <w:sz w:val="24"/>
          <w:szCs w:val="24"/>
          <w:shd w:val="clear" w:color="auto" w:fill="FFFFFF"/>
        </w:rPr>
      </w:pPr>
      <w:r w:rsidRPr="00134192">
        <w:rPr>
          <w:rFonts w:ascii="Times New Roman" w:hAnsi="Times New Roman" w:cs="Times New Roman"/>
          <w:color w:val="0D0D0D" w:themeColor="text1" w:themeTint="F2"/>
          <w:sz w:val="24"/>
          <w:szCs w:val="24"/>
          <w:shd w:val="clear" w:color="auto" w:fill="FFFFFF"/>
        </w:rPr>
        <w:t>Lum, C., Stoltz, M., Koper, C.S. and Scherer, J.A., 2019. Research on body‐worn cameras: What we know, what we need to know. </w:t>
      </w:r>
      <w:r w:rsidRPr="00134192">
        <w:rPr>
          <w:rFonts w:ascii="Times New Roman" w:hAnsi="Times New Roman" w:cs="Times New Roman"/>
          <w:i/>
          <w:iCs/>
          <w:color w:val="0D0D0D" w:themeColor="text1" w:themeTint="F2"/>
          <w:sz w:val="24"/>
          <w:szCs w:val="24"/>
          <w:shd w:val="clear" w:color="auto" w:fill="FFFFFF"/>
        </w:rPr>
        <w:t>Criminology &amp; public policy</w:t>
      </w:r>
      <w:r w:rsidRPr="00134192">
        <w:rPr>
          <w:rFonts w:ascii="Times New Roman" w:hAnsi="Times New Roman" w:cs="Times New Roman"/>
          <w:color w:val="0D0D0D" w:themeColor="text1" w:themeTint="F2"/>
          <w:sz w:val="24"/>
          <w:szCs w:val="24"/>
          <w:shd w:val="clear" w:color="auto" w:fill="FFFFFF"/>
        </w:rPr>
        <w:t>, </w:t>
      </w:r>
      <w:r w:rsidRPr="00134192">
        <w:rPr>
          <w:rFonts w:ascii="Times New Roman" w:hAnsi="Times New Roman" w:cs="Times New Roman"/>
          <w:i/>
          <w:iCs/>
          <w:color w:val="0D0D0D" w:themeColor="text1" w:themeTint="F2"/>
          <w:sz w:val="24"/>
          <w:szCs w:val="24"/>
          <w:shd w:val="clear" w:color="auto" w:fill="FFFFFF"/>
        </w:rPr>
        <w:t>18</w:t>
      </w:r>
      <w:r w:rsidRPr="00134192">
        <w:rPr>
          <w:rFonts w:ascii="Times New Roman" w:hAnsi="Times New Roman" w:cs="Times New Roman"/>
          <w:color w:val="0D0D0D" w:themeColor="text1" w:themeTint="F2"/>
          <w:sz w:val="24"/>
          <w:szCs w:val="24"/>
          <w:shd w:val="clear" w:color="auto" w:fill="FFFFFF"/>
        </w:rPr>
        <w:t>(1), pp.93-118.</w:t>
      </w:r>
    </w:p>
    <w:p w14:paraId="63867150" w14:textId="77777777" w:rsidR="00134192" w:rsidRPr="00134192" w:rsidRDefault="00134192" w:rsidP="00134192">
      <w:pPr>
        <w:ind w:left="720" w:hanging="720"/>
        <w:rPr>
          <w:rFonts w:ascii="Times New Roman" w:hAnsi="Times New Roman" w:cs="Times New Roman"/>
          <w:color w:val="0D0D0D" w:themeColor="text1" w:themeTint="F2"/>
          <w:sz w:val="24"/>
          <w:szCs w:val="24"/>
          <w:shd w:val="clear" w:color="auto" w:fill="FFFFFF"/>
        </w:rPr>
      </w:pPr>
      <w:r w:rsidRPr="00134192">
        <w:rPr>
          <w:rFonts w:ascii="Times New Roman" w:hAnsi="Times New Roman" w:cs="Times New Roman"/>
          <w:color w:val="0D0D0D" w:themeColor="text1" w:themeTint="F2"/>
          <w:sz w:val="24"/>
          <w:szCs w:val="24"/>
          <w:shd w:val="clear" w:color="auto" w:fill="FFFFFF"/>
        </w:rPr>
        <w:t>Lum, C.M. and Koper, C.S., 2017. </w:t>
      </w:r>
      <w:r w:rsidRPr="00134192">
        <w:rPr>
          <w:rFonts w:ascii="Times New Roman" w:hAnsi="Times New Roman" w:cs="Times New Roman"/>
          <w:i/>
          <w:iCs/>
          <w:color w:val="0D0D0D" w:themeColor="text1" w:themeTint="F2"/>
          <w:sz w:val="24"/>
          <w:szCs w:val="24"/>
          <w:shd w:val="clear" w:color="auto" w:fill="FFFFFF"/>
        </w:rPr>
        <w:t>Evidence-based policing: Translating research into practice</w:t>
      </w:r>
      <w:r w:rsidRPr="00134192">
        <w:rPr>
          <w:rFonts w:ascii="Times New Roman" w:hAnsi="Times New Roman" w:cs="Times New Roman"/>
          <w:color w:val="0D0D0D" w:themeColor="text1" w:themeTint="F2"/>
          <w:sz w:val="24"/>
          <w:szCs w:val="24"/>
          <w:shd w:val="clear" w:color="auto" w:fill="FFFFFF"/>
        </w:rPr>
        <w:t>. Oxford: Oxford University Press.</w:t>
      </w:r>
    </w:p>
    <w:p w14:paraId="37B5E34E" w14:textId="77777777" w:rsidR="00134192" w:rsidRPr="00134192" w:rsidRDefault="00134192" w:rsidP="00134192">
      <w:pPr>
        <w:ind w:left="720" w:hanging="720"/>
        <w:rPr>
          <w:rFonts w:ascii="Times New Roman" w:hAnsi="Times New Roman" w:cs="Times New Roman"/>
          <w:color w:val="0D0D0D" w:themeColor="text1" w:themeTint="F2"/>
          <w:sz w:val="24"/>
          <w:szCs w:val="24"/>
          <w:shd w:val="clear" w:color="auto" w:fill="FFFFFF"/>
        </w:rPr>
      </w:pPr>
      <w:r w:rsidRPr="00134192">
        <w:rPr>
          <w:rFonts w:ascii="Times New Roman" w:hAnsi="Times New Roman" w:cs="Times New Roman"/>
          <w:color w:val="0D0D0D" w:themeColor="text1" w:themeTint="F2"/>
          <w:sz w:val="24"/>
          <w:szCs w:val="24"/>
          <w:shd w:val="clear" w:color="auto" w:fill="FFFFFF"/>
        </w:rPr>
        <w:lastRenderedPageBreak/>
        <w:t>Mair, J. and Thompson, K., 2009. The UK association conference attendance decision-making process. </w:t>
      </w:r>
      <w:r w:rsidRPr="00134192">
        <w:rPr>
          <w:rFonts w:ascii="Times New Roman" w:hAnsi="Times New Roman" w:cs="Times New Roman"/>
          <w:i/>
          <w:iCs/>
          <w:color w:val="0D0D0D" w:themeColor="text1" w:themeTint="F2"/>
          <w:sz w:val="24"/>
          <w:szCs w:val="24"/>
          <w:shd w:val="clear" w:color="auto" w:fill="FFFFFF"/>
        </w:rPr>
        <w:t>Tourism management</w:t>
      </w:r>
      <w:r w:rsidRPr="00134192">
        <w:rPr>
          <w:rFonts w:ascii="Times New Roman" w:hAnsi="Times New Roman" w:cs="Times New Roman"/>
          <w:color w:val="0D0D0D" w:themeColor="text1" w:themeTint="F2"/>
          <w:sz w:val="24"/>
          <w:szCs w:val="24"/>
          <w:shd w:val="clear" w:color="auto" w:fill="FFFFFF"/>
        </w:rPr>
        <w:t>, </w:t>
      </w:r>
      <w:r w:rsidRPr="00134192">
        <w:rPr>
          <w:rFonts w:ascii="Times New Roman" w:hAnsi="Times New Roman" w:cs="Times New Roman"/>
          <w:i/>
          <w:iCs/>
          <w:color w:val="0D0D0D" w:themeColor="text1" w:themeTint="F2"/>
          <w:sz w:val="24"/>
          <w:szCs w:val="24"/>
          <w:shd w:val="clear" w:color="auto" w:fill="FFFFFF"/>
        </w:rPr>
        <w:t>30</w:t>
      </w:r>
      <w:r w:rsidRPr="00134192">
        <w:rPr>
          <w:rFonts w:ascii="Times New Roman" w:hAnsi="Times New Roman" w:cs="Times New Roman"/>
          <w:color w:val="0D0D0D" w:themeColor="text1" w:themeTint="F2"/>
          <w:sz w:val="24"/>
          <w:szCs w:val="24"/>
          <w:shd w:val="clear" w:color="auto" w:fill="FFFFFF"/>
        </w:rPr>
        <w:t>(3), pp.400-409.</w:t>
      </w:r>
    </w:p>
    <w:p w14:paraId="57DDE7A0" w14:textId="77777777" w:rsidR="00134192" w:rsidRPr="00134192" w:rsidRDefault="00134192" w:rsidP="00134192">
      <w:pPr>
        <w:ind w:left="720" w:hanging="720"/>
        <w:rPr>
          <w:rFonts w:ascii="Times New Roman" w:hAnsi="Times New Roman" w:cs="Times New Roman"/>
          <w:color w:val="0D0D0D" w:themeColor="text1" w:themeTint="F2"/>
          <w:sz w:val="24"/>
          <w:szCs w:val="24"/>
          <w:shd w:val="clear" w:color="auto" w:fill="FFFFFF"/>
        </w:rPr>
      </w:pPr>
      <w:r w:rsidRPr="00134192">
        <w:rPr>
          <w:rFonts w:ascii="Times New Roman" w:hAnsi="Times New Roman" w:cs="Times New Roman"/>
          <w:color w:val="0D0D0D" w:themeColor="text1" w:themeTint="F2"/>
          <w:sz w:val="24"/>
          <w:szCs w:val="24"/>
          <w:shd w:val="clear" w:color="auto" w:fill="FFFFFF"/>
        </w:rPr>
        <w:t>Morago, P., 2010. Dissemination and implementation of evidence-based practice in the social services: A UK survey. </w:t>
      </w:r>
      <w:r w:rsidRPr="00134192">
        <w:rPr>
          <w:rFonts w:ascii="Times New Roman" w:hAnsi="Times New Roman" w:cs="Times New Roman"/>
          <w:i/>
          <w:iCs/>
          <w:color w:val="0D0D0D" w:themeColor="text1" w:themeTint="F2"/>
          <w:sz w:val="24"/>
          <w:szCs w:val="24"/>
          <w:shd w:val="clear" w:color="auto" w:fill="FFFFFF"/>
        </w:rPr>
        <w:t>Journal of Evidence-Based Social Work</w:t>
      </w:r>
      <w:r w:rsidRPr="00134192">
        <w:rPr>
          <w:rFonts w:ascii="Times New Roman" w:hAnsi="Times New Roman" w:cs="Times New Roman"/>
          <w:color w:val="0D0D0D" w:themeColor="text1" w:themeTint="F2"/>
          <w:sz w:val="24"/>
          <w:szCs w:val="24"/>
          <w:shd w:val="clear" w:color="auto" w:fill="FFFFFF"/>
        </w:rPr>
        <w:t>, </w:t>
      </w:r>
      <w:r w:rsidRPr="00134192">
        <w:rPr>
          <w:rFonts w:ascii="Times New Roman" w:hAnsi="Times New Roman" w:cs="Times New Roman"/>
          <w:i/>
          <w:iCs/>
          <w:color w:val="0D0D0D" w:themeColor="text1" w:themeTint="F2"/>
          <w:sz w:val="24"/>
          <w:szCs w:val="24"/>
          <w:shd w:val="clear" w:color="auto" w:fill="FFFFFF"/>
        </w:rPr>
        <w:t>7</w:t>
      </w:r>
      <w:r w:rsidRPr="00134192">
        <w:rPr>
          <w:rFonts w:ascii="Times New Roman" w:hAnsi="Times New Roman" w:cs="Times New Roman"/>
          <w:color w:val="0D0D0D" w:themeColor="text1" w:themeTint="F2"/>
          <w:sz w:val="24"/>
          <w:szCs w:val="24"/>
          <w:shd w:val="clear" w:color="auto" w:fill="FFFFFF"/>
        </w:rPr>
        <w:t>(5), pp.452-465.</w:t>
      </w:r>
    </w:p>
    <w:p w14:paraId="770BB91E" w14:textId="77777777" w:rsidR="00134192" w:rsidRPr="00134192" w:rsidRDefault="00134192" w:rsidP="00134192">
      <w:pPr>
        <w:ind w:left="720" w:hanging="720"/>
        <w:rPr>
          <w:rFonts w:ascii="Times New Roman" w:hAnsi="Times New Roman" w:cs="Times New Roman"/>
          <w:color w:val="0D0D0D" w:themeColor="text1" w:themeTint="F2"/>
          <w:sz w:val="24"/>
          <w:szCs w:val="24"/>
          <w:shd w:val="clear" w:color="auto" w:fill="FFFFFF"/>
        </w:rPr>
      </w:pPr>
      <w:r w:rsidRPr="00134192">
        <w:rPr>
          <w:rFonts w:ascii="Times New Roman" w:hAnsi="Times New Roman" w:cs="Times New Roman"/>
          <w:color w:val="0D0D0D" w:themeColor="text1" w:themeTint="F2"/>
          <w:sz w:val="24"/>
          <w:szCs w:val="24"/>
          <w:shd w:val="clear" w:color="auto" w:fill="FFFFFF"/>
        </w:rPr>
        <w:t>Sherman, L., 2017. </w:t>
      </w:r>
      <w:r w:rsidRPr="00134192">
        <w:rPr>
          <w:rFonts w:ascii="Times New Roman" w:hAnsi="Times New Roman" w:cs="Times New Roman"/>
          <w:i/>
          <w:iCs/>
          <w:color w:val="0D0D0D" w:themeColor="text1" w:themeTint="F2"/>
          <w:sz w:val="24"/>
          <w:szCs w:val="24"/>
          <w:shd w:val="clear" w:color="auto" w:fill="FFFFFF"/>
        </w:rPr>
        <w:t>Evidence-based policing</w:t>
      </w:r>
      <w:r w:rsidRPr="00134192">
        <w:rPr>
          <w:rFonts w:ascii="Times New Roman" w:hAnsi="Times New Roman" w:cs="Times New Roman"/>
          <w:color w:val="0D0D0D" w:themeColor="text1" w:themeTint="F2"/>
          <w:sz w:val="24"/>
          <w:szCs w:val="24"/>
          <w:shd w:val="clear" w:color="auto" w:fill="FFFFFF"/>
        </w:rPr>
        <w:t>. SAGE Publications, Ltd.</w:t>
      </w:r>
    </w:p>
    <w:p w14:paraId="17C9A57E" w14:textId="77777777" w:rsidR="00134192" w:rsidRPr="00134192" w:rsidRDefault="00134192" w:rsidP="00134192">
      <w:pPr>
        <w:ind w:left="720" w:hanging="720"/>
        <w:rPr>
          <w:rFonts w:ascii="Times New Roman" w:hAnsi="Times New Roman" w:cs="Times New Roman"/>
          <w:color w:val="0D0D0D" w:themeColor="text1" w:themeTint="F2"/>
          <w:sz w:val="24"/>
          <w:szCs w:val="24"/>
          <w:shd w:val="clear" w:color="auto" w:fill="FFFFFF"/>
        </w:rPr>
      </w:pPr>
      <w:r w:rsidRPr="00134192">
        <w:rPr>
          <w:rFonts w:ascii="Times New Roman" w:hAnsi="Times New Roman" w:cs="Times New Roman"/>
          <w:color w:val="0D0D0D" w:themeColor="text1" w:themeTint="F2"/>
          <w:sz w:val="24"/>
          <w:szCs w:val="24"/>
          <w:shd w:val="clear" w:color="auto" w:fill="FFFFFF"/>
        </w:rPr>
        <w:t>Stevens, A., 2011. Telling policy stories: an ethnographic study of the use of evidence in policy-making in the UK. </w:t>
      </w:r>
      <w:r w:rsidRPr="00134192">
        <w:rPr>
          <w:rFonts w:ascii="Times New Roman" w:hAnsi="Times New Roman" w:cs="Times New Roman"/>
          <w:i/>
          <w:iCs/>
          <w:color w:val="0D0D0D" w:themeColor="text1" w:themeTint="F2"/>
          <w:sz w:val="24"/>
          <w:szCs w:val="24"/>
          <w:shd w:val="clear" w:color="auto" w:fill="FFFFFF"/>
        </w:rPr>
        <w:t>Journal of Social Policy</w:t>
      </w:r>
      <w:r w:rsidRPr="00134192">
        <w:rPr>
          <w:rFonts w:ascii="Times New Roman" w:hAnsi="Times New Roman" w:cs="Times New Roman"/>
          <w:color w:val="0D0D0D" w:themeColor="text1" w:themeTint="F2"/>
          <w:sz w:val="24"/>
          <w:szCs w:val="24"/>
          <w:shd w:val="clear" w:color="auto" w:fill="FFFFFF"/>
        </w:rPr>
        <w:t>, </w:t>
      </w:r>
      <w:r w:rsidRPr="00134192">
        <w:rPr>
          <w:rFonts w:ascii="Times New Roman" w:hAnsi="Times New Roman" w:cs="Times New Roman"/>
          <w:i/>
          <w:iCs/>
          <w:color w:val="0D0D0D" w:themeColor="text1" w:themeTint="F2"/>
          <w:sz w:val="24"/>
          <w:szCs w:val="24"/>
          <w:shd w:val="clear" w:color="auto" w:fill="FFFFFF"/>
        </w:rPr>
        <w:t>40</w:t>
      </w:r>
      <w:r w:rsidRPr="00134192">
        <w:rPr>
          <w:rFonts w:ascii="Times New Roman" w:hAnsi="Times New Roman" w:cs="Times New Roman"/>
          <w:color w:val="0D0D0D" w:themeColor="text1" w:themeTint="F2"/>
          <w:sz w:val="24"/>
          <w:szCs w:val="24"/>
          <w:shd w:val="clear" w:color="auto" w:fill="FFFFFF"/>
        </w:rPr>
        <w:t>(2), pp.237-255.</w:t>
      </w:r>
    </w:p>
    <w:p w14:paraId="2DDE9456" w14:textId="77777777" w:rsidR="00134192" w:rsidRPr="00134192" w:rsidRDefault="00134192" w:rsidP="00134192">
      <w:pPr>
        <w:ind w:left="720" w:hanging="720"/>
        <w:rPr>
          <w:rFonts w:ascii="Times New Roman" w:hAnsi="Times New Roman" w:cs="Times New Roman"/>
          <w:color w:val="0D0D0D" w:themeColor="text1" w:themeTint="F2"/>
          <w:sz w:val="24"/>
          <w:szCs w:val="24"/>
        </w:rPr>
      </w:pPr>
      <w:r w:rsidRPr="00134192">
        <w:rPr>
          <w:rFonts w:ascii="Times New Roman" w:hAnsi="Times New Roman" w:cs="Times New Roman"/>
          <w:color w:val="0D0D0D" w:themeColor="text1" w:themeTint="F2"/>
          <w:sz w:val="24"/>
          <w:szCs w:val="24"/>
          <w:shd w:val="clear" w:color="auto" w:fill="FFFFFF"/>
        </w:rPr>
        <w:t>Stoughton, S.W., 2017. Police body-worn cameras. </w:t>
      </w:r>
      <w:r w:rsidRPr="00134192">
        <w:rPr>
          <w:rFonts w:ascii="Times New Roman" w:hAnsi="Times New Roman" w:cs="Times New Roman"/>
          <w:i/>
          <w:iCs/>
          <w:color w:val="0D0D0D" w:themeColor="text1" w:themeTint="F2"/>
          <w:sz w:val="24"/>
          <w:szCs w:val="24"/>
          <w:shd w:val="clear" w:color="auto" w:fill="FFFFFF"/>
        </w:rPr>
        <w:t>NCL Rev.</w:t>
      </w:r>
      <w:r w:rsidRPr="00134192">
        <w:rPr>
          <w:rFonts w:ascii="Times New Roman" w:hAnsi="Times New Roman" w:cs="Times New Roman"/>
          <w:color w:val="0D0D0D" w:themeColor="text1" w:themeTint="F2"/>
          <w:sz w:val="24"/>
          <w:szCs w:val="24"/>
          <w:shd w:val="clear" w:color="auto" w:fill="FFFFFF"/>
        </w:rPr>
        <w:t>, </w:t>
      </w:r>
      <w:r w:rsidRPr="00134192">
        <w:rPr>
          <w:rFonts w:ascii="Times New Roman" w:hAnsi="Times New Roman" w:cs="Times New Roman"/>
          <w:i/>
          <w:iCs/>
          <w:color w:val="0D0D0D" w:themeColor="text1" w:themeTint="F2"/>
          <w:sz w:val="24"/>
          <w:szCs w:val="24"/>
          <w:shd w:val="clear" w:color="auto" w:fill="FFFFFF"/>
        </w:rPr>
        <w:t>96</w:t>
      </w:r>
      <w:r w:rsidRPr="00134192">
        <w:rPr>
          <w:rFonts w:ascii="Times New Roman" w:hAnsi="Times New Roman" w:cs="Times New Roman"/>
          <w:color w:val="0D0D0D" w:themeColor="text1" w:themeTint="F2"/>
          <w:sz w:val="24"/>
          <w:szCs w:val="24"/>
          <w:shd w:val="clear" w:color="auto" w:fill="FFFFFF"/>
        </w:rPr>
        <w:t>, p.1363.</w:t>
      </w:r>
    </w:p>
    <w:p w14:paraId="4EED7E9C" w14:textId="77777777" w:rsidR="00134192" w:rsidRPr="00134192" w:rsidRDefault="00134192" w:rsidP="00134192">
      <w:pPr>
        <w:ind w:left="720" w:hanging="720"/>
        <w:rPr>
          <w:rFonts w:ascii="Times New Roman" w:hAnsi="Times New Roman" w:cs="Times New Roman"/>
          <w:color w:val="0D0D0D" w:themeColor="text1" w:themeTint="F2"/>
          <w:sz w:val="24"/>
          <w:szCs w:val="24"/>
          <w:shd w:val="clear" w:color="auto" w:fill="FFFFFF"/>
        </w:rPr>
      </w:pPr>
      <w:r w:rsidRPr="00134192">
        <w:rPr>
          <w:rFonts w:ascii="Times New Roman" w:hAnsi="Times New Roman" w:cs="Times New Roman"/>
          <w:color w:val="0D0D0D" w:themeColor="text1" w:themeTint="F2"/>
          <w:sz w:val="24"/>
          <w:szCs w:val="24"/>
          <w:shd w:val="clear" w:color="auto" w:fill="FFFFFF"/>
        </w:rPr>
        <w:t>Valentine, R., Valentine, D. and Valentine, J.L., 2020. Relationship of George Floyd protests to increases in COVID-19 cases using event study methodology. </w:t>
      </w:r>
      <w:r w:rsidRPr="00134192">
        <w:rPr>
          <w:rFonts w:ascii="Times New Roman" w:hAnsi="Times New Roman" w:cs="Times New Roman"/>
          <w:i/>
          <w:iCs/>
          <w:color w:val="0D0D0D" w:themeColor="text1" w:themeTint="F2"/>
          <w:sz w:val="24"/>
          <w:szCs w:val="24"/>
          <w:shd w:val="clear" w:color="auto" w:fill="FFFFFF"/>
        </w:rPr>
        <w:t>Journal of Public Health</w:t>
      </w:r>
      <w:r w:rsidRPr="00134192">
        <w:rPr>
          <w:rFonts w:ascii="Times New Roman" w:hAnsi="Times New Roman" w:cs="Times New Roman"/>
          <w:color w:val="0D0D0D" w:themeColor="text1" w:themeTint="F2"/>
          <w:sz w:val="24"/>
          <w:szCs w:val="24"/>
          <w:shd w:val="clear" w:color="auto" w:fill="FFFFFF"/>
        </w:rPr>
        <w:t>, </w:t>
      </w:r>
      <w:r w:rsidRPr="00134192">
        <w:rPr>
          <w:rFonts w:ascii="Times New Roman" w:hAnsi="Times New Roman" w:cs="Times New Roman"/>
          <w:i/>
          <w:iCs/>
          <w:color w:val="0D0D0D" w:themeColor="text1" w:themeTint="F2"/>
          <w:sz w:val="24"/>
          <w:szCs w:val="24"/>
          <w:shd w:val="clear" w:color="auto" w:fill="FFFFFF"/>
        </w:rPr>
        <w:t>42</w:t>
      </w:r>
      <w:r w:rsidRPr="00134192">
        <w:rPr>
          <w:rFonts w:ascii="Times New Roman" w:hAnsi="Times New Roman" w:cs="Times New Roman"/>
          <w:color w:val="0D0D0D" w:themeColor="text1" w:themeTint="F2"/>
          <w:sz w:val="24"/>
          <w:szCs w:val="24"/>
          <w:shd w:val="clear" w:color="auto" w:fill="FFFFFF"/>
        </w:rPr>
        <w:t>(4), pp.696-697.</w:t>
      </w:r>
    </w:p>
    <w:p w14:paraId="081EF892" w14:textId="77777777" w:rsidR="00134192" w:rsidRPr="00134192" w:rsidRDefault="00134192" w:rsidP="00134192">
      <w:pPr>
        <w:ind w:left="720" w:hanging="720"/>
        <w:rPr>
          <w:rFonts w:ascii="Times New Roman" w:hAnsi="Times New Roman" w:cs="Times New Roman"/>
          <w:color w:val="0D0D0D" w:themeColor="text1" w:themeTint="F2"/>
          <w:sz w:val="24"/>
          <w:szCs w:val="24"/>
          <w:shd w:val="clear" w:color="auto" w:fill="FFFFFF"/>
        </w:rPr>
      </w:pPr>
      <w:r w:rsidRPr="00134192">
        <w:rPr>
          <w:rFonts w:ascii="Times New Roman" w:hAnsi="Times New Roman" w:cs="Times New Roman"/>
          <w:color w:val="0D0D0D" w:themeColor="text1" w:themeTint="F2"/>
          <w:sz w:val="24"/>
          <w:szCs w:val="24"/>
          <w:shd w:val="clear" w:color="auto" w:fill="FFFFFF"/>
        </w:rPr>
        <w:t>White, M.D., 2014. </w:t>
      </w:r>
      <w:r w:rsidRPr="00134192">
        <w:rPr>
          <w:rFonts w:ascii="Times New Roman" w:hAnsi="Times New Roman" w:cs="Times New Roman"/>
          <w:i/>
          <w:iCs/>
          <w:color w:val="0D0D0D" w:themeColor="text1" w:themeTint="F2"/>
          <w:sz w:val="24"/>
          <w:szCs w:val="24"/>
          <w:shd w:val="clear" w:color="auto" w:fill="FFFFFF"/>
        </w:rPr>
        <w:t>Police officer body-worn cameras: Assessing the evidence</w:t>
      </w:r>
      <w:r w:rsidRPr="00134192">
        <w:rPr>
          <w:rFonts w:ascii="Times New Roman" w:hAnsi="Times New Roman" w:cs="Times New Roman"/>
          <w:color w:val="0D0D0D" w:themeColor="text1" w:themeTint="F2"/>
          <w:sz w:val="24"/>
          <w:szCs w:val="24"/>
          <w:shd w:val="clear" w:color="auto" w:fill="FFFFFF"/>
        </w:rPr>
        <w:t>. Washington, DC: Office of Justice Programs, US Department of Justice.</w:t>
      </w:r>
    </w:p>
    <w:p w14:paraId="2732C0F9" w14:textId="77777777" w:rsidR="00134192" w:rsidRPr="00134192" w:rsidRDefault="00134192" w:rsidP="00134192">
      <w:pPr>
        <w:ind w:left="720" w:hanging="720"/>
        <w:rPr>
          <w:rFonts w:ascii="Times New Roman" w:hAnsi="Times New Roman" w:cs="Times New Roman"/>
          <w:color w:val="0D0D0D" w:themeColor="text1" w:themeTint="F2"/>
          <w:sz w:val="24"/>
          <w:szCs w:val="24"/>
          <w:shd w:val="clear" w:color="auto" w:fill="FFFFFF"/>
        </w:rPr>
      </w:pPr>
      <w:r w:rsidRPr="00134192">
        <w:rPr>
          <w:rFonts w:ascii="Times New Roman" w:hAnsi="Times New Roman" w:cs="Times New Roman"/>
          <w:color w:val="0D0D0D" w:themeColor="text1" w:themeTint="F2"/>
          <w:sz w:val="24"/>
          <w:szCs w:val="24"/>
          <w:shd w:val="clear" w:color="auto" w:fill="FFFFFF"/>
        </w:rPr>
        <w:t>White, M.D., Watts, S., Orosco, C., Perrone, D. and Malm, A., 2022. Leveraging body-worn camera footage to better understand opioid overdoses and the impact of police-administered naloxone. </w:t>
      </w:r>
      <w:r w:rsidRPr="00134192">
        <w:rPr>
          <w:rFonts w:ascii="Times New Roman" w:hAnsi="Times New Roman" w:cs="Times New Roman"/>
          <w:i/>
          <w:iCs/>
          <w:color w:val="0D0D0D" w:themeColor="text1" w:themeTint="F2"/>
          <w:sz w:val="24"/>
          <w:szCs w:val="24"/>
          <w:shd w:val="clear" w:color="auto" w:fill="FFFFFF"/>
        </w:rPr>
        <w:t>American journal of public health</w:t>
      </w:r>
      <w:r w:rsidRPr="00134192">
        <w:rPr>
          <w:rFonts w:ascii="Times New Roman" w:hAnsi="Times New Roman" w:cs="Times New Roman"/>
          <w:color w:val="0D0D0D" w:themeColor="text1" w:themeTint="F2"/>
          <w:sz w:val="24"/>
          <w:szCs w:val="24"/>
          <w:shd w:val="clear" w:color="auto" w:fill="FFFFFF"/>
        </w:rPr>
        <w:t>, </w:t>
      </w:r>
      <w:r w:rsidRPr="00134192">
        <w:rPr>
          <w:rFonts w:ascii="Times New Roman" w:hAnsi="Times New Roman" w:cs="Times New Roman"/>
          <w:i/>
          <w:iCs/>
          <w:color w:val="0D0D0D" w:themeColor="text1" w:themeTint="F2"/>
          <w:sz w:val="24"/>
          <w:szCs w:val="24"/>
          <w:shd w:val="clear" w:color="auto" w:fill="FFFFFF"/>
        </w:rPr>
        <w:t>112</w:t>
      </w:r>
      <w:r w:rsidRPr="00134192">
        <w:rPr>
          <w:rFonts w:ascii="Times New Roman" w:hAnsi="Times New Roman" w:cs="Times New Roman"/>
          <w:color w:val="0D0D0D" w:themeColor="text1" w:themeTint="F2"/>
          <w:sz w:val="24"/>
          <w:szCs w:val="24"/>
          <w:shd w:val="clear" w:color="auto" w:fill="FFFFFF"/>
        </w:rPr>
        <w:t>(9), pp.1326-1332.</w:t>
      </w:r>
    </w:p>
    <w:p w14:paraId="7C396227" w14:textId="77777777" w:rsidR="00134192" w:rsidRPr="00400F0C" w:rsidRDefault="00134192" w:rsidP="00400F0C">
      <w:pPr>
        <w:rPr>
          <w:rFonts w:ascii="Times New Roman" w:hAnsi="Times New Roman" w:cs="Times New Roman"/>
          <w:color w:val="000000" w:themeColor="text1"/>
          <w:sz w:val="24"/>
          <w:szCs w:val="24"/>
          <w:shd w:val="clear" w:color="auto" w:fill="FFFFFF"/>
        </w:rPr>
      </w:pPr>
    </w:p>
    <w:sectPr w:rsidR="00134192" w:rsidRPr="00400F0C" w:rsidSect="009C5EC8">
      <w:footerReference w:type="default" r:id="rId8"/>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1011CC" w14:textId="77777777" w:rsidR="00F76E6A" w:rsidRDefault="00F76E6A" w:rsidP="009C5EC8">
      <w:pPr>
        <w:spacing w:after="0" w:line="240" w:lineRule="auto"/>
      </w:pPr>
      <w:r>
        <w:separator/>
      </w:r>
    </w:p>
  </w:endnote>
  <w:endnote w:type="continuationSeparator" w:id="0">
    <w:p w14:paraId="0F8DC4C4" w14:textId="77777777" w:rsidR="00F76E6A" w:rsidRDefault="00F76E6A" w:rsidP="009C5E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BD476E" w14:textId="4F0198FC" w:rsidR="009C5EC8" w:rsidRDefault="009C5EC8">
    <w:pPr>
      <w:pStyle w:val="Footer"/>
      <w:jc w:val="right"/>
    </w:pPr>
  </w:p>
  <w:p w14:paraId="3F3BD819" w14:textId="77777777" w:rsidR="009C5EC8" w:rsidRDefault="009C5EC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62187441"/>
      <w:docPartObj>
        <w:docPartGallery w:val="Page Numbers (Bottom of Page)"/>
        <w:docPartUnique/>
      </w:docPartObj>
    </w:sdtPr>
    <w:sdtEndPr>
      <w:rPr>
        <w:noProof/>
      </w:rPr>
    </w:sdtEndPr>
    <w:sdtContent>
      <w:p w14:paraId="1F2693A3" w14:textId="77777777" w:rsidR="009C5EC8" w:rsidRDefault="009C5EC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5FA861E" w14:textId="77777777" w:rsidR="009C5EC8" w:rsidRDefault="009C5EC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237977" w14:textId="77777777" w:rsidR="00F76E6A" w:rsidRDefault="00F76E6A" w:rsidP="009C5EC8">
      <w:pPr>
        <w:spacing w:after="0" w:line="240" w:lineRule="auto"/>
      </w:pPr>
      <w:r>
        <w:separator/>
      </w:r>
    </w:p>
  </w:footnote>
  <w:footnote w:type="continuationSeparator" w:id="0">
    <w:p w14:paraId="6BCEB5B2" w14:textId="77777777" w:rsidR="00F76E6A" w:rsidRDefault="00F76E6A" w:rsidP="009C5EC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1CAD"/>
    <w:rsid w:val="000E6B2B"/>
    <w:rsid w:val="00134192"/>
    <w:rsid w:val="00311F7A"/>
    <w:rsid w:val="00400F0C"/>
    <w:rsid w:val="004265A0"/>
    <w:rsid w:val="00485CFE"/>
    <w:rsid w:val="004D139C"/>
    <w:rsid w:val="00540FAF"/>
    <w:rsid w:val="00627DDC"/>
    <w:rsid w:val="00671122"/>
    <w:rsid w:val="00673186"/>
    <w:rsid w:val="006D52CD"/>
    <w:rsid w:val="007A3AB7"/>
    <w:rsid w:val="007F3B45"/>
    <w:rsid w:val="0080140D"/>
    <w:rsid w:val="00887051"/>
    <w:rsid w:val="0094295E"/>
    <w:rsid w:val="009C5EC8"/>
    <w:rsid w:val="00B107B2"/>
    <w:rsid w:val="00C160B3"/>
    <w:rsid w:val="00CC6D37"/>
    <w:rsid w:val="00CE1CAD"/>
    <w:rsid w:val="00DA2B90"/>
    <w:rsid w:val="00DA2CF8"/>
    <w:rsid w:val="00DD28B5"/>
    <w:rsid w:val="00DE2A4E"/>
    <w:rsid w:val="00E12C11"/>
    <w:rsid w:val="00E72DA0"/>
    <w:rsid w:val="00EE04DA"/>
    <w:rsid w:val="00F45CE6"/>
    <w:rsid w:val="00F76E6A"/>
    <w:rsid w:val="00FC260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CA7B41"/>
  <w15:chartTrackingRefBased/>
  <w15:docId w15:val="{6A7E7F60-D7A2-4EFE-8D53-C544FA62BA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C5EC8"/>
    <w:pPr>
      <w:tabs>
        <w:tab w:val="center" w:pos="4680"/>
        <w:tab w:val="right" w:pos="9360"/>
      </w:tabs>
      <w:spacing w:after="0" w:line="240" w:lineRule="auto"/>
    </w:pPr>
  </w:style>
  <w:style w:type="character" w:customStyle="1" w:styleId="HeaderChar">
    <w:name w:val="Header Char"/>
    <w:basedOn w:val="DefaultParagraphFont"/>
    <w:link w:val="Header"/>
    <w:uiPriority w:val="99"/>
    <w:rsid w:val="009C5EC8"/>
  </w:style>
  <w:style w:type="paragraph" w:styleId="Footer">
    <w:name w:val="footer"/>
    <w:basedOn w:val="Normal"/>
    <w:link w:val="FooterChar"/>
    <w:uiPriority w:val="99"/>
    <w:unhideWhenUsed/>
    <w:rsid w:val="009C5EC8"/>
    <w:pPr>
      <w:tabs>
        <w:tab w:val="center" w:pos="4680"/>
        <w:tab w:val="right" w:pos="9360"/>
      </w:tabs>
      <w:spacing w:after="0" w:line="240" w:lineRule="auto"/>
    </w:pPr>
  </w:style>
  <w:style w:type="character" w:customStyle="1" w:styleId="FooterChar">
    <w:name w:val="Footer Char"/>
    <w:basedOn w:val="DefaultParagraphFont"/>
    <w:link w:val="Footer"/>
    <w:uiPriority w:val="99"/>
    <w:rsid w:val="009C5EC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D5098977-02AE-4F73-9488-4A10121926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76</TotalTime>
  <Pages>9</Pages>
  <Words>2805</Words>
  <Characters>15991</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Rezoana Ahmed Rony</dc:creator>
  <cp:keywords/>
  <dc:description/>
  <cp:lastModifiedBy>Rezoana Ahmed Rony</cp:lastModifiedBy>
  <cp:revision>27</cp:revision>
  <dcterms:created xsi:type="dcterms:W3CDTF">2023-07-24T11:20:00Z</dcterms:created>
  <dcterms:modified xsi:type="dcterms:W3CDTF">2023-11-01T05:24:00Z</dcterms:modified>
</cp:coreProperties>
</file>