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0B3281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95C20">
              <w:rPr>
                <w:rFonts w:ascii="Times New Roman" w:hAnsi="Times New Roman" w:cs="Times New Roman"/>
                <w:b/>
                <w:color w:val="auto"/>
                <w:sz w:val="48"/>
              </w:rPr>
              <w:t>Sophie Challenger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A769371" w:rsidR="009C337F" w:rsidRDefault="009C337F" w:rsidP="005D3F07">
            <w:pPr>
              <w:overflowPunct/>
              <w:autoSpaceDE/>
              <w:autoSpaceDN/>
              <w:adjustRightInd/>
              <w:ind w:right="-957"/>
              <w:textAlignment w:val="auto"/>
              <w:rPr>
                <w:rFonts w:ascii="Times New Roman" w:hAnsi="Times New Roman" w:cs="Times New Roman"/>
                <w:b/>
                <w:color w:val="auto"/>
                <w:sz w:val="40"/>
                <w:szCs w:val="16"/>
              </w:rPr>
            </w:pPr>
            <w:r>
              <w:rPr>
                <w:rFonts w:ascii="Times New Roman" w:hAnsi="Times New Roman" w:cs="Times New Roman"/>
                <w:b/>
                <w:color w:val="auto"/>
                <w:sz w:val="48"/>
              </w:rPr>
              <w:t>Email address:</w:t>
            </w:r>
            <w:r w:rsidR="00F95C20" w:rsidRPr="00F95C20">
              <w:rPr>
                <w:rFonts w:ascii="Times New Roman" w:hAnsi="Times New Roman" w:cs="Times New Roman"/>
                <w:b/>
                <w:color w:val="auto"/>
                <w:sz w:val="40"/>
                <w:szCs w:val="16"/>
              </w:rPr>
              <w:t>sophiechallenger1991@hotmail</w:t>
            </w:r>
            <w:r w:rsidR="00F95C20">
              <w:rPr>
                <w:rFonts w:ascii="Times New Roman" w:hAnsi="Times New Roman" w:cs="Times New Roman"/>
                <w:b/>
                <w:color w:val="auto"/>
                <w:sz w:val="40"/>
                <w:szCs w:val="16"/>
              </w:rPr>
              <w:t>.com</w:t>
            </w:r>
          </w:p>
          <w:p w14:paraId="22E38809" w14:textId="5F3C39A6" w:rsidR="00986B43" w:rsidRDefault="00F95C2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0900112@student.uwtsd.ac.uk</w:t>
            </w:r>
          </w:p>
          <w:p w14:paraId="0DE696B2" w14:textId="2578226F"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95C20">
              <w:rPr>
                <w:rFonts w:ascii="Times New Roman" w:hAnsi="Times New Roman" w:cs="Times New Roman"/>
                <w:b/>
                <w:color w:val="auto"/>
                <w:sz w:val="48"/>
              </w:rPr>
              <w:t>0900112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1DF26273" w14:textId="3B6130B9" w:rsidR="00A02A33" w:rsidRPr="00A02A33" w:rsidRDefault="00A02A33" w:rsidP="00A02A33">
      <w:pPr>
        <w:rPr>
          <w:sz w:val="24"/>
          <w:szCs w:val="24"/>
        </w:rPr>
      </w:pPr>
    </w:p>
    <w:p w14:paraId="76B78B0D" w14:textId="77777777" w:rsidR="00A02A33" w:rsidRPr="00A02A33" w:rsidRDefault="00A02A33" w:rsidP="00A02A33">
      <w:pPr>
        <w:ind w:left="360"/>
        <w:rPr>
          <w:color w:val="auto"/>
          <w:sz w:val="24"/>
          <w:szCs w:val="24"/>
        </w:rPr>
      </w:pPr>
      <w:r w:rsidRPr="00A02A33">
        <w:rPr>
          <w:color w:val="auto"/>
          <w:sz w:val="24"/>
          <w:szCs w:val="24"/>
        </w:rPr>
        <w:t>Ali, N., Felstead, K., Mohamed, O., McIvor, A., Wilkes, J., &amp; Watters, D. (2024) “Why is It Important to Ensure the Voice and Influence of People with Lived Experience in Social Work Research and Practice?,” </w:t>
      </w:r>
      <w:r w:rsidRPr="00A02A33">
        <w:rPr>
          <w:i/>
          <w:iCs/>
          <w:color w:val="auto"/>
          <w:sz w:val="24"/>
          <w:szCs w:val="24"/>
        </w:rPr>
        <w:t>The British Journal Of Social Work</w:t>
      </w:r>
      <w:r w:rsidRPr="00A02A33">
        <w:rPr>
          <w:color w:val="auto"/>
          <w:sz w:val="24"/>
          <w:szCs w:val="24"/>
        </w:rPr>
        <w:t xml:space="preserve">, 54(4), pp. 1391–1401. [Online] Available at </w:t>
      </w:r>
      <w:hyperlink r:id="rId11" w:history="1">
        <w:r w:rsidRPr="00A02A33">
          <w:rPr>
            <w:rStyle w:val="Hyperlink"/>
            <w:color w:val="auto"/>
            <w:sz w:val="24"/>
            <w:szCs w:val="24"/>
          </w:rPr>
          <w:t>https://doi.org/10.1093/bjsw/bcae101</w:t>
        </w:r>
      </w:hyperlink>
      <w:r w:rsidRPr="00A02A33">
        <w:rPr>
          <w:color w:val="auto"/>
          <w:sz w:val="24"/>
          <w:szCs w:val="24"/>
        </w:rPr>
        <w:t xml:space="preserve"> (Accessed: 29 March 2026).</w:t>
      </w:r>
    </w:p>
    <w:p w14:paraId="2FF092D3" w14:textId="77777777" w:rsidR="00A02A33" w:rsidRDefault="00A02A33" w:rsidP="00A02A33">
      <w:pPr>
        <w:ind w:left="360"/>
        <w:rPr>
          <w:sz w:val="24"/>
          <w:szCs w:val="24"/>
        </w:rPr>
      </w:pPr>
    </w:p>
    <w:p w14:paraId="7A5E682E" w14:textId="1A970D93" w:rsidR="00A02A33" w:rsidRPr="00A02A33" w:rsidRDefault="00A02A33" w:rsidP="00A02A33">
      <w:pPr>
        <w:ind w:left="360"/>
        <w:rPr>
          <w:sz w:val="24"/>
          <w:szCs w:val="24"/>
        </w:rPr>
      </w:pPr>
      <w:r w:rsidRPr="00A02A33">
        <w:rPr>
          <w:sz w:val="24"/>
          <w:szCs w:val="24"/>
        </w:rPr>
        <w:t xml:space="preserve">Banks, S. (2016) ‘Everyday ethics in professional life: social work as ethics work’, </w:t>
      </w:r>
      <w:r w:rsidRPr="00A02A33">
        <w:rPr>
          <w:i/>
          <w:iCs/>
          <w:sz w:val="24"/>
          <w:szCs w:val="24"/>
        </w:rPr>
        <w:t>Ethics and Social Welfare</w:t>
      </w:r>
      <w:r w:rsidRPr="00A02A33">
        <w:rPr>
          <w:sz w:val="24"/>
          <w:szCs w:val="24"/>
        </w:rPr>
        <w:t xml:space="preserve">, 10(1), pp. 35–52. doi: 10.1080/17496535.2015.1126623.[Online] Available at: </w:t>
      </w:r>
      <w:hyperlink r:id="rId12" w:tooltip="https://www.researchgate.net/profile/Sarah-Banks-5/publication/290649228_Everyday_ethics_in_professional_life_Social_work_as_ethics_work/links/5a5c60a2aca2727d608a7351/Everyday-ethics-in-professional-life-Social-work-as-ethics-work.pdf" w:history="1">
        <w:r w:rsidRPr="00A02A33">
          <w:rPr>
            <w:rStyle w:val="Hyperlink"/>
            <w:sz w:val="24"/>
            <w:szCs w:val="24"/>
          </w:rPr>
          <w:t>https://www.researchgate.net/profile/Sarah-Banks-5/publication/290649228_Everyday_ethics_in_professional_life_Social_work_as_ethics_work/links/5a5c60a2aca2727d608a7351/Everyday-ethics-in-professional-life-Social-work-as-ethics-work.pdf</w:t>
        </w:r>
      </w:hyperlink>
      <w:r w:rsidRPr="00A02A33">
        <w:rPr>
          <w:sz w:val="24"/>
          <w:szCs w:val="24"/>
        </w:rPr>
        <w:t xml:space="preserve"> (Accessed: 11 January 2026).</w:t>
      </w:r>
    </w:p>
    <w:p w14:paraId="40A47A61" w14:textId="77777777" w:rsidR="00A02A33" w:rsidRDefault="00A02A33" w:rsidP="00A02A33">
      <w:pPr>
        <w:ind w:left="360"/>
        <w:rPr>
          <w:sz w:val="24"/>
          <w:szCs w:val="24"/>
        </w:rPr>
      </w:pPr>
    </w:p>
    <w:p w14:paraId="12CFB3A9" w14:textId="3B3D7B00" w:rsidR="00A02A33" w:rsidRPr="00A02A33" w:rsidRDefault="00A02A33" w:rsidP="00A02A33">
      <w:pPr>
        <w:ind w:left="360"/>
        <w:rPr>
          <w:sz w:val="24"/>
          <w:szCs w:val="24"/>
        </w:rPr>
      </w:pPr>
      <w:r w:rsidRPr="00A02A33">
        <w:rPr>
          <w:sz w:val="24"/>
          <w:szCs w:val="24"/>
        </w:rPr>
        <w:t xml:space="preserve">Bart, A., Hall, G.A. and Gillam, L. (2024) ‘Gillick competence: an inadequate guide to the ethics of involving adolescents in decision-making’, </w:t>
      </w:r>
      <w:r w:rsidRPr="00A02A33">
        <w:rPr>
          <w:i/>
          <w:iCs/>
          <w:sz w:val="24"/>
          <w:szCs w:val="24"/>
        </w:rPr>
        <w:t>Journal of Medical Ethics</w:t>
      </w:r>
      <w:r w:rsidRPr="00A02A33">
        <w:rPr>
          <w:sz w:val="24"/>
          <w:szCs w:val="24"/>
        </w:rPr>
        <w:t xml:space="preserve">, 50(3), pp. 157–162. [Online] Available at: </w:t>
      </w:r>
      <w:hyperlink r:id="rId13" w:history="1">
        <w:r w:rsidRPr="00A02A33">
          <w:rPr>
            <w:rStyle w:val="Hyperlink"/>
            <w:sz w:val="24"/>
            <w:szCs w:val="24"/>
          </w:rPr>
          <w:t>https://doi.org/10.1136/jme-2023-108930</w:t>
        </w:r>
      </w:hyperlink>
      <w:r w:rsidRPr="00A02A33">
        <w:rPr>
          <w:sz w:val="24"/>
          <w:szCs w:val="24"/>
        </w:rPr>
        <w:t xml:space="preserve"> (Accessed: 10 July 2026).</w:t>
      </w:r>
    </w:p>
    <w:p w14:paraId="385DE3C9" w14:textId="77777777" w:rsidR="00A02A33" w:rsidRDefault="00A02A33" w:rsidP="00A02A33">
      <w:pPr>
        <w:ind w:left="360"/>
        <w:rPr>
          <w:sz w:val="24"/>
          <w:szCs w:val="24"/>
        </w:rPr>
      </w:pPr>
    </w:p>
    <w:p w14:paraId="452C131E" w14:textId="00F7AABE" w:rsidR="00A02A33" w:rsidRPr="00A02A33" w:rsidRDefault="00A02A33" w:rsidP="00A02A33">
      <w:pPr>
        <w:ind w:left="360"/>
        <w:rPr>
          <w:sz w:val="24"/>
          <w:szCs w:val="24"/>
        </w:rPr>
      </w:pPr>
      <w:r w:rsidRPr="00A02A33">
        <w:rPr>
          <w:sz w:val="24"/>
          <w:szCs w:val="24"/>
        </w:rPr>
        <w:t xml:space="preserve">Bowlby, J. (1969) </w:t>
      </w:r>
      <w:r w:rsidRPr="00A02A33">
        <w:rPr>
          <w:i/>
          <w:iCs/>
          <w:sz w:val="24"/>
          <w:szCs w:val="24"/>
        </w:rPr>
        <w:t>Attachment and loss: Volume 1: Attachment</w:t>
      </w:r>
      <w:r w:rsidRPr="00A02A33">
        <w:rPr>
          <w:sz w:val="24"/>
          <w:szCs w:val="24"/>
        </w:rPr>
        <w:t>. London: Penguin.</w:t>
      </w:r>
    </w:p>
    <w:p w14:paraId="48D43479" w14:textId="77777777" w:rsidR="00A02A33" w:rsidRDefault="00A02A33" w:rsidP="00A02A33">
      <w:pPr>
        <w:spacing w:after="160" w:line="259" w:lineRule="auto"/>
        <w:ind w:left="360"/>
        <w:rPr>
          <w:sz w:val="24"/>
          <w:szCs w:val="24"/>
        </w:rPr>
      </w:pPr>
    </w:p>
    <w:p w14:paraId="29F450E9" w14:textId="77777777" w:rsidR="00A02A33" w:rsidRDefault="00A02A33" w:rsidP="00A02A33">
      <w:pPr>
        <w:spacing w:after="160" w:line="259" w:lineRule="auto"/>
        <w:ind w:left="360"/>
        <w:rPr>
          <w:sz w:val="24"/>
          <w:szCs w:val="24"/>
        </w:rPr>
      </w:pPr>
      <w:r w:rsidRPr="00A02A33">
        <w:rPr>
          <w:sz w:val="24"/>
          <w:szCs w:val="24"/>
        </w:rPr>
        <w:t xml:space="preserve">Braye, S., Orr, D. and Preston-Shoot, M. (2015) ‘Serious case review findings on the challenges of self-neglect: indicators for good practice’, </w:t>
      </w:r>
      <w:r w:rsidRPr="00A02A33">
        <w:rPr>
          <w:i/>
          <w:iCs/>
          <w:sz w:val="24"/>
          <w:szCs w:val="24"/>
        </w:rPr>
        <w:t>Journal of Adult Protection</w:t>
      </w:r>
      <w:r w:rsidRPr="00A02A33">
        <w:rPr>
          <w:sz w:val="24"/>
          <w:szCs w:val="24"/>
        </w:rPr>
        <w:t xml:space="preserve">, 17(2), pp. 75–87. Available at: </w:t>
      </w:r>
      <w:hyperlink r:id="rId14" w:history="1">
        <w:r w:rsidRPr="00A02A33">
          <w:rPr>
            <w:color w:val="0563C1"/>
            <w:sz w:val="24"/>
            <w:szCs w:val="24"/>
            <w:u w:val="single"/>
          </w:rPr>
          <w:t>https://www.emerald.com/insight/content/doi/10.1108/jap-05-2014-0015/full/html</w:t>
        </w:r>
      </w:hyperlink>
      <w:r w:rsidRPr="00A02A33">
        <w:rPr>
          <w:sz w:val="24"/>
          <w:szCs w:val="24"/>
        </w:rPr>
        <w:t xml:space="preserve">  (Accessed: 21 June 2026).</w:t>
      </w:r>
    </w:p>
    <w:p w14:paraId="074B0850" w14:textId="343680B4" w:rsidR="00A02A33" w:rsidRPr="00A02A33" w:rsidRDefault="00A02A33" w:rsidP="00A02A33">
      <w:pPr>
        <w:spacing w:after="160" w:line="259" w:lineRule="auto"/>
        <w:ind w:left="360"/>
        <w:rPr>
          <w:sz w:val="24"/>
          <w:szCs w:val="24"/>
        </w:rPr>
      </w:pPr>
      <w:r w:rsidRPr="00A02A33">
        <w:rPr>
          <w:sz w:val="24"/>
          <w:szCs w:val="24"/>
        </w:rPr>
        <w:t xml:space="preserve">British Association of Social Workers (2021) </w:t>
      </w:r>
      <w:r w:rsidRPr="00A02A33">
        <w:rPr>
          <w:i/>
          <w:iCs/>
          <w:sz w:val="24"/>
          <w:szCs w:val="24"/>
        </w:rPr>
        <w:t>Code of Ethics for Social Work</w:t>
      </w:r>
      <w:r w:rsidRPr="00A02A33">
        <w:rPr>
          <w:sz w:val="24"/>
          <w:szCs w:val="24"/>
        </w:rPr>
        <w:t>. Birmingham: BASW.</w:t>
      </w:r>
    </w:p>
    <w:p w14:paraId="648AA726" w14:textId="77777777" w:rsidR="00A02A33" w:rsidRPr="00A02A33" w:rsidRDefault="00A02A33" w:rsidP="00A02A33">
      <w:pPr>
        <w:ind w:left="360"/>
        <w:rPr>
          <w:sz w:val="24"/>
          <w:szCs w:val="24"/>
        </w:rPr>
      </w:pPr>
      <w:r w:rsidRPr="00A02A33">
        <w:rPr>
          <w:sz w:val="24"/>
          <w:szCs w:val="24"/>
        </w:rPr>
        <w:t xml:space="preserve">Bronfenbrenner, U. (1977) ‘Toward an experimental ecology of human development’, </w:t>
      </w:r>
      <w:r w:rsidRPr="00A02A33">
        <w:rPr>
          <w:i/>
          <w:iCs/>
          <w:sz w:val="24"/>
          <w:szCs w:val="24"/>
        </w:rPr>
        <w:t>American Psychologist</w:t>
      </w:r>
      <w:r w:rsidRPr="00A02A33">
        <w:rPr>
          <w:sz w:val="24"/>
          <w:szCs w:val="24"/>
        </w:rPr>
        <w:t>, 32(7), pp. 513–531.</w:t>
      </w:r>
    </w:p>
    <w:p w14:paraId="0D9AA297" w14:textId="77777777" w:rsidR="00A02A33" w:rsidRDefault="00A02A33" w:rsidP="00A02A33">
      <w:pPr>
        <w:ind w:left="360"/>
        <w:rPr>
          <w:sz w:val="24"/>
          <w:szCs w:val="24"/>
        </w:rPr>
      </w:pPr>
    </w:p>
    <w:p w14:paraId="363B3E96" w14:textId="1CD0B41E" w:rsidR="00A02A33" w:rsidRPr="00A02A33" w:rsidRDefault="00A02A33" w:rsidP="00A02A33">
      <w:pPr>
        <w:ind w:left="360"/>
        <w:rPr>
          <w:sz w:val="24"/>
          <w:szCs w:val="24"/>
        </w:rPr>
      </w:pPr>
      <w:r w:rsidRPr="00A02A33">
        <w:rPr>
          <w:sz w:val="24"/>
          <w:szCs w:val="24"/>
        </w:rPr>
        <w:t>Cardiff University. (2014). </w:t>
      </w:r>
      <w:r w:rsidRPr="00A02A33">
        <w:rPr>
          <w:i/>
          <w:iCs/>
          <w:sz w:val="24"/>
          <w:szCs w:val="24"/>
        </w:rPr>
        <w:t>Social care law in Wales</w:t>
      </w:r>
      <w:r w:rsidRPr="00A02A33">
        <w:rPr>
          <w:sz w:val="24"/>
          <w:szCs w:val="24"/>
        </w:rPr>
        <w:t xml:space="preserve">. [online] Available at: </w:t>
      </w:r>
      <w:hyperlink r:id="rId15" w:history="1">
        <w:r w:rsidRPr="00A02A33">
          <w:rPr>
            <w:color w:val="0563C1"/>
            <w:sz w:val="24"/>
            <w:szCs w:val="24"/>
            <w:u w:val="single"/>
          </w:rPr>
          <w:t>https://sites.cardiff.ac.uk/childrens-social-care-law/social-services-and-well-being-wales-act/</w:t>
        </w:r>
      </w:hyperlink>
      <w:r w:rsidRPr="00A02A33">
        <w:rPr>
          <w:sz w:val="24"/>
          <w:szCs w:val="24"/>
        </w:rPr>
        <w:t xml:space="preserve"> (Accessed: 19</w:t>
      </w:r>
      <w:r w:rsidRPr="00A02A33">
        <w:rPr>
          <w:sz w:val="24"/>
          <w:szCs w:val="24"/>
          <w:vertAlign w:val="superscript"/>
        </w:rPr>
        <w:t>th</w:t>
      </w:r>
      <w:r w:rsidRPr="00A02A33">
        <w:rPr>
          <w:sz w:val="24"/>
          <w:szCs w:val="24"/>
        </w:rPr>
        <w:t xml:space="preserve"> June 2026).</w:t>
      </w:r>
    </w:p>
    <w:p w14:paraId="6DAEEA6D" w14:textId="77777777" w:rsidR="00A02A33" w:rsidRDefault="00A02A33" w:rsidP="00A02A33">
      <w:pPr>
        <w:ind w:left="360"/>
        <w:rPr>
          <w:sz w:val="24"/>
          <w:szCs w:val="24"/>
        </w:rPr>
      </w:pPr>
    </w:p>
    <w:p w14:paraId="19DCDBE8" w14:textId="005C3D79" w:rsidR="00A02A33" w:rsidRPr="00A02A33" w:rsidRDefault="00A02A33" w:rsidP="00A02A33">
      <w:pPr>
        <w:ind w:left="360"/>
        <w:rPr>
          <w:sz w:val="24"/>
          <w:szCs w:val="24"/>
        </w:rPr>
      </w:pPr>
      <w:r w:rsidRPr="00A02A33">
        <w:rPr>
          <w:sz w:val="24"/>
          <w:szCs w:val="24"/>
        </w:rPr>
        <w:t xml:space="preserve">Cocker, C., Cooper, A., Holmes, D. and Bateman, F. (2021) ‘Transitional safeguarding: presenting the case for developing Making Safeguarding Personal for young people in England’, *Journal of Adult Protection*, 23(3), pp. 144–157. [Online] Available at: </w:t>
      </w:r>
      <w:hyperlink r:id="rId16" w:history="1">
        <w:r w:rsidRPr="00A02A33">
          <w:rPr>
            <w:rStyle w:val="Hyperlink"/>
            <w:sz w:val="24"/>
            <w:szCs w:val="24"/>
          </w:rPr>
          <w:t>Transitional Safeguarding: presenting the case for developing Making Safeguarding Personal for young people in England | The Journal of Adult Protection | Emerald Publishing</w:t>
        </w:r>
      </w:hyperlink>
      <w:r w:rsidRPr="00A02A33">
        <w:rPr>
          <w:sz w:val="24"/>
          <w:szCs w:val="24"/>
        </w:rPr>
        <w:t xml:space="preserve"> (Accessed: 10 July 2026).</w:t>
      </w:r>
    </w:p>
    <w:p w14:paraId="2272E2AF" w14:textId="77777777" w:rsidR="00A02A33" w:rsidRDefault="00A02A33" w:rsidP="00A02A33">
      <w:pPr>
        <w:ind w:left="360"/>
        <w:rPr>
          <w:iCs/>
          <w:color w:val="auto"/>
          <w:sz w:val="24"/>
          <w:szCs w:val="24"/>
        </w:rPr>
      </w:pPr>
    </w:p>
    <w:p w14:paraId="48ED1DD6" w14:textId="6A643C86" w:rsidR="00A02A33" w:rsidRPr="00A02A33" w:rsidRDefault="00A02A33" w:rsidP="00A02A33">
      <w:pPr>
        <w:ind w:left="360"/>
        <w:rPr>
          <w:iCs/>
          <w:color w:val="auto"/>
          <w:sz w:val="24"/>
          <w:szCs w:val="24"/>
        </w:rPr>
      </w:pPr>
      <w:r w:rsidRPr="00A02A33">
        <w:rPr>
          <w:iCs/>
          <w:color w:val="auto"/>
          <w:sz w:val="24"/>
          <w:szCs w:val="24"/>
        </w:rPr>
        <w:t xml:space="preserve">Cournoyer, B. R. (2017) </w:t>
      </w:r>
      <w:r w:rsidRPr="00A02A33">
        <w:rPr>
          <w:i/>
          <w:iCs/>
          <w:color w:val="auto"/>
          <w:sz w:val="24"/>
          <w:szCs w:val="24"/>
        </w:rPr>
        <w:t>Social Work Skills Workbook</w:t>
      </w:r>
      <w:r w:rsidRPr="00A02A33">
        <w:rPr>
          <w:iCs/>
          <w:color w:val="auto"/>
          <w:sz w:val="24"/>
          <w:szCs w:val="24"/>
        </w:rPr>
        <w:t xml:space="preserve"> 8th ed. Boston: Cengage Learning.</w:t>
      </w:r>
    </w:p>
    <w:p w14:paraId="3B45E5B2" w14:textId="77777777" w:rsidR="00A02A33" w:rsidRDefault="00A02A33" w:rsidP="00A02A33">
      <w:pPr>
        <w:ind w:left="360"/>
        <w:rPr>
          <w:sz w:val="24"/>
          <w:szCs w:val="24"/>
        </w:rPr>
      </w:pPr>
    </w:p>
    <w:p w14:paraId="4B9E6A51" w14:textId="2C6F0CAC" w:rsidR="00A02A33" w:rsidRPr="00A02A33" w:rsidRDefault="00A02A33" w:rsidP="00A02A33">
      <w:pPr>
        <w:ind w:left="360"/>
        <w:rPr>
          <w:sz w:val="24"/>
          <w:szCs w:val="24"/>
        </w:rPr>
      </w:pPr>
      <w:r w:rsidRPr="00A02A33">
        <w:rPr>
          <w:sz w:val="24"/>
          <w:szCs w:val="24"/>
        </w:rPr>
        <w:t xml:space="preserve">Daniel, B., Wassell, S. and Gilligan, R. (2010) </w:t>
      </w:r>
      <w:r w:rsidRPr="00A02A33">
        <w:rPr>
          <w:i/>
          <w:iCs/>
          <w:sz w:val="24"/>
          <w:szCs w:val="24"/>
        </w:rPr>
        <w:t>Child Development for Child Care and Protection Workers</w:t>
      </w:r>
      <w:r w:rsidRPr="00A02A33">
        <w:rPr>
          <w:sz w:val="24"/>
          <w:szCs w:val="24"/>
        </w:rPr>
        <w:t>. 2nd edn. London: Jessica Kingsley.</w:t>
      </w:r>
    </w:p>
    <w:p w14:paraId="54ED0610" w14:textId="77777777" w:rsidR="00A02A33" w:rsidRDefault="00A02A33" w:rsidP="00A02A33">
      <w:pPr>
        <w:ind w:left="360"/>
        <w:rPr>
          <w:sz w:val="24"/>
          <w:szCs w:val="24"/>
        </w:rPr>
      </w:pPr>
    </w:p>
    <w:p w14:paraId="17617B85" w14:textId="0389B4E2" w:rsidR="00A02A33" w:rsidRPr="00A02A33" w:rsidRDefault="00A02A33" w:rsidP="00A02A33">
      <w:pPr>
        <w:ind w:left="360"/>
        <w:rPr>
          <w:sz w:val="24"/>
          <w:szCs w:val="24"/>
        </w:rPr>
      </w:pPr>
      <w:r w:rsidRPr="00A02A33">
        <w:rPr>
          <w:sz w:val="24"/>
          <w:szCs w:val="24"/>
        </w:rPr>
        <w:t xml:space="preserve">Department for Education (2018) </w:t>
      </w:r>
      <w:r w:rsidRPr="00A02A33">
        <w:rPr>
          <w:i/>
          <w:iCs/>
          <w:sz w:val="24"/>
          <w:szCs w:val="24"/>
        </w:rPr>
        <w:t>Working together to safeguard children: A guide to inter-agency working to safeguard and promote the welfare of children</w:t>
      </w:r>
      <w:r w:rsidRPr="00A02A33">
        <w:rPr>
          <w:sz w:val="24"/>
          <w:szCs w:val="24"/>
        </w:rPr>
        <w:t>. London: DfE.</w:t>
      </w:r>
    </w:p>
    <w:p w14:paraId="571EA206" w14:textId="77777777" w:rsidR="00A02A33" w:rsidRDefault="00A02A33" w:rsidP="00A02A33">
      <w:pPr>
        <w:ind w:left="360"/>
        <w:rPr>
          <w:sz w:val="24"/>
          <w:szCs w:val="24"/>
        </w:rPr>
      </w:pPr>
    </w:p>
    <w:p w14:paraId="11CC6BD8" w14:textId="240E63FD" w:rsidR="00A02A33" w:rsidRPr="00A02A33" w:rsidRDefault="00A02A33" w:rsidP="00A02A33">
      <w:pPr>
        <w:ind w:left="360"/>
        <w:rPr>
          <w:sz w:val="24"/>
          <w:szCs w:val="24"/>
        </w:rPr>
      </w:pPr>
      <w:r w:rsidRPr="00A02A33">
        <w:rPr>
          <w:sz w:val="24"/>
          <w:szCs w:val="24"/>
        </w:rPr>
        <w:t xml:space="preserve">Department of Health (2000) </w:t>
      </w:r>
      <w:r w:rsidRPr="00A02A33">
        <w:rPr>
          <w:i/>
          <w:iCs/>
          <w:sz w:val="24"/>
          <w:szCs w:val="24"/>
        </w:rPr>
        <w:t>Framework for the Assessment of Children in Need and Their Families</w:t>
      </w:r>
      <w:r w:rsidRPr="00A02A33">
        <w:rPr>
          <w:sz w:val="24"/>
          <w:szCs w:val="24"/>
        </w:rPr>
        <w:t>. London: HMSO.</w:t>
      </w:r>
    </w:p>
    <w:p w14:paraId="5B506DB4" w14:textId="77777777" w:rsidR="00A02A33" w:rsidRDefault="00A02A33" w:rsidP="00A02A33">
      <w:pPr>
        <w:ind w:left="360"/>
        <w:rPr>
          <w:sz w:val="24"/>
          <w:szCs w:val="24"/>
        </w:rPr>
      </w:pPr>
    </w:p>
    <w:p w14:paraId="6A51FEBB" w14:textId="4D3A9419" w:rsidR="00A02A33" w:rsidRPr="00A02A33" w:rsidRDefault="00A02A33" w:rsidP="00A02A33">
      <w:pPr>
        <w:ind w:left="360"/>
        <w:rPr>
          <w:sz w:val="24"/>
          <w:szCs w:val="24"/>
        </w:rPr>
      </w:pPr>
      <w:r w:rsidRPr="00A02A33">
        <w:rPr>
          <w:sz w:val="24"/>
          <w:szCs w:val="24"/>
        </w:rPr>
        <w:t>Dixon, J. (2023)</w:t>
      </w:r>
      <w:r w:rsidRPr="00A02A33">
        <w:rPr>
          <w:i/>
          <w:iCs/>
          <w:sz w:val="24"/>
          <w:szCs w:val="24"/>
        </w:rPr>
        <w:t xml:space="preserve"> Adult Safeguarding Observed: How Social Workers Assess and Manage Risk and Uncertainty.</w:t>
      </w:r>
      <w:r w:rsidRPr="00A02A33">
        <w:rPr>
          <w:sz w:val="24"/>
          <w:szCs w:val="24"/>
        </w:rPr>
        <w:t xml:space="preserve"> Bristol: Policy Press [Online] Available at: </w:t>
      </w:r>
      <w:hyperlink r:id="rId17" w:history="1">
        <w:r w:rsidRPr="00A02A33">
          <w:rPr>
            <w:rStyle w:val="Hyperlink"/>
            <w:sz w:val="24"/>
            <w:szCs w:val="24"/>
          </w:rPr>
          <w:t>Adult Safeguarding Observed: How Social Workers Assess and Manage Risk and Uncertainty | Policy Press Scholarship Online | Oxford Academic</w:t>
        </w:r>
      </w:hyperlink>
      <w:r w:rsidRPr="00A02A33">
        <w:rPr>
          <w:sz w:val="24"/>
          <w:szCs w:val="24"/>
        </w:rPr>
        <w:t xml:space="preserve"> (Accessed: 10 July 2026).</w:t>
      </w:r>
    </w:p>
    <w:p w14:paraId="4A3865AE" w14:textId="77777777" w:rsidR="00A02A33" w:rsidRDefault="00A02A33" w:rsidP="00A02A33">
      <w:pPr>
        <w:ind w:left="360"/>
        <w:rPr>
          <w:sz w:val="24"/>
          <w:szCs w:val="24"/>
        </w:rPr>
      </w:pPr>
    </w:p>
    <w:p w14:paraId="66A62DCA" w14:textId="378D7E70" w:rsidR="00A02A33" w:rsidRPr="00A02A33" w:rsidRDefault="00A02A33" w:rsidP="00A02A33">
      <w:pPr>
        <w:ind w:left="360"/>
        <w:rPr>
          <w:sz w:val="24"/>
          <w:szCs w:val="24"/>
        </w:rPr>
      </w:pPr>
      <w:r w:rsidRPr="00A02A33">
        <w:rPr>
          <w:sz w:val="24"/>
          <w:szCs w:val="24"/>
        </w:rPr>
        <w:t xml:space="preserve">Drover, G. and Shragge, E. (1977) </w:t>
      </w:r>
      <w:r w:rsidRPr="00A02A33">
        <w:rPr>
          <w:i/>
          <w:iCs/>
          <w:sz w:val="24"/>
          <w:szCs w:val="24"/>
        </w:rPr>
        <w:t>General systems theory and social work education: A critique</w:t>
      </w:r>
      <w:r w:rsidRPr="00A02A33">
        <w:rPr>
          <w:sz w:val="24"/>
          <w:szCs w:val="24"/>
        </w:rPr>
        <w:t>. Social Service Review, 51(4), pp. 573–591. Available at: https://www.jstor.org/stable/41668794 (Accessed: 21 June 2026).</w:t>
      </w:r>
    </w:p>
    <w:p w14:paraId="028F9207" w14:textId="77777777" w:rsidR="00A02A33" w:rsidRDefault="00A02A33" w:rsidP="00A02A33">
      <w:pPr>
        <w:ind w:left="360"/>
        <w:rPr>
          <w:sz w:val="24"/>
          <w:szCs w:val="24"/>
        </w:rPr>
      </w:pPr>
    </w:p>
    <w:p w14:paraId="103780C4" w14:textId="70A199A0" w:rsidR="00A02A33" w:rsidRPr="00A02A33" w:rsidRDefault="00A02A33" w:rsidP="00A02A33">
      <w:pPr>
        <w:ind w:left="360"/>
        <w:rPr>
          <w:sz w:val="24"/>
          <w:szCs w:val="24"/>
        </w:rPr>
      </w:pPr>
      <w:r w:rsidRPr="00A02A33">
        <w:rPr>
          <w:sz w:val="24"/>
          <w:szCs w:val="24"/>
        </w:rPr>
        <w:t xml:space="preserve">European Union (2016) </w:t>
      </w:r>
      <w:r w:rsidRPr="00A02A33">
        <w:rPr>
          <w:i/>
          <w:iCs/>
          <w:sz w:val="24"/>
          <w:szCs w:val="24"/>
        </w:rPr>
        <w:t>Regulation (EU) 2016/679 of the European Parliament and of the Council of 27 April 2016 on the protection of natural persons with regard to the processing of personal data and on the free movement of such data (General Data Protection Regulation)</w:t>
      </w:r>
      <w:r w:rsidRPr="00A02A33">
        <w:rPr>
          <w:sz w:val="24"/>
          <w:szCs w:val="24"/>
        </w:rPr>
        <w:t xml:space="preserve">.[Online] Available at: </w:t>
      </w:r>
      <w:hyperlink r:id="rId18" w:history="1">
        <w:r w:rsidRPr="00A02A33">
          <w:rPr>
            <w:color w:val="0563C1"/>
            <w:sz w:val="24"/>
            <w:szCs w:val="24"/>
            <w:u w:val="single"/>
          </w:rPr>
          <w:t>https://eur-lex.europa.eu/eli/reg/2016/679/2016-05-04/eng</w:t>
        </w:r>
      </w:hyperlink>
      <w:r w:rsidRPr="00A02A33">
        <w:rPr>
          <w:sz w:val="24"/>
          <w:szCs w:val="24"/>
        </w:rPr>
        <w:t xml:space="preserve"> (Accessed: 19</w:t>
      </w:r>
      <w:r w:rsidRPr="00A02A33">
        <w:rPr>
          <w:sz w:val="24"/>
          <w:szCs w:val="24"/>
          <w:vertAlign w:val="superscript"/>
        </w:rPr>
        <w:t>th</w:t>
      </w:r>
      <w:r w:rsidRPr="00A02A33">
        <w:rPr>
          <w:sz w:val="24"/>
          <w:szCs w:val="24"/>
        </w:rPr>
        <w:t xml:space="preserve"> June 2026).</w:t>
      </w:r>
    </w:p>
    <w:p w14:paraId="6AF2DDC3" w14:textId="77777777" w:rsidR="00A02A33" w:rsidRDefault="00A02A33" w:rsidP="00A02A33">
      <w:pPr>
        <w:ind w:left="360"/>
        <w:rPr>
          <w:sz w:val="24"/>
          <w:szCs w:val="24"/>
        </w:rPr>
      </w:pPr>
    </w:p>
    <w:p w14:paraId="3C53A5A3" w14:textId="58E1D69B" w:rsidR="00A02A33" w:rsidRPr="00A02A33" w:rsidRDefault="00A02A33" w:rsidP="00A02A33">
      <w:pPr>
        <w:ind w:left="360"/>
        <w:rPr>
          <w:sz w:val="24"/>
          <w:szCs w:val="24"/>
        </w:rPr>
      </w:pPr>
      <w:r w:rsidRPr="00A02A33">
        <w:rPr>
          <w:sz w:val="24"/>
          <w:szCs w:val="24"/>
        </w:rPr>
        <w:t xml:space="preserve">Ferguson, H. (2017) ‘Child protection practice’, </w:t>
      </w:r>
      <w:r w:rsidRPr="00A02A33">
        <w:rPr>
          <w:i/>
          <w:iCs/>
          <w:sz w:val="24"/>
          <w:szCs w:val="24"/>
        </w:rPr>
        <w:t>British Journal of Social Work</w:t>
      </w:r>
      <w:r w:rsidRPr="00A02A33">
        <w:rPr>
          <w:sz w:val="24"/>
          <w:szCs w:val="24"/>
        </w:rPr>
        <w:t>, 47(4).</w:t>
      </w:r>
    </w:p>
    <w:p w14:paraId="6410300F" w14:textId="77777777" w:rsidR="00A02A33" w:rsidRDefault="00A02A33" w:rsidP="00A02A33">
      <w:pPr>
        <w:ind w:left="360"/>
        <w:rPr>
          <w:sz w:val="24"/>
          <w:szCs w:val="24"/>
        </w:rPr>
      </w:pPr>
    </w:p>
    <w:p w14:paraId="70062E29" w14:textId="02327070" w:rsidR="00A02A33" w:rsidRPr="00A02A33" w:rsidRDefault="00A02A33" w:rsidP="00A02A33">
      <w:pPr>
        <w:ind w:left="360"/>
        <w:rPr>
          <w:sz w:val="24"/>
          <w:szCs w:val="24"/>
        </w:rPr>
      </w:pPr>
      <w:r w:rsidRPr="00A02A33">
        <w:rPr>
          <w:sz w:val="24"/>
          <w:szCs w:val="24"/>
        </w:rPr>
        <w:t xml:space="preserve">Ferguson, H. (2018) ‘How children become invisible in child protection work: Findings from research into day-to-day social work practice’, </w:t>
      </w:r>
      <w:r w:rsidRPr="00A02A33">
        <w:rPr>
          <w:i/>
          <w:iCs/>
          <w:sz w:val="24"/>
          <w:szCs w:val="24"/>
        </w:rPr>
        <w:t>British Journal of Social Work</w:t>
      </w:r>
      <w:r w:rsidRPr="00A02A33">
        <w:rPr>
          <w:sz w:val="24"/>
          <w:szCs w:val="24"/>
        </w:rPr>
        <w:t>, 48(4), pp. 1007–1023.</w:t>
      </w:r>
    </w:p>
    <w:p w14:paraId="02C5D52C" w14:textId="77777777" w:rsidR="00A02A33" w:rsidRDefault="00A02A33" w:rsidP="00A02A33">
      <w:pPr>
        <w:ind w:left="360"/>
        <w:rPr>
          <w:sz w:val="24"/>
          <w:szCs w:val="24"/>
        </w:rPr>
      </w:pPr>
    </w:p>
    <w:p w14:paraId="3825D3D4" w14:textId="5C109235" w:rsidR="00A02A33" w:rsidRPr="00A02A33" w:rsidRDefault="00A02A33" w:rsidP="00A02A33">
      <w:pPr>
        <w:ind w:left="360"/>
        <w:rPr>
          <w:sz w:val="24"/>
          <w:szCs w:val="24"/>
        </w:rPr>
      </w:pPr>
      <w:r w:rsidRPr="00A02A33">
        <w:rPr>
          <w:sz w:val="24"/>
          <w:szCs w:val="24"/>
        </w:rPr>
        <w:t xml:space="preserve">Gibbs, G. (1988) </w:t>
      </w:r>
      <w:r w:rsidRPr="00A02A33">
        <w:rPr>
          <w:i/>
          <w:iCs/>
          <w:sz w:val="24"/>
          <w:szCs w:val="24"/>
        </w:rPr>
        <w:t>Learning by Doing: A Guide to Teaching and Learning Methods</w:t>
      </w:r>
      <w:r w:rsidRPr="00A02A33">
        <w:rPr>
          <w:sz w:val="24"/>
          <w:szCs w:val="24"/>
        </w:rPr>
        <w:t>. Oxford: Oxford Polytechnic.</w:t>
      </w:r>
    </w:p>
    <w:p w14:paraId="74A9FE9C" w14:textId="77777777" w:rsidR="00A02A33" w:rsidRDefault="00A02A33" w:rsidP="00A02A33">
      <w:pPr>
        <w:spacing w:after="160" w:line="259" w:lineRule="auto"/>
        <w:ind w:left="360"/>
        <w:rPr>
          <w:sz w:val="24"/>
          <w:szCs w:val="24"/>
        </w:rPr>
      </w:pPr>
    </w:p>
    <w:p w14:paraId="1E3C4C73" w14:textId="7A8FAB42" w:rsidR="00A02A33" w:rsidRPr="00A02A33" w:rsidRDefault="00A02A33" w:rsidP="00A02A33">
      <w:pPr>
        <w:spacing w:after="160" w:line="259" w:lineRule="auto"/>
        <w:ind w:left="360"/>
        <w:rPr>
          <w:sz w:val="24"/>
          <w:szCs w:val="24"/>
        </w:rPr>
      </w:pPr>
      <w:r w:rsidRPr="00A02A33">
        <w:rPr>
          <w:sz w:val="24"/>
          <w:szCs w:val="24"/>
        </w:rPr>
        <w:t xml:space="preserve">Gibbs, G. (1988) </w:t>
      </w:r>
      <w:r w:rsidRPr="00A02A33">
        <w:rPr>
          <w:i/>
          <w:iCs/>
          <w:sz w:val="24"/>
          <w:szCs w:val="24"/>
        </w:rPr>
        <w:t>Learning by Doing: A Guide to Teaching and Learning Methods</w:t>
      </w:r>
      <w:r w:rsidRPr="00A02A33">
        <w:rPr>
          <w:sz w:val="24"/>
          <w:szCs w:val="24"/>
        </w:rPr>
        <w:t xml:space="preserve">. Oxford: Oxford Polytechnic. Available at: </w:t>
      </w:r>
      <w:hyperlink r:id="rId19" w:history="1">
        <w:r w:rsidRPr="00A02A33">
          <w:rPr>
            <w:color w:val="0563C1"/>
            <w:sz w:val="24"/>
            <w:szCs w:val="24"/>
            <w:u w:val="single"/>
          </w:rPr>
          <w:t>https://brookes.ac.uk/services/ocsld/resources/reflective-learning</w:t>
        </w:r>
      </w:hyperlink>
      <w:r w:rsidRPr="00A02A33">
        <w:rPr>
          <w:sz w:val="24"/>
          <w:szCs w:val="24"/>
        </w:rPr>
        <w:t xml:space="preserve"> (Accessed: 21st June 2026).</w:t>
      </w:r>
    </w:p>
    <w:p w14:paraId="75AA1EE6" w14:textId="77777777" w:rsidR="00A02A33" w:rsidRDefault="00A02A33" w:rsidP="00A02A33">
      <w:pPr>
        <w:ind w:left="360"/>
        <w:rPr>
          <w:sz w:val="24"/>
          <w:szCs w:val="24"/>
        </w:rPr>
      </w:pPr>
    </w:p>
    <w:p w14:paraId="0A4DA8DA" w14:textId="38998C5A" w:rsidR="00A02A33" w:rsidRPr="00A02A33" w:rsidRDefault="00A02A33" w:rsidP="00A02A33">
      <w:pPr>
        <w:ind w:left="360"/>
        <w:rPr>
          <w:sz w:val="24"/>
          <w:szCs w:val="24"/>
        </w:rPr>
      </w:pPr>
      <w:r w:rsidRPr="00A02A33">
        <w:rPr>
          <w:sz w:val="24"/>
          <w:szCs w:val="24"/>
        </w:rPr>
        <w:t xml:space="preserve">Giles, N. (2024) ‘Learning about professional identity for newly-qualified social workers.’ </w:t>
      </w:r>
      <w:r w:rsidRPr="00A02A33">
        <w:rPr>
          <w:i/>
          <w:iCs/>
          <w:sz w:val="24"/>
          <w:szCs w:val="24"/>
        </w:rPr>
        <w:t>Skills for Care</w:t>
      </w:r>
      <w:r w:rsidRPr="00A02A33">
        <w:rPr>
          <w:sz w:val="24"/>
          <w:szCs w:val="24"/>
        </w:rPr>
        <w:t xml:space="preserve">. [Online] Available at: </w:t>
      </w:r>
      <w:hyperlink r:id="rId20" w:anchor=":~:text=Having%20a%20strong%20professional%20identity,can%20be%20used%20in%20supervision" w:history="1">
        <w:r w:rsidRPr="00A02A33">
          <w:rPr>
            <w:rStyle w:val="Hyperlink"/>
            <w:sz w:val="24"/>
            <w:szCs w:val="24"/>
          </w:rPr>
          <w:t>Learning about professional identity for newly-qualified social workers</w:t>
        </w:r>
      </w:hyperlink>
      <w:r w:rsidRPr="00A02A33">
        <w:rPr>
          <w:sz w:val="24"/>
          <w:szCs w:val="24"/>
        </w:rPr>
        <w:t xml:space="preserve"> (Accessed: 10 January 2026).</w:t>
      </w:r>
    </w:p>
    <w:p w14:paraId="60537B33" w14:textId="77777777" w:rsidR="00A02A33" w:rsidRPr="00A02A33" w:rsidRDefault="00A02A33" w:rsidP="00A02A33">
      <w:pPr>
        <w:ind w:left="360"/>
        <w:rPr>
          <w:sz w:val="24"/>
          <w:szCs w:val="24"/>
        </w:rPr>
      </w:pPr>
      <w:r w:rsidRPr="00A02A33">
        <w:rPr>
          <w:sz w:val="24"/>
          <w:szCs w:val="24"/>
        </w:rPr>
        <w:lastRenderedPageBreak/>
        <w:t xml:space="preserve">Gillick v West Norfolk and Wisbech Area Health Authority [1985] UKHL 7, [1986] AC 112. [Online] Available at: </w:t>
      </w:r>
      <w:hyperlink r:id="rId21" w:history="1">
        <w:r w:rsidRPr="00A02A33">
          <w:rPr>
            <w:rStyle w:val="Hyperlink"/>
            <w:sz w:val="24"/>
            <w:szCs w:val="24"/>
          </w:rPr>
          <w:t>https://www.bailii.org/uk/cases/UKHL/1985/7.html</w:t>
        </w:r>
      </w:hyperlink>
      <w:r w:rsidRPr="00A02A33">
        <w:rPr>
          <w:sz w:val="24"/>
          <w:szCs w:val="24"/>
        </w:rPr>
        <w:t xml:space="preserve"> (Accessed: 10 July 2026).</w:t>
      </w:r>
    </w:p>
    <w:p w14:paraId="64EC0016" w14:textId="77777777" w:rsidR="00A02A33" w:rsidRDefault="00A02A33" w:rsidP="00A02A33">
      <w:pPr>
        <w:ind w:left="360"/>
        <w:rPr>
          <w:color w:val="000000" w:themeColor="text1"/>
          <w:sz w:val="24"/>
          <w:szCs w:val="24"/>
        </w:rPr>
      </w:pPr>
    </w:p>
    <w:p w14:paraId="7DAA42B8" w14:textId="1A706554" w:rsidR="00A02A33" w:rsidRPr="00A02A33" w:rsidRDefault="00A02A33" w:rsidP="00A02A33">
      <w:pPr>
        <w:ind w:left="360"/>
        <w:rPr>
          <w:color w:val="000000" w:themeColor="text1"/>
          <w:sz w:val="24"/>
          <w:szCs w:val="24"/>
        </w:rPr>
      </w:pPr>
      <w:r w:rsidRPr="00A02A33">
        <w:rPr>
          <w:color w:val="000000" w:themeColor="text1"/>
          <w:sz w:val="24"/>
          <w:szCs w:val="24"/>
        </w:rPr>
        <w:t xml:space="preserve">Great Britain (2010) </w:t>
      </w:r>
      <w:r w:rsidRPr="00A02A33">
        <w:rPr>
          <w:i/>
          <w:iCs/>
          <w:color w:val="000000" w:themeColor="text1"/>
          <w:sz w:val="24"/>
          <w:szCs w:val="24"/>
        </w:rPr>
        <w:t>Equality Act 2010</w:t>
      </w:r>
      <w:r w:rsidRPr="00A02A33">
        <w:rPr>
          <w:color w:val="000000" w:themeColor="text1"/>
          <w:sz w:val="24"/>
          <w:szCs w:val="24"/>
        </w:rPr>
        <w:t xml:space="preserve">. London: The Stationery Office. Available at: </w:t>
      </w:r>
      <w:hyperlink r:id="rId22" w:history="1">
        <w:r w:rsidRPr="00A02A33">
          <w:rPr>
            <w:rStyle w:val="Hyperlink"/>
            <w:color w:val="000000" w:themeColor="text1"/>
            <w:sz w:val="24"/>
            <w:szCs w:val="24"/>
          </w:rPr>
          <w:t>https://www.legislation.gov.uk/ukpga/2010/15/contents</w:t>
        </w:r>
      </w:hyperlink>
      <w:r w:rsidRPr="00A02A33">
        <w:rPr>
          <w:color w:val="000000" w:themeColor="text1"/>
          <w:sz w:val="24"/>
          <w:szCs w:val="24"/>
        </w:rPr>
        <w:t xml:space="preserve"> (Accessed: 4 July 2026).</w:t>
      </w:r>
    </w:p>
    <w:p w14:paraId="4FA044DE" w14:textId="77777777" w:rsidR="00A02A33" w:rsidRDefault="00A02A33" w:rsidP="00A02A33">
      <w:pPr>
        <w:ind w:left="360"/>
        <w:rPr>
          <w:color w:val="auto"/>
          <w:sz w:val="24"/>
          <w:szCs w:val="24"/>
        </w:rPr>
      </w:pPr>
    </w:p>
    <w:p w14:paraId="07CE7BF7" w14:textId="4CCC2B27" w:rsidR="00A02A33" w:rsidRPr="00A02A33" w:rsidRDefault="00A02A33" w:rsidP="00A02A33">
      <w:pPr>
        <w:ind w:left="360"/>
        <w:rPr>
          <w:color w:val="auto"/>
          <w:sz w:val="24"/>
          <w:szCs w:val="24"/>
        </w:rPr>
      </w:pPr>
      <w:r w:rsidRPr="00A02A33">
        <w:rPr>
          <w:color w:val="auto"/>
          <w:sz w:val="24"/>
          <w:szCs w:val="24"/>
        </w:rPr>
        <w:t xml:space="preserve">Herman, J.L. (1992) </w:t>
      </w:r>
      <w:r w:rsidRPr="00A02A33">
        <w:rPr>
          <w:i/>
          <w:iCs/>
          <w:color w:val="auto"/>
          <w:sz w:val="24"/>
          <w:szCs w:val="24"/>
        </w:rPr>
        <w:t>Trauma and Recovery: The Aftermath of Violence—From Domestic Abuse to Political Terror</w:t>
      </w:r>
      <w:r w:rsidRPr="00A02A33">
        <w:rPr>
          <w:color w:val="auto"/>
          <w:sz w:val="24"/>
          <w:szCs w:val="24"/>
        </w:rPr>
        <w:t>. New York: Basic Books.</w:t>
      </w:r>
    </w:p>
    <w:p w14:paraId="68719F28" w14:textId="77777777" w:rsidR="00A02A33" w:rsidRDefault="00A02A33" w:rsidP="00A02A33">
      <w:pPr>
        <w:ind w:left="360"/>
        <w:rPr>
          <w:sz w:val="24"/>
          <w:szCs w:val="24"/>
        </w:rPr>
      </w:pPr>
    </w:p>
    <w:p w14:paraId="17767498" w14:textId="527EE059" w:rsidR="00A02A33" w:rsidRPr="00A02A33" w:rsidRDefault="00A02A33" w:rsidP="00A02A33">
      <w:pPr>
        <w:ind w:left="360"/>
        <w:rPr>
          <w:sz w:val="24"/>
          <w:szCs w:val="24"/>
        </w:rPr>
      </w:pPr>
      <w:r w:rsidRPr="00A02A33">
        <w:rPr>
          <w:sz w:val="24"/>
          <w:szCs w:val="24"/>
        </w:rPr>
        <w:t xml:space="preserve">Hertfordshire Safeguarding Children Partnership (2025) </w:t>
      </w:r>
      <w:r w:rsidRPr="00A02A33">
        <w:rPr>
          <w:i/>
          <w:iCs/>
          <w:sz w:val="24"/>
          <w:szCs w:val="24"/>
        </w:rPr>
        <w:t>Good practice in supporting the voice of the child</w:t>
      </w:r>
      <w:r w:rsidRPr="00A02A33">
        <w:rPr>
          <w:sz w:val="24"/>
          <w:szCs w:val="24"/>
        </w:rPr>
        <w:t xml:space="preserve">. Available at: </w:t>
      </w:r>
      <w:hyperlink r:id="rId23" w:history="1">
        <w:r w:rsidRPr="00A02A33">
          <w:rPr>
            <w:color w:val="0563C1"/>
            <w:sz w:val="24"/>
            <w:szCs w:val="24"/>
            <w:u w:val="single"/>
          </w:rPr>
          <w:t>https://hertfordshirescp.trixonline.co.uk/chapter/good-practice-in-supporting-the-voice-of-the-child</w:t>
        </w:r>
      </w:hyperlink>
      <w:r w:rsidRPr="00A02A33">
        <w:rPr>
          <w:sz w:val="24"/>
          <w:szCs w:val="24"/>
        </w:rPr>
        <w:t xml:space="preserve">  (Accessed: 20 June 2026).</w:t>
      </w:r>
    </w:p>
    <w:p w14:paraId="4245F58E" w14:textId="77777777" w:rsidR="00A02A33" w:rsidRDefault="00A02A33" w:rsidP="00A02A33">
      <w:pPr>
        <w:ind w:left="360"/>
        <w:rPr>
          <w:sz w:val="24"/>
          <w:szCs w:val="24"/>
        </w:rPr>
      </w:pPr>
    </w:p>
    <w:p w14:paraId="3663B819" w14:textId="69F39FCA" w:rsidR="00A02A33" w:rsidRPr="00A02A33" w:rsidRDefault="00A02A33" w:rsidP="00A02A33">
      <w:pPr>
        <w:ind w:left="360"/>
        <w:rPr>
          <w:sz w:val="24"/>
          <w:szCs w:val="24"/>
        </w:rPr>
      </w:pPr>
      <w:r w:rsidRPr="00A02A33">
        <w:rPr>
          <w:sz w:val="24"/>
          <w:szCs w:val="24"/>
        </w:rPr>
        <w:t xml:space="preserve">HM Government (1989) </w:t>
      </w:r>
      <w:r w:rsidRPr="00A02A33">
        <w:rPr>
          <w:i/>
          <w:iCs/>
          <w:sz w:val="24"/>
          <w:szCs w:val="24"/>
        </w:rPr>
        <w:t>Children Act 1989</w:t>
      </w:r>
      <w:r w:rsidRPr="00A02A33">
        <w:rPr>
          <w:sz w:val="24"/>
          <w:szCs w:val="24"/>
        </w:rPr>
        <w:t>. London: The Stationery Office.</w:t>
      </w:r>
    </w:p>
    <w:p w14:paraId="7F34F86A" w14:textId="77777777" w:rsidR="00A02A33" w:rsidRDefault="00A02A33" w:rsidP="00A02A33">
      <w:pPr>
        <w:ind w:left="360"/>
        <w:rPr>
          <w:sz w:val="24"/>
          <w:szCs w:val="24"/>
        </w:rPr>
      </w:pPr>
    </w:p>
    <w:p w14:paraId="2A9A587F" w14:textId="10EA1504" w:rsidR="00A02A33" w:rsidRPr="00A02A33" w:rsidRDefault="00A02A33" w:rsidP="00A02A33">
      <w:pPr>
        <w:ind w:left="360"/>
        <w:rPr>
          <w:sz w:val="24"/>
          <w:szCs w:val="24"/>
        </w:rPr>
      </w:pPr>
      <w:r w:rsidRPr="00A02A33">
        <w:rPr>
          <w:sz w:val="24"/>
          <w:szCs w:val="24"/>
        </w:rPr>
        <w:t xml:space="preserve">Howe, D. (2011) </w:t>
      </w:r>
      <w:r w:rsidRPr="00A02A33">
        <w:rPr>
          <w:i/>
          <w:iCs/>
          <w:sz w:val="24"/>
          <w:szCs w:val="24"/>
        </w:rPr>
        <w:t>Attachment across the lifecourse: A brief introduction</w:t>
      </w:r>
      <w:r w:rsidRPr="00A02A33">
        <w:rPr>
          <w:sz w:val="24"/>
          <w:szCs w:val="24"/>
        </w:rPr>
        <w:t>. Basingstoke: Palgrave Macmillan.</w:t>
      </w:r>
    </w:p>
    <w:p w14:paraId="431FFB95" w14:textId="77777777" w:rsidR="00A02A33" w:rsidRDefault="00A02A33" w:rsidP="00A02A33">
      <w:pPr>
        <w:ind w:left="360"/>
        <w:rPr>
          <w:color w:val="auto"/>
          <w:sz w:val="24"/>
          <w:szCs w:val="24"/>
        </w:rPr>
      </w:pPr>
    </w:p>
    <w:p w14:paraId="7E41C990" w14:textId="2E2B0307" w:rsidR="00A02A33" w:rsidRPr="00A02A33" w:rsidRDefault="00A02A33" w:rsidP="00A02A33">
      <w:pPr>
        <w:ind w:left="360"/>
        <w:rPr>
          <w:color w:val="auto"/>
          <w:sz w:val="24"/>
          <w:szCs w:val="24"/>
        </w:rPr>
      </w:pPr>
      <w:r w:rsidRPr="00A02A33">
        <w:rPr>
          <w:color w:val="auto"/>
          <w:sz w:val="24"/>
          <w:szCs w:val="24"/>
        </w:rPr>
        <w:t xml:space="preserve">Jamal Al-Deen, T. and Mansouri, F. (2026) ‘Transcultural practices and inter-generational dynamics among migrant youth’, </w:t>
      </w:r>
      <w:r w:rsidRPr="00A02A33">
        <w:rPr>
          <w:i/>
          <w:iCs/>
          <w:color w:val="auto"/>
          <w:sz w:val="24"/>
          <w:szCs w:val="24"/>
        </w:rPr>
        <w:t>Journal of Youth Studies</w:t>
      </w:r>
      <w:r w:rsidRPr="00A02A33">
        <w:rPr>
          <w:color w:val="auto"/>
          <w:sz w:val="24"/>
          <w:szCs w:val="24"/>
        </w:rPr>
        <w:t xml:space="preserve">, 29(1), pp. 89–106. [Online] Available at: </w:t>
      </w:r>
      <w:hyperlink r:id="rId24" w:history="1">
        <w:r w:rsidRPr="00A02A33">
          <w:rPr>
            <w:rStyle w:val="Hyperlink"/>
            <w:sz w:val="24"/>
            <w:szCs w:val="24"/>
          </w:rPr>
          <w:t>https://doi.org/10.1080/13676261.2024.2419082</w:t>
        </w:r>
      </w:hyperlink>
      <w:r w:rsidRPr="00A02A33">
        <w:rPr>
          <w:color w:val="auto"/>
          <w:sz w:val="24"/>
          <w:szCs w:val="24"/>
        </w:rPr>
        <w:t>. (Accessed: 29 March 2026).</w:t>
      </w:r>
    </w:p>
    <w:p w14:paraId="4787EB71" w14:textId="77777777" w:rsidR="00A02A33" w:rsidRDefault="00A02A33" w:rsidP="00A02A33">
      <w:pPr>
        <w:ind w:left="360"/>
        <w:rPr>
          <w:color w:val="auto"/>
          <w:sz w:val="24"/>
          <w:szCs w:val="24"/>
        </w:rPr>
      </w:pPr>
    </w:p>
    <w:p w14:paraId="42BFAE2F" w14:textId="77777777" w:rsidR="00A02A33" w:rsidRPr="00A02A33" w:rsidRDefault="00A02A33" w:rsidP="00A02A33">
      <w:pPr>
        <w:ind w:left="360"/>
        <w:rPr>
          <w:sz w:val="24"/>
          <w:szCs w:val="24"/>
        </w:rPr>
      </w:pPr>
      <w:r w:rsidRPr="00A02A33">
        <w:rPr>
          <w:sz w:val="24"/>
          <w:szCs w:val="24"/>
        </w:rPr>
        <w:t>Jasper, M., (2003). </w:t>
      </w:r>
      <w:r w:rsidRPr="00A02A33">
        <w:rPr>
          <w:i/>
          <w:iCs/>
          <w:sz w:val="24"/>
          <w:szCs w:val="24"/>
        </w:rPr>
        <w:t>Beginning reflective practice</w:t>
      </w:r>
      <w:r w:rsidRPr="00A02A33">
        <w:rPr>
          <w:sz w:val="24"/>
          <w:szCs w:val="24"/>
        </w:rPr>
        <w:t>. Nelson Thornes.</w:t>
      </w:r>
    </w:p>
    <w:p w14:paraId="3A9068DA" w14:textId="77777777" w:rsidR="00A02A33" w:rsidRDefault="00A02A33" w:rsidP="00A02A33">
      <w:pPr>
        <w:ind w:left="360"/>
        <w:rPr>
          <w:sz w:val="24"/>
          <w:szCs w:val="24"/>
        </w:rPr>
      </w:pPr>
    </w:p>
    <w:p w14:paraId="4E8A10F2" w14:textId="446039A6" w:rsidR="00A02A33" w:rsidRPr="00A02A33" w:rsidRDefault="00A02A33" w:rsidP="00A02A33">
      <w:pPr>
        <w:ind w:left="360"/>
        <w:rPr>
          <w:sz w:val="24"/>
          <w:szCs w:val="24"/>
        </w:rPr>
      </w:pPr>
      <w:r w:rsidRPr="00A02A33">
        <w:rPr>
          <w:sz w:val="24"/>
          <w:szCs w:val="24"/>
        </w:rPr>
        <w:t>Johnson, K. and Boland, B. (2019) ‘Adult safeguarding under the Care Act 2014’, </w:t>
      </w:r>
      <w:r w:rsidRPr="00A02A33">
        <w:rPr>
          <w:i/>
          <w:iCs/>
          <w:sz w:val="24"/>
          <w:szCs w:val="24"/>
        </w:rPr>
        <w:t>BJPsych Bulletin</w:t>
      </w:r>
      <w:r w:rsidRPr="00A02A33">
        <w:rPr>
          <w:sz w:val="24"/>
          <w:szCs w:val="24"/>
        </w:rPr>
        <w:t xml:space="preserve">, 43(1), pp. 38–42. [Online] Available at: </w:t>
      </w:r>
      <w:r w:rsidRPr="00BE46C1">
        <w:t xml:space="preserve"> </w:t>
      </w:r>
      <w:hyperlink r:id="rId25" w:history="1">
        <w:r w:rsidRPr="00A02A33">
          <w:rPr>
            <w:rStyle w:val="Hyperlink"/>
            <w:sz w:val="24"/>
            <w:szCs w:val="24"/>
          </w:rPr>
          <w:t>Adult safeguarding under the Care Act 2014 | BJPsych Bulletin | Cambridge Core</w:t>
        </w:r>
      </w:hyperlink>
      <w:r w:rsidRPr="00A02A33">
        <w:rPr>
          <w:sz w:val="24"/>
          <w:szCs w:val="24"/>
        </w:rPr>
        <w:t xml:space="preserve"> (Accessed: 10 July 2026).</w:t>
      </w:r>
    </w:p>
    <w:p w14:paraId="69CA631B" w14:textId="77777777" w:rsidR="00A02A33" w:rsidRDefault="00A02A33" w:rsidP="00A02A33">
      <w:pPr>
        <w:ind w:left="360"/>
        <w:rPr>
          <w:sz w:val="24"/>
          <w:szCs w:val="24"/>
        </w:rPr>
      </w:pPr>
    </w:p>
    <w:p w14:paraId="21B905E2" w14:textId="51133AFA" w:rsidR="00A02A33" w:rsidRPr="00A02A33" w:rsidRDefault="00A02A33" w:rsidP="00A02A33">
      <w:pPr>
        <w:ind w:left="360"/>
        <w:rPr>
          <w:sz w:val="24"/>
          <w:szCs w:val="24"/>
        </w:rPr>
      </w:pPr>
      <w:r w:rsidRPr="00A02A33">
        <w:rPr>
          <w:sz w:val="24"/>
          <w:szCs w:val="24"/>
        </w:rPr>
        <w:t xml:space="preserve">Lefevre, M. (2015) </w:t>
      </w:r>
      <w:r w:rsidRPr="00A02A33">
        <w:rPr>
          <w:i/>
          <w:iCs/>
          <w:sz w:val="24"/>
          <w:szCs w:val="24"/>
        </w:rPr>
        <w:t>Communicating with children and young people: Making a difference</w:t>
      </w:r>
      <w:r w:rsidRPr="00A02A33">
        <w:rPr>
          <w:sz w:val="24"/>
          <w:szCs w:val="24"/>
        </w:rPr>
        <w:t>. Bristol: Policy Press.</w:t>
      </w:r>
    </w:p>
    <w:p w14:paraId="4F5043E9" w14:textId="77777777" w:rsidR="00A02A33" w:rsidRDefault="00A02A33" w:rsidP="00A02A33">
      <w:pPr>
        <w:ind w:left="360"/>
        <w:rPr>
          <w:sz w:val="24"/>
          <w:szCs w:val="24"/>
        </w:rPr>
      </w:pPr>
    </w:p>
    <w:p w14:paraId="52236D24" w14:textId="1448FE4B" w:rsidR="00A02A33" w:rsidRPr="00A02A33" w:rsidRDefault="00A02A33" w:rsidP="00A02A33">
      <w:pPr>
        <w:ind w:left="360"/>
        <w:rPr>
          <w:sz w:val="24"/>
          <w:szCs w:val="24"/>
        </w:rPr>
      </w:pPr>
      <w:r w:rsidRPr="00A02A33">
        <w:rPr>
          <w:sz w:val="24"/>
          <w:szCs w:val="24"/>
        </w:rPr>
        <w:t xml:space="preserve">McCullagh, K. (2023) ‘Post-Brexit UK data protection: Maintaining alignment with or diverging from the GDPR?’, [Online] Available at: </w:t>
      </w:r>
      <w:hyperlink r:id="rId26" w:history="1">
        <w:r w:rsidRPr="00A02A33">
          <w:rPr>
            <w:color w:val="0563C1"/>
            <w:sz w:val="24"/>
            <w:szCs w:val="24"/>
            <w:u w:val="single"/>
          </w:rPr>
          <w:t>https://doi.org/10.5040/9781509966516.ch-002</w:t>
        </w:r>
      </w:hyperlink>
      <w:r w:rsidRPr="00A02A33">
        <w:rPr>
          <w:sz w:val="24"/>
          <w:szCs w:val="24"/>
        </w:rPr>
        <w:t xml:space="preserve">  (Accessed: 20 June 2026).</w:t>
      </w:r>
    </w:p>
    <w:p w14:paraId="15A5E5E3" w14:textId="77777777" w:rsidR="00A02A33" w:rsidRDefault="00A02A33" w:rsidP="00A02A33">
      <w:pPr>
        <w:spacing w:after="160" w:line="259" w:lineRule="auto"/>
        <w:ind w:left="360"/>
        <w:rPr>
          <w:sz w:val="24"/>
          <w:szCs w:val="24"/>
        </w:rPr>
      </w:pPr>
    </w:p>
    <w:p w14:paraId="341EE734" w14:textId="554A121E" w:rsidR="00A02A33" w:rsidRPr="00A02A33" w:rsidRDefault="00A02A33" w:rsidP="00A02A33">
      <w:pPr>
        <w:spacing w:after="160" w:line="259" w:lineRule="auto"/>
        <w:ind w:left="360"/>
        <w:rPr>
          <w:sz w:val="24"/>
          <w:szCs w:val="24"/>
        </w:rPr>
      </w:pPr>
      <w:r w:rsidRPr="00A02A33">
        <w:rPr>
          <w:sz w:val="24"/>
          <w:szCs w:val="24"/>
        </w:rPr>
        <w:t xml:space="preserve">Munro, E. (2011) </w:t>
      </w:r>
      <w:r w:rsidRPr="00A02A33">
        <w:rPr>
          <w:i/>
          <w:iCs/>
          <w:sz w:val="24"/>
          <w:szCs w:val="24"/>
        </w:rPr>
        <w:t>The Munro Review of Child Protection: Final Report. A Child-Centred System</w:t>
      </w:r>
      <w:r w:rsidRPr="00A02A33">
        <w:rPr>
          <w:sz w:val="24"/>
          <w:szCs w:val="24"/>
        </w:rPr>
        <w:t>. London: Department for Education.</w:t>
      </w:r>
    </w:p>
    <w:p w14:paraId="16E5F515" w14:textId="77777777" w:rsidR="00A02A33" w:rsidRDefault="00A02A33" w:rsidP="00A02A33">
      <w:pPr>
        <w:ind w:left="360"/>
        <w:rPr>
          <w:color w:val="auto"/>
          <w:sz w:val="24"/>
          <w:szCs w:val="24"/>
        </w:rPr>
      </w:pPr>
      <w:r w:rsidRPr="00A02A33">
        <w:rPr>
          <w:color w:val="auto"/>
          <w:sz w:val="24"/>
          <w:szCs w:val="24"/>
        </w:rPr>
        <w:t>Nadler, J. T., &amp; Voyles, E. C. (Eds.). (2021). </w:t>
      </w:r>
      <w:r w:rsidRPr="00A02A33">
        <w:rPr>
          <w:i/>
          <w:iCs/>
          <w:color w:val="auto"/>
          <w:sz w:val="24"/>
          <w:szCs w:val="24"/>
        </w:rPr>
        <w:t>Stereotypes : The Incidence and Impacts of Bias</w:t>
      </w:r>
      <w:r w:rsidRPr="00A02A33">
        <w:rPr>
          <w:color w:val="auto"/>
          <w:sz w:val="24"/>
          <w:szCs w:val="24"/>
        </w:rPr>
        <w:t xml:space="preserve"> (1st ed.). Praeger. [Online] Available at: </w:t>
      </w:r>
      <w:hyperlink r:id="rId27" w:history="1">
        <w:r w:rsidRPr="00A02A33">
          <w:rPr>
            <w:rStyle w:val="Hyperlink"/>
            <w:color w:val="auto"/>
            <w:sz w:val="24"/>
            <w:szCs w:val="24"/>
          </w:rPr>
          <w:t>https://doi.org/10.5040/9798216018902</w:t>
        </w:r>
      </w:hyperlink>
      <w:r w:rsidRPr="00A02A33">
        <w:rPr>
          <w:color w:val="auto"/>
          <w:sz w:val="24"/>
          <w:szCs w:val="24"/>
        </w:rPr>
        <w:t xml:space="preserve"> (Accessed: 29 March 2026).</w:t>
      </w:r>
    </w:p>
    <w:p w14:paraId="41097BAD" w14:textId="77777777" w:rsidR="00A02A33" w:rsidRPr="00A02A33" w:rsidRDefault="00A02A33" w:rsidP="00A02A33">
      <w:pPr>
        <w:ind w:left="360"/>
        <w:rPr>
          <w:color w:val="auto"/>
          <w:sz w:val="24"/>
          <w:szCs w:val="24"/>
        </w:rPr>
      </w:pPr>
    </w:p>
    <w:p w14:paraId="0EF7F48F" w14:textId="5D8B4B9D" w:rsidR="00A02A33" w:rsidRDefault="00A02A33" w:rsidP="00A02A33">
      <w:pPr>
        <w:ind w:left="360"/>
        <w:rPr>
          <w:sz w:val="24"/>
          <w:szCs w:val="24"/>
        </w:rPr>
      </w:pPr>
      <w:r w:rsidRPr="00A02A33">
        <w:rPr>
          <w:sz w:val="24"/>
          <w:szCs w:val="24"/>
        </w:rPr>
        <w:t xml:space="preserve">NSPCC (2024) </w:t>
      </w:r>
      <w:r w:rsidRPr="00A02A33">
        <w:rPr>
          <w:i/>
          <w:iCs/>
          <w:sz w:val="24"/>
          <w:szCs w:val="24"/>
        </w:rPr>
        <w:t>Carrying Out Assessments: Evidence Snapshot</w:t>
      </w:r>
      <w:r w:rsidRPr="00A02A33">
        <w:rPr>
          <w:sz w:val="24"/>
          <w:szCs w:val="24"/>
        </w:rPr>
        <w:t xml:space="preserve">. [Online] Available at: </w:t>
      </w:r>
      <w:hyperlink r:id="rId28" w:history="1">
        <w:r w:rsidRPr="00A02A33">
          <w:rPr>
            <w:color w:val="0563C1"/>
            <w:sz w:val="24"/>
            <w:szCs w:val="24"/>
            <w:u w:val="single"/>
          </w:rPr>
          <w:t>https://learning.nspcc.org.uk/research-resources/2024/carrying-out-assessments-evidence-snapshot</w:t>
        </w:r>
      </w:hyperlink>
      <w:r w:rsidRPr="00A02A33">
        <w:rPr>
          <w:sz w:val="24"/>
          <w:szCs w:val="24"/>
        </w:rPr>
        <w:t xml:space="preserve"> (Accessed: 20 June 2026).</w:t>
      </w:r>
    </w:p>
    <w:p w14:paraId="7C45D4A8" w14:textId="77777777" w:rsidR="00196792" w:rsidRPr="00A02A33" w:rsidRDefault="00196792" w:rsidP="00A02A33">
      <w:pPr>
        <w:ind w:left="360"/>
        <w:rPr>
          <w:sz w:val="24"/>
          <w:szCs w:val="24"/>
        </w:rPr>
      </w:pPr>
    </w:p>
    <w:p w14:paraId="596DC1D4" w14:textId="77777777" w:rsidR="00A02A33" w:rsidRPr="00A02A33" w:rsidRDefault="00A02A33" w:rsidP="00A02A33">
      <w:pPr>
        <w:ind w:left="360"/>
        <w:rPr>
          <w:sz w:val="24"/>
          <w:szCs w:val="24"/>
        </w:rPr>
      </w:pPr>
      <w:r w:rsidRPr="00A02A33">
        <w:rPr>
          <w:sz w:val="24"/>
          <w:szCs w:val="24"/>
        </w:rPr>
        <w:t xml:space="preserve">O’Reilly, L. and Dolan, P. (2016) ‘The voice of the child in social work assessments’, </w:t>
      </w:r>
      <w:r w:rsidRPr="00A02A33">
        <w:rPr>
          <w:i/>
          <w:iCs/>
          <w:sz w:val="24"/>
          <w:szCs w:val="24"/>
        </w:rPr>
        <w:t>British Journal of Social Work</w:t>
      </w:r>
      <w:r w:rsidRPr="00A02A33">
        <w:rPr>
          <w:sz w:val="24"/>
          <w:szCs w:val="24"/>
        </w:rPr>
        <w:t>, 46(5), pp. 1191–1207.</w:t>
      </w:r>
    </w:p>
    <w:p w14:paraId="6F35F9C0" w14:textId="77777777" w:rsidR="00196792" w:rsidRDefault="00196792" w:rsidP="00A02A33">
      <w:pPr>
        <w:ind w:left="360"/>
        <w:rPr>
          <w:sz w:val="24"/>
          <w:szCs w:val="24"/>
        </w:rPr>
      </w:pPr>
    </w:p>
    <w:p w14:paraId="62B1BE7A" w14:textId="2CCB33DB" w:rsidR="00A02A33" w:rsidRPr="00A02A33" w:rsidRDefault="00A02A33" w:rsidP="00A02A33">
      <w:pPr>
        <w:ind w:left="360"/>
        <w:rPr>
          <w:sz w:val="24"/>
          <w:szCs w:val="24"/>
        </w:rPr>
      </w:pPr>
      <w:r w:rsidRPr="00A02A33">
        <w:rPr>
          <w:sz w:val="24"/>
          <w:szCs w:val="24"/>
        </w:rPr>
        <w:t xml:space="preserve">Ofsted (2015) </w:t>
      </w:r>
      <w:r w:rsidRPr="00A02A33">
        <w:rPr>
          <w:i/>
          <w:iCs/>
          <w:sz w:val="24"/>
          <w:szCs w:val="24"/>
        </w:rPr>
        <w:t xml:space="preserve">The quality of </w:t>
      </w:r>
      <w:r w:rsidR="00196792" w:rsidRPr="00A02A33">
        <w:rPr>
          <w:i/>
          <w:iCs/>
          <w:sz w:val="24"/>
          <w:szCs w:val="24"/>
        </w:rPr>
        <w:t xml:space="preserve">Assessment for Children In Need </w:t>
      </w:r>
      <w:r w:rsidR="00196792">
        <w:rPr>
          <w:i/>
          <w:iCs/>
          <w:sz w:val="24"/>
          <w:szCs w:val="24"/>
        </w:rPr>
        <w:t>o</w:t>
      </w:r>
      <w:r w:rsidR="00196792" w:rsidRPr="00A02A33">
        <w:rPr>
          <w:i/>
          <w:iCs/>
          <w:sz w:val="24"/>
          <w:szCs w:val="24"/>
        </w:rPr>
        <w:t>f Help</w:t>
      </w:r>
      <w:r w:rsidRPr="00A02A33">
        <w:rPr>
          <w:sz w:val="24"/>
          <w:szCs w:val="24"/>
        </w:rPr>
        <w:t>. London: Ofsted.</w:t>
      </w:r>
    </w:p>
    <w:p w14:paraId="1C47A62F" w14:textId="77777777" w:rsidR="00196792" w:rsidRDefault="00196792" w:rsidP="00A02A33">
      <w:pPr>
        <w:ind w:left="360"/>
        <w:rPr>
          <w:sz w:val="24"/>
          <w:szCs w:val="24"/>
        </w:rPr>
      </w:pPr>
    </w:p>
    <w:p w14:paraId="57E52DB4" w14:textId="04BB30B1" w:rsidR="00A02A33" w:rsidRPr="00A02A33" w:rsidRDefault="00A02A33" w:rsidP="00A02A33">
      <w:pPr>
        <w:ind w:left="360"/>
        <w:rPr>
          <w:sz w:val="24"/>
          <w:szCs w:val="24"/>
        </w:rPr>
      </w:pPr>
      <w:r w:rsidRPr="00A02A33">
        <w:rPr>
          <w:sz w:val="24"/>
          <w:szCs w:val="24"/>
        </w:rPr>
        <w:t xml:space="preserve">Parton, N. (2014) </w:t>
      </w:r>
      <w:r w:rsidRPr="00A02A33">
        <w:rPr>
          <w:i/>
          <w:iCs/>
          <w:sz w:val="24"/>
          <w:szCs w:val="24"/>
        </w:rPr>
        <w:t>The politics of child protection: contemporary developments and future directions</w:t>
      </w:r>
      <w:r w:rsidRPr="00A02A33">
        <w:rPr>
          <w:sz w:val="24"/>
          <w:szCs w:val="24"/>
        </w:rPr>
        <w:t>. Basingstoke: Palgrave Macmillan</w:t>
      </w:r>
    </w:p>
    <w:p w14:paraId="53B5EA5E" w14:textId="77777777" w:rsidR="00196792" w:rsidRDefault="00196792" w:rsidP="00A02A33">
      <w:pPr>
        <w:ind w:left="360"/>
        <w:rPr>
          <w:sz w:val="24"/>
          <w:szCs w:val="24"/>
        </w:rPr>
      </w:pPr>
    </w:p>
    <w:p w14:paraId="0E173500" w14:textId="03BF0F2D" w:rsidR="00A02A33" w:rsidRPr="00A02A33" w:rsidRDefault="00A02A33" w:rsidP="00A02A33">
      <w:pPr>
        <w:ind w:left="360"/>
        <w:rPr>
          <w:sz w:val="24"/>
          <w:szCs w:val="24"/>
        </w:rPr>
      </w:pPr>
      <w:r w:rsidRPr="00A02A33">
        <w:rPr>
          <w:sz w:val="24"/>
          <w:szCs w:val="24"/>
        </w:rPr>
        <w:t xml:space="preserve">Payne, M. (2014) </w:t>
      </w:r>
      <w:r w:rsidRPr="00A02A33">
        <w:rPr>
          <w:i/>
          <w:iCs/>
          <w:sz w:val="24"/>
          <w:szCs w:val="24"/>
        </w:rPr>
        <w:t>Modern Social Work Theory</w:t>
      </w:r>
      <w:r w:rsidRPr="00A02A33">
        <w:rPr>
          <w:sz w:val="24"/>
          <w:szCs w:val="24"/>
        </w:rPr>
        <w:t>. 4th edn. London: Red Globe Press</w:t>
      </w:r>
    </w:p>
    <w:p w14:paraId="125C9974" w14:textId="77777777" w:rsidR="00196792" w:rsidRDefault="00196792" w:rsidP="00A02A33">
      <w:pPr>
        <w:ind w:left="360"/>
        <w:rPr>
          <w:sz w:val="24"/>
          <w:szCs w:val="24"/>
        </w:rPr>
      </w:pPr>
    </w:p>
    <w:p w14:paraId="2B58F5FA" w14:textId="04ECFAC2" w:rsidR="00A02A33" w:rsidRPr="00A02A33" w:rsidRDefault="00A02A33" w:rsidP="00A02A33">
      <w:pPr>
        <w:ind w:left="360"/>
        <w:rPr>
          <w:sz w:val="24"/>
          <w:szCs w:val="24"/>
        </w:rPr>
      </w:pPr>
      <w:r w:rsidRPr="00A02A33">
        <w:rPr>
          <w:sz w:val="24"/>
          <w:szCs w:val="24"/>
        </w:rPr>
        <w:t xml:space="preserve">Payne, M. (2021) </w:t>
      </w:r>
      <w:r w:rsidRPr="00A02A33">
        <w:rPr>
          <w:i/>
          <w:iCs/>
          <w:sz w:val="24"/>
          <w:szCs w:val="24"/>
        </w:rPr>
        <w:t>Modern Social Work Theory</w:t>
      </w:r>
      <w:r w:rsidRPr="00A02A33">
        <w:rPr>
          <w:sz w:val="24"/>
          <w:szCs w:val="24"/>
        </w:rPr>
        <w:t>. 5th edn. Oxford: Oxford University Press.</w:t>
      </w:r>
    </w:p>
    <w:p w14:paraId="5D434544" w14:textId="77777777" w:rsidR="00196792" w:rsidRDefault="00196792" w:rsidP="00A02A33">
      <w:pPr>
        <w:ind w:left="360"/>
        <w:rPr>
          <w:color w:val="auto"/>
          <w:sz w:val="24"/>
          <w:szCs w:val="24"/>
        </w:rPr>
      </w:pPr>
    </w:p>
    <w:p w14:paraId="0EE13B69" w14:textId="0577BABB" w:rsidR="00A02A33" w:rsidRPr="00A02A33" w:rsidRDefault="00A02A33" w:rsidP="00A02A33">
      <w:pPr>
        <w:ind w:left="360"/>
        <w:rPr>
          <w:color w:val="auto"/>
          <w:sz w:val="24"/>
          <w:szCs w:val="24"/>
        </w:rPr>
      </w:pPr>
      <w:r w:rsidRPr="00A02A33">
        <w:rPr>
          <w:color w:val="auto"/>
          <w:sz w:val="24"/>
          <w:szCs w:val="24"/>
        </w:rPr>
        <w:t>Reamer, F.G. (2003) “Boundary Issues in Social Work: Managing Dual Relationships,” </w:t>
      </w:r>
      <w:r w:rsidRPr="00A02A33">
        <w:rPr>
          <w:i/>
          <w:iCs/>
          <w:color w:val="auto"/>
          <w:sz w:val="24"/>
          <w:szCs w:val="24"/>
        </w:rPr>
        <w:t>Social work (New York)</w:t>
      </w:r>
      <w:r w:rsidRPr="00A02A33">
        <w:rPr>
          <w:color w:val="auto"/>
          <w:sz w:val="24"/>
          <w:szCs w:val="24"/>
        </w:rPr>
        <w:t xml:space="preserve">, 48(1), pp. 121–133. [Online] Available at: </w:t>
      </w:r>
      <w:hyperlink r:id="rId29" w:history="1">
        <w:r w:rsidRPr="00A02A33">
          <w:rPr>
            <w:rStyle w:val="Hyperlink"/>
            <w:color w:val="auto"/>
            <w:sz w:val="24"/>
            <w:szCs w:val="24"/>
          </w:rPr>
          <w:t>https://doi.org/10.1093/sw/48.1.121</w:t>
        </w:r>
      </w:hyperlink>
      <w:r w:rsidRPr="00A02A33">
        <w:rPr>
          <w:color w:val="auto"/>
          <w:sz w:val="24"/>
          <w:szCs w:val="24"/>
        </w:rPr>
        <w:t xml:space="preserve"> (Accessed: 29 March 2026).</w:t>
      </w:r>
    </w:p>
    <w:p w14:paraId="3C205C48" w14:textId="77777777" w:rsidR="00196792" w:rsidRDefault="00196792" w:rsidP="00A02A33">
      <w:pPr>
        <w:ind w:left="360"/>
        <w:rPr>
          <w:sz w:val="24"/>
          <w:szCs w:val="24"/>
        </w:rPr>
      </w:pPr>
    </w:p>
    <w:p w14:paraId="25BCEC30" w14:textId="77777777" w:rsidR="00196792" w:rsidRDefault="00A02A33" w:rsidP="00196792">
      <w:pPr>
        <w:ind w:left="360"/>
        <w:rPr>
          <w:sz w:val="24"/>
          <w:szCs w:val="24"/>
        </w:rPr>
      </w:pPr>
      <w:r w:rsidRPr="00A02A33">
        <w:rPr>
          <w:sz w:val="24"/>
          <w:szCs w:val="24"/>
        </w:rPr>
        <w:t xml:space="preserve">Saleebey, D. (2013) </w:t>
      </w:r>
      <w:r w:rsidRPr="00A02A33">
        <w:rPr>
          <w:i/>
          <w:iCs/>
          <w:sz w:val="24"/>
          <w:szCs w:val="24"/>
        </w:rPr>
        <w:t>The strengths perspective in social work practice</w:t>
      </w:r>
      <w:r w:rsidRPr="00A02A33">
        <w:rPr>
          <w:sz w:val="24"/>
          <w:szCs w:val="24"/>
        </w:rPr>
        <w:t xml:space="preserve">. 6th edn. Boston: Pearson. [Online] Available at: </w:t>
      </w:r>
      <w:hyperlink r:id="rId30" w:tgtFrame="_blank" w:history="1">
        <w:r w:rsidRPr="00A02A33">
          <w:rPr>
            <w:color w:val="0563C1"/>
            <w:sz w:val="24"/>
            <w:szCs w:val="24"/>
            <w:u w:val="single"/>
          </w:rPr>
          <w:t>https://openlibrary.org/books/OL25260439M/The_strengths_perspective_in_social_work_practice</w:t>
        </w:r>
      </w:hyperlink>
      <w:r w:rsidRPr="00A02A33">
        <w:rPr>
          <w:sz w:val="24"/>
          <w:szCs w:val="24"/>
        </w:rPr>
        <w:t xml:space="preserve"> (Accessed: 21 June 2026).</w:t>
      </w:r>
    </w:p>
    <w:p w14:paraId="19ACCAD0" w14:textId="77777777" w:rsidR="00196792" w:rsidRDefault="00196792" w:rsidP="00196792">
      <w:pPr>
        <w:ind w:left="360"/>
        <w:rPr>
          <w:sz w:val="24"/>
          <w:szCs w:val="24"/>
        </w:rPr>
      </w:pPr>
    </w:p>
    <w:p w14:paraId="58B0C01D" w14:textId="5BBDC148" w:rsidR="00196792" w:rsidRDefault="00A02A33" w:rsidP="00196792">
      <w:pPr>
        <w:ind w:left="360"/>
        <w:rPr>
          <w:sz w:val="24"/>
          <w:szCs w:val="24"/>
        </w:rPr>
      </w:pPr>
      <w:r w:rsidRPr="00A02A33">
        <w:rPr>
          <w:sz w:val="24"/>
          <w:szCs w:val="24"/>
        </w:rPr>
        <w:t xml:space="preserve">Schön, D.A. (1983) </w:t>
      </w:r>
      <w:r w:rsidRPr="00A02A33">
        <w:rPr>
          <w:i/>
          <w:iCs/>
          <w:sz w:val="24"/>
          <w:szCs w:val="24"/>
        </w:rPr>
        <w:t>The Reflective Practitioner: How Professionals Think In action</w:t>
      </w:r>
      <w:r w:rsidRPr="00A02A33">
        <w:rPr>
          <w:sz w:val="24"/>
          <w:szCs w:val="24"/>
        </w:rPr>
        <w:t>. New York: Basic Books.[Online] Available at: https://books.google.com (Accessed: 21 June 2026).</w:t>
      </w:r>
    </w:p>
    <w:p w14:paraId="703D87C3" w14:textId="77777777" w:rsidR="00196792" w:rsidRDefault="00196792" w:rsidP="00196792">
      <w:pPr>
        <w:spacing w:after="160" w:line="259" w:lineRule="auto"/>
        <w:ind w:left="360"/>
      </w:pPr>
    </w:p>
    <w:p w14:paraId="0F21CFAF" w14:textId="14ED575F" w:rsidR="00A02A33" w:rsidRDefault="00A02A33" w:rsidP="00196792">
      <w:pPr>
        <w:spacing w:after="160" w:line="259" w:lineRule="auto"/>
        <w:ind w:left="360"/>
        <w:rPr>
          <w:sz w:val="24"/>
          <w:szCs w:val="24"/>
        </w:rPr>
      </w:pPr>
      <w:hyperlink r:id="rId31" w:history="1">
        <w:r w:rsidRPr="00A02A33">
          <w:rPr>
            <w:rStyle w:val="Hyperlink"/>
            <w:sz w:val="24"/>
            <w:szCs w:val="24"/>
            <w:u w:val="none"/>
          </w:rPr>
          <w:t>Seden</w:t>
        </w:r>
      </w:hyperlink>
      <w:r w:rsidRPr="00A02A33">
        <w:rPr>
          <w:sz w:val="24"/>
          <w:szCs w:val="24"/>
        </w:rPr>
        <w:t>, J., </w:t>
      </w:r>
      <w:hyperlink r:id="rId32" w:history="1">
        <w:r w:rsidRPr="00A02A33">
          <w:rPr>
            <w:rStyle w:val="Hyperlink"/>
            <w:sz w:val="24"/>
            <w:szCs w:val="24"/>
            <w:u w:val="none"/>
          </w:rPr>
          <w:t>Matthews</w:t>
        </w:r>
      </w:hyperlink>
      <w:r w:rsidRPr="00A02A33">
        <w:rPr>
          <w:sz w:val="24"/>
          <w:szCs w:val="24"/>
        </w:rPr>
        <w:t>, S.,</w:t>
      </w:r>
      <w:hyperlink r:id="rId33" w:history="1">
        <w:r w:rsidRPr="00A02A33">
          <w:rPr>
            <w:rStyle w:val="Hyperlink"/>
            <w:sz w:val="24"/>
            <w:szCs w:val="24"/>
            <w:u w:val="none"/>
          </w:rPr>
          <w:t xml:space="preserve"> McCormick</w:t>
        </w:r>
      </w:hyperlink>
      <w:r w:rsidRPr="00A02A33">
        <w:rPr>
          <w:sz w:val="24"/>
          <w:szCs w:val="24"/>
        </w:rPr>
        <w:t>, M., </w:t>
      </w:r>
      <w:hyperlink r:id="rId34" w:history="1">
        <w:r w:rsidRPr="00A02A33">
          <w:rPr>
            <w:rStyle w:val="Hyperlink"/>
            <w:sz w:val="24"/>
            <w:szCs w:val="24"/>
            <w:u w:val="none"/>
          </w:rPr>
          <w:t>Alun Morgan</w:t>
        </w:r>
      </w:hyperlink>
      <w:r w:rsidRPr="00A02A33">
        <w:rPr>
          <w:sz w:val="24"/>
          <w:szCs w:val="24"/>
        </w:rPr>
        <w:t xml:space="preserve">, A. (2010) </w:t>
      </w:r>
      <w:r w:rsidRPr="00A02A33">
        <w:rPr>
          <w:i/>
          <w:iCs/>
          <w:sz w:val="24"/>
          <w:szCs w:val="24"/>
        </w:rPr>
        <w:t>Professional Development in Social Work: Complex Issues in Practice</w:t>
      </w:r>
      <w:r w:rsidRPr="00A02A33">
        <w:rPr>
          <w:sz w:val="24"/>
          <w:szCs w:val="24"/>
        </w:rPr>
        <w:t xml:space="preserve">. [Online] Available at: </w:t>
      </w:r>
      <w:hyperlink r:id="rId35" w:history="1">
        <w:r w:rsidRPr="00A02A33">
          <w:rPr>
            <w:rStyle w:val="Hyperlink"/>
            <w:sz w:val="24"/>
            <w:szCs w:val="24"/>
          </w:rPr>
          <w:t>Professional Development in Social Work | Complex Issues in Practice |</w:t>
        </w:r>
      </w:hyperlink>
      <w:r w:rsidRPr="00A02A33">
        <w:rPr>
          <w:sz w:val="24"/>
          <w:szCs w:val="24"/>
        </w:rPr>
        <w:t xml:space="preserve"> (Accessed: 11 January 2026).</w:t>
      </w:r>
    </w:p>
    <w:p w14:paraId="03B2AD4C" w14:textId="77777777" w:rsidR="00196792" w:rsidRDefault="00196792" w:rsidP="00A02A33">
      <w:pPr>
        <w:ind w:left="360"/>
        <w:rPr>
          <w:color w:val="000000" w:themeColor="text1"/>
          <w:sz w:val="24"/>
          <w:szCs w:val="24"/>
        </w:rPr>
      </w:pPr>
    </w:p>
    <w:p w14:paraId="1F291C15" w14:textId="038E4326" w:rsidR="00A02A33" w:rsidRPr="00A02A33" w:rsidRDefault="00A02A33" w:rsidP="00A02A33">
      <w:pPr>
        <w:ind w:left="360"/>
        <w:rPr>
          <w:color w:val="000000" w:themeColor="text1"/>
          <w:sz w:val="24"/>
          <w:szCs w:val="24"/>
        </w:rPr>
      </w:pPr>
      <w:r w:rsidRPr="00A02A33">
        <w:rPr>
          <w:color w:val="000000" w:themeColor="text1"/>
          <w:sz w:val="24"/>
          <w:szCs w:val="24"/>
        </w:rPr>
        <w:t xml:space="preserve">Social Care Institute for Excellence (2026) </w:t>
      </w:r>
      <w:r w:rsidRPr="00A02A33">
        <w:rPr>
          <w:i/>
          <w:iCs/>
          <w:color w:val="000000" w:themeColor="text1"/>
          <w:sz w:val="24"/>
          <w:szCs w:val="24"/>
        </w:rPr>
        <w:t>Safeguarding Adults</w:t>
      </w:r>
      <w:r w:rsidRPr="00A02A33">
        <w:rPr>
          <w:color w:val="000000" w:themeColor="text1"/>
          <w:sz w:val="24"/>
          <w:szCs w:val="24"/>
        </w:rPr>
        <w:t xml:space="preserve">. [Online] Available at: </w:t>
      </w:r>
      <w:hyperlink r:id="rId36" w:history="1">
        <w:r w:rsidRPr="00A02A33">
          <w:rPr>
            <w:rStyle w:val="Hyperlink"/>
            <w:color w:val="000000" w:themeColor="text1"/>
            <w:sz w:val="24"/>
            <w:szCs w:val="24"/>
          </w:rPr>
          <w:t>https://www.scie.org.uk/safeguarding/adults/</w:t>
        </w:r>
      </w:hyperlink>
      <w:r w:rsidRPr="00A02A33">
        <w:rPr>
          <w:color w:val="000000" w:themeColor="text1"/>
          <w:sz w:val="24"/>
          <w:szCs w:val="24"/>
        </w:rPr>
        <w:t xml:space="preserve"> (Accessed: 4 July 2026).</w:t>
      </w:r>
    </w:p>
    <w:p w14:paraId="6CE0CF45" w14:textId="77777777" w:rsidR="00196792" w:rsidRDefault="00196792" w:rsidP="00A02A33">
      <w:pPr>
        <w:spacing w:after="160" w:line="259" w:lineRule="auto"/>
        <w:ind w:left="360"/>
        <w:rPr>
          <w:sz w:val="24"/>
          <w:szCs w:val="24"/>
        </w:rPr>
      </w:pPr>
    </w:p>
    <w:p w14:paraId="07270B41" w14:textId="78AF01B1" w:rsidR="00A02A33" w:rsidRPr="00A02A33" w:rsidRDefault="00A02A33" w:rsidP="00A02A33">
      <w:pPr>
        <w:spacing w:after="160" w:line="259" w:lineRule="auto"/>
        <w:ind w:left="360"/>
        <w:rPr>
          <w:sz w:val="24"/>
          <w:szCs w:val="24"/>
        </w:rPr>
      </w:pPr>
      <w:r w:rsidRPr="00A02A33">
        <w:rPr>
          <w:sz w:val="24"/>
          <w:szCs w:val="24"/>
        </w:rPr>
        <w:t xml:space="preserve">Social Care Institute of Excellence (2015) Effective supervision in social work and Social Care. [Online] Available: </w:t>
      </w:r>
      <w:hyperlink r:id="rId37" w:history="1">
        <w:r w:rsidRPr="00A02A33">
          <w:rPr>
            <w:rStyle w:val="Hyperlink"/>
            <w:sz w:val="24"/>
            <w:szCs w:val="24"/>
          </w:rPr>
          <w:t>Research briefing 43 (final)</w:t>
        </w:r>
      </w:hyperlink>
      <w:r w:rsidRPr="00A02A33">
        <w:rPr>
          <w:sz w:val="24"/>
          <w:szCs w:val="24"/>
        </w:rPr>
        <w:t xml:space="preserve"> (Accessed: 10 January 2026).</w:t>
      </w:r>
    </w:p>
    <w:p w14:paraId="7FE763DF" w14:textId="77777777" w:rsidR="00A02A33" w:rsidRPr="00A02A33" w:rsidRDefault="00A02A33" w:rsidP="00A02A33">
      <w:pPr>
        <w:ind w:left="360"/>
        <w:rPr>
          <w:iCs/>
          <w:color w:val="auto"/>
          <w:sz w:val="24"/>
          <w:szCs w:val="24"/>
        </w:rPr>
      </w:pPr>
      <w:r w:rsidRPr="00A02A33">
        <w:rPr>
          <w:iCs/>
          <w:color w:val="auto"/>
          <w:sz w:val="24"/>
          <w:szCs w:val="24"/>
        </w:rPr>
        <w:t xml:space="preserve">Social Care Wales (2017) </w:t>
      </w:r>
      <w:r w:rsidRPr="00A02A33">
        <w:rPr>
          <w:i/>
          <w:iCs/>
          <w:color w:val="auto"/>
          <w:sz w:val="24"/>
          <w:szCs w:val="24"/>
        </w:rPr>
        <w:t>Code of Professional Practice for Social Care</w:t>
      </w:r>
      <w:r w:rsidRPr="00A02A33">
        <w:rPr>
          <w:iCs/>
          <w:color w:val="auto"/>
          <w:sz w:val="24"/>
          <w:szCs w:val="24"/>
        </w:rPr>
        <w:t>. Cardiff: Social Care Wales. [Online] Available at: https://socialcare.wales/cms-assets/documents/Code-of-Professional-Practice-for-Social-Care-web-version.pdf (Accessed: 10 March 2026).</w:t>
      </w:r>
    </w:p>
    <w:p w14:paraId="4E5B9BA0" w14:textId="77777777" w:rsidR="00196792" w:rsidRDefault="00196792" w:rsidP="00A02A33">
      <w:pPr>
        <w:ind w:left="360"/>
        <w:rPr>
          <w:sz w:val="24"/>
          <w:szCs w:val="24"/>
        </w:rPr>
      </w:pPr>
    </w:p>
    <w:p w14:paraId="7DA01DD3" w14:textId="77777777" w:rsidR="00A02A33" w:rsidRPr="00A02A33" w:rsidRDefault="00A02A33" w:rsidP="00A02A33">
      <w:pPr>
        <w:ind w:left="360"/>
        <w:rPr>
          <w:color w:val="000000" w:themeColor="text1"/>
          <w:sz w:val="24"/>
          <w:szCs w:val="24"/>
        </w:rPr>
      </w:pPr>
      <w:r w:rsidRPr="00A02A33">
        <w:rPr>
          <w:color w:val="000000" w:themeColor="text1"/>
          <w:sz w:val="24"/>
          <w:szCs w:val="24"/>
        </w:rPr>
        <w:t xml:space="preserve">Social Care Wales (2019) Wales Safeguarding Procedures. [Online] Available at: </w:t>
      </w:r>
      <w:hyperlink r:id="rId38" w:history="1">
        <w:r w:rsidRPr="00A02A33">
          <w:rPr>
            <w:rStyle w:val="Hyperlink"/>
            <w:color w:val="000000" w:themeColor="text1"/>
            <w:sz w:val="24"/>
            <w:szCs w:val="24"/>
          </w:rPr>
          <w:t>https://www.safeguarding.wales/</w:t>
        </w:r>
      </w:hyperlink>
      <w:r w:rsidRPr="00A02A33">
        <w:rPr>
          <w:color w:val="000000" w:themeColor="text1"/>
          <w:sz w:val="24"/>
          <w:szCs w:val="24"/>
        </w:rPr>
        <w:t xml:space="preserve">  (Accessed: 10 July 2026).</w:t>
      </w:r>
    </w:p>
    <w:p w14:paraId="3C06867B" w14:textId="77777777" w:rsidR="00196792" w:rsidRDefault="00196792" w:rsidP="00A02A33">
      <w:pPr>
        <w:spacing w:after="160" w:line="259" w:lineRule="auto"/>
        <w:ind w:left="360"/>
        <w:rPr>
          <w:sz w:val="24"/>
          <w:szCs w:val="24"/>
        </w:rPr>
      </w:pPr>
    </w:p>
    <w:p w14:paraId="02A532F3" w14:textId="2B6E2823" w:rsidR="00A02A33" w:rsidRPr="00A02A33" w:rsidRDefault="00A02A33" w:rsidP="00A02A33">
      <w:pPr>
        <w:spacing w:after="160" w:line="259" w:lineRule="auto"/>
        <w:ind w:left="360"/>
        <w:rPr>
          <w:sz w:val="24"/>
          <w:szCs w:val="24"/>
        </w:rPr>
      </w:pPr>
      <w:r w:rsidRPr="00A02A33">
        <w:rPr>
          <w:sz w:val="24"/>
          <w:szCs w:val="24"/>
        </w:rPr>
        <w:lastRenderedPageBreak/>
        <w:t xml:space="preserve">Social Care Wales (2024). </w:t>
      </w:r>
      <w:r w:rsidRPr="00A02A33">
        <w:rPr>
          <w:i/>
          <w:iCs/>
          <w:sz w:val="24"/>
          <w:szCs w:val="24"/>
        </w:rPr>
        <w:t>Effective Supervision in Social care, Early Years and Childcare</w:t>
      </w:r>
      <w:r w:rsidRPr="00A02A33">
        <w:rPr>
          <w:sz w:val="24"/>
          <w:szCs w:val="24"/>
        </w:rPr>
        <w:t>. [online] Social Care Wales. Available at: https://socialcare.wales/resources-guidance/early-years-and-childcare/information-and-guidance-for-employers-and-workers/effective-supervision-in-social-care-early-years-and-childcare [Accessed 10 July 2026].</w:t>
      </w:r>
    </w:p>
    <w:p w14:paraId="16A03B2B" w14:textId="77777777" w:rsidR="00A02A33" w:rsidRPr="00A02A33" w:rsidRDefault="00A02A33" w:rsidP="00A02A33">
      <w:pPr>
        <w:ind w:left="360"/>
        <w:rPr>
          <w:sz w:val="24"/>
          <w:szCs w:val="24"/>
        </w:rPr>
      </w:pPr>
      <w:r w:rsidRPr="00A02A33">
        <w:rPr>
          <w:sz w:val="24"/>
          <w:szCs w:val="24"/>
        </w:rPr>
        <w:t xml:space="preserve">Social Care Wales (2025) </w:t>
      </w:r>
      <w:r w:rsidRPr="00A02A33">
        <w:rPr>
          <w:i/>
          <w:iCs/>
          <w:sz w:val="24"/>
          <w:szCs w:val="24"/>
        </w:rPr>
        <w:t>About Strengths Based Practice.</w:t>
      </w:r>
      <w:r w:rsidRPr="00A02A33">
        <w:rPr>
          <w:sz w:val="24"/>
          <w:szCs w:val="24"/>
        </w:rPr>
        <w:t xml:space="preserve"> [Online] Available at:  </w:t>
      </w:r>
      <w:hyperlink r:id="rId39" w:history="1">
        <w:r w:rsidRPr="00A02A33">
          <w:rPr>
            <w:rStyle w:val="Hyperlink"/>
            <w:sz w:val="24"/>
            <w:szCs w:val="24"/>
          </w:rPr>
          <w:t>scw-about-strengths-based-practice-38926.pdf</w:t>
        </w:r>
      </w:hyperlink>
      <w:r w:rsidRPr="00A02A33">
        <w:rPr>
          <w:sz w:val="24"/>
          <w:szCs w:val="24"/>
        </w:rPr>
        <w:t xml:space="preserve"> (Accessed: 11 January 2026).</w:t>
      </w:r>
    </w:p>
    <w:p w14:paraId="1C0A9E84" w14:textId="77777777" w:rsidR="00A02A33" w:rsidRPr="00A02A33" w:rsidRDefault="00A02A33" w:rsidP="00A02A33">
      <w:pPr>
        <w:ind w:left="360"/>
        <w:rPr>
          <w:color w:val="auto"/>
          <w:sz w:val="24"/>
          <w:szCs w:val="24"/>
        </w:rPr>
      </w:pPr>
      <w:r w:rsidRPr="00A02A33">
        <w:rPr>
          <w:color w:val="auto"/>
          <w:sz w:val="24"/>
          <w:szCs w:val="24"/>
        </w:rPr>
        <w:br/>
        <w:t xml:space="preserve">Social Care Wales (2025) </w:t>
      </w:r>
      <w:r w:rsidRPr="00A02A33">
        <w:rPr>
          <w:i/>
          <w:iCs/>
          <w:color w:val="auto"/>
          <w:sz w:val="24"/>
          <w:szCs w:val="24"/>
        </w:rPr>
        <w:t>Delivering the Active Offer: Information Pack for Social Services and Social Care</w:t>
      </w:r>
      <w:r w:rsidRPr="00A02A33">
        <w:rPr>
          <w:color w:val="auto"/>
          <w:sz w:val="24"/>
          <w:szCs w:val="24"/>
        </w:rPr>
        <w:t xml:space="preserve">. Available at: </w:t>
      </w:r>
      <w:hyperlink r:id="rId40" w:history="1">
        <w:r w:rsidRPr="00A02A33">
          <w:rPr>
            <w:rStyle w:val="Hyperlink"/>
            <w:color w:val="auto"/>
            <w:sz w:val="24"/>
            <w:szCs w:val="24"/>
          </w:rPr>
          <w:t>Information for workers | Social Care Wales</w:t>
        </w:r>
      </w:hyperlink>
      <w:r w:rsidRPr="00A02A33">
        <w:rPr>
          <w:color w:val="auto"/>
          <w:sz w:val="24"/>
          <w:szCs w:val="24"/>
        </w:rPr>
        <w:t xml:space="preserve"> (Accessed: 29 March 2026).</w:t>
      </w:r>
    </w:p>
    <w:p w14:paraId="03CB806B" w14:textId="77777777" w:rsidR="00196792" w:rsidRDefault="00196792" w:rsidP="00A02A33">
      <w:pPr>
        <w:ind w:left="360"/>
        <w:rPr>
          <w:sz w:val="24"/>
          <w:szCs w:val="24"/>
        </w:rPr>
      </w:pPr>
    </w:p>
    <w:p w14:paraId="5E6FF9C7" w14:textId="6161E643" w:rsidR="00A02A33" w:rsidRPr="00A02A33" w:rsidRDefault="00A02A33" w:rsidP="00A02A33">
      <w:pPr>
        <w:ind w:left="360"/>
        <w:rPr>
          <w:sz w:val="24"/>
          <w:szCs w:val="24"/>
        </w:rPr>
      </w:pPr>
      <w:r w:rsidRPr="00A02A33">
        <w:rPr>
          <w:sz w:val="24"/>
          <w:szCs w:val="24"/>
        </w:rPr>
        <w:t xml:space="preserve">Social Care Wales (2025) </w:t>
      </w:r>
      <w:r w:rsidRPr="00A02A33">
        <w:rPr>
          <w:i/>
          <w:iCs/>
          <w:sz w:val="24"/>
          <w:szCs w:val="24"/>
        </w:rPr>
        <w:t>Overview of the Social Services and Well-being (Wales) Act 2014</w:t>
      </w:r>
      <w:r w:rsidRPr="00A02A33">
        <w:rPr>
          <w:sz w:val="24"/>
          <w:szCs w:val="24"/>
        </w:rPr>
        <w:t xml:space="preserve">. [Online] Available at: </w:t>
      </w:r>
      <w:hyperlink r:id="rId41" w:history="1">
        <w:r w:rsidRPr="00A02A33">
          <w:rPr>
            <w:color w:val="0563C1"/>
            <w:sz w:val="24"/>
            <w:szCs w:val="24"/>
            <w:u w:val="single"/>
          </w:rPr>
          <w:t>https://socialcare.wales/resources-guidance/information-and-learning-hub/sswbact/overview</w:t>
        </w:r>
      </w:hyperlink>
      <w:r w:rsidRPr="00A02A33">
        <w:rPr>
          <w:sz w:val="24"/>
          <w:szCs w:val="24"/>
        </w:rPr>
        <w:t xml:space="preserve"> (Accessed: 20</w:t>
      </w:r>
      <w:r w:rsidRPr="00A02A33">
        <w:rPr>
          <w:sz w:val="24"/>
          <w:szCs w:val="24"/>
          <w:vertAlign w:val="superscript"/>
        </w:rPr>
        <w:t>th</w:t>
      </w:r>
      <w:r w:rsidRPr="00A02A33">
        <w:rPr>
          <w:sz w:val="24"/>
          <w:szCs w:val="24"/>
        </w:rPr>
        <w:t xml:space="preserve"> June 2026).</w:t>
      </w:r>
    </w:p>
    <w:p w14:paraId="7271C037" w14:textId="77777777" w:rsidR="00196792" w:rsidRDefault="00196792" w:rsidP="00A02A33">
      <w:pPr>
        <w:ind w:left="360"/>
        <w:rPr>
          <w:color w:val="auto"/>
          <w:sz w:val="24"/>
          <w:szCs w:val="24"/>
        </w:rPr>
      </w:pPr>
    </w:p>
    <w:p w14:paraId="08CE409B" w14:textId="4A56A351" w:rsidR="00A02A33" w:rsidRPr="00A02A33" w:rsidRDefault="00A02A33" w:rsidP="00A02A33">
      <w:pPr>
        <w:ind w:left="360"/>
        <w:rPr>
          <w:color w:val="auto"/>
          <w:sz w:val="24"/>
          <w:szCs w:val="24"/>
        </w:rPr>
      </w:pPr>
      <w:r w:rsidRPr="00A02A33">
        <w:rPr>
          <w:color w:val="auto"/>
          <w:sz w:val="24"/>
          <w:szCs w:val="24"/>
        </w:rPr>
        <w:t xml:space="preserve">Social Care Wales (2025) Welsh </w:t>
      </w:r>
      <w:r w:rsidR="00196792" w:rsidRPr="00A02A33">
        <w:rPr>
          <w:color w:val="auto"/>
          <w:sz w:val="24"/>
          <w:szCs w:val="24"/>
        </w:rPr>
        <w:t xml:space="preserve">Language Skills in Your Workforce. </w:t>
      </w:r>
      <w:r w:rsidRPr="00A02A33">
        <w:rPr>
          <w:color w:val="auto"/>
          <w:sz w:val="24"/>
          <w:szCs w:val="24"/>
        </w:rPr>
        <w:t xml:space="preserve">[Online] Available: </w:t>
      </w:r>
      <w:hyperlink r:id="rId42" w:history="1">
        <w:r w:rsidRPr="00A02A33">
          <w:rPr>
            <w:rStyle w:val="Hyperlink"/>
            <w:color w:val="auto"/>
            <w:sz w:val="24"/>
            <w:szCs w:val="24"/>
          </w:rPr>
          <w:t>Welsh language skills in your workforce | Social Care Wales</w:t>
        </w:r>
      </w:hyperlink>
      <w:r w:rsidRPr="00A02A33">
        <w:rPr>
          <w:color w:val="auto"/>
          <w:sz w:val="24"/>
          <w:szCs w:val="24"/>
        </w:rPr>
        <w:t xml:space="preserve"> (Accessed: 03 March 2026).</w:t>
      </w:r>
    </w:p>
    <w:p w14:paraId="069EF572" w14:textId="77777777" w:rsidR="00196792" w:rsidRDefault="00196792" w:rsidP="00A02A33">
      <w:pPr>
        <w:ind w:left="360"/>
        <w:rPr>
          <w:color w:val="000000" w:themeColor="text1"/>
          <w:sz w:val="24"/>
          <w:szCs w:val="24"/>
        </w:rPr>
      </w:pPr>
    </w:p>
    <w:p w14:paraId="6B9130B4" w14:textId="6EF34B5C" w:rsidR="00A02A33" w:rsidRPr="00A02A33" w:rsidRDefault="00A02A33" w:rsidP="00A02A33">
      <w:pPr>
        <w:ind w:left="360"/>
        <w:rPr>
          <w:color w:val="000000" w:themeColor="text1"/>
          <w:sz w:val="24"/>
          <w:szCs w:val="24"/>
        </w:rPr>
      </w:pPr>
      <w:r w:rsidRPr="00A02A33">
        <w:rPr>
          <w:color w:val="000000" w:themeColor="text1"/>
          <w:sz w:val="24"/>
          <w:szCs w:val="24"/>
        </w:rPr>
        <w:t xml:space="preserve">Social Care Wales (2026) Wales Safeguarding Procedures: Frequently Asked Questions. [Online] Available at: </w:t>
      </w:r>
      <w:hyperlink r:id="rId43" w:history="1">
        <w:r w:rsidRPr="00A02A33">
          <w:rPr>
            <w:rStyle w:val="Hyperlink"/>
            <w:color w:val="000000" w:themeColor="text1"/>
            <w:sz w:val="24"/>
            <w:szCs w:val="24"/>
          </w:rPr>
          <w:t>Wales-Safeguarding-Procedures-Frequently-asked-questions.pdf</w:t>
        </w:r>
      </w:hyperlink>
      <w:r w:rsidRPr="00A02A33">
        <w:rPr>
          <w:color w:val="000000" w:themeColor="text1"/>
          <w:sz w:val="24"/>
          <w:szCs w:val="24"/>
        </w:rPr>
        <w:t xml:space="preserve"> (Accessed: 5</w:t>
      </w:r>
      <w:r w:rsidRPr="00A02A33">
        <w:rPr>
          <w:color w:val="000000" w:themeColor="text1"/>
          <w:sz w:val="24"/>
          <w:szCs w:val="24"/>
          <w:vertAlign w:val="superscript"/>
        </w:rPr>
        <w:t>th</w:t>
      </w:r>
      <w:r w:rsidRPr="00A02A33">
        <w:rPr>
          <w:color w:val="000000" w:themeColor="text1"/>
          <w:sz w:val="24"/>
          <w:szCs w:val="24"/>
        </w:rPr>
        <w:t xml:space="preserve"> July 2026).</w:t>
      </w:r>
    </w:p>
    <w:p w14:paraId="3B096E5C" w14:textId="77777777" w:rsidR="00196792" w:rsidRDefault="00196792" w:rsidP="00A02A33">
      <w:pPr>
        <w:ind w:left="360"/>
        <w:rPr>
          <w:color w:val="auto"/>
          <w:sz w:val="24"/>
          <w:szCs w:val="24"/>
        </w:rPr>
      </w:pPr>
    </w:p>
    <w:p w14:paraId="3C0664A6" w14:textId="1B3AD4FB" w:rsidR="00A02A33" w:rsidRPr="00A02A33" w:rsidRDefault="00A02A33" w:rsidP="00A02A33">
      <w:pPr>
        <w:ind w:left="360"/>
        <w:rPr>
          <w:color w:val="auto"/>
          <w:sz w:val="24"/>
          <w:szCs w:val="24"/>
        </w:rPr>
      </w:pPr>
      <w:r w:rsidRPr="00A02A33">
        <w:rPr>
          <w:color w:val="auto"/>
          <w:sz w:val="24"/>
          <w:szCs w:val="24"/>
        </w:rPr>
        <w:t xml:space="preserve">Social Care Wales (2026) </w:t>
      </w:r>
      <w:r w:rsidRPr="00A02A33">
        <w:rPr>
          <w:i/>
          <w:iCs/>
          <w:color w:val="auto"/>
          <w:sz w:val="24"/>
          <w:szCs w:val="24"/>
        </w:rPr>
        <w:t>Wales Safeguarding Procedures 2019</w:t>
      </w:r>
      <w:r w:rsidRPr="00A02A33">
        <w:rPr>
          <w:color w:val="auto"/>
          <w:sz w:val="24"/>
          <w:szCs w:val="24"/>
        </w:rPr>
        <w:t xml:space="preserve">. Cardiff: Welsh Government. [Online] Available at: </w:t>
      </w:r>
      <w:hyperlink r:id="rId44" w:history="1">
        <w:r w:rsidRPr="00A02A33">
          <w:rPr>
            <w:rStyle w:val="Hyperlink"/>
            <w:sz w:val="24"/>
            <w:szCs w:val="24"/>
          </w:rPr>
          <w:t>Safeguarding Wales</w:t>
        </w:r>
      </w:hyperlink>
      <w:r w:rsidRPr="00A02A33">
        <w:rPr>
          <w:color w:val="auto"/>
          <w:sz w:val="24"/>
          <w:szCs w:val="24"/>
        </w:rPr>
        <w:t xml:space="preserve"> (Accessed: 10 March 2026).</w:t>
      </w:r>
    </w:p>
    <w:p w14:paraId="4B17AB10" w14:textId="77777777" w:rsidR="00196792" w:rsidRDefault="00196792" w:rsidP="00A02A33">
      <w:pPr>
        <w:ind w:left="360"/>
        <w:rPr>
          <w:color w:val="auto"/>
          <w:sz w:val="24"/>
          <w:szCs w:val="24"/>
          <w:lang w:val="en-US"/>
        </w:rPr>
      </w:pPr>
    </w:p>
    <w:p w14:paraId="5C500680" w14:textId="73DB9CB4" w:rsidR="00A02A33" w:rsidRPr="00A02A33" w:rsidRDefault="00A02A33" w:rsidP="00A02A33">
      <w:pPr>
        <w:ind w:left="360"/>
        <w:rPr>
          <w:color w:val="auto"/>
          <w:sz w:val="24"/>
          <w:szCs w:val="24"/>
        </w:rPr>
      </w:pPr>
      <w:r w:rsidRPr="00A02A33">
        <w:rPr>
          <w:color w:val="auto"/>
          <w:sz w:val="24"/>
          <w:szCs w:val="24"/>
          <w:lang w:val="en-US"/>
        </w:rPr>
        <w:t>Social Care Wales (2026) </w:t>
      </w:r>
      <w:r w:rsidRPr="00A02A33">
        <w:rPr>
          <w:color w:val="auto"/>
          <w:sz w:val="24"/>
          <w:szCs w:val="24"/>
        </w:rPr>
        <w:t xml:space="preserve">Preparing reports for conference. [Online] Available at: </w:t>
      </w:r>
      <w:hyperlink r:id="rId45" w:tooltip="https://safeguarding.wales/en/chi-i/chi-i-c3pt2/c3pt2-p7/" w:history="1">
        <w:r w:rsidRPr="00A02A33">
          <w:rPr>
            <w:rStyle w:val="Hyperlink"/>
            <w:color w:val="auto"/>
            <w:sz w:val="24"/>
            <w:szCs w:val="24"/>
            <w:lang w:val="en-US"/>
          </w:rPr>
          <w:t>Safeguarding Wales</w:t>
        </w:r>
      </w:hyperlink>
      <w:r w:rsidRPr="00A02A33">
        <w:rPr>
          <w:color w:val="auto"/>
          <w:sz w:val="24"/>
          <w:szCs w:val="24"/>
        </w:rPr>
        <w:t xml:space="preserve">  (Accessed: 03 March 2026).</w:t>
      </w:r>
    </w:p>
    <w:p w14:paraId="3722FB3D" w14:textId="77777777" w:rsidR="00196792" w:rsidRDefault="00196792" w:rsidP="00A02A33">
      <w:pPr>
        <w:ind w:left="360"/>
        <w:rPr>
          <w:sz w:val="24"/>
          <w:szCs w:val="24"/>
        </w:rPr>
      </w:pPr>
    </w:p>
    <w:p w14:paraId="0516404F" w14:textId="660A6073" w:rsidR="00A02A33" w:rsidRPr="00A02A33" w:rsidRDefault="00A02A33" w:rsidP="00A02A33">
      <w:pPr>
        <w:ind w:left="360"/>
        <w:rPr>
          <w:sz w:val="24"/>
          <w:szCs w:val="24"/>
        </w:rPr>
      </w:pPr>
      <w:r w:rsidRPr="00A02A33">
        <w:rPr>
          <w:sz w:val="24"/>
          <w:szCs w:val="24"/>
        </w:rPr>
        <w:t xml:space="preserve">Stevens, M., Martineau, S., Manthorpe, J. and Norrie, C. (2025). Social workers’ power of entry in adult safeguarding concerns: Debates over autonomy, privacy and protection. </w:t>
      </w:r>
      <w:r w:rsidRPr="00A02A33">
        <w:rPr>
          <w:i/>
          <w:iCs/>
          <w:sz w:val="24"/>
          <w:szCs w:val="24"/>
        </w:rPr>
        <w:t>The Journal of Adult Protection</w:t>
      </w:r>
      <w:r w:rsidRPr="00A02A33">
        <w:rPr>
          <w:sz w:val="24"/>
          <w:szCs w:val="24"/>
        </w:rPr>
        <w:t xml:space="preserve">, 19(6), pp.312–322. [Online] Available: </w:t>
      </w:r>
      <w:hyperlink r:id="rId46" w:history="1">
        <w:r w:rsidRPr="00A02A33">
          <w:rPr>
            <w:rStyle w:val="Hyperlink"/>
            <w:sz w:val="24"/>
            <w:szCs w:val="24"/>
          </w:rPr>
          <w:t>Social workers’ power of entry in adult safeguarding concerns: debates over autonomy, privacy and protection - ScienceDirect</w:t>
        </w:r>
      </w:hyperlink>
      <w:r w:rsidRPr="00A02A33">
        <w:rPr>
          <w:sz w:val="24"/>
          <w:szCs w:val="24"/>
        </w:rPr>
        <w:t xml:space="preserve"> (Accessed: 10 July 2026).</w:t>
      </w:r>
    </w:p>
    <w:p w14:paraId="152011BB" w14:textId="77777777" w:rsidR="00196792" w:rsidRDefault="00196792" w:rsidP="00A02A33">
      <w:pPr>
        <w:ind w:left="360"/>
        <w:rPr>
          <w:sz w:val="24"/>
          <w:szCs w:val="24"/>
        </w:rPr>
      </w:pPr>
    </w:p>
    <w:p w14:paraId="41ADC814" w14:textId="540D165F" w:rsidR="00A02A33" w:rsidRPr="00A02A33" w:rsidRDefault="00A02A33" w:rsidP="00A02A33">
      <w:pPr>
        <w:ind w:left="360"/>
        <w:rPr>
          <w:sz w:val="24"/>
          <w:szCs w:val="24"/>
        </w:rPr>
      </w:pPr>
      <w:r w:rsidRPr="00A02A33">
        <w:rPr>
          <w:sz w:val="24"/>
          <w:szCs w:val="24"/>
        </w:rPr>
        <w:t xml:space="preserve">Sweeney, A., Filson, B., Kennedy, A., Collinson, L. and Gillard, S. (2018) ‘A paradigm shift: Relationships in trauma-informed mental health services’, </w:t>
      </w:r>
      <w:r w:rsidRPr="00A02A33">
        <w:rPr>
          <w:i/>
          <w:iCs/>
          <w:sz w:val="24"/>
          <w:szCs w:val="24"/>
        </w:rPr>
        <w:t>BJPsych Advances</w:t>
      </w:r>
      <w:r w:rsidRPr="00A02A33">
        <w:rPr>
          <w:sz w:val="24"/>
          <w:szCs w:val="24"/>
        </w:rPr>
        <w:t>, 24(5), pp. 319–333.</w:t>
      </w:r>
    </w:p>
    <w:p w14:paraId="78907F5D" w14:textId="77777777" w:rsidR="00196792" w:rsidRDefault="00196792" w:rsidP="00A02A33">
      <w:pPr>
        <w:ind w:left="360"/>
        <w:rPr>
          <w:color w:val="auto"/>
          <w:sz w:val="24"/>
          <w:szCs w:val="24"/>
        </w:rPr>
      </w:pPr>
    </w:p>
    <w:p w14:paraId="42E175A4" w14:textId="0A54F6E6" w:rsidR="00A02A33" w:rsidRPr="00A02A33" w:rsidRDefault="00A02A33" w:rsidP="00A02A33">
      <w:pPr>
        <w:ind w:left="360"/>
        <w:rPr>
          <w:color w:val="auto"/>
          <w:sz w:val="24"/>
          <w:szCs w:val="24"/>
        </w:rPr>
      </w:pPr>
      <w:r w:rsidRPr="00A02A33">
        <w:rPr>
          <w:color w:val="auto"/>
          <w:sz w:val="24"/>
          <w:szCs w:val="24"/>
        </w:rPr>
        <w:t xml:space="preserve">Thompson, N. (2020) </w:t>
      </w:r>
      <w:r w:rsidRPr="00A02A33">
        <w:rPr>
          <w:i/>
          <w:iCs/>
          <w:color w:val="auto"/>
          <w:sz w:val="24"/>
          <w:szCs w:val="24"/>
        </w:rPr>
        <w:t>The Professional Social Worker: Meeting the Challenge</w:t>
      </w:r>
      <w:r w:rsidRPr="00A02A33">
        <w:rPr>
          <w:color w:val="auto"/>
          <w:sz w:val="24"/>
          <w:szCs w:val="24"/>
        </w:rPr>
        <w:t>. 2nd edn. London: Red Globe Press.</w:t>
      </w:r>
    </w:p>
    <w:p w14:paraId="07F7B057" w14:textId="77777777" w:rsidR="00196792" w:rsidRDefault="00196792" w:rsidP="00A02A33">
      <w:pPr>
        <w:ind w:left="360"/>
        <w:rPr>
          <w:sz w:val="24"/>
          <w:szCs w:val="24"/>
        </w:rPr>
      </w:pPr>
    </w:p>
    <w:p w14:paraId="5E6AEE44" w14:textId="5A72FA43" w:rsidR="00A02A33" w:rsidRPr="00A02A33" w:rsidRDefault="00A02A33" w:rsidP="00A02A33">
      <w:pPr>
        <w:ind w:left="360"/>
        <w:rPr>
          <w:sz w:val="24"/>
          <w:szCs w:val="24"/>
        </w:rPr>
      </w:pPr>
      <w:r w:rsidRPr="00A02A33">
        <w:rPr>
          <w:sz w:val="24"/>
          <w:szCs w:val="24"/>
        </w:rPr>
        <w:t xml:space="preserve">Trede, F., Macklin, R., &amp; Bridges, D. (2012). ‘Professional identity development: a review of the higher education literature’. </w:t>
      </w:r>
      <w:r w:rsidRPr="00A02A33">
        <w:rPr>
          <w:i/>
          <w:iCs/>
          <w:sz w:val="24"/>
          <w:szCs w:val="24"/>
        </w:rPr>
        <w:t>Studies in Higher Education</w:t>
      </w:r>
      <w:r w:rsidRPr="00A02A33">
        <w:rPr>
          <w:sz w:val="24"/>
          <w:szCs w:val="24"/>
        </w:rPr>
        <w:t xml:space="preserve">, 37(3), 365-384. [Online] Available at: </w:t>
      </w:r>
      <w:hyperlink r:id="rId47" w:history="1">
        <w:r w:rsidRPr="00A02A33">
          <w:rPr>
            <w:rStyle w:val="Hyperlink"/>
            <w:sz w:val="24"/>
            <w:szCs w:val="24"/>
          </w:rPr>
          <w:t>https://doi.org/10.1080/03075079.2010.521237</w:t>
        </w:r>
      </w:hyperlink>
      <w:r w:rsidRPr="00A02A33">
        <w:rPr>
          <w:sz w:val="24"/>
          <w:szCs w:val="24"/>
        </w:rPr>
        <w:t xml:space="preserve"> (Accessed: 10</w:t>
      </w:r>
      <w:r w:rsidRPr="00A02A33">
        <w:rPr>
          <w:sz w:val="24"/>
          <w:szCs w:val="24"/>
          <w:vertAlign w:val="superscript"/>
        </w:rPr>
        <w:t>th</w:t>
      </w:r>
      <w:r w:rsidRPr="00A02A33">
        <w:rPr>
          <w:sz w:val="24"/>
          <w:szCs w:val="24"/>
        </w:rPr>
        <w:t xml:space="preserve"> January 2026).</w:t>
      </w:r>
    </w:p>
    <w:p w14:paraId="31B04985" w14:textId="77777777" w:rsidR="00196792" w:rsidRDefault="00196792" w:rsidP="00A02A33">
      <w:pPr>
        <w:ind w:left="360"/>
        <w:rPr>
          <w:sz w:val="24"/>
          <w:szCs w:val="24"/>
        </w:rPr>
      </w:pPr>
    </w:p>
    <w:p w14:paraId="474390CD" w14:textId="44349E78" w:rsidR="00A02A33" w:rsidRPr="00A02A33" w:rsidRDefault="00A02A33" w:rsidP="00A02A33">
      <w:pPr>
        <w:ind w:left="360"/>
        <w:rPr>
          <w:sz w:val="24"/>
          <w:szCs w:val="24"/>
        </w:rPr>
      </w:pPr>
      <w:r w:rsidRPr="00A02A33">
        <w:rPr>
          <w:sz w:val="24"/>
          <w:szCs w:val="24"/>
        </w:rPr>
        <w:lastRenderedPageBreak/>
        <w:t xml:space="preserve">Trevithick, P. (2012) </w:t>
      </w:r>
      <w:r w:rsidRPr="00A02A33">
        <w:rPr>
          <w:i/>
          <w:iCs/>
          <w:sz w:val="24"/>
          <w:szCs w:val="24"/>
        </w:rPr>
        <w:t>Social Work Skills and Knowledge: A Practice Handbook</w:t>
      </w:r>
      <w:r w:rsidRPr="00A02A33">
        <w:rPr>
          <w:sz w:val="24"/>
          <w:szCs w:val="24"/>
        </w:rPr>
        <w:t>. 3rd edn. Maidenhead: Open University Press.</w:t>
      </w:r>
    </w:p>
    <w:p w14:paraId="739AED78" w14:textId="77777777" w:rsidR="00196792" w:rsidRDefault="00196792" w:rsidP="00A02A33">
      <w:pPr>
        <w:ind w:left="360"/>
        <w:rPr>
          <w:sz w:val="24"/>
          <w:szCs w:val="24"/>
        </w:rPr>
      </w:pPr>
    </w:p>
    <w:p w14:paraId="0616EA1C" w14:textId="53014AAF" w:rsidR="00A02A33" w:rsidRPr="00A02A33" w:rsidRDefault="00A02A33" w:rsidP="00A02A33">
      <w:pPr>
        <w:ind w:left="360"/>
        <w:rPr>
          <w:sz w:val="24"/>
          <w:szCs w:val="24"/>
        </w:rPr>
      </w:pPr>
      <w:r w:rsidRPr="00A02A33">
        <w:rPr>
          <w:sz w:val="24"/>
          <w:szCs w:val="24"/>
        </w:rPr>
        <w:t xml:space="preserve">UK Government (1989) Children Act 1989. London: The Stationery Office. [Online] Available at: </w:t>
      </w:r>
      <w:hyperlink r:id="rId48" w:history="1">
        <w:r w:rsidRPr="00A02A33">
          <w:rPr>
            <w:rStyle w:val="Hyperlink"/>
            <w:sz w:val="24"/>
            <w:szCs w:val="24"/>
          </w:rPr>
          <w:t>https://www.legislation.gov.uk/ukpga/1989/41/contents</w:t>
        </w:r>
      </w:hyperlink>
      <w:r w:rsidRPr="00A02A33">
        <w:rPr>
          <w:sz w:val="24"/>
          <w:szCs w:val="24"/>
        </w:rPr>
        <w:t xml:space="preserve">  (Accessed: 10 July 2026).</w:t>
      </w:r>
    </w:p>
    <w:p w14:paraId="049CA6B2" w14:textId="77777777" w:rsidR="00196792" w:rsidRDefault="00196792" w:rsidP="00A02A33">
      <w:pPr>
        <w:spacing w:after="160" w:line="259" w:lineRule="auto"/>
        <w:ind w:left="360"/>
        <w:rPr>
          <w:sz w:val="24"/>
          <w:szCs w:val="24"/>
        </w:rPr>
      </w:pPr>
    </w:p>
    <w:p w14:paraId="381FDB49" w14:textId="199502E4" w:rsidR="00A02A33" w:rsidRPr="00A02A33" w:rsidRDefault="00A02A33" w:rsidP="00A02A33">
      <w:pPr>
        <w:spacing w:after="160" w:line="259" w:lineRule="auto"/>
        <w:ind w:left="360"/>
        <w:rPr>
          <w:sz w:val="24"/>
          <w:szCs w:val="24"/>
        </w:rPr>
      </w:pPr>
      <w:r w:rsidRPr="00A02A33">
        <w:rPr>
          <w:sz w:val="24"/>
          <w:szCs w:val="24"/>
        </w:rPr>
        <w:t xml:space="preserve">UK Government (1998) </w:t>
      </w:r>
      <w:r w:rsidRPr="00A02A33">
        <w:rPr>
          <w:i/>
          <w:iCs/>
          <w:sz w:val="24"/>
          <w:szCs w:val="24"/>
        </w:rPr>
        <w:t>Human Rights Act 1998</w:t>
      </w:r>
      <w:r w:rsidRPr="00A02A33">
        <w:rPr>
          <w:sz w:val="24"/>
          <w:szCs w:val="24"/>
        </w:rPr>
        <w:t>. Available at: https://www.legislation.gov.uk/ukpga/1998/42/contents (Accessed: 21 June 2026).</w:t>
      </w:r>
    </w:p>
    <w:p w14:paraId="6E3B231F" w14:textId="77777777" w:rsidR="00196792" w:rsidRDefault="00196792" w:rsidP="00A02A33">
      <w:pPr>
        <w:ind w:left="360"/>
        <w:rPr>
          <w:color w:val="000000" w:themeColor="text1"/>
          <w:sz w:val="24"/>
          <w:szCs w:val="24"/>
        </w:rPr>
      </w:pPr>
    </w:p>
    <w:p w14:paraId="392C5251" w14:textId="08B3A12E" w:rsidR="00A02A33" w:rsidRPr="00A02A33" w:rsidRDefault="00A02A33" w:rsidP="00A02A33">
      <w:pPr>
        <w:ind w:left="360"/>
        <w:rPr>
          <w:color w:val="000000" w:themeColor="text1"/>
          <w:sz w:val="24"/>
          <w:szCs w:val="24"/>
        </w:rPr>
      </w:pPr>
      <w:r w:rsidRPr="00A02A33">
        <w:rPr>
          <w:color w:val="000000" w:themeColor="text1"/>
          <w:sz w:val="24"/>
          <w:szCs w:val="24"/>
        </w:rPr>
        <w:t xml:space="preserve">UK Government (1998) </w:t>
      </w:r>
      <w:r w:rsidRPr="00A02A33">
        <w:rPr>
          <w:i/>
          <w:iCs/>
          <w:color w:val="000000" w:themeColor="text1"/>
          <w:sz w:val="24"/>
          <w:szCs w:val="24"/>
        </w:rPr>
        <w:t>Human Rights Act 1998</w:t>
      </w:r>
      <w:r w:rsidRPr="00A02A33">
        <w:rPr>
          <w:color w:val="000000" w:themeColor="text1"/>
          <w:sz w:val="24"/>
          <w:szCs w:val="24"/>
        </w:rPr>
        <w:t xml:space="preserve">. London: The Stationery Office. [Online] Available at: </w:t>
      </w:r>
      <w:hyperlink r:id="rId49" w:history="1">
        <w:r w:rsidRPr="00A02A33">
          <w:rPr>
            <w:rStyle w:val="Hyperlink"/>
            <w:color w:val="000000" w:themeColor="text1"/>
            <w:sz w:val="24"/>
            <w:szCs w:val="24"/>
          </w:rPr>
          <w:t>https://www.legislation.gov.uk/ukpga/1998/42/contents</w:t>
        </w:r>
      </w:hyperlink>
      <w:r w:rsidRPr="00A02A33">
        <w:rPr>
          <w:color w:val="000000" w:themeColor="text1"/>
          <w:sz w:val="24"/>
          <w:szCs w:val="24"/>
        </w:rPr>
        <w:t xml:space="preserve">  (Accessed: 4 July 2026).</w:t>
      </w:r>
    </w:p>
    <w:p w14:paraId="5ED58F39" w14:textId="77777777" w:rsidR="00196792" w:rsidRDefault="00196792" w:rsidP="00A02A33">
      <w:pPr>
        <w:ind w:left="360"/>
        <w:rPr>
          <w:color w:val="000000" w:themeColor="text1"/>
          <w:sz w:val="24"/>
          <w:szCs w:val="24"/>
        </w:rPr>
      </w:pPr>
    </w:p>
    <w:p w14:paraId="745EBC3F" w14:textId="6DBF4C0D" w:rsidR="00A02A33" w:rsidRPr="00A02A33" w:rsidRDefault="00A02A33" w:rsidP="00A02A33">
      <w:pPr>
        <w:ind w:left="360"/>
        <w:rPr>
          <w:color w:val="000000" w:themeColor="text1"/>
          <w:sz w:val="24"/>
          <w:szCs w:val="24"/>
        </w:rPr>
      </w:pPr>
      <w:r w:rsidRPr="00A02A33">
        <w:rPr>
          <w:color w:val="000000" w:themeColor="text1"/>
          <w:sz w:val="24"/>
          <w:szCs w:val="24"/>
        </w:rPr>
        <w:t xml:space="preserve">UK Government (2005) </w:t>
      </w:r>
      <w:r w:rsidRPr="00A02A33">
        <w:rPr>
          <w:i/>
          <w:iCs/>
          <w:color w:val="000000" w:themeColor="text1"/>
          <w:sz w:val="24"/>
          <w:szCs w:val="24"/>
        </w:rPr>
        <w:t>Mental Capacity Act 2005</w:t>
      </w:r>
      <w:r w:rsidRPr="00A02A33">
        <w:rPr>
          <w:color w:val="000000" w:themeColor="text1"/>
          <w:sz w:val="24"/>
          <w:szCs w:val="24"/>
        </w:rPr>
        <w:t xml:space="preserve">. London: The Stationery Office. [Online] Available at: </w:t>
      </w:r>
      <w:hyperlink r:id="rId50" w:history="1">
        <w:r w:rsidRPr="00A02A33">
          <w:rPr>
            <w:rStyle w:val="Hyperlink"/>
            <w:color w:val="000000" w:themeColor="text1"/>
            <w:sz w:val="24"/>
            <w:szCs w:val="24"/>
          </w:rPr>
          <w:t>https://www.legislation.gov.uk/ukpga/2005/9/contents</w:t>
        </w:r>
      </w:hyperlink>
      <w:r w:rsidRPr="00A02A33">
        <w:rPr>
          <w:color w:val="000000" w:themeColor="text1"/>
          <w:sz w:val="24"/>
          <w:szCs w:val="24"/>
        </w:rPr>
        <w:t xml:space="preserve">  (Accessed: 4 July 2026).</w:t>
      </w:r>
    </w:p>
    <w:p w14:paraId="72F64563" w14:textId="77777777" w:rsidR="00196792" w:rsidRDefault="00196792" w:rsidP="00A02A33">
      <w:pPr>
        <w:ind w:left="360"/>
        <w:rPr>
          <w:color w:val="000000" w:themeColor="text1"/>
          <w:sz w:val="24"/>
          <w:szCs w:val="24"/>
        </w:rPr>
      </w:pPr>
    </w:p>
    <w:p w14:paraId="5AA96769" w14:textId="41E46B54" w:rsidR="00A02A33" w:rsidRPr="00A02A33" w:rsidRDefault="00A02A33" w:rsidP="00A02A33">
      <w:pPr>
        <w:ind w:left="360"/>
        <w:rPr>
          <w:color w:val="000000" w:themeColor="text1"/>
          <w:sz w:val="24"/>
          <w:szCs w:val="24"/>
        </w:rPr>
      </w:pPr>
      <w:r w:rsidRPr="00A02A33">
        <w:rPr>
          <w:color w:val="000000" w:themeColor="text1"/>
          <w:sz w:val="24"/>
          <w:szCs w:val="24"/>
        </w:rPr>
        <w:t xml:space="preserve">UK Government (2006) </w:t>
      </w:r>
      <w:r w:rsidRPr="00A02A33">
        <w:rPr>
          <w:i/>
          <w:iCs/>
          <w:color w:val="000000" w:themeColor="text1"/>
          <w:sz w:val="24"/>
          <w:szCs w:val="24"/>
        </w:rPr>
        <w:t>Safeguarding Vulnerable Groups Act 2006</w:t>
      </w:r>
      <w:r w:rsidRPr="00A02A33">
        <w:rPr>
          <w:color w:val="000000" w:themeColor="text1"/>
          <w:sz w:val="24"/>
          <w:szCs w:val="24"/>
        </w:rPr>
        <w:t xml:space="preserve">. London: The Stationery Office. [Online] Available at: </w:t>
      </w:r>
      <w:hyperlink r:id="rId51" w:history="1">
        <w:r w:rsidRPr="00A02A33">
          <w:rPr>
            <w:rStyle w:val="Hyperlink"/>
            <w:color w:val="000000" w:themeColor="text1"/>
            <w:sz w:val="24"/>
            <w:szCs w:val="24"/>
          </w:rPr>
          <w:t>https://www.legislation.gov.uk/ukpga/2006/47/contents</w:t>
        </w:r>
      </w:hyperlink>
      <w:r w:rsidRPr="00A02A33">
        <w:rPr>
          <w:color w:val="000000" w:themeColor="text1"/>
          <w:sz w:val="24"/>
          <w:szCs w:val="24"/>
        </w:rPr>
        <w:t xml:space="preserve">  (Accessed: 4 July 2026).</w:t>
      </w:r>
    </w:p>
    <w:p w14:paraId="231F06F1" w14:textId="77777777" w:rsidR="00196792" w:rsidRDefault="00196792" w:rsidP="00A02A33">
      <w:pPr>
        <w:ind w:left="360"/>
        <w:rPr>
          <w:sz w:val="24"/>
          <w:szCs w:val="24"/>
        </w:rPr>
      </w:pPr>
    </w:p>
    <w:p w14:paraId="2FF11212" w14:textId="6CD0D8EE" w:rsidR="00A02A33" w:rsidRPr="00A02A33" w:rsidRDefault="00A02A33" w:rsidP="00A02A33">
      <w:pPr>
        <w:ind w:left="360"/>
        <w:rPr>
          <w:sz w:val="24"/>
          <w:szCs w:val="24"/>
        </w:rPr>
      </w:pPr>
      <w:r w:rsidRPr="00A02A33">
        <w:rPr>
          <w:sz w:val="24"/>
          <w:szCs w:val="24"/>
        </w:rPr>
        <w:t xml:space="preserve">UK Government (2018) </w:t>
      </w:r>
      <w:r w:rsidRPr="00A02A33">
        <w:rPr>
          <w:i/>
          <w:iCs/>
          <w:sz w:val="24"/>
          <w:szCs w:val="24"/>
        </w:rPr>
        <w:t>Data Protection Act 2018</w:t>
      </w:r>
      <w:r w:rsidRPr="00A02A33">
        <w:rPr>
          <w:sz w:val="24"/>
          <w:szCs w:val="24"/>
        </w:rPr>
        <w:t xml:space="preserve">. [Online] Available at: </w:t>
      </w:r>
      <w:hyperlink r:id="rId52" w:history="1">
        <w:r w:rsidRPr="00A02A33">
          <w:rPr>
            <w:color w:val="0563C1"/>
            <w:sz w:val="24"/>
            <w:szCs w:val="24"/>
            <w:u w:val="single"/>
          </w:rPr>
          <w:t>https://www.legislation.gov.uk/ukpga/2018/12/contents</w:t>
        </w:r>
      </w:hyperlink>
      <w:r w:rsidRPr="00A02A33">
        <w:rPr>
          <w:sz w:val="24"/>
          <w:szCs w:val="24"/>
        </w:rPr>
        <w:t xml:space="preserve"> (Accessed: 21 June 2026).</w:t>
      </w:r>
    </w:p>
    <w:p w14:paraId="32F21AAD" w14:textId="77777777" w:rsidR="00196792" w:rsidRDefault="00196792" w:rsidP="00A02A33">
      <w:pPr>
        <w:ind w:left="360"/>
        <w:rPr>
          <w:sz w:val="24"/>
          <w:szCs w:val="24"/>
        </w:rPr>
      </w:pPr>
    </w:p>
    <w:p w14:paraId="4E4EF7BB" w14:textId="785A155A" w:rsidR="00A02A33" w:rsidRPr="00A02A33" w:rsidRDefault="00A02A33" w:rsidP="00A02A33">
      <w:pPr>
        <w:ind w:left="360"/>
        <w:rPr>
          <w:sz w:val="24"/>
          <w:szCs w:val="24"/>
        </w:rPr>
      </w:pPr>
      <w:r w:rsidRPr="00A02A33">
        <w:rPr>
          <w:sz w:val="24"/>
          <w:szCs w:val="24"/>
        </w:rPr>
        <w:t xml:space="preserve">United Nations (1989) </w:t>
      </w:r>
      <w:r w:rsidRPr="00A02A33">
        <w:rPr>
          <w:i/>
          <w:iCs/>
          <w:sz w:val="24"/>
          <w:szCs w:val="24"/>
        </w:rPr>
        <w:t>United Nations Convention on the Rights of the Child</w:t>
      </w:r>
      <w:r w:rsidRPr="00A02A33">
        <w:rPr>
          <w:sz w:val="24"/>
          <w:szCs w:val="24"/>
        </w:rPr>
        <w:t>. Geneva: United Nations.</w:t>
      </w:r>
    </w:p>
    <w:p w14:paraId="5CC70B29" w14:textId="77777777" w:rsidR="00196792" w:rsidRDefault="00196792" w:rsidP="00A02A33">
      <w:pPr>
        <w:ind w:left="360"/>
        <w:rPr>
          <w:sz w:val="24"/>
          <w:szCs w:val="24"/>
        </w:rPr>
      </w:pPr>
    </w:p>
    <w:p w14:paraId="4682ADCE" w14:textId="0CF637CA" w:rsidR="00A02A33" w:rsidRPr="00A02A33" w:rsidRDefault="00A02A33" w:rsidP="00A02A33">
      <w:pPr>
        <w:ind w:left="360"/>
        <w:rPr>
          <w:sz w:val="24"/>
          <w:szCs w:val="24"/>
        </w:rPr>
      </w:pPr>
      <w:r w:rsidRPr="00A02A33">
        <w:rPr>
          <w:sz w:val="24"/>
          <w:szCs w:val="24"/>
        </w:rPr>
        <w:t xml:space="preserve">Wales Safeguarding Procedures (2019) </w:t>
      </w:r>
      <w:r w:rsidRPr="00A02A33">
        <w:rPr>
          <w:i/>
          <w:iCs/>
          <w:sz w:val="24"/>
          <w:szCs w:val="24"/>
        </w:rPr>
        <w:t>Wales safeguarding procedures</w:t>
      </w:r>
      <w:r w:rsidRPr="00A02A33">
        <w:rPr>
          <w:sz w:val="24"/>
          <w:szCs w:val="24"/>
        </w:rPr>
        <w:t>. Cardiff: Welsh Government.</w:t>
      </w:r>
    </w:p>
    <w:p w14:paraId="44C2149B" w14:textId="77777777" w:rsidR="00196792" w:rsidRDefault="00196792" w:rsidP="00A02A33">
      <w:pPr>
        <w:ind w:left="360"/>
        <w:rPr>
          <w:sz w:val="24"/>
          <w:szCs w:val="24"/>
        </w:rPr>
      </w:pPr>
    </w:p>
    <w:p w14:paraId="1E528EC1" w14:textId="5B04085F" w:rsidR="00A02A33" w:rsidRPr="00A02A33" w:rsidRDefault="00A02A33" w:rsidP="00A02A33">
      <w:pPr>
        <w:ind w:left="360"/>
        <w:rPr>
          <w:sz w:val="24"/>
          <w:szCs w:val="24"/>
        </w:rPr>
      </w:pPr>
      <w:r w:rsidRPr="00A02A33">
        <w:rPr>
          <w:sz w:val="24"/>
          <w:szCs w:val="24"/>
        </w:rPr>
        <w:t xml:space="preserve">Welsh Government (2011) </w:t>
      </w:r>
      <w:r w:rsidRPr="00A02A33">
        <w:rPr>
          <w:i/>
          <w:iCs/>
          <w:sz w:val="24"/>
          <w:szCs w:val="24"/>
        </w:rPr>
        <w:t>Rights of Children and Young Persons (Wales) Measure 2011</w:t>
      </w:r>
      <w:r w:rsidRPr="00A02A33">
        <w:rPr>
          <w:sz w:val="24"/>
          <w:szCs w:val="24"/>
        </w:rPr>
        <w:t>. Cardiff: Welsh Government.</w:t>
      </w:r>
    </w:p>
    <w:p w14:paraId="01C48D12" w14:textId="77777777" w:rsidR="00196792" w:rsidRDefault="00196792" w:rsidP="00A02A33">
      <w:pPr>
        <w:ind w:left="360"/>
        <w:rPr>
          <w:sz w:val="24"/>
          <w:szCs w:val="24"/>
        </w:rPr>
      </w:pPr>
    </w:p>
    <w:p w14:paraId="603B5090" w14:textId="649D4DF5" w:rsidR="00A02A33" w:rsidRPr="00A02A33" w:rsidRDefault="00A02A33" w:rsidP="00A02A33">
      <w:pPr>
        <w:ind w:left="360"/>
        <w:rPr>
          <w:sz w:val="24"/>
          <w:szCs w:val="24"/>
        </w:rPr>
      </w:pPr>
      <w:r w:rsidRPr="00A02A33">
        <w:rPr>
          <w:sz w:val="24"/>
          <w:szCs w:val="24"/>
        </w:rPr>
        <w:t xml:space="preserve">Welsh Government (2011) </w:t>
      </w:r>
      <w:r w:rsidRPr="00A02A33">
        <w:rPr>
          <w:i/>
          <w:iCs/>
          <w:sz w:val="24"/>
          <w:szCs w:val="24"/>
        </w:rPr>
        <w:t>Welsh Language (Wales) Measure 2011</w:t>
      </w:r>
      <w:r w:rsidRPr="00A02A33">
        <w:rPr>
          <w:sz w:val="24"/>
          <w:szCs w:val="24"/>
        </w:rPr>
        <w:t xml:space="preserve">. London: The National Assembly for Wales. [Online] Available at: </w:t>
      </w:r>
      <w:hyperlink r:id="rId53" w:history="1">
        <w:r w:rsidRPr="00A02A33">
          <w:rPr>
            <w:color w:val="0563C1"/>
            <w:sz w:val="24"/>
            <w:szCs w:val="24"/>
            <w:u w:val="single"/>
          </w:rPr>
          <w:t>https://www.legislation.gov.uk/mwa/2011/1/contents</w:t>
        </w:r>
      </w:hyperlink>
      <w:r w:rsidRPr="00A02A33">
        <w:rPr>
          <w:sz w:val="24"/>
          <w:szCs w:val="24"/>
        </w:rPr>
        <w:t xml:space="preserve"> (Accessed: 19</w:t>
      </w:r>
      <w:r w:rsidRPr="00A02A33">
        <w:rPr>
          <w:sz w:val="24"/>
          <w:szCs w:val="24"/>
          <w:vertAlign w:val="superscript"/>
        </w:rPr>
        <w:t>th</w:t>
      </w:r>
      <w:r w:rsidRPr="00A02A33">
        <w:rPr>
          <w:sz w:val="24"/>
          <w:szCs w:val="24"/>
        </w:rPr>
        <w:t xml:space="preserve"> June 2026).</w:t>
      </w:r>
    </w:p>
    <w:p w14:paraId="68E508C4" w14:textId="77777777" w:rsidR="00196792" w:rsidRDefault="00196792" w:rsidP="00A02A33">
      <w:pPr>
        <w:ind w:left="360"/>
        <w:rPr>
          <w:color w:val="auto"/>
          <w:sz w:val="24"/>
          <w:szCs w:val="24"/>
        </w:rPr>
      </w:pPr>
    </w:p>
    <w:p w14:paraId="5E8E84F8" w14:textId="6C648F94" w:rsidR="00A02A33" w:rsidRPr="00A02A33" w:rsidRDefault="00A02A33" w:rsidP="00A02A33">
      <w:pPr>
        <w:ind w:left="360"/>
        <w:rPr>
          <w:color w:val="auto"/>
          <w:sz w:val="24"/>
          <w:szCs w:val="24"/>
        </w:rPr>
      </w:pPr>
      <w:r w:rsidRPr="00A02A33">
        <w:rPr>
          <w:color w:val="auto"/>
          <w:sz w:val="24"/>
          <w:szCs w:val="24"/>
        </w:rPr>
        <w:t xml:space="preserve">Welsh Government (2012) </w:t>
      </w:r>
      <w:r w:rsidRPr="00A02A33">
        <w:rPr>
          <w:i/>
          <w:iCs/>
          <w:color w:val="auto"/>
          <w:sz w:val="24"/>
          <w:szCs w:val="24"/>
        </w:rPr>
        <w:t>More than just words… Strategic Framework for Welsh Language Services in Health, Social Services and Social Care</w:t>
      </w:r>
      <w:r w:rsidRPr="00A02A33">
        <w:rPr>
          <w:color w:val="auto"/>
          <w:sz w:val="24"/>
          <w:szCs w:val="24"/>
        </w:rPr>
        <w:t xml:space="preserve">. Cardiff: Welsh Government. [Online] Available at: </w:t>
      </w:r>
      <w:hyperlink r:id="rId54" w:history="1">
        <w:r w:rsidRPr="00A02A33">
          <w:rPr>
            <w:rStyle w:val="Hyperlink"/>
            <w:sz w:val="24"/>
            <w:szCs w:val="24"/>
          </w:rPr>
          <w:t>https://socialcare.wales/cms-assets/documents/WEB-16184_Narrative_e_WEB.pdf</w:t>
        </w:r>
      </w:hyperlink>
      <w:r w:rsidRPr="00A02A33">
        <w:rPr>
          <w:color w:val="auto"/>
          <w:sz w:val="24"/>
          <w:szCs w:val="24"/>
        </w:rPr>
        <w:t xml:space="preserve">  (Accessed: 10 March 2026).</w:t>
      </w:r>
    </w:p>
    <w:p w14:paraId="2CB84514" w14:textId="77777777" w:rsidR="00196792" w:rsidRDefault="00196792" w:rsidP="00A02A33">
      <w:pPr>
        <w:ind w:left="360"/>
        <w:rPr>
          <w:color w:val="auto"/>
          <w:sz w:val="24"/>
          <w:szCs w:val="24"/>
        </w:rPr>
      </w:pPr>
    </w:p>
    <w:p w14:paraId="1C900413" w14:textId="358E3C9E" w:rsidR="00A02A33" w:rsidRPr="00A02A33" w:rsidRDefault="00A02A33" w:rsidP="00A02A33">
      <w:pPr>
        <w:ind w:left="360"/>
        <w:rPr>
          <w:color w:val="auto"/>
          <w:sz w:val="24"/>
          <w:szCs w:val="24"/>
        </w:rPr>
      </w:pPr>
      <w:r w:rsidRPr="00A02A33">
        <w:rPr>
          <w:color w:val="auto"/>
          <w:sz w:val="24"/>
          <w:szCs w:val="24"/>
        </w:rPr>
        <w:lastRenderedPageBreak/>
        <w:t xml:space="preserve">Welsh Government (2014) </w:t>
      </w:r>
      <w:r w:rsidRPr="00A02A33">
        <w:rPr>
          <w:i/>
          <w:iCs/>
          <w:color w:val="auto"/>
          <w:sz w:val="24"/>
          <w:szCs w:val="24"/>
        </w:rPr>
        <w:t>Social Services and Well-being (Wales) Act 2014</w:t>
      </w:r>
      <w:r w:rsidRPr="00A02A33">
        <w:rPr>
          <w:color w:val="auto"/>
          <w:sz w:val="24"/>
          <w:szCs w:val="24"/>
        </w:rPr>
        <w:t xml:space="preserve">. Cardiff: Welsh Government.[Online] Available at: </w:t>
      </w:r>
      <w:hyperlink r:id="rId55" w:history="1">
        <w:r w:rsidRPr="00A02A33">
          <w:rPr>
            <w:rStyle w:val="Hyperlink"/>
            <w:sz w:val="24"/>
            <w:szCs w:val="24"/>
          </w:rPr>
          <w:t>Social Services and Well-being (Wales) Act 2014 | Law Wales</w:t>
        </w:r>
      </w:hyperlink>
      <w:r w:rsidRPr="00A02A33">
        <w:rPr>
          <w:color w:val="auto"/>
          <w:sz w:val="24"/>
          <w:szCs w:val="24"/>
        </w:rPr>
        <w:t xml:space="preserve"> (Accessed: 10 March 2026).</w:t>
      </w:r>
    </w:p>
    <w:p w14:paraId="6988C36E" w14:textId="77777777" w:rsidR="00196792" w:rsidRDefault="00196792" w:rsidP="00A02A33">
      <w:pPr>
        <w:ind w:left="360"/>
        <w:rPr>
          <w:sz w:val="24"/>
          <w:szCs w:val="24"/>
        </w:rPr>
      </w:pPr>
    </w:p>
    <w:p w14:paraId="7BC9ACCF" w14:textId="343ED547" w:rsidR="00A02A33" w:rsidRDefault="00A02A33" w:rsidP="00A02A33">
      <w:pPr>
        <w:ind w:left="360"/>
        <w:rPr>
          <w:color w:val="000000" w:themeColor="text1"/>
          <w:sz w:val="24"/>
          <w:szCs w:val="24"/>
        </w:rPr>
      </w:pPr>
      <w:r w:rsidRPr="00A02A33">
        <w:rPr>
          <w:color w:val="000000" w:themeColor="text1"/>
          <w:sz w:val="24"/>
          <w:szCs w:val="24"/>
        </w:rPr>
        <w:t xml:space="preserve">Welsh Government (2014) </w:t>
      </w:r>
      <w:r w:rsidRPr="00A02A33">
        <w:rPr>
          <w:i/>
          <w:iCs/>
          <w:color w:val="000000" w:themeColor="text1"/>
          <w:sz w:val="24"/>
          <w:szCs w:val="24"/>
        </w:rPr>
        <w:t>Social Services and Well-being (Wales) Act 2014</w:t>
      </w:r>
      <w:r w:rsidRPr="00A02A33">
        <w:rPr>
          <w:color w:val="000000" w:themeColor="text1"/>
          <w:sz w:val="24"/>
          <w:szCs w:val="24"/>
        </w:rPr>
        <w:t xml:space="preserve">. Cardiff: Welsh Government. [Online] Available at: </w:t>
      </w:r>
      <w:hyperlink r:id="rId56" w:history="1">
        <w:r w:rsidRPr="00A02A33">
          <w:rPr>
            <w:rStyle w:val="Hyperlink"/>
            <w:color w:val="000000" w:themeColor="text1"/>
            <w:sz w:val="24"/>
            <w:szCs w:val="24"/>
          </w:rPr>
          <w:t>https://www.legislation.gov.uk/anaw/2014/4/contents</w:t>
        </w:r>
      </w:hyperlink>
      <w:r w:rsidRPr="00A02A33">
        <w:rPr>
          <w:color w:val="000000" w:themeColor="text1"/>
          <w:sz w:val="24"/>
          <w:szCs w:val="24"/>
        </w:rPr>
        <w:t xml:space="preserve">  (Accessed: 4 July 2026). </w:t>
      </w:r>
    </w:p>
    <w:p w14:paraId="25AECDC3" w14:textId="77777777" w:rsidR="00196792" w:rsidRPr="00A02A33" w:rsidRDefault="00196792" w:rsidP="00A02A33">
      <w:pPr>
        <w:ind w:left="360"/>
        <w:rPr>
          <w:color w:val="000000" w:themeColor="text1"/>
          <w:sz w:val="24"/>
          <w:szCs w:val="24"/>
        </w:rPr>
      </w:pPr>
    </w:p>
    <w:p w14:paraId="6DC72BBE" w14:textId="77777777" w:rsidR="00A02A33" w:rsidRPr="00A02A33" w:rsidRDefault="00A02A33" w:rsidP="00A02A33">
      <w:pPr>
        <w:ind w:left="360"/>
        <w:rPr>
          <w:sz w:val="24"/>
          <w:szCs w:val="24"/>
        </w:rPr>
      </w:pPr>
      <w:r w:rsidRPr="00A02A33">
        <w:rPr>
          <w:sz w:val="24"/>
          <w:szCs w:val="24"/>
        </w:rPr>
        <w:t xml:space="preserve">Welsh Government (2015) </w:t>
      </w:r>
      <w:r w:rsidRPr="00A02A33">
        <w:rPr>
          <w:i/>
          <w:iCs/>
          <w:sz w:val="24"/>
          <w:szCs w:val="24"/>
        </w:rPr>
        <w:t>Delivering the ‘Active Offer’ information pack: Social services and social care</w:t>
      </w:r>
      <w:r w:rsidRPr="00A02A33">
        <w:rPr>
          <w:sz w:val="24"/>
          <w:szCs w:val="24"/>
        </w:rPr>
        <w:t xml:space="preserve">. [Online] Available at: </w:t>
      </w:r>
      <w:hyperlink r:id="rId57" w:history="1">
        <w:r w:rsidRPr="00A02A33">
          <w:rPr>
            <w:color w:val="0563C1"/>
            <w:sz w:val="24"/>
            <w:szCs w:val="24"/>
            <w:u w:val="single"/>
          </w:rPr>
          <w:t>https://www.gov.wales/sites/default/files/publications/2019-04/delivering-the-active-offer-information-pack-social-services-and-social-care.pdf</w:t>
        </w:r>
      </w:hyperlink>
      <w:r w:rsidRPr="00A02A33">
        <w:rPr>
          <w:sz w:val="24"/>
          <w:szCs w:val="24"/>
        </w:rPr>
        <w:t xml:space="preserve"> (Accessed: 20 June 2026).</w:t>
      </w:r>
    </w:p>
    <w:p w14:paraId="49D3DC03" w14:textId="77777777" w:rsidR="00196792" w:rsidRDefault="00196792" w:rsidP="00A02A33">
      <w:pPr>
        <w:ind w:left="360"/>
        <w:rPr>
          <w:color w:val="auto"/>
          <w:sz w:val="24"/>
          <w:szCs w:val="24"/>
        </w:rPr>
      </w:pPr>
    </w:p>
    <w:p w14:paraId="0CE617DB" w14:textId="3E186B29" w:rsidR="00A02A33" w:rsidRPr="00A02A33" w:rsidRDefault="00A02A33" w:rsidP="00A02A33">
      <w:pPr>
        <w:ind w:left="360"/>
        <w:rPr>
          <w:color w:val="auto"/>
          <w:sz w:val="24"/>
          <w:szCs w:val="24"/>
        </w:rPr>
      </w:pPr>
      <w:r w:rsidRPr="00A02A33">
        <w:rPr>
          <w:color w:val="auto"/>
          <w:sz w:val="24"/>
          <w:szCs w:val="24"/>
        </w:rPr>
        <w:t xml:space="preserve">Welsh Government (2015) </w:t>
      </w:r>
      <w:r w:rsidRPr="00A02A33">
        <w:rPr>
          <w:i/>
          <w:iCs/>
          <w:color w:val="auto"/>
          <w:sz w:val="24"/>
          <w:szCs w:val="24"/>
        </w:rPr>
        <w:t>More than just words…. Delivering the ‘Active Offer’ Information Pack: Social Services and Social Care</w:t>
      </w:r>
      <w:r w:rsidRPr="00A02A33">
        <w:rPr>
          <w:color w:val="auto"/>
          <w:sz w:val="24"/>
          <w:szCs w:val="24"/>
        </w:rPr>
        <w:t xml:space="preserve">. Cardiff: Welsh Government. Available at: </w:t>
      </w:r>
      <w:hyperlink r:id="rId58" w:history="1">
        <w:r w:rsidRPr="00A02A33">
          <w:rPr>
            <w:rStyle w:val="Hyperlink"/>
            <w:sz w:val="24"/>
            <w:szCs w:val="24"/>
          </w:rPr>
          <w:t>https://www.gov.wales/sites/default/files/publications/2019-04/delivering-the-active-offer-information-pack-social-services-and-social-care.pd</w:t>
        </w:r>
      </w:hyperlink>
      <w:r w:rsidRPr="00A02A33">
        <w:rPr>
          <w:color w:val="auto"/>
          <w:sz w:val="24"/>
          <w:szCs w:val="24"/>
        </w:rPr>
        <w:t xml:space="preserve">  (Accessed: 10 March 2026).</w:t>
      </w:r>
    </w:p>
    <w:p w14:paraId="6AD1EDFF" w14:textId="77777777" w:rsidR="00196792" w:rsidRDefault="00196792" w:rsidP="00A02A33">
      <w:pPr>
        <w:ind w:left="360"/>
        <w:rPr>
          <w:color w:val="000000" w:themeColor="text1"/>
          <w:sz w:val="24"/>
          <w:szCs w:val="24"/>
        </w:rPr>
      </w:pPr>
    </w:p>
    <w:p w14:paraId="722DF277" w14:textId="5FAC29F1" w:rsidR="00A02A33" w:rsidRPr="00A02A33" w:rsidRDefault="00A02A33" w:rsidP="00A02A33">
      <w:pPr>
        <w:ind w:left="360"/>
        <w:rPr>
          <w:color w:val="000000" w:themeColor="text1"/>
          <w:sz w:val="24"/>
          <w:szCs w:val="24"/>
        </w:rPr>
      </w:pPr>
      <w:r w:rsidRPr="00A02A33">
        <w:rPr>
          <w:color w:val="000000" w:themeColor="text1"/>
          <w:sz w:val="24"/>
          <w:szCs w:val="24"/>
        </w:rPr>
        <w:t xml:space="preserve">Welsh Government (2015) </w:t>
      </w:r>
      <w:r w:rsidRPr="00A02A33">
        <w:rPr>
          <w:i/>
          <w:iCs/>
          <w:color w:val="000000" w:themeColor="text1"/>
          <w:sz w:val="24"/>
          <w:szCs w:val="24"/>
        </w:rPr>
        <w:t>Working Together to Safeguard People: Volume 1 – Introduction and overview</w:t>
      </w:r>
      <w:r w:rsidRPr="00A02A33">
        <w:rPr>
          <w:color w:val="000000" w:themeColor="text1"/>
          <w:sz w:val="24"/>
          <w:szCs w:val="24"/>
        </w:rPr>
        <w:t>. Cardiff: Welsh Government.</w:t>
      </w:r>
    </w:p>
    <w:p w14:paraId="418F9FC5" w14:textId="77777777" w:rsidR="00196792" w:rsidRDefault="00196792" w:rsidP="00A02A33">
      <w:pPr>
        <w:ind w:left="360"/>
        <w:rPr>
          <w:color w:val="000000" w:themeColor="text1"/>
          <w:sz w:val="24"/>
          <w:szCs w:val="24"/>
        </w:rPr>
      </w:pPr>
    </w:p>
    <w:p w14:paraId="67BBAB20" w14:textId="12A43B9D" w:rsidR="00A02A33" w:rsidRPr="00A02A33" w:rsidRDefault="00A02A33" w:rsidP="00A02A33">
      <w:pPr>
        <w:ind w:left="360"/>
        <w:rPr>
          <w:color w:val="000000" w:themeColor="text1"/>
          <w:sz w:val="24"/>
          <w:szCs w:val="24"/>
        </w:rPr>
      </w:pPr>
      <w:r w:rsidRPr="00A02A33">
        <w:rPr>
          <w:color w:val="000000" w:themeColor="text1"/>
          <w:sz w:val="24"/>
          <w:szCs w:val="24"/>
        </w:rPr>
        <w:t xml:space="preserve">Welsh Government (2016) </w:t>
      </w:r>
      <w:r w:rsidRPr="00A02A33">
        <w:rPr>
          <w:i/>
          <w:iCs/>
          <w:color w:val="000000" w:themeColor="text1"/>
          <w:sz w:val="24"/>
          <w:szCs w:val="24"/>
        </w:rPr>
        <w:t>Regulation and Inspection of Social Care (Wales) Act 2016</w:t>
      </w:r>
      <w:r w:rsidRPr="00A02A33">
        <w:rPr>
          <w:color w:val="000000" w:themeColor="text1"/>
          <w:sz w:val="24"/>
          <w:szCs w:val="24"/>
        </w:rPr>
        <w:t xml:space="preserve">. Cardiff: Welsh Government. [Online] Available at: </w:t>
      </w:r>
      <w:hyperlink r:id="rId59" w:history="1">
        <w:r w:rsidRPr="00A02A33">
          <w:rPr>
            <w:rStyle w:val="Hyperlink"/>
            <w:color w:val="000000" w:themeColor="text1"/>
            <w:sz w:val="24"/>
            <w:szCs w:val="24"/>
          </w:rPr>
          <w:t>https://www.legislation.gov.uk/anaw/2016/2/contents</w:t>
        </w:r>
      </w:hyperlink>
      <w:r w:rsidRPr="00A02A33">
        <w:rPr>
          <w:color w:val="000000" w:themeColor="text1"/>
          <w:sz w:val="24"/>
          <w:szCs w:val="24"/>
        </w:rPr>
        <w:t xml:space="preserve">  (Accessed: 4 July 2026).</w:t>
      </w:r>
    </w:p>
    <w:p w14:paraId="67C195F1" w14:textId="77777777" w:rsidR="00196792" w:rsidRDefault="00196792" w:rsidP="00A02A33">
      <w:pPr>
        <w:ind w:left="360"/>
        <w:rPr>
          <w:color w:val="000000" w:themeColor="text1"/>
          <w:sz w:val="24"/>
          <w:szCs w:val="24"/>
        </w:rPr>
      </w:pPr>
    </w:p>
    <w:p w14:paraId="25A0DA0C" w14:textId="3DF12913" w:rsidR="00A02A33" w:rsidRPr="00A02A33" w:rsidRDefault="00A02A33" w:rsidP="00A02A33">
      <w:pPr>
        <w:ind w:left="360"/>
        <w:rPr>
          <w:color w:val="000000" w:themeColor="text1"/>
          <w:sz w:val="24"/>
          <w:szCs w:val="24"/>
        </w:rPr>
      </w:pPr>
      <w:r w:rsidRPr="00A02A33">
        <w:rPr>
          <w:color w:val="000000" w:themeColor="text1"/>
          <w:sz w:val="24"/>
          <w:szCs w:val="24"/>
        </w:rPr>
        <w:t xml:space="preserve">Welsh Government (2022) </w:t>
      </w:r>
      <w:r w:rsidRPr="00A02A33">
        <w:rPr>
          <w:i/>
          <w:iCs/>
          <w:color w:val="000000" w:themeColor="text1"/>
          <w:sz w:val="24"/>
          <w:szCs w:val="24"/>
        </w:rPr>
        <w:t>Code of Safeguarding Practice</w:t>
      </w:r>
      <w:r w:rsidRPr="00A02A33">
        <w:rPr>
          <w:color w:val="000000" w:themeColor="text1"/>
          <w:sz w:val="24"/>
          <w:szCs w:val="24"/>
        </w:rPr>
        <w:t>. Cardiff: Welsh Government.</w:t>
      </w:r>
    </w:p>
    <w:p w14:paraId="500409AD" w14:textId="77777777" w:rsidR="00196792" w:rsidRDefault="00196792" w:rsidP="00A02A33">
      <w:pPr>
        <w:ind w:left="360"/>
        <w:rPr>
          <w:color w:val="000000" w:themeColor="text1"/>
          <w:sz w:val="24"/>
          <w:szCs w:val="24"/>
        </w:rPr>
      </w:pPr>
    </w:p>
    <w:p w14:paraId="26D9B5A9" w14:textId="08A228CE" w:rsidR="00A02A33" w:rsidRPr="00A02A33" w:rsidRDefault="00A02A33" w:rsidP="00A02A33">
      <w:pPr>
        <w:ind w:left="360"/>
        <w:rPr>
          <w:color w:val="000000" w:themeColor="text1"/>
          <w:sz w:val="24"/>
          <w:szCs w:val="24"/>
        </w:rPr>
      </w:pPr>
      <w:r w:rsidRPr="00A02A33">
        <w:rPr>
          <w:color w:val="000000" w:themeColor="text1"/>
          <w:sz w:val="24"/>
          <w:szCs w:val="24"/>
        </w:rPr>
        <w:t xml:space="preserve">Welsh Government (2022) </w:t>
      </w:r>
      <w:r w:rsidRPr="00A02A33">
        <w:rPr>
          <w:i/>
          <w:iCs/>
          <w:color w:val="000000" w:themeColor="text1"/>
          <w:sz w:val="24"/>
          <w:szCs w:val="24"/>
        </w:rPr>
        <w:t>Working Together to Safeguard People</w:t>
      </w:r>
      <w:r w:rsidRPr="00A02A33">
        <w:rPr>
          <w:color w:val="000000" w:themeColor="text1"/>
          <w:sz w:val="24"/>
          <w:szCs w:val="24"/>
        </w:rPr>
        <w:t>. Cardiff: Welsh Government.</w:t>
      </w:r>
    </w:p>
    <w:p w14:paraId="411A71F6" w14:textId="77777777" w:rsidR="00196792" w:rsidRDefault="00196792" w:rsidP="00A02A33">
      <w:pPr>
        <w:ind w:left="360"/>
        <w:rPr>
          <w:sz w:val="24"/>
          <w:szCs w:val="24"/>
        </w:rPr>
      </w:pPr>
    </w:p>
    <w:p w14:paraId="091AC9D2" w14:textId="45F41D72" w:rsidR="00A02A33" w:rsidRPr="00A02A33" w:rsidRDefault="00A02A33" w:rsidP="00A02A33">
      <w:pPr>
        <w:ind w:left="360"/>
        <w:rPr>
          <w:sz w:val="24"/>
          <w:szCs w:val="24"/>
        </w:rPr>
      </w:pPr>
      <w:r w:rsidRPr="00A02A33">
        <w:rPr>
          <w:sz w:val="24"/>
          <w:szCs w:val="24"/>
        </w:rPr>
        <w:t xml:space="preserve">Winter, K. (2011) ‘The perspectives of young children in care about their circumstances and implications for social work practice’, </w:t>
      </w:r>
      <w:r w:rsidRPr="00A02A33">
        <w:rPr>
          <w:i/>
          <w:iCs/>
          <w:sz w:val="24"/>
          <w:szCs w:val="24"/>
        </w:rPr>
        <w:t>Child &amp; Family Social Work</w:t>
      </w:r>
      <w:r w:rsidRPr="00A02A33">
        <w:rPr>
          <w:sz w:val="24"/>
          <w:szCs w:val="24"/>
        </w:rPr>
        <w:t>, 16(2), pp. 186–195.</w:t>
      </w:r>
    </w:p>
    <w:p w14:paraId="4CC93618" w14:textId="77777777" w:rsidR="00196792" w:rsidRDefault="00196792" w:rsidP="00A02A33">
      <w:pPr>
        <w:ind w:left="360"/>
        <w:rPr>
          <w:sz w:val="24"/>
          <w:szCs w:val="24"/>
        </w:rPr>
      </w:pPr>
    </w:p>
    <w:p w14:paraId="63BD4452" w14:textId="2E92B226" w:rsidR="00A02A33" w:rsidRPr="00A02A33" w:rsidRDefault="00A02A33" w:rsidP="00A02A33">
      <w:pPr>
        <w:ind w:left="360"/>
        <w:rPr>
          <w:sz w:val="24"/>
          <w:szCs w:val="24"/>
        </w:rPr>
      </w:pPr>
      <w:r w:rsidRPr="00A02A33">
        <w:rPr>
          <w:sz w:val="24"/>
          <w:szCs w:val="24"/>
        </w:rPr>
        <w:t xml:space="preserve">Worden, J.W. (2018) </w:t>
      </w:r>
      <w:r w:rsidRPr="00A02A33">
        <w:rPr>
          <w:i/>
          <w:iCs/>
          <w:sz w:val="24"/>
          <w:szCs w:val="24"/>
        </w:rPr>
        <w:t>Grief Counselling and Grief Therapy</w:t>
      </w:r>
      <w:r w:rsidRPr="00A02A33">
        <w:rPr>
          <w:sz w:val="24"/>
          <w:szCs w:val="24"/>
        </w:rPr>
        <w:t>. 5th edn. New York: Springer.</w:t>
      </w:r>
    </w:p>
    <w:p w14:paraId="3605820A" w14:textId="77777777" w:rsidR="006B2CB2" w:rsidRDefault="006B2CB2" w:rsidP="006B2CB2"/>
    <w:p w14:paraId="109A48DC" w14:textId="77777777" w:rsidR="006B2CB2" w:rsidRDefault="006B2CB2" w:rsidP="006B2CB2"/>
    <w:p w14:paraId="6D81BDA4" w14:textId="77777777" w:rsidR="006B2CB2" w:rsidRDefault="006B2CB2" w:rsidP="006B2CB2"/>
    <w:p w14:paraId="5223752A" w14:textId="77777777" w:rsidR="006B2CB2" w:rsidRPr="00447523" w:rsidRDefault="006B2CB2" w:rsidP="006B2CB2"/>
    <w:p w14:paraId="2B751F8F" w14:textId="77777777" w:rsidR="006B2CB2" w:rsidRPr="00447523" w:rsidRDefault="006B2CB2" w:rsidP="006B2CB2"/>
    <w:p w14:paraId="7A28222C" w14:textId="77777777" w:rsidR="006B2CB2" w:rsidRDefault="006B2CB2" w:rsidP="006B2CB2"/>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28A65A4F" w:rsidR="00E559CE" w:rsidRPr="00B17FA0" w:rsidRDefault="00F95C20" w:rsidP="00B94443">
            <w:pPr>
              <w:jc w:val="both"/>
              <w:rPr>
                <w:sz w:val="24"/>
                <w:szCs w:val="24"/>
              </w:rPr>
            </w:pPr>
            <w:r>
              <w:rPr>
                <w:sz w:val="24"/>
                <w:szCs w:val="24"/>
              </w:rPr>
              <w:t>14</w:t>
            </w:r>
            <w:r w:rsidRPr="00F95C20">
              <w:rPr>
                <w:sz w:val="24"/>
                <w:szCs w:val="24"/>
                <w:vertAlign w:val="superscript"/>
              </w:rPr>
              <w:t>th</w:t>
            </w:r>
            <w:r>
              <w:rPr>
                <w:sz w:val="24"/>
                <w:szCs w:val="24"/>
              </w:rPr>
              <w:t xml:space="preserve"> November 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0DBC2E1D" w:rsidR="00E559CE" w:rsidRPr="00B17FA0" w:rsidRDefault="00F95C20" w:rsidP="00B94443">
            <w:pPr>
              <w:jc w:val="both"/>
              <w:rPr>
                <w:sz w:val="24"/>
                <w:szCs w:val="24"/>
              </w:rPr>
            </w:pPr>
            <w:r>
              <w:rPr>
                <w:sz w:val="24"/>
                <w:szCs w:val="24"/>
              </w:rPr>
              <w:t>28</w:t>
            </w:r>
            <w:r w:rsidRPr="00F95C20">
              <w:rPr>
                <w:sz w:val="24"/>
                <w:szCs w:val="24"/>
                <w:vertAlign w:val="superscript"/>
              </w:rPr>
              <w:t>th</w:t>
            </w:r>
            <w:r>
              <w:rPr>
                <w:sz w:val="24"/>
                <w:szCs w:val="24"/>
              </w:rPr>
              <w:t xml:space="preserve"> January 2026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572DE159" w:rsidR="00E559CE" w:rsidRPr="00B17FA0" w:rsidRDefault="00F95C20" w:rsidP="00B94443">
            <w:pPr>
              <w:jc w:val="both"/>
              <w:rPr>
                <w:sz w:val="24"/>
                <w:szCs w:val="24"/>
              </w:rPr>
            </w:pPr>
            <w:r>
              <w:rPr>
                <w:sz w:val="24"/>
                <w:szCs w:val="24"/>
              </w:rPr>
              <w:t>22</w:t>
            </w:r>
            <w:r w:rsidRPr="00F95C20">
              <w:rPr>
                <w:sz w:val="24"/>
                <w:szCs w:val="24"/>
                <w:vertAlign w:val="superscript"/>
              </w:rPr>
              <w:t>nd</w:t>
            </w:r>
            <w:r>
              <w:rPr>
                <w:sz w:val="24"/>
                <w:szCs w:val="24"/>
              </w:rPr>
              <w:t xml:space="preserve"> April 2026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4D9E7AC9" w:rsidR="00E559CE" w:rsidRPr="00B17FA0" w:rsidRDefault="00F95C20" w:rsidP="00B94443">
            <w:pPr>
              <w:jc w:val="both"/>
              <w:rPr>
                <w:sz w:val="24"/>
                <w:szCs w:val="24"/>
              </w:rPr>
            </w:pPr>
            <w:r>
              <w:rPr>
                <w:sz w:val="24"/>
                <w:szCs w:val="24"/>
              </w:rPr>
              <w:t>24</w:t>
            </w:r>
            <w:r w:rsidRPr="00F95C20">
              <w:rPr>
                <w:sz w:val="24"/>
                <w:szCs w:val="24"/>
                <w:vertAlign w:val="superscript"/>
              </w:rPr>
              <w:t>th</w:t>
            </w:r>
            <w:r>
              <w:rPr>
                <w:sz w:val="24"/>
                <w:szCs w:val="24"/>
              </w:rPr>
              <w:t xml:space="preserve"> June 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4194905B" w14:textId="77777777" w:rsidR="00C50450" w:rsidRDefault="00C50450" w:rsidP="00C50450">
            <w:pPr>
              <w:jc w:val="both"/>
              <w:rPr>
                <w:color w:val="auto"/>
                <w:sz w:val="24"/>
                <w:szCs w:val="24"/>
              </w:rPr>
            </w:pPr>
            <w:r w:rsidRPr="00C50450">
              <w:rPr>
                <w:color w:val="auto"/>
                <w:sz w:val="24"/>
                <w:szCs w:val="24"/>
              </w:rPr>
              <w:t>Firstly, it has been a real pleasure to see Sophie’s commitment and dedication to completing the Consolidation of Social Work Practice and observe her grow in confidence and evidence her development in her abilities when working with families of different cultures and in her role as a children’s social worker.</w:t>
            </w:r>
          </w:p>
          <w:p w14:paraId="7ECFA03A" w14:textId="77777777" w:rsidR="00C50450" w:rsidRPr="00C50450" w:rsidRDefault="00C50450" w:rsidP="00C50450">
            <w:pPr>
              <w:jc w:val="both"/>
              <w:rPr>
                <w:color w:val="auto"/>
                <w:sz w:val="24"/>
                <w:szCs w:val="24"/>
              </w:rPr>
            </w:pPr>
          </w:p>
          <w:p w14:paraId="7B72C6E6" w14:textId="73DEA674" w:rsidR="00C50450" w:rsidRPr="00C50450" w:rsidRDefault="00C50450" w:rsidP="00C50450">
            <w:pPr>
              <w:jc w:val="both"/>
              <w:rPr>
                <w:color w:val="auto"/>
                <w:sz w:val="24"/>
                <w:szCs w:val="24"/>
              </w:rPr>
            </w:pPr>
            <w:r w:rsidRPr="00C50450">
              <w:rPr>
                <w:color w:val="auto"/>
                <w:sz w:val="24"/>
                <w:szCs w:val="24"/>
              </w:rPr>
              <w:t>Over the duration of the Consolidation Programme, Sophie has demonstrated significant professional growth across all three Social Care Wales learning outcomes. Having worked closely with Sophie throughout this period, I have observed her increasing confidence, reflective capacity, analytical skills and professional judgement as she has transitioned from a newly qualified social worker into a more assured and capable practitioner. The progression identified between Task 1 Part A and Task 1 Part B is evident throughout the portfolio and within day-to-day practice discussions and mentoring sessions.</w:t>
            </w:r>
          </w:p>
          <w:p w14:paraId="7D456F92" w14:textId="77777777" w:rsidR="00C50450" w:rsidRPr="00C50450" w:rsidRDefault="00C50450" w:rsidP="00C50450">
            <w:pPr>
              <w:jc w:val="both"/>
              <w:rPr>
                <w:color w:val="auto"/>
                <w:sz w:val="24"/>
                <w:szCs w:val="24"/>
              </w:rPr>
            </w:pPr>
          </w:p>
          <w:p w14:paraId="6BD6245B" w14:textId="77777777" w:rsidR="00C50450" w:rsidRDefault="00C50450" w:rsidP="00C50450">
            <w:pPr>
              <w:jc w:val="both"/>
              <w:rPr>
                <w:color w:val="auto"/>
                <w:sz w:val="24"/>
                <w:szCs w:val="24"/>
              </w:rPr>
            </w:pPr>
            <w:r w:rsidRPr="00C50450">
              <w:rPr>
                <w:color w:val="auto"/>
                <w:sz w:val="24"/>
                <w:szCs w:val="24"/>
              </w:rPr>
              <w:t>Learning Outcome 1: Applying Analysis in Assessment to Inform Interventions</w:t>
            </w:r>
          </w:p>
          <w:p w14:paraId="2CD448B8" w14:textId="77777777" w:rsidR="00C50450" w:rsidRPr="00C50450" w:rsidRDefault="00C50450" w:rsidP="00C50450">
            <w:pPr>
              <w:jc w:val="both"/>
              <w:rPr>
                <w:color w:val="auto"/>
                <w:sz w:val="24"/>
                <w:szCs w:val="24"/>
              </w:rPr>
            </w:pPr>
          </w:p>
          <w:p w14:paraId="113D9BB1" w14:textId="77777777" w:rsidR="00C50450" w:rsidRDefault="00C50450" w:rsidP="00C50450">
            <w:pPr>
              <w:jc w:val="both"/>
              <w:rPr>
                <w:color w:val="auto"/>
                <w:sz w:val="24"/>
                <w:szCs w:val="24"/>
              </w:rPr>
            </w:pPr>
            <w:r w:rsidRPr="00C50450">
              <w:rPr>
                <w:color w:val="auto"/>
                <w:sz w:val="24"/>
                <w:szCs w:val="24"/>
              </w:rPr>
              <w:t xml:space="preserve">At the beginning of the programme, Sophie identified analytical assessment writing as an area for development. She recognised that whilst her assessments were thorough and comprehensive, she sometimes lacked confidence in drawing clear conclusions and making </w:t>
            </w:r>
            <w:r w:rsidRPr="00C50450">
              <w:rPr>
                <w:color w:val="auto"/>
                <w:sz w:val="24"/>
                <w:szCs w:val="24"/>
              </w:rPr>
              <w:lastRenderedPageBreak/>
              <w:t>decisive recommendations. She reflected on a tendency to focus heavily on information gathering and description rather than succinct analysis and intervention planning.</w:t>
            </w:r>
          </w:p>
          <w:p w14:paraId="628611A5" w14:textId="77777777" w:rsidR="00C50450" w:rsidRPr="00C50450" w:rsidRDefault="00C50450" w:rsidP="00C50450">
            <w:pPr>
              <w:jc w:val="both"/>
              <w:rPr>
                <w:color w:val="auto"/>
                <w:sz w:val="24"/>
                <w:szCs w:val="24"/>
              </w:rPr>
            </w:pPr>
          </w:p>
          <w:p w14:paraId="038A86AF" w14:textId="77777777" w:rsidR="00C50450" w:rsidRDefault="00C50450" w:rsidP="00C50450">
            <w:pPr>
              <w:jc w:val="both"/>
              <w:rPr>
                <w:color w:val="auto"/>
                <w:sz w:val="24"/>
                <w:szCs w:val="24"/>
              </w:rPr>
            </w:pPr>
            <w:r w:rsidRPr="00C50450">
              <w:rPr>
                <w:color w:val="auto"/>
                <w:sz w:val="24"/>
                <w:szCs w:val="24"/>
              </w:rPr>
              <w:t>Throughout the programme, Sophie has worked consistently to strengthen this area of practice. Through supervision, mentoring and reflective discussion, she developed greater confidence in applying analysis to the information she gathers. By Task 1 Part B, she demonstrates a much clearer understanding of the relationship between effective time management, reflection and analytical thinking, recognising the importance of protecting time to critically evaluate information and formulate evidence-informed interventions.</w:t>
            </w:r>
          </w:p>
          <w:p w14:paraId="10794A13" w14:textId="77777777" w:rsidR="00C50450" w:rsidRPr="00C50450" w:rsidRDefault="00C50450" w:rsidP="00C50450">
            <w:pPr>
              <w:jc w:val="both"/>
              <w:rPr>
                <w:color w:val="auto"/>
                <w:sz w:val="24"/>
                <w:szCs w:val="24"/>
              </w:rPr>
            </w:pPr>
          </w:p>
          <w:p w14:paraId="745D8F95" w14:textId="77777777" w:rsidR="00C50450" w:rsidRPr="00C50450" w:rsidRDefault="00C50450" w:rsidP="00C50450">
            <w:pPr>
              <w:jc w:val="both"/>
              <w:rPr>
                <w:color w:val="auto"/>
                <w:sz w:val="24"/>
                <w:szCs w:val="24"/>
              </w:rPr>
            </w:pPr>
            <w:r w:rsidRPr="00C50450">
              <w:rPr>
                <w:color w:val="auto"/>
                <w:sz w:val="24"/>
                <w:szCs w:val="24"/>
              </w:rPr>
              <w:t>This development is particularly evident within her safeguarding case study, where she demonstrates the ability to integrate legislation, theory, research, direct work and multi-agency information into a coherent assessment. Her work shows increasing confidence in weighing evidence, identifying both risk and protective factors, and applying balanced professional analysis to inform decision making. She now demonstrates a stronger ability to articulate her rationale and justify recommendations, reflecting significant progress from the developmental needs identified at the outset of the programme.</w:t>
            </w:r>
          </w:p>
          <w:p w14:paraId="445A472E" w14:textId="77777777" w:rsidR="00C50450" w:rsidRPr="00C50450" w:rsidRDefault="00C50450" w:rsidP="00C50450">
            <w:pPr>
              <w:jc w:val="both"/>
              <w:rPr>
                <w:color w:val="auto"/>
                <w:sz w:val="24"/>
                <w:szCs w:val="24"/>
              </w:rPr>
            </w:pPr>
          </w:p>
          <w:p w14:paraId="566999E2" w14:textId="77777777" w:rsidR="00C50450" w:rsidRDefault="00C50450" w:rsidP="00C50450">
            <w:pPr>
              <w:jc w:val="both"/>
              <w:rPr>
                <w:color w:val="auto"/>
                <w:sz w:val="24"/>
                <w:szCs w:val="24"/>
              </w:rPr>
            </w:pPr>
            <w:r w:rsidRPr="00C50450">
              <w:rPr>
                <w:color w:val="auto"/>
                <w:sz w:val="24"/>
                <w:szCs w:val="24"/>
              </w:rPr>
              <w:t>Learning Outcome 2: Working Collaboratively with People in Need of Care and Support, their Carers and Other Professionals</w:t>
            </w:r>
          </w:p>
          <w:p w14:paraId="1A430B50" w14:textId="77777777" w:rsidR="00C50450" w:rsidRPr="00C50450" w:rsidRDefault="00C50450" w:rsidP="00C50450">
            <w:pPr>
              <w:jc w:val="both"/>
              <w:rPr>
                <w:color w:val="auto"/>
                <w:sz w:val="24"/>
                <w:szCs w:val="24"/>
              </w:rPr>
            </w:pPr>
          </w:p>
          <w:p w14:paraId="2C415BB4" w14:textId="77777777" w:rsidR="00C50450" w:rsidRDefault="00C50450" w:rsidP="00C50450">
            <w:pPr>
              <w:jc w:val="both"/>
              <w:rPr>
                <w:color w:val="auto"/>
                <w:sz w:val="24"/>
                <w:szCs w:val="24"/>
              </w:rPr>
            </w:pPr>
            <w:r w:rsidRPr="00C50450">
              <w:rPr>
                <w:color w:val="auto"/>
                <w:sz w:val="24"/>
                <w:szCs w:val="24"/>
              </w:rPr>
              <w:t>At the commencement of the programme, Sophie identified the transition from previous support roles into that of a qualified social worker as a key developmental area. She recognised the need to establish a stronger professional identity whilst maintaining effective working relationships with individuals, families and partner agencies.</w:t>
            </w:r>
          </w:p>
          <w:p w14:paraId="6E18DFE9" w14:textId="77777777" w:rsidR="00C50450" w:rsidRPr="00C50450" w:rsidRDefault="00C50450" w:rsidP="00C50450">
            <w:pPr>
              <w:jc w:val="both"/>
              <w:rPr>
                <w:color w:val="auto"/>
                <w:sz w:val="24"/>
                <w:szCs w:val="24"/>
              </w:rPr>
            </w:pPr>
          </w:p>
          <w:p w14:paraId="6267D1BE" w14:textId="77777777" w:rsidR="00C50450" w:rsidRDefault="00C50450" w:rsidP="00C50450">
            <w:pPr>
              <w:jc w:val="both"/>
              <w:rPr>
                <w:color w:val="auto"/>
                <w:sz w:val="24"/>
                <w:szCs w:val="24"/>
              </w:rPr>
            </w:pPr>
            <w:r w:rsidRPr="00C50450">
              <w:rPr>
                <w:color w:val="auto"/>
                <w:sz w:val="24"/>
                <w:szCs w:val="24"/>
              </w:rPr>
              <w:t>Over the course of the programme, Sophie has demonstrated considerable growth in her confidence when working collaboratively. Through mentoring, supervision, shadowing opportunities and practice experience, she has developed a clearer professional identity and greater confidence in representing the social work role within multi-agency settings. Her reflections demonstrate an increasing understanding of professional boundaries, accountability and the unique contribution of social work within safeguarding systems.</w:t>
            </w:r>
          </w:p>
          <w:p w14:paraId="4450D40C" w14:textId="77777777" w:rsidR="00C50450" w:rsidRPr="00C50450" w:rsidRDefault="00C50450" w:rsidP="00C50450">
            <w:pPr>
              <w:jc w:val="both"/>
              <w:rPr>
                <w:color w:val="auto"/>
                <w:sz w:val="24"/>
                <w:szCs w:val="24"/>
              </w:rPr>
            </w:pPr>
          </w:p>
          <w:p w14:paraId="43E65F8F" w14:textId="77777777" w:rsidR="00C50450" w:rsidRPr="00C50450" w:rsidRDefault="00C50450" w:rsidP="00C50450">
            <w:pPr>
              <w:jc w:val="both"/>
              <w:rPr>
                <w:color w:val="auto"/>
                <w:sz w:val="24"/>
                <w:szCs w:val="24"/>
              </w:rPr>
            </w:pPr>
            <w:r w:rsidRPr="00C50450">
              <w:rPr>
                <w:color w:val="auto"/>
                <w:sz w:val="24"/>
                <w:szCs w:val="24"/>
              </w:rPr>
              <w:t>This development is particularly evident within the observed practice, where Sophie effectively communicated with a family whose first language was Arabic. She demonstrated sensitivity to cultural and linguistic needs, utilised interpretation services appropriately, and ensured the family were able to participate meaningfully in the child protection process. She maintained respectful and professional relationships while also managing conflict, anxiety and challenge. The feedback received from the service user confirms that she was well prepared, listened respectfully, explained information clearly and considered the family’s language needs. This demonstrates her ability to develop positive working relationships even within challenging safeguarding circumstances.</w:t>
            </w:r>
          </w:p>
          <w:p w14:paraId="77ECBC40" w14:textId="77777777" w:rsidR="00C50450" w:rsidRPr="00C50450" w:rsidRDefault="00C50450" w:rsidP="00C50450">
            <w:pPr>
              <w:jc w:val="both"/>
              <w:rPr>
                <w:color w:val="auto"/>
                <w:sz w:val="24"/>
                <w:szCs w:val="24"/>
              </w:rPr>
            </w:pPr>
          </w:p>
          <w:p w14:paraId="4FFED225" w14:textId="77777777" w:rsidR="00C50450" w:rsidRDefault="00C50450" w:rsidP="00C50450">
            <w:pPr>
              <w:jc w:val="both"/>
              <w:rPr>
                <w:color w:val="auto"/>
                <w:sz w:val="24"/>
                <w:szCs w:val="24"/>
              </w:rPr>
            </w:pPr>
            <w:r w:rsidRPr="00C50450">
              <w:rPr>
                <w:color w:val="auto"/>
                <w:sz w:val="24"/>
                <w:szCs w:val="24"/>
              </w:rPr>
              <w:t>Learning Outcome 3: Intervention and Application of Professional Judgement in Increasingly Complex Situations</w:t>
            </w:r>
          </w:p>
          <w:p w14:paraId="71B3DF04" w14:textId="77777777" w:rsidR="00C50450" w:rsidRPr="00C50450" w:rsidRDefault="00C50450" w:rsidP="00C50450">
            <w:pPr>
              <w:jc w:val="both"/>
              <w:rPr>
                <w:color w:val="auto"/>
                <w:sz w:val="24"/>
                <w:szCs w:val="24"/>
              </w:rPr>
            </w:pPr>
          </w:p>
          <w:p w14:paraId="7DD0A8AF" w14:textId="77777777" w:rsidR="00C50450" w:rsidRDefault="00C50450" w:rsidP="00C50450">
            <w:pPr>
              <w:jc w:val="both"/>
              <w:rPr>
                <w:color w:val="auto"/>
                <w:sz w:val="24"/>
                <w:szCs w:val="24"/>
              </w:rPr>
            </w:pPr>
            <w:r w:rsidRPr="00C50450">
              <w:rPr>
                <w:color w:val="auto"/>
                <w:sz w:val="24"/>
                <w:szCs w:val="24"/>
              </w:rPr>
              <w:lastRenderedPageBreak/>
              <w:t>Professional judgement was identified by Sophie as an area requiring further development at the beginning of the programme, particularly in relation to challenging parental accounts, addressing risk concerns and managing difficult conversations confidently.</w:t>
            </w:r>
          </w:p>
          <w:p w14:paraId="1AAE798D" w14:textId="77777777" w:rsidR="00C50450" w:rsidRPr="00C50450" w:rsidRDefault="00C50450" w:rsidP="00C50450">
            <w:pPr>
              <w:jc w:val="both"/>
              <w:rPr>
                <w:color w:val="auto"/>
                <w:sz w:val="24"/>
                <w:szCs w:val="24"/>
              </w:rPr>
            </w:pPr>
          </w:p>
          <w:p w14:paraId="48E43A35" w14:textId="77777777" w:rsidR="00C50450" w:rsidRDefault="00C50450" w:rsidP="00C50450">
            <w:pPr>
              <w:jc w:val="both"/>
              <w:rPr>
                <w:color w:val="auto"/>
                <w:sz w:val="24"/>
                <w:szCs w:val="24"/>
              </w:rPr>
            </w:pPr>
            <w:r w:rsidRPr="00C50450">
              <w:rPr>
                <w:color w:val="auto"/>
                <w:sz w:val="24"/>
                <w:szCs w:val="24"/>
              </w:rPr>
              <w:t>Throughout the programme I have observed a marked increase in her confidence when exercising professional judgement. Sophie has embraced supervision and reflective practice to strengthen her decision making and has demonstrated a growing ability to balance empathy, relationship-based practice and safeguarding responsibilities. By Task 1 Part B she shows a greater appreciation of the importance of professional curiosity and respectful challenge when assessing risk and need.</w:t>
            </w:r>
          </w:p>
          <w:p w14:paraId="64176877" w14:textId="77777777" w:rsidR="00C50450" w:rsidRPr="00C50450" w:rsidRDefault="00C50450" w:rsidP="00C50450">
            <w:pPr>
              <w:jc w:val="both"/>
              <w:rPr>
                <w:color w:val="auto"/>
                <w:sz w:val="24"/>
                <w:szCs w:val="24"/>
              </w:rPr>
            </w:pPr>
          </w:p>
          <w:p w14:paraId="7699EE2C" w14:textId="77777777" w:rsidR="00C50450" w:rsidRPr="00C50450" w:rsidRDefault="00C50450" w:rsidP="00C50450">
            <w:pPr>
              <w:jc w:val="both"/>
              <w:rPr>
                <w:color w:val="auto"/>
                <w:sz w:val="24"/>
                <w:szCs w:val="24"/>
              </w:rPr>
            </w:pPr>
            <w:r w:rsidRPr="00C50450">
              <w:rPr>
                <w:color w:val="auto"/>
                <w:sz w:val="24"/>
                <w:szCs w:val="24"/>
              </w:rPr>
              <w:t>Her safeguarding case study provides strong evidence of this development. She demonstrates the ability to navigate complexity involving multi-agency disagreement, significant family trauma, historical concerns and competing professional perspectives. She is increasingly confident in formulating and defending her professional recommendations whilst remaining reflective and open to challenge. Of particular significance is her demonstrated awareness that effective professional judgement requires continual learning, reflection and vigilance against complacency.</w:t>
            </w:r>
          </w:p>
          <w:p w14:paraId="0A5315E8" w14:textId="77777777" w:rsidR="00C50450" w:rsidRPr="00C50450" w:rsidRDefault="00C50450" w:rsidP="00C50450">
            <w:pPr>
              <w:jc w:val="both"/>
              <w:rPr>
                <w:color w:val="auto"/>
                <w:sz w:val="24"/>
                <w:szCs w:val="24"/>
              </w:rPr>
            </w:pPr>
          </w:p>
          <w:p w14:paraId="307C2BF1" w14:textId="77777777" w:rsidR="00C50450" w:rsidRDefault="00C50450" w:rsidP="00C50450">
            <w:pPr>
              <w:jc w:val="both"/>
              <w:rPr>
                <w:color w:val="auto"/>
                <w:sz w:val="24"/>
                <w:szCs w:val="24"/>
              </w:rPr>
            </w:pPr>
            <w:r w:rsidRPr="00C50450">
              <w:rPr>
                <w:color w:val="auto"/>
                <w:sz w:val="24"/>
                <w:szCs w:val="24"/>
              </w:rPr>
              <w:t>Feedback from Individuals in Need of Care and Support and/or their Carers</w:t>
            </w:r>
          </w:p>
          <w:p w14:paraId="08498687" w14:textId="77777777" w:rsidR="00C50450" w:rsidRPr="00C50450" w:rsidRDefault="00C50450" w:rsidP="00C50450">
            <w:pPr>
              <w:jc w:val="both"/>
              <w:rPr>
                <w:color w:val="auto"/>
                <w:sz w:val="24"/>
                <w:szCs w:val="24"/>
              </w:rPr>
            </w:pPr>
          </w:p>
          <w:p w14:paraId="26AE7B0B" w14:textId="77777777" w:rsidR="00C50450" w:rsidRDefault="00C50450" w:rsidP="00C50450">
            <w:pPr>
              <w:jc w:val="both"/>
              <w:rPr>
                <w:color w:val="auto"/>
                <w:sz w:val="24"/>
                <w:szCs w:val="24"/>
              </w:rPr>
            </w:pPr>
            <w:r w:rsidRPr="00C50450">
              <w:rPr>
                <w:color w:val="auto"/>
                <w:sz w:val="24"/>
                <w:szCs w:val="24"/>
              </w:rPr>
              <w:t>Feedback received from individuals Sophie has worked with has consistently highlighted her strengths in communication, preparation, listening and respect. During the direct observation of practice, the service user reported feeling listened to, respected and fully informed, and confirmed that Sophie had considered the family’s communication needs using an interpreter. Although the family did not agree with all statutory decisions, they were able to acknowledge Sophie’s professionalism, friendliness and supportive approach.</w:t>
            </w:r>
          </w:p>
          <w:p w14:paraId="1BC03B40" w14:textId="77777777" w:rsidR="00C50450" w:rsidRPr="00C50450" w:rsidRDefault="00C50450" w:rsidP="00C50450">
            <w:pPr>
              <w:jc w:val="both"/>
              <w:rPr>
                <w:color w:val="auto"/>
                <w:sz w:val="24"/>
                <w:szCs w:val="24"/>
              </w:rPr>
            </w:pPr>
          </w:p>
          <w:p w14:paraId="0EB31B35" w14:textId="77777777" w:rsidR="00C50450" w:rsidRPr="00C50450" w:rsidRDefault="00C50450" w:rsidP="00C50450">
            <w:pPr>
              <w:jc w:val="both"/>
              <w:rPr>
                <w:color w:val="auto"/>
                <w:sz w:val="24"/>
                <w:szCs w:val="24"/>
              </w:rPr>
            </w:pPr>
            <w:r w:rsidRPr="00C50450">
              <w:rPr>
                <w:color w:val="auto"/>
                <w:sz w:val="24"/>
                <w:szCs w:val="24"/>
              </w:rPr>
              <w:t>I have also discussed with Sophie the impact of working with families who present significant challenge, including situations involving hostility and verbal aggression. Her reflections demonstrate increasing resilience and emotional maturity. Rather than avoiding difficult work, she has used these experiences as opportunities for learning and professional development. This willingness to reflect on both positive and challenging feedback will continue to support her growth as an experienced practitioner.</w:t>
            </w:r>
          </w:p>
          <w:p w14:paraId="08277B4D" w14:textId="77777777" w:rsidR="00C50450" w:rsidRPr="00C50450" w:rsidRDefault="00C50450" w:rsidP="00C50450">
            <w:pPr>
              <w:jc w:val="both"/>
              <w:rPr>
                <w:color w:val="auto"/>
                <w:sz w:val="24"/>
                <w:szCs w:val="24"/>
              </w:rPr>
            </w:pPr>
          </w:p>
          <w:p w14:paraId="6DB1F18B" w14:textId="77777777" w:rsidR="00C50450" w:rsidRDefault="00C50450" w:rsidP="00C50450">
            <w:pPr>
              <w:jc w:val="both"/>
              <w:rPr>
                <w:color w:val="auto"/>
                <w:sz w:val="24"/>
                <w:szCs w:val="24"/>
              </w:rPr>
            </w:pPr>
            <w:r w:rsidRPr="00C50450">
              <w:rPr>
                <w:color w:val="auto"/>
                <w:sz w:val="24"/>
                <w:szCs w:val="24"/>
              </w:rPr>
              <w:t>Overall Summary</w:t>
            </w:r>
          </w:p>
          <w:p w14:paraId="7F8C3A45" w14:textId="77777777" w:rsidR="00C50450" w:rsidRPr="00C50450" w:rsidRDefault="00C50450" w:rsidP="00C50450">
            <w:pPr>
              <w:jc w:val="both"/>
              <w:rPr>
                <w:color w:val="auto"/>
                <w:sz w:val="24"/>
                <w:szCs w:val="24"/>
              </w:rPr>
            </w:pPr>
          </w:p>
          <w:p w14:paraId="5E8C40A7" w14:textId="77777777" w:rsidR="00C50450" w:rsidRDefault="00C50450" w:rsidP="00C50450">
            <w:pPr>
              <w:jc w:val="both"/>
              <w:rPr>
                <w:color w:val="auto"/>
                <w:sz w:val="24"/>
                <w:szCs w:val="24"/>
              </w:rPr>
            </w:pPr>
            <w:r w:rsidRPr="00C50450">
              <w:rPr>
                <w:color w:val="auto"/>
                <w:sz w:val="24"/>
                <w:szCs w:val="24"/>
              </w:rPr>
              <w:t>Overall, Sophie has demonstrated excellent progress across all three learning outcomes and has fully engaged with the learning, supervision, mentoring and reflective opportunities available throughout the programme. The progression between her initial developmental review and her final reflections clearly evidences increased confidence, stronger analytical skills, a more established professional identity and enhanced professional judgement.</w:t>
            </w:r>
          </w:p>
          <w:p w14:paraId="5853B13F" w14:textId="77777777" w:rsidR="00C50450" w:rsidRPr="00C50450" w:rsidRDefault="00C50450" w:rsidP="00C50450">
            <w:pPr>
              <w:jc w:val="both"/>
              <w:rPr>
                <w:color w:val="auto"/>
                <w:sz w:val="24"/>
                <w:szCs w:val="24"/>
              </w:rPr>
            </w:pPr>
          </w:p>
          <w:p w14:paraId="7E71EC13" w14:textId="1DC3AEE2" w:rsidR="00FC0334" w:rsidRDefault="00C50450" w:rsidP="005D4F72">
            <w:pPr>
              <w:jc w:val="both"/>
              <w:rPr>
                <w:color w:val="auto"/>
                <w:sz w:val="24"/>
                <w:szCs w:val="24"/>
              </w:rPr>
            </w:pPr>
            <w:r w:rsidRPr="00C50450">
              <w:rPr>
                <w:color w:val="auto"/>
                <w:sz w:val="24"/>
                <w:szCs w:val="24"/>
              </w:rPr>
              <w:t xml:space="preserve">Looking forward, Sophie would benefit from continuing to develop confidence in leading complex multi-agency discussions and challenging professional disagreement independently. However, she has established a strong foundation for future practice and consistently </w:t>
            </w:r>
            <w:r w:rsidRPr="00C50450">
              <w:rPr>
                <w:color w:val="auto"/>
                <w:sz w:val="24"/>
                <w:szCs w:val="24"/>
              </w:rPr>
              <w:lastRenderedPageBreak/>
              <w:t>demonstrates the values, skills and reflective approach expected of a competent social worker. I am confident that she will continue to develop into an effective and highly capable experienced practitioner.</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721993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1D5AE3" w:rsidRPr="001D5AE3">
        <w:rPr>
          <w:b/>
          <w:sz w:val="24"/>
          <w:szCs w:val="24"/>
        </w:rPr>
        <w:t>Sophie Challenger</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3D3ED79"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1D5AE3">
        <w:rPr>
          <w:b/>
          <w:sz w:val="24"/>
          <w:szCs w:val="24"/>
        </w:rPr>
        <w:t xml:space="preserve"> 0900112</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047E286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1D5AE3">
        <w:rPr>
          <w:b/>
          <w:sz w:val="24"/>
          <w:szCs w:val="24"/>
        </w:rPr>
        <w:t xml:space="preserve"> 1 Glyn Garfield Close, Briton Ferry, SA112JR</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34163A1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1D5AE3">
        <w:rPr>
          <w:b/>
          <w:sz w:val="24"/>
          <w:szCs w:val="24"/>
        </w:rPr>
        <w:t xml:space="preserve">  07981346206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6A5364B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1D5AE3">
        <w:rPr>
          <w:b/>
          <w:sz w:val="24"/>
          <w:szCs w:val="24"/>
        </w:rPr>
        <w:t xml:space="preserve"> Sophiechallenger1991@hotmail.com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87F1FE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CA4D54">
        <w:rPr>
          <w:b/>
          <w:sz w:val="24"/>
          <w:szCs w:val="24"/>
        </w:rPr>
        <w:t>31/10/2024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2E998AB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CA4D54">
        <w:rPr>
          <w:b/>
          <w:sz w:val="24"/>
          <w:szCs w:val="24"/>
        </w:rPr>
        <w:t xml:space="preserve"> 28/11/2024      </w:t>
      </w:r>
      <w:r w:rsidR="00CA4D54" w:rsidRPr="00CA4D54">
        <w:rPr>
          <w:b/>
          <w:sz w:val="24"/>
          <w:szCs w:val="24"/>
        </w:rPr>
        <w:t>W/5084612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332628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C50450">
        <w:rPr>
          <w:b/>
          <w:sz w:val="24"/>
          <w:szCs w:val="24"/>
        </w:rPr>
        <w:t xml:space="preserve"> Single Point of Contact</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8201A9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1D5AE3">
        <w:rPr>
          <w:b/>
          <w:sz w:val="24"/>
          <w:szCs w:val="24"/>
        </w:rPr>
        <w:t xml:space="preserve">  Neath Port Talbot County Borough Council.</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E4E610D" w14:textId="77777777" w:rsidR="001D5AE3" w:rsidRPr="001D5AE3" w:rsidRDefault="004923DA" w:rsidP="001D5A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1D5AE3">
        <w:rPr>
          <w:b/>
          <w:sz w:val="24"/>
          <w:szCs w:val="24"/>
        </w:rPr>
        <w:t xml:space="preserve"> </w:t>
      </w:r>
      <w:r w:rsidR="001D5AE3" w:rsidRPr="001D5AE3">
        <w:rPr>
          <w:b/>
          <w:sz w:val="24"/>
          <w:szCs w:val="24"/>
        </w:rPr>
        <w:t>Neath Civic Centre</w:t>
      </w:r>
    </w:p>
    <w:p w14:paraId="3FEDEF90" w14:textId="77777777" w:rsidR="001D5AE3" w:rsidRPr="001D5AE3" w:rsidRDefault="001D5AE3" w:rsidP="001D5AE3">
      <w:pPr>
        <w:pBdr>
          <w:top w:val="single" w:sz="6" w:space="1" w:color="auto"/>
          <w:left w:val="single" w:sz="6" w:space="1" w:color="auto"/>
          <w:bottom w:val="single" w:sz="6" w:space="1" w:color="auto"/>
          <w:right w:val="single" w:sz="6" w:space="1" w:color="auto"/>
        </w:pBdr>
        <w:jc w:val="both"/>
        <w:rPr>
          <w:b/>
          <w:sz w:val="24"/>
          <w:szCs w:val="24"/>
        </w:rPr>
      </w:pPr>
      <w:r w:rsidRPr="001D5AE3">
        <w:rPr>
          <w:b/>
          <w:sz w:val="24"/>
          <w:szCs w:val="24"/>
        </w:rPr>
        <w:t xml:space="preserve">Water Street </w:t>
      </w:r>
    </w:p>
    <w:p w14:paraId="260C37DD" w14:textId="77777777" w:rsidR="001D5AE3" w:rsidRPr="001D5AE3" w:rsidRDefault="001D5AE3" w:rsidP="001D5AE3">
      <w:pPr>
        <w:pBdr>
          <w:top w:val="single" w:sz="6" w:space="1" w:color="auto"/>
          <w:left w:val="single" w:sz="6" w:space="1" w:color="auto"/>
          <w:bottom w:val="single" w:sz="6" w:space="1" w:color="auto"/>
          <w:right w:val="single" w:sz="6" w:space="1" w:color="auto"/>
        </w:pBdr>
        <w:jc w:val="both"/>
        <w:rPr>
          <w:b/>
          <w:sz w:val="24"/>
          <w:szCs w:val="24"/>
        </w:rPr>
      </w:pPr>
      <w:r w:rsidRPr="001D5AE3">
        <w:rPr>
          <w:b/>
          <w:sz w:val="24"/>
          <w:szCs w:val="24"/>
        </w:rPr>
        <w:t>Neath</w:t>
      </w:r>
    </w:p>
    <w:p w14:paraId="3DC7D6E0" w14:textId="77777777" w:rsidR="001D5AE3" w:rsidRPr="001D5AE3" w:rsidRDefault="001D5AE3" w:rsidP="001D5AE3">
      <w:pPr>
        <w:pBdr>
          <w:top w:val="single" w:sz="6" w:space="1" w:color="auto"/>
          <w:left w:val="single" w:sz="6" w:space="1" w:color="auto"/>
          <w:bottom w:val="single" w:sz="6" w:space="1" w:color="auto"/>
          <w:right w:val="single" w:sz="6" w:space="1" w:color="auto"/>
        </w:pBdr>
        <w:jc w:val="both"/>
        <w:rPr>
          <w:b/>
          <w:sz w:val="24"/>
          <w:szCs w:val="24"/>
        </w:rPr>
      </w:pPr>
      <w:r w:rsidRPr="001D5AE3">
        <w:rPr>
          <w:b/>
          <w:sz w:val="24"/>
          <w:szCs w:val="24"/>
        </w:rPr>
        <w:t>SA11 3QZ</w:t>
      </w:r>
    </w:p>
    <w:p w14:paraId="64058DF9" w14:textId="368B350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2800AEB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1D5AE3">
        <w:rPr>
          <w:b/>
          <w:sz w:val="24"/>
          <w:szCs w:val="24"/>
        </w:rPr>
        <w:t xml:space="preserve"> 01639 686802</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023F9A34"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5D129A">
        <w:rPr>
          <w:b/>
          <w:sz w:val="24"/>
          <w:szCs w:val="24"/>
        </w:rPr>
        <w:t>Spoc@npt.gov.uk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3CF419D"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1D5AE3">
        <w:rPr>
          <w:b/>
          <w:sz w:val="24"/>
          <w:szCs w:val="24"/>
        </w:rPr>
        <w:sym w:font="Wingdings" w:char="F06E"/>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1077612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D5AE3">
        <w:rPr>
          <w:b/>
          <w:sz w:val="24"/>
          <w:szCs w:val="24"/>
        </w:rPr>
        <w:t xml:space="preserve"> John Heycock</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D09453" w14:textId="77777777" w:rsidR="00C50450"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C50450">
        <w:rPr>
          <w:b/>
          <w:sz w:val="24"/>
          <w:szCs w:val="24"/>
        </w:rPr>
        <w:t xml:space="preserve"> Single Point of Contact, </w:t>
      </w:r>
    </w:p>
    <w:p w14:paraId="2640C675" w14:textId="77777777" w:rsidR="00C50450" w:rsidRDefault="00C5045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Neath Civic Centre, </w:t>
      </w:r>
    </w:p>
    <w:p w14:paraId="0A23EF64" w14:textId="77777777" w:rsidR="00C50450" w:rsidRDefault="00C5045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Neath, </w:t>
      </w:r>
    </w:p>
    <w:p w14:paraId="4E0A65B7" w14:textId="1E0A3F1D" w:rsidR="004923DA" w:rsidRPr="008B28E7" w:rsidRDefault="00C5045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SA11 3QZ</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3374FFD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1D5AE3">
        <w:rPr>
          <w:b/>
          <w:sz w:val="24"/>
          <w:szCs w:val="24"/>
        </w:rPr>
        <w:t xml:space="preserve"> </w:t>
      </w:r>
      <w:r w:rsidR="001D5AE3" w:rsidRPr="001D5AE3">
        <w:rPr>
          <w:b/>
          <w:sz w:val="24"/>
          <w:szCs w:val="24"/>
        </w:rPr>
        <w:t>07976836679</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1718E88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1D5AE3">
        <w:rPr>
          <w:b/>
          <w:sz w:val="24"/>
          <w:szCs w:val="24"/>
        </w:rPr>
        <w:t xml:space="preserve"> </w:t>
      </w:r>
      <w:r w:rsidR="001D5AE3" w:rsidRPr="001D5AE3">
        <w:rPr>
          <w:b/>
          <w:sz w:val="24"/>
          <w:szCs w:val="24"/>
        </w:rPr>
        <w:t>j.heycock@npt.gov.uk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599E73E" w:rsidR="004923DA" w:rsidRDefault="004923DA" w:rsidP="00FF7EBB">
            <w:pPr>
              <w:jc w:val="both"/>
              <w:rPr>
                <w:b/>
                <w:sz w:val="24"/>
                <w:szCs w:val="24"/>
              </w:rPr>
            </w:pPr>
            <w:r w:rsidRPr="008B28E7">
              <w:rPr>
                <w:b/>
                <w:sz w:val="24"/>
                <w:szCs w:val="24"/>
              </w:rPr>
              <w:t>Name:</w:t>
            </w:r>
            <w:r w:rsidR="001D5AE3">
              <w:rPr>
                <w:b/>
                <w:sz w:val="24"/>
                <w:szCs w:val="24"/>
              </w:rPr>
              <w:t xml:space="preserve"> John Heycock</w:t>
            </w:r>
          </w:p>
          <w:p w14:paraId="4EF4A770" w14:textId="77777777" w:rsidR="004923DA" w:rsidRPr="008B28E7" w:rsidRDefault="004923DA" w:rsidP="00FF7EBB">
            <w:pPr>
              <w:jc w:val="both"/>
              <w:rPr>
                <w:b/>
                <w:sz w:val="24"/>
                <w:szCs w:val="24"/>
              </w:rPr>
            </w:pPr>
          </w:p>
          <w:p w14:paraId="33B005D1" w14:textId="77777777" w:rsidR="00C50450" w:rsidRPr="00C50450" w:rsidRDefault="004923DA" w:rsidP="00C50450">
            <w:pPr>
              <w:jc w:val="both"/>
              <w:rPr>
                <w:b/>
                <w:sz w:val="24"/>
                <w:szCs w:val="24"/>
              </w:rPr>
            </w:pPr>
            <w:r w:rsidRPr="008B28E7">
              <w:rPr>
                <w:b/>
                <w:sz w:val="24"/>
                <w:szCs w:val="24"/>
              </w:rPr>
              <w:t xml:space="preserve">Work Address: </w:t>
            </w:r>
            <w:r w:rsidR="00C50450" w:rsidRPr="00C50450">
              <w:rPr>
                <w:b/>
                <w:sz w:val="24"/>
                <w:szCs w:val="24"/>
              </w:rPr>
              <w:t xml:space="preserve">Single Point of Contact, </w:t>
            </w:r>
          </w:p>
          <w:p w14:paraId="02DBE624" w14:textId="77777777" w:rsidR="00C50450" w:rsidRPr="00C50450" w:rsidRDefault="00C50450" w:rsidP="00C50450">
            <w:pPr>
              <w:jc w:val="both"/>
              <w:rPr>
                <w:b/>
                <w:sz w:val="24"/>
                <w:szCs w:val="24"/>
              </w:rPr>
            </w:pPr>
            <w:r w:rsidRPr="00C50450">
              <w:rPr>
                <w:b/>
                <w:sz w:val="24"/>
                <w:szCs w:val="24"/>
              </w:rPr>
              <w:t xml:space="preserve">Neath Civic Centre, </w:t>
            </w:r>
          </w:p>
          <w:p w14:paraId="4918A3EE" w14:textId="77777777" w:rsidR="00C50450" w:rsidRPr="00C50450" w:rsidRDefault="00C50450" w:rsidP="00C50450">
            <w:pPr>
              <w:jc w:val="both"/>
              <w:rPr>
                <w:b/>
                <w:sz w:val="24"/>
                <w:szCs w:val="24"/>
              </w:rPr>
            </w:pPr>
            <w:r w:rsidRPr="00C50450">
              <w:rPr>
                <w:b/>
                <w:sz w:val="24"/>
                <w:szCs w:val="24"/>
              </w:rPr>
              <w:t xml:space="preserve">Neath, </w:t>
            </w:r>
          </w:p>
          <w:p w14:paraId="0DC3E2EC" w14:textId="5155CBC9" w:rsidR="009D59C2" w:rsidRDefault="00C50450" w:rsidP="00C50450">
            <w:pPr>
              <w:jc w:val="both"/>
              <w:rPr>
                <w:b/>
                <w:sz w:val="24"/>
                <w:szCs w:val="24"/>
              </w:rPr>
            </w:pPr>
            <w:r w:rsidRPr="00C50450">
              <w:rPr>
                <w:b/>
                <w:sz w:val="24"/>
                <w:szCs w:val="24"/>
              </w:rPr>
              <w:t>SA11 3QZ</w:t>
            </w:r>
          </w:p>
          <w:p w14:paraId="12053DB3" w14:textId="77777777" w:rsidR="004923DA" w:rsidRPr="008B28E7" w:rsidRDefault="004923DA" w:rsidP="00FF7EBB">
            <w:pPr>
              <w:jc w:val="both"/>
              <w:rPr>
                <w:b/>
                <w:sz w:val="24"/>
                <w:szCs w:val="24"/>
              </w:rPr>
            </w:pPr>
          </w:p>
          <w:p w14:paraId="6E1CBC17" w14:textId="06752FA3" w:rsidR="004923DA" w:rsidRDefault="004923DA" w:rsidP="00FF7EBB">
            <w:pPr>
              <w:jc w:val="both"/>
              <w:rPr>
                <w:b/>
                <w:sz w:val="24"/>
                <w:szCs w:val="24"/>
              </w:rPr>
            </w:pPr>
            <w:r w:rsidRPr="008B28E7">
              <w:rPr>
                <w:b/>
                <w:sz w:val="24"/>
                <w:szCs w:val="24"/>
              </w:rPr>
              <w:t>Professional Qualification and date of qualification:</w:t>
            </w:r>
            <w:r w:rsidR="00C50450">
              <w:rPr>
                <w:b/>
                <w:sz w:val="24"/>
                <w:szCs w:val="24"/>
              </w:rPr>
              <w:t xml:space="preserve"> Bsc (Hons) Social Work 24/09/2012</w:t>
            </w:r>
          </w:p>
          <w:p w14:paraId="78D0061C" w14:textId="3B945F14" w:rsidR="00C50450" w:rsidRPr="008B28E7" w:rsidRDefault="003F68D9" w:rsidP="00FF7EBB">
            <w:pPr>
              <w:jc w:val="both"/>
              <w:rPr>
                <w:b/>
                <w:sz w:val="24"/>
                <w:szCs w:val="24"/>
              </w:rPr>
            </w:pPr>
            <w:r w:rsidRPr="003F68D9">
              <w:rPr>
                <w:b/>
                <w:sz w:val="24"/>
                <w:szCs w:val="24"/>
              </w:rPr>
              <w:lastRenderedPageBreak/>
              <w:t>W/2038146</w:t>
            </w:r>
          </w:p>
          <w:p w14:paraId="5F68A3CF" w14:textId="77777777" w:rsidR="004923DA" w:rsidRDefault="004923DA" w:rsidP="00FF7EBB">
            <w:pPr>
              <w:jc w:val="both"/>
              <w:rPr>
                <w:b/>
                <w:sz w:val="24"/>
                <w:szCs w:val="24"/>
              </w:rPr>
            </w:pPr>
          </w:p>
          <w:p w14:paraId="4C6113F1" w14:textId="35E46C82" w:rsidR="004923DA" w:rsidRDefault="009D59C2" w:rsidP="00FF7EBB">
            <w:pPr>
              <w:jc w:val="both"/>
              <w:rPr>
                <w:b/>
                <w:sz w:val="24"/>
                <w:szCs w:val="24"/>
              </w:rPr>
            </w:pPr>
            <w:r>
              <w:rPr>
                <w:b/>
                <w:sz w:val="24"/>
                <w:szCs w:val="24"/>
              </w:rPr>
              <w:t>T</w:t>
            </w:r>
            <w:r w:rsidR="004923DA" w:rsidRPr="008B28E7">
              <w:rPr>
                <w:b/>
                <w:sz w:val="24"/>
                <w:szCs w:val="24"/>
              </w:rPr>
              <w:t>elephone number:</w:t>
            </w:r>
            <w:r w:rsidR="001D5AE3">
              <w:rPr>
                <w:b/>
                <w:sz w:val="24"/>
                <w:szCs w:val="24"/>
              </w:rPr>
              <w:t xml:space="preserve"> </w:t>
            </w:r>
            <w:r w:rsidR="001D5AE3" w:rsidRPr="001D5AE3">
              <w:rPr>
                <w:b/>
                <w:sz w:val="24"/>
                <w:szCs w:val="24"/>
              </w:rPr>
              <w:t>07976836679</w:t>
            </w:r>
          </w:p>
          <w:p w14:paraId="0BB87919" w14:textId="548A11EF" w:rsidR="009D59C2" w:rsidRDefault="009D59C2" w:rsidP="00FF7EBB">
            <w:pPr>
              <w:jc w:val="both"/>
              <w:rPr>
                <w:b/>
                <w:sz w:val="24"/>
                <w:szCs w:val="24"/>
              </w:rPr>
            </w:pPr>
          </w:p>
          <w:p w14:paraId="4FDEE73F" w14:textId="499A3FBC" w:rsidR="009D59C2" w:rsidRPr="008B28E7" w:rsidRDefault="009D59C2" w:rsidP="00FF7EBB">
            <w:pPr>
              <w:jc w:val="both"/>
              <w:rPr>
                <w:b/>
                <w:sz w:val="24"/>
                <w:szCs w:val="24"/>
              </w:rPr>
            </w:pPr>
            <w:r>
              <w:rPr>
                <w:b/>
                <w:sz w:val="24"/>
                <w:szCs w:val="24"/>
              </w:rPr>
              <w:t>Email address:</w:t>
            </w:r>
            <w:r w:rsidR="001D5AE3">
              <w:rPr>
                <w:b/>
                <w:sz w:val="24"/>
                <w:szCs w:val="24"/>
              </w:rPr>
              <w:t xml:space="preserve"> </w:t>
            </w:r>
            <w:r w:rsidR="001D5AE3" w:rsidRPr="001D5AE3">
              <w:rPr>
                <w:b/>
                <w:sz w:val="24"/>
                <w:szCs w:val="24"/>
              </w:rPr>
              <w:t>j.heycock@npt.gov.uk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0E5AFAD8"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w:t>
      </w:r>
      <w:r w:rsidR="0074480A" w:rsidRPr="0074480A">
        <w:rPr>
          <w:rFonts w:ascii="Calibri" w:eastAsia="Calibri" w:hAnsi="Calibri" w:cs="Times New Roman"/>
          <w:noProof/>
          <w:color w:val="auto"/>
          <w:sz w:val="22"/>
          <w:szCs w:val="22"/>
        </w:rPr>
        <w:drawing>
          <wp:inline distT="0" distB="0" distL="0" distR="0" wp14:anchorId="0280768E" wp14:editId="1550C608">
            <wp:extent cx="1285192" cy="3255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F0F976.tmp"/>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371007" cy="347322"/>
                    </a:xfrm>
                    <a:prstGeom prst="rect">
                      <a:avLst/>
                    </a:prstGeom>
                  </pic:spPr>
                </pic:pic>
              </a:graphicData>
            </a:graphic>
          </wp:inline>
        </w:drawing>
      </w:r>
      <w:r>
        <w:rPr>
          <w:sz w:val="24"/>
          <w:szCs w:val="24"/>
        </w:rPr>
        <w:t xml:space="preserve">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919436E"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74480A">
        <w:rPr>
          <w:sz w:val="24"/>
          <w:szCs w:val="24"/>
        </w:rPr>
        <w:t>11</w:t>
      </w:r>
      <w:r w:rsidR="0074480A" w:rsidRPr="0074480A">
        <w:rPr>
          <w:sz w:val="24"/>
          <w:szCs w:val="24"/>
          <w:vertAlign w:val="superscript"/>
        </w:rPr>
        <w:t>th</w:t>
      </w:r>
      <w:r w:rsidR="0074480A">
        <w:rPr>
          <w:sz w:val="24"/>
          <w:szCs w:val="24"/>
        </w:rPr>
        <w:t xml:space="preserve"> July 2026</w:t>
      </w:r>
      <w:r>
        <w:rPr>
          <w:sz w:val="24"/>
          <w:szCs w:val="24"/>
        </w:rPr>
        <w:t>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232F3CE"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C50450">
        <w:rPr>
          <w:noProof/>
          <w:sz w:val="24"/>
          <w:szCs w:val="24"/>
        </w:rPr>
        <w:drawing>
          <wp:inline distT="0" distB="0" distL="0" distR="0" wp14:anchorId="3C8836B9" wp14:editId="19A72F86">
            <wp:extent cx="841271" cy="472440"/>
            <wp:effectExtent l="0" t="0" r="0" b="3810"/>
            <wp:docPr id="1504232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843220" cy="473535"/>
                    </a:xfrm>
                    <a:prstGeom prst="rect">
                      <a:avLst/>
                    </a:prstGeom>
                    <a:noFill/>
                  </pic:spPr>
                </pic:pic>
              </a:graphicData>
            </a:graphic>
          </wp:inline>
        </w:drawing>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E2EFD7B"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w:t>
      </w:r>
      <w:r w:rsidR="00C50450">
        <w:rPr>
          <w:sz w:val="24"/>
          <w:szCs w:val="24"/>
        </w:rPr>
        <w:t>22/07/2026</w:t>
      </w:r>
      <w:r>
        <w:rPr>
          <w:sz w:val="24"/>
          <w:szCs w:val="24"/>
        </w:rPr>
        <w:t xml:space="preserve">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837AA56" w:rsidR="00335C41" w:rsidRPr="00D3203C" w:rsidRDefault="00335C41" w:rsidP="00335C41">
            <w:pPr>
              <w:ind w:right="180"/>
              <w:jc w:val="both"/>
              <w:rPr>
                <w:sz w:val="24"/>
                <w:szCs w:val="24"/>
              </w:rPr>
            </w:pPr>
            <w:r w:rsidRPr="00D3203C">
              <w:rPr>
                <w:sz w:val="24"/>
                <w:szCs w:val="24"/>
              </w:rPr>
              <w:t>Signed__</w:t>
            </w:r>
            <w:r w:rsidR="00C50450">
              <w:rPr>
                <w:noProof/>
                <w:sz w:val="24"/>
                <w:szCs w:val="24"/>
              </w:rPr>
              <w:drawing>
                <wp:inline distT="0" distB="0" distL="0" distR="0" wp14:anchorId="5FE75E58" wp14:editId="5FBDFE48">
                  <wp:extent cx="708660" cy="397968"/>
                  <wp:effectExtent l="0" t="0" r="0" b="2540"/>
                  <wp:docPr id="5490623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711726" cy="399690"/>
                          </a:xfrm>
                          <a:prstGeom prst="rect">
                            <a:avLst/>
                          </a:prstGeom>
                          <a:noFill/>
                        </pic:spPr>
                      </pic:pic>
                    </a:graphicData>
                  </a:graphic>
                </wp:inline>
              </w:drawing>
            </w:r>
            <w:r w:rsidRPr="00D3203C">
              <w:rPr>
                <w:sz w:val="24"/>
                <w:szCs w:val="24"/>
              </w:rPr>
              <w:t>______________________ (Mentor)</w:t>
            </w:r>
          </w:p>
          <w:p w14:paraId="5D3F0767" w14:textId="77777777" w:rsidR="00335C41" w:rsidRPr="00D3203C" w:rsidRDefault="00335C41" w:rsidP="00335C41">
            <w:pPr>
              <w:ind w:right="180"/>
              <w:jc w:val="both"/>
              <w:rPr>
                <w:sz w:val="24"/>
                <w:szCs w:val="24"/>
              </w:rPr>
            </w:pPr>
          </w:p>
          <w:p w14:paraId="24E1B8A5" w14:textId="30DB22F5" w:rsidR="00335C41" w:rsidRPr="00D3203C" w:rsidRDefault="00335C41" w:rsidP="00335C41">
            <w:pPr>
              <w:ind w:right="180"/>
              <w:jc w:val="both"/>
              <w:rPr>
                <w:sz w:val="24"/>
                <w:szCs w:val="24"/>
              </w:rPr>
            </w:pPr>
            <w:r w:rsidRPr="00D3203C">
              <w:rPr>
                <w:sz w:val="24"/>
                <w:szCs w:val="24"/>
              </w:rPr>
              <w:t>Date ___</w:t>
            </w:r>
            <w:r w:rsidR="00C50450">
              <w:rPr>
                <w:sz w:val="24"/>
                <w:szCs w:val="24"/>
              </w:rPr>
              <w:t>22/07/2026</w:t>
            </w:r>
            <w:r w:rsidRPr="00D3203C">
              <w:rPr>
                <w:sz w:val="24"/>
                <w:szCs w:val="24"/>
              </w:rPr>
              <w:t>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325CDC2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w:t>
      </w:r>
      <w:r w:rsidR="0074480A">
        <w:rPr>
          <w:caps/>
          <w:sz w:val="24"/>
          <w:szCs w:val="24"/>
        </w:rPr>
        <w:t>Carly crocker</w:t>
      </w:r>
      <w:r w:rsidR="00B577D3">
        <w:rPr>
          <w:caps/>
          <w:sz w:val="24"/>
          <w:szCs w:val="24"/>
        </w:rPr>
        <w:t>_ _ _ _ _ _ _ _ _ _ _ _ _ _ _</w:t>
      </w:r>
    </w:p>
    <w:p w14:paraId="7C11F360" w14:textId="5B5A6E7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w:t>
      </w:r>
      <w:r w:rsidR="008E1AF6">
        <w:rPr>
          <w:noProof/>
        </w:rPr>
        <w:drawing>
          <wp:inline distT="0" distB="0" distL="0" distR="0" wp14:anchorId="2F6616B6" wp14:editId="193A4E4F">
            <wp:extent cx="1089660" cy="348615"/>
            <wp:effectExtent l="0" t="0" r="0" b="0"/>
            <wp:docPr id="905620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620645" name="Picture 905620645"/>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089660" cy="348615"/>
                    </a:xfrm>
                    <a:prstGeom prst="rect">
                      <a:avLst/>
                    </a:prstGeom>
                  </pic:spPr>
                </pic:pic>
              </a:graphicData>
            </a:graphic>
          </wp:inline>
        </w:drawing>
      </w:r>
      <w:r w:rsidR="00B577D3" w:rsidRPr="00B577D3">
        <w:rPr>
          <w:sz w:val="24"/>
          <w:szCs w:val="24"/>
        </w:rPr>
        <w:t>_ _ _ _ _ _</w:t>
      </w:r>
      <w:r w:rsidR="009D59C2">
        <w:rPr>
          <w:sz w:val="24"/>
          <w:szCs w:val="24"/>
        </w:rPr>
        <w:t xml:space="preserve"> _ </w:t>
      </w:r>
      <w:r w:rsidR="00B577D3" w:rsidRPr="00B577D3">
        <w:rPr>
          <w:sz w:val="24"/>
          <w:szCs w:val="24"/>
        </w:rPr>
        <w:t xml:space="preserve"> _ _ _ _ _ _ _ _</w:t>
      </w:r>
    </w:p>
    <w:p w14:paraId="57B2A00A" w14:textId="36EA8AA1"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w:t>
      </w:r>
      <w:r w:rsidR="008E1AF6">
        <w:rPr>
          <w:sz w:val="24"/>
          <w:szCs w:val="24"/>
        </w:rPr>
        <w:t>7/9/2026</w:t>
      </w:r>
      <w:r w:rsidR="00B577D3" w:rsidRPr="00B577D3">
        <w:rPr>
          <w:sz w:val="24"/>
          <w:szCs w:val="24"/>
        </w:rPr>
        <w:t>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33429B5"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w:t>
      </w:r>
      <w:r w:rsidR="001A416E">
        <w:rPr>
          <w:caps/>
          <w:sz w:val="24"/>
          <w:szCs w:val="24"/>
        </w:rPr>
        <w:t>John Heycock</w:t>
      </w:r>
      <w:r w:rsidRPr="00B436BF">
        <w:rPr>
          <w:caps/>
          <w:sz w:val="24"/>
          <w:szCs w:val="24"/>
        </w:rPr>
        <w:t xml:space="preserve"> _ _ _ _ _ _ _ _ _ _ _ _ _ _ _ _ _</w:t>
      </w:r>
    </w:p>
    <w:p w14:paraId="4903E782" w14:textId="750E6931"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 xml:space="preserve">_ _ </w:t>
      </w:r>
      <w:r w:rsidR="003F68D9">
        <w:rPr>
          <w:noProof/>
          <w:sz w:val="24"/>
          <w:szCs w:val="24"/>
        </w:rPr>
        <w:drawing>
          <wp:inline distT="0" distB="0" distL="0" distR="0" wp14:anchorId="3F331654" wp14:editId="6B58FDF1">
            <wp:extent cx="759858" cy="426720"/>
            <wp:effectExtent l="0" t="0" r="2540" b="0"/>
            <wp:docPr id="17936507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763435" cy="428729"/>
                    </a:xfrm>
                    <a:prstGeom prst="rect">
                      <a:avLst/>
                    </a:prstGeom>
                    <a:noFill/>
                  </pic:spPr>
                </pic:pic>
              </a:graphicData>
            </a:graphic>
          </wp:inline>
        </w:drawing>
      </w:r>
      <w:r w:rsidRPr="00B436BF">
        <w:rPr>
          <w:sz w:val="24"/>
          <w:szCs w:val="24"/>
        </w:rPr>
        <w:t>_ _</w:t>
      </w:r>
      <w:r w:rsidR="001359EE">
        <w:rPr>
          <w:sz w:val="24"/>
          <w:szCs w:val="24"/>
        </w:rPr>
        <w:t xml:space="preserve"> _ </w:t>
      </w:r>
      <w:r w:rsidRPr="00B436BF">
        <w:rPr>
          <w:sz w:val="24"/>
          <w:szCs w:val="24"/>
        </w:rPr>
        <w:t xml:space="preserve"> _ _ _ _ _ _ _ _ _ _ _ _ _ _ _ _ _</w:t>
      </w:r>
    </w:p>
    <w:p w14:paraId="35D5374D" w14:textId="2DAFF726"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r w:rsidR="003F68D9">
        <w:rPr>
          <w:sz w:val="24"/>
          <w:szCs w:val="24"/>
        </w:rPr>
        <w:t>Consultant Social Worker</w:t>
      </w:r>
      <w:r w:rsidRPr="00B436BF">
        <w:rPr>
          <w:sz w:val="24"/>
          <w:szCs w:val="24"/>
        </w:rPr>
        <w:t xml:space="preserve"> _ _ _ _ _ _ _ _ _ _ _ _ _</w:t>
      </w:r>
    </w:p>
    <w:p w14:paraId="4FB74CFA" w14:textId="54A89216"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 xml:space="preserve">_ </w:t>
      </w:r>
      <w:r w:rsidR="003F68D9">
        <w:rPr>
          <w:sz w:val="24"/>
          <w:szCs w:val="24"/>
        </w:rPr>
        <w:t>22/07/2026</w:t>
      </w:r>
      <w:r w:rsidRPr="00B436BF">
        <w:rPr>
          <w:sz w:val="24"/>
          <w:szCs w:val="24"/>
        </w:rPr>
        <w:t xml:space="preserve">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1C3F5B72" w:rsidR="00986C0B" w:rsidRPr="00DA5682" w:rsidRDefault="0074480A">
            <w:pPr>
              <w:rPr>
                <w:sz w:val="24"/>
                <w:szCs w:val="24"/>
              </w:rPr>
            </w:pPr>
            <w:r w:rsidRPr="0074480A">
              <w:rPr>
                <w:sz w:val="24"/>
                <w:szCs w:val="24"/>
              </w:rPr>
              <w:t>Sophie Challenger</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39B3BA53" w:rsidR="00986C0B" w:rsidRPr="00DA5682" w:rsidRDefault="0074480A">
            <w:pPr>
              <w:rPr>
                <w:sz w:val="24"/>
                <w:szCs w:val="24"/>
              </w:rPr>
            </w:pPr>
            <w:r w:rsidRPr="0074480A">
              <w:rPr>
                <w:sz w:val="24"/>
                <w:szCs w:val="24"/>
              </w:rPr>
              <w:t>Childrens Single Point of Contact (SPOC)</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7C4A27FD" w:rsidR="00986C0B" w:rsidRPr="00DA5682" w:rsidRDefault="0074480A">
            <w:pPr>
              <w:rPr>
                <w:sz w:val="24"/>
                <w:szCs w:val="24"/>
              </w:rPr>
            </w:pPr>
            <w:r>
              <w:rPr>
                <w:sz w:val="24"/>
                <w:szCs w:val="24"/>
              </w:rPr>
              <w:t>John Heycock</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3D65B53C" w:rsidR="00986C0B" w:rsidRPr="00DA5682" w:rsidRDefault="0074480A">
            <w:pPr>
              <w:rPr>
                <w:sz w:val="24"/>
                <w:szCs w:val="24"/>
              </w:rPr>
            </w:pPr>
            <w:r>
              <w:rPr>
                <w:sz w:val="24"/>
                <w:szCs w:val="24"/>
              </w:rPr>
              <w:t>Carly Crocker</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1E698036" w:rsidR="00986C0B" w:rsidRPr="00DA5682" w:rsidRDefault="00986C0B" w:rsidP="00986C0B">
      <w:pPr>
        <w:rPr>
          <w:sz w:val="24"/>
          <w:szCs w:val="24"/>
        </w:rPr>
      </w:pPr>
      <w:r w:rsidRPr="00DA5682">
        <w:rPr>
          <w:sz w:val="24"/>
          <w:szCs w:val="24"/>
        </w:rPr>
        <w:t>Signed:…</w:t>
      </w:r>
      <w:r w:rsidR="0074480A" w:rsidRPr="0074480A">
        <w:rPr>
          <w:noProof/>
        </w:rPr>
        <w:t xml:space="preserve"> </w:t>
      </w:r>
      <w:r w:rsidR="0074480A">
        <w:rPr>
          <w:noProof/>
        </w:rPr>
        <w:drawing>
          <wp:inline distT="0" distB="0" distL="0" distR="0" wp14:anchorId="6A838ACA" wp14:editId="537049EA">
            <wp:extent cx="1287780" cy="327660"/>
            <wp:effectExtent l="0" t="0" r="7620" b="0"/>
            <wp:docPr id="379957381" name="Picture 4" descr="A black tex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957381" name="Picture 4" descr="A black text with a white background&#10;&#10;AI-generated content may be incorrect."/>
                    <pic:cNvPicPr>
                      <a:picLocks noChangeAspect="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287780" cy="327660"/>
                    </a:xfrm>
                    <a:prstGeom prst="rect">
                      <a:avLst/>
                    </a:prstGeom>
                    <a:noFill/>
                    <a:ln>
                      <a:noFill/>
                    </a:ln>
                  </pic:spPr>
                </pic:pic>
              </a:graphicData>
            </a:graphic>
          </wp:inline>
        </w:drawing>
      </w:r>
      <w:r w:rsidRPr="00DA5682">
        <w:rPr>
          <w:sz w:val="24"/>
          <w:szCs w:val="24"/>
        </w:rPr>
        <w:t xml:space="preserve"> Print Name:</w:t>
      </w:r>
      <w:r w:rsidR="0074480A">
        <w:rPr>
          <w:sz w:val="24"/>
          <w:szCs w:val="24"/>
        </w:rPr>
        <w:t xml:space="preserve"> </w:t>
      </w:r>
      <w:r w:rsidR="0074480A" w:rsidRPr="0074480A">
        <w:rPr>
          <w:sz w:val="24"/>
          <w:szCs w:val="24"/>
        </w:rPr>
        <w:t>Sophie Challenger</w:t>
      </w:r>
      <w:r w:rsidRPr="00DA5682">
        <w:rPr>
          <w:sz w:val="24"/>
          <w:szCs w:val="24"/>
        </w:rPr>
        <w:t>… Date:…</w:t>
      </w:r>
      <w:r w:rsidR="0074480A">
        <w:rPr>
          <w:sz w:val="24"/>
          <w:szCs w:val="24"/>
        </w:rPr>
        <w:t>11/7/26</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536A1AE0" w:rsidR="00986C0B" w:rsidRPr="00DA5682" w:rsidRDefault="00986C0B" w:rsidP="00986C0B">
      <w:pPr>
        <w:rPr>
          <w:sz w:val="24"/>
          <w:szCs w:val="24"/>
        </w:rPr>
      </w:pPr>
      <w:r w:rsidRPr="00DA5682">
        <w:rPr>
          <w:sz w:val="24"/>
          <w:szCs w:val="24"/>
        </w:rPr>
        <w:t>Signed:…</w:t>
      </w:r>
      <w:r w:rsidR="008E1AF6" w:rsidRPr="008E1AF6">
        <w:rPr>
          <w:noProof/>
        </w:rPr>
        <w:t xml:space="preserve"> </w:t>
      </w:r>
      <w:r w:rsidR="008E1AF6">
        <w:rPr>
          <w:noProof/>
        </w:rPr>
        <w:drawing>
          <wp:inline distT="0" distB="0" distL="0" distR="0" wp14:anchorId="2046555E" wp14:editId="2895E336">
            <wp:extent cx="1089660" cy="348615"/>
            <wp:effectExtent l="0" t="0" r="0" b="0"/>
            <wp:docPr id="1761855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620645" name="Picture 905620645"/>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089660" cy="348615"/>
                    </a:xfrm>
                    <a:prstGeom prst="rect">
                      <a:avLst/>
                    </a:prstGeom>
                  </pic:spPr>
                </pic:pic>
              </a:graphicData>
            </a:graphic>
          </wp:inline>
        </w:drawing>
      </w:r>
      <w:r w:rsidRPr="00DA5682">
        <w:rPr>
          <w:sz w:val="24"/>
          <w:szCs w:val="24"/>
        </w:rPr>
        <w:t>….. Print Name:…</w:t>
      </w:r>
      <w:r w:rsidR="0074480A">
        <w:rPr>
          <w:sz w:val="24"/>
          <w:szCs w:val="24"/>
        </w:rPr>
        <w:t>Carly Crocker</w:t>
      </w:r>
      <w:r w:rsidRPr="00DA5682">
        <w:rPr>
          <w:sz w:val="24"/>
          <w:szCs w:val="24"/>
        </w:rPr>
        <w:t>.</w:t>
      </w:r>
      <w:r w:rsidR="008E1AF6">
        <w:rPr>
          <w:sz w:val="24"/>
          <w:szCs w:val="24"/>
        </w:rPr>
        <w:t xml:space="preserve"> </w:t>
      </w:r>
      <w:r w:rsidRPr="00DA5682">
        <w:rPr>
          <w:sz w:val="24"/>
          <w:szCs w:val="24"/>
        </w:rPr>
        <w:t>Date:…</w:t>
      </w:r>
      <w:r w:rsidR="008E1AF6">
        <w:rPr>
          <w:sz w:val="24"/>
          <w:szCs w:val="24"/>
        </w:rPr>
        <w:t>7/9/2026</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0B110EA5" w:rsidR="00986C0B" w:rsidRPr="00DA5682" w:rsidRDefault="00986C0B" w:rsidP="00986C0B">
      <w:pPr>
        <w:rPr>
          <w:sz w:val="24"/>
          <w:szCs w:val="24"/>
        </w:rPr>
      </w:pPr>
      <w:r w:rsidRPr="00DA5682">
        <w:rPr>
          <w:sz w:val="24"/>
          <w:szCs w:val="24"/>
        </w:rPr>
        <w:t>Signed:…</w:t>
      </w:r>
      <w:r w:rsidR="003F68D9">
        <w:rPr>
          <w:noProof/>
          <w:sz w:val="24"/>
          <w:szCs w:val="24"/>
        </w:rPr>
        <w:drawing>
          <wp:inline distT="0" distB="0" distL="0" distR="0" wp14:anchorId="448CB433" wp14:editId="4D23AE00">
            <wp:extent cx="759858" cy="426720"/>
            <wp:effectExtent l="0" t="0" r="2540" b="0"/>
            <wp:docPr id="4948834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761535" cy="427662"/>
                    </a:xfrm>
                    <a:prstGeom prst="rect">
                      <a:avLst/>
                    </a:prstGeom>
                    <a:noFill/>
                  </pic:spPr>
                </pic:pic>
              </a:graphicData>
            </a:graphic>
          </wp:inline>
        </w:drawing>
      </w:r>
      <w:r w:rsidRPr="00DA5682">
        <w:rPr>
          <w:sz w:val="24"/>
          <w:szCs w:val="24"/>
        </w:rPr>
        <w:t>…………………….. Print Name:</w:t>
      </w:r>
      <w:r w:rsidR="0074480A">
        <w:rPr>
          <w:sz w:val="24"/>
          <w:szCs w:val="24"/>
        </w:rPr>
        <w:t xml:space="preserve"> John Heycock  </w:t>
      </w:r>
      <w:r w:rsidRPr="00DA5682">
        <w:rPr>
          <w:sz w:val="24"/>
          <w:szCs w:val="24"/>
        </w:rPr>
        <w:t>.Date:…</w:t>
      </w:r>
      <w:r w:rsidR="003F68D9">
        <w:rPr>
          <w:sz w:val="24"/>
          <w:szCs w:val="24"/>
        </w:rPr>
        <w:t>22/07/2026</w:t>
      </w:r>
      <w:r w:rsidRPr="00DA5682">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63"/>
      <w:footerReference w:type="default" r:id="rId6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2D1E2" w14:textId="77777777" w:rsidR="00855CE9" w:rsidRDefault="00855CE9">
      <w:r>
        <w:separator/>
      </w:r>
    </w:p>
  </w:endnote>
  <w:endnote w:type="continuationSeparator" w:id="0">
    <w:p w14:paraId="52D3ADC1" w14:textId="77777777" w:rsidR="00855CE9" w:rsidRDefault="00855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73F80" w14:textId="77777777" w:rsidR="00855CE9" w:rsidRDefault="00855CE9">
      <w:r>
        <w:separator/>
      </w:r>
    </w:p>
  </w:footnote>
  <w:footnote w:type="continuationSeparator" w:id="0">
    <w:p w14:paraId="5B4149BD" w14:textId="77777777" w:rsidR="00855CE9" w:rsidRDefault="00855C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8708D0"/>
    <w:multiLevelType w:val="hybridMultilevel"/>
    <w:tmpl w:val="9A227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2B79B2"/>
    <w:multiLevelType w:val="hybridMultilevel"/>
    <w:tmpl w:val="C4661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7"/>
  </w:num>
  <w:num w:numId="4" w16cid:durableId="1850633156">
    <w:abstractNumId w:val="49"/>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1"/>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9"/>
  </w:num>
  <w:num w:numId="15" w16cid:durableId="1016493186">
    <w:abstractNumId w:val="27"/>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29"/>
  </w:num>
  <w:num w:numId="24" w16cid:durableId="317615789">
    <w:abstractNumId w:val="20"/>
  </w:num>
  <w:num w:numId="25" w16cid:durableId="856430468">
    <w:abstractNumId w:val="42"/>
  </w:num>
  <w:num w:numId="26" w16cid:durableId="1104690971">
    <w:abstractNumId w:val="36"/>
  </w:num>
  <w:num w:numId="27" w16cid:durableId="1201670287">
    <w:abstractNumId w:val="41"/>
  </w:num>
  <w:num w:numId="28" w16cid:durableId="598562144">
    <w:abstractNumId w:val="21"/>
  </w:num>
  <w:num w:numId="29" w16cid:durableId="871068292">
    <w:abstractNumId w:val="44"/>
  </w:num>
  <w:num w:numId="30" w16cid:durableId="482159744">
    <w:abstractNumId w:val="32"/>
  </w:num>
  <w:num w:numId="31" w16cid:durableId="1565527110">
    <w:abstractNumId w:val="13"/>
  </w:num>
  <w:num w:numId="32" w16cid:durableId="1175995731">
    <w:abstractNumId w:val="46"/>
  </w:num>
  <w:num w:numId="33" w16cid:durableId="694232600">
    <w:abstractNumId w:val="40"/>
  </w:num>
  <w:num w:numId="34" w16cid:durableId="1062095063">
    <w:abstractNumId w:val="6"/>
  </w:num>
  <w:num w:numId="35" w16cid:durableId="2051881075">
    <w:abstractNumId w:val="48"/>
  </w:num>
  <w:num w:numId="36" w16cid:durableId="2107188112">
    <w:abstractNumId w:val="43"/>
  </w:num>
  <w:num w:numId="37" w16cid:durableId="1313413796">
    <w:abstractNumId w:val="37"/>
  </w:num>
  <w:num w:numId="38" w16cid:durableId="1682197957">
    <w:abstractNumId w:val="38"/>
  </w:num>
  <w:num w:numId="39" w16cid:durableId="340203735">
    <w:abstractNumId w:val="5"/>
  </w:num>
  <w:num w:numId="40" w16cid:durableId="1266502755">
    <w:abstractNumId w:val="7"/>
  </w:num>
  <w:num w:numId="41" w16cid:durableId="2138642120">
    <w:abstractNumId w:val="26"/>
  </w:num>
  <w:num w:numId="42" w16cid:durableId="2082366208">
    <w:abstractNumId w:val="8"/>
  </w:num>
  <w:num w:numId="43" w16cid:durableId="488403910">
    <w:abstractNumId w:val="3"/>
  </w:num>
  <w:num w:numId="44" w16cid:durableId="210268195">
    <w:abstractNumId w:val="39"/>
  </w:num>
  <w:num w:numId="45" w16cid:durableId="891695978">
    <w:abstractNumId w:val="0"/>
  </w:num>
  <w:num w:numId="46" w16cid:durableId="827289017">
    <w:abstractNumId w:val="15"/>
  </w:num>
  <w:num w:numId="47" w16cid:durableId="167212813">
    <w:abstractNumId w:val="50"/>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1674183409">
    <w:abstractNumId w:val="4"/>
  </w:num>
  <w:num w:numId="55" w16cid:durableId="1523788428">
    <w:abstractNumId w:val="4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2C04"/>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57C40"/>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96792"/>
    <w:rsid w:val="001A416E"/>
    <w:rsid w:val="001A59BB"/>
    <w:rsid w:val="001A607E"/>
    <w:rsid w:val="001A6A51"/>
    <w:rsid w:val="001A79C4"/>
    <w:rsid w:val="001B331A"/>
    <w:rsid w:val="001C0237"/>
    <w:rsid w:val="001C0E74"/>
    <w:rsid w:val="001C266D"/>
    <w:rsid w:val="001C4DB8"/>
    <w:rsid w:val="001C50B8"/>
    <w:rsid w:val="001D229F"/>
    <w:rsid w:val="001D5AE3"/>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2409"/>
    <w:rsid w:val="0031350A"/>
    <w:rsid w:val="00316815"/>
    <w:rsid w:val="003168CA"/>
    <w:rsid w:val="00321255"/>
    <w:rsid w:val="0032230D"/>
    <w:rsid w:val="00322A0B"/>
    <w:rsid w:val="00325EA8"/>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3F68D9"/>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C371F"/>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129A"/>
    <w:rsid w:val="005D3F07"/>
    <w:rsid w:val="005D4A1E"/>
    <w:rsid w:val="005D4F72"/>
    <w:rsid w:val="005E13EA"/>
    <w:rsid w:val="005E17F1"/>
    <w:rsid w:val="005F64AA"/>
    <w:rsid w:val="005F7851"/>
    <w:rsid w:val="00605424"/>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2CB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480A"/>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31D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5CE9"/>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1AF6"/>
    <w:rsid w:val="008E3195"/>
    <w:rsid w:val="008E5A35"/>
    <w:rsid w:val="008F127E"/>
    <w:rsid w:val="008F32D9"/>
    <w:rsid w:val="00902A65"/>
    <w:rsid w:val="009030F0"/>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365F"/>
    <w:rsid w:val="009E4D2C"/>
    <w:rsid w:val="009F0978"/>
    <w:rsid w:val="009F3AEC"/>
    <w:rsid w:val="009F6801"/>
    <w:rsid w:val="00A00081"/>
    <w:rsid w:val="00A02A33"/>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2EDF"/>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49F1"/>
    <w:rsid w:val="00BB5EAA"/>
    <w:rsid w:val="00BB5F11"/>
    <w:rsid w:val="00BB6638"/>
    <w:rsid w:val="00BB7FD2"/>
    <w:rsid w:val="00BC04FA"/>
    <w:rsid w:val="00BC1C22"/>
    <w:rsid w:val="00BC460B"/>
    <w:rsid w:val="00BC4ED3"/>
    <w:rsid w:val="00BC5725"/>
    <w:rsid w:val="00BC6702"/>
    <w:rsid w:val="00BD30B1"/>
    <w:rsid w:val="00BE0F7B"/>
    <w:rsid w:val="00BE10C2"/>
    <w:rsid w:val="00BE46C1"/>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450"/>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4D54"/>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6FC5"/>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042E"/>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C20"/>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BE46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5040/9781509966516.ch-002" TargetMode="External"/><Relationship Id="rId21" Type="http://schemas.openxmlformats.org/officeDocument/2006/relationships/hyperlink" Target="https://www.bailii.org/uk/cases/UKHL/1985/7.html" TargetMode="External"/><Relationship Id="rId34" Type="http://schemas.openxmlformats.org/officeDocument/2006/relationships/hyperlink" Target="https://www.taylorfrancis.com/search?contributorName=Alun%20Morgan&amp;contributorRole=editor&amp;redirectFromPDP=true&amp;context=ubx" TargetMode="External"/><Relationship Id="rId42" Type="http://schemas.openxmlformats.org/officeDocument/2006/relationships/hyperlink" Target="https://socialcare.wales/resources-guidance/using-welsh-at-work/welsh-language-skills-in-your-workforce" TargetMode="External"/><Relationship Id="rId47" Type="http://schemas.openxmlformats.org/officeDocument/2006/relationships/hyperlink" Target="https://doi.org/10.1080/03075079.2010.521237" TargetMode="External"/><Relationship Id="rId50" Type="http://schemas.openxmlformats.org/officeDocument/2006/relationships/hyperlink" Target="https://www.legislation.gov.uk/ukpga/2005/9/contents" TargetMode="External"/><Relationship Id="rId55" Type="http://schemas.openxmlformats.org/officeDocument/2006/relationships/hyperlink" Target="https://law.gov.wales/social-services-and-well-being-wales-act-2014" TargetMode="External"/><Relationship Id="rId63"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emerald.com/jap/article-abstract/23/3/144/208201/Transitional-Safeguarding-presenting-the-case-for?redirectedFrom=fulltext" TargetMode="External"/><Relationship Id="rId29" Type="http://schemas.openxmlformats.org/officeDocument/2006/relationships/hyperlink" Target="https://doi.org/10.1093/sw/48.1.121" TargetMode="External"/><Relationship Id="rId11" Type="http://schemas.openxmlformats.org/officeDocument/2006/relationships/hyperlink" Target="https://doi.org/10.1093/bjsw/bcae101" TargetMode="External"/><Relationship Id="rId24" Type="http://schemas.openxmlformats.org/officeDocument/2006/relationships/hyperlink" Target="https://doi.org/10.1080/13676261.2024.2419082" TargetMode="External"/><Relationship Id="rId32" Type="http://schemas.openxmlformats.org/officeDocument/2006/relationships/hyperlink" Target="https://www.taylorfrancis.com/search?contributorName=Sarah%20Matthews&amp;contributorRole=editor&amp;redirectFromPDP=true&amp;context=ubx" TargetMode="External"/><Relationship Id="rId37" Type="http://schemas.openxmlformats.org/officeDocument/2006/relationships/hyperlink" Target="https://basw.co.uk/sites/default/files/resources/basw_40205-2_0.pdf" TargetMode="External"/><Relationship Id="rId40" Type="http://schemas.openxmlformats.org/officeDocument/2006/relationships/hyperlink" Target="https://socialcare.wales/resources-guidance/using-welsh-at-work/information-for-workers" TargetMode="External"/><Relationship Id="rId45" Type="http://schemas.openxmlformats.org/officeDocument/2006/relationships/hyperlink" Target="https://safeguarding.wales/en/chi-i/chi-i-c3pt2/c3pt2-p7/" TargetMode="External"/><Relationship Id="rId53" Type="http://schemas.openxmlformats.org/officeDocument/2006/relationships/hyperlink" Target="https://www.legislation.gov.uk/mwa/2011/1/contents" TargetMode="External"/><Relationship Id="rId58" Type="http://schemas.openxmlformats.org/officeDocument/2006/relationships/hyperlink" Target="https://www.gov.wales/sites/default/files/publications/2019-04/delivering-the-active-offer-information-pack-social-services-and-social-care.pd" TargetMode="External"/><Relationship Id="rId66" Type="http://schemas.openxmlformats.org/officeDocument/2006/relationships/theme" Target="theme/theme1.xml"/><Relationship Id="rId5" Type="http://schemas.openxmlformats.org/officeDocument/2006/relationships/styles" Target="styles.xml"/><Relationship Id="rId61" Type="http://schemas.openxmlformats.org/officeDocument/2006/relationships/image" Target="media/image3.png"/><Relationship Id="rId19" Type="http://schemas.openxmlformats.org/officeDocument/2006/relationships/hyperlink" Target="https://brookes.ac.uk/services/ocsld/resources/reflective-learning" TargetMode="External"/><Relationship Id="rId14" Type="http://schemas.openxmlformats.org/officeDocument/2006/relationships/hyperlink" Target="https://www.emerald.com/insight/content/doi/10.1108/jap-05-2014-0015/full/html" TargetMode="External"/><Relationship Id="rId22" Type="http://schemas.openxmlformats.org/officeDocument/2006/relationships/hyperlink" Target="https://www.legislation.gov.uk/ukpga/2010/15/contents" TargetMode="External"/><Relationship Id="rId27" Type="http://schemas.openxmlformats.org/officeDocument/2006/relationships/hyperlink" Target="https://doi.org/10.5040/9798216018902" TargetMode="External"/><Relationship Id="rId30" Type="http://schemas.openxmlformats.org/officeDocument/2006/relationships/hyperlink" Target="https://openlibrary.org/books/OL25260439M/The_strengths_perspective_in_social_work_practice" TargetMode="External"/><Relationship Id="rId35" Type="http://schemas.openxmlformats.org/officeDocument/2006/relationships/hyperlink" Target="https://www.taylorfrancis.com/books/edit/10.4324/9780203842980/professional-development-social-work-sarah-matthews-mick-mccormick-alun-morgan-janet-seden" TargetMode="External"/><Relationship Id="rId43" Type="http://schemas.openxmlformats.org/officeDocument/2006/relationships/hyperlink" Target="https://socialcare.wales/cms-assets/documents/hub-downloads/Wales-Safeguarding-Procedures-Frequently-asked-questions.pdf" TargetMode="External"/><Relationship Id="rId48" Type="http://schemas.openxmlformats.org/officeDocument/2006/relationships/hyperlink" Target="https://www.legislation.gov.uk/ukpga/1989/41/contents" TargetMode="External"/><Relationship Id="rId56" Type="http://schemas.openxmlformats.org/officeDocument/2006/relationships/hyperlink" Target="https://www.legislation.gov.uk/anaw/2014/4/contents" TargetMode="External"/><Relationship Id="rId64"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https://www.legislation.gov.uk/ukpga/2006/47/contents" TargetMode="External"/><Relationship Id="rId3" Type="http://schemas.openxmlformats.org/officeDocument/2006/relationships/customXml" Target="../customXml/item3.xml"/><Relationship Id="rId12" Type="http://schemas.openxmlformats.org/officeDocument/2006/relationships/hyperlink" Target="https://www.researchgate.net/profile/Sarah-Banks-5/publication/290649228_Everyday_ethics_in_professional_life_Social_work_as_ethics_work/links/5a5c60a2aca2727d608a7351/Everyday-ethics-in-professional-life-Social-work-as-ethics-work.pdf" TargetMode="External"/><Relationship Id="rId17" Type="http://schemas.openxmlformats.org/officeDocument/2006/relationships/hyperlink" Target="https://academic.oup.com/policy-press-scholarship-online/book/55503" TargetMode="External"/><Relationship Id="rId25" Type="http://schemas.openxmlformats.org/officeDocument/2006/relationships/hyperlink" Target="https://www.cambridge.org/core/journals/bjpsych-bulletin/article/adult-safeguarding-under-the-care-act-2014/A3471EA0C82FC19A7457FB72F672C100" TargetMode="External"/><Relationship Id="rId33" Type="http://schemas.openxmlformats.org/officeDocument/2006/relationships/hyperlink" Target="https://www.taylorfrancis.com/search?contributorName=Mick%20McCormick&amp;contributorRole=editor&amp;redirectFromPDP=true&amp;context=ubx" TargetMode="External"/><Relationship Id="rId38" Type="http://schemas.openxmlformats.org/officeDocument/2006/relationships/hyperlink" Target="https://www.safeguarding.wales/" TargetMode="External"/><Relationship Id="rId46" Type="http://schemas.openxmlformats.org/officeDocument/2006/relationships/hyperlink" Target="https://www.sciencedirect.com/org/science/article/abs/pii/S1466820317000463" TargetMode="External"/><Relationship Id="rId59" Type="http://schemas.openxmlformats.org/officeDocument/2006/relationships/hyperlink" Target="https://www.legislation.gov.uk/anaw/2016/2/contents" TargetMode="External"/><Relationship Id="rId20" Type="http://schemas.openxmlformats.org/officeDocument/2006/relationships/hyperlink" Target="https://www.skillsforcare.org.uk/news-and-events/blogs/learning-about-professional-identity-for-newly-qualified-social-workers" TargetMode="External"/><Relationship Id="rId41" Type="http://schemas.openxmlformats.org/officeDocument/2006/relationships/hyperlink" Target="https://socialcare.wales/resources-guidance/information-and-learning-hub/sswbact/overview" TargetMode="External"/><Relationship Id="rId54" Type="http://schemas.openxmlformats.org/officeDocument/2006/relationships/hyperlink" Target="https://socialcare.wales/cms-assets/documents/WEB-16184_Narrative_e_WEB.pdf" TargetMode="External"/><Relationship Id="rId62"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sites.cardiff.ac.uk/childrens-social-care-law/social-services-and-well-being-wales-act/" TargetMode="External"/><Relationship Id="rId23" Type="http://schemas.openxmlformats.org/officeDocument/2006/relationships/hyperlink" Target="https://hertfordshirescp.trixonline.co.uk/chapter/good-practice-in-supporting-the-voice-of-the-child" TargetMode="External"/><Relationship Id="rId28" Type="http://schemas.openxmlformats.org/officeDocument/2006/relationships/hyperlink" Target="https://learning.nspcc.org.uk/research-resources/2024/carrying-out-assessments-evidence-snapshot" TargetMode="External"/><Relationship Id="rId36" Type="http://schemas.openxmlformats.org/officeDocument/2006/relationships/hyperlink" Target="https://www.scie.org.uk/safeguarding/adults/" TargetMode="External"/><Relationship Id="rId49" Type="http://schemas.openxmlformats.org/officeDocument/2006/relationships/hyperlink" Target="https://www.legislation.gov.uk/ukpga/1998/42/contents" TargetMode="External"/><Relationship Id="rId57" Type="http://schemas.openxmlformats.org/officeDocument/2006/relationships/hyperlink" Target="https://www.gov.wales/sites/default/files/publications/2019-04/delivering-the-active-offer-information-pack-social-services-and-social-care.pdf" TargetMode="External"/><Relationship Id="rId10" Type="http://schemas.openxmlformats.org/officeDocument/2006/relationships/image" Target="media/image1.png"/><Relationship Id="rId31" Type="http://schemas.openxmlformats.org/officeDocument/2006/relationships/hyperlink" Target="https://www.taylorfrancis.com/search?contributorName=Janet%20Seden&amp;contributorRole=editor&amp;redirectFromPDP=true&amp;context=ubx" TargetMode="External"/><Relationship Id="rId44" Type="http://schemas.openxmlformats.org/officeDocument/2006/relationships/hyperlink" Target="https://safeguarding.wales/en/" TargetMode="External"/><Relationship Id="rId52" Type="http://schemas.openxmlformats.org/officeDocument/2006/relationships/hyperlink" Target="https://www.legislation.gov.uk/ukpga/2018/12/contents" TargetMode="External"/><Relationship Id="rId60" Type="http://schemas.openxmlformats.org/officeDocument/2006/relationships/image" Target="media/image2.png"/><Relationship Id="rId65"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doi.org/10.1136/jme-2023-108930" TargetMode="External"/><Relationship Id="rId18" Type="http://schemas.openxmlformats.org/officeDocument/2006/relationships/hyperlink" Target="https://eur-lex.europa.eu/eli/reg/2016/679/2016-05-04/eng" TargetMode="External"/><Relationship Id="rId39" Type="http://schemas.openxmlformats.org/officeDocument/2006/relationships/hyperlink" Target="https://socialcare.wales/pdfs/scw-about-strengths-based-practice-3892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21</Pages>
  <Words>6430</Words>
  <Characters>36657</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Sophie Challenger</cp:lastModifiedBy>
  <cp:revision>5</cp:revision>
  <cp:lastPrinted>2020-02-11T19:20:00Z</cp:lastPrinted>
  <dcterms:created xsi:type="dcterms:W3CDTF">2026-07-23T13:55:00Z</dcterms:created>
  <dcterms:modified xsi:type="dcterms:W3CDTF">2026-09-10T08:19:00Z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