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563495026"/>
        <w:docPartObj>
          <w:docPartGallery w:val="Cover Pages"/>
          <w:docPartUnique/>
        </w:docPartObj>
      </w:sdtPr>
      <w:sdtEndPr>
        <w:rPr>
          <w:rFonts w:ascii="Arial" w:eastAsiaTheme="minorHAnsi" w:hAnsi="Arial" w:cs="Arial"/>
          <w:b/>
          <w:bCs/>
          <w:color w:val="auto"/>
          <w:kern w:val="2"/>
          <w:sz w:val="24"/>
          <w:szCs w:val="24"/>
          <w:lang w:val="en-GB"/>
          <w14:ligatures w14:val="standardContextual"/>
        </w:rPr>
      </w:sdtEndPr>
      <w:sdtContent>
        <w:p w14:paraId="565E1978" w14:textId="7BE3DA27" w:rsidR="005136B9" w:rsidRDefault="005136B9">
          <w:pPr>
            <w:pStyle w:val="NoSpacing"/>
            <w:spacing w:before="1540" w:after="240"/>
            <w:jc w:val="center"/>
            <w:rPr>
              <w:color w:val="156082" w:themeColor="accent1"/>
            </w:rPr>
          </w:pPr>
          <w:r w:rsidRPr="0039665D">
            <w:rPr>
              <w:noProof/>
              <w:color w:val="156082" w:themeColor="accent1"/>
              <w:shd w:val="clear" w:color="auto" w:fill="F2CEED" w:themeFill="accent5" w:themeFillTint="33"/>
            </w:rPr>
            <w:drawing>
              <wp:inline distT="0" distB="0" distL="0" distR="0" wp14:anchorId="6669FD0A" wp14:editId="0BAD9584">
                <wp:extent cx="2902313" cy="1537649"/>
                <wp:effectExtent l="0" t="0" r="0" b="5715"/>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915987" cy="1544893"/>
                        </a:xfrm>
                        <a:prstGeom prst="rect">
                          <a:avLst/>
                        </a:prstGeom>
                        <a:noFill/>
                        <a:ln>
                          <a:noFill/>
                        </a:ln>
                      </pic:spPr>
                    </pic:pic>
                  </a:graphicData>
                </a:graphic>
              </wp:inline>
            </w:drawing>
          </w:r>
        </w:p>
        <w:sdt>
          <w:sdtPr>
            <w:rPr>
              <w:rFonts w:ascii="Arial Black" w:eastAsiaTheme="majorEastAsia" w:hAnsi="Arial Black" w:cstheme="majorBidi"/>
              <w:caps/>
              <w:color w:val="000000" w:themeColor="text1"/>
              <w:sz w:val="72"/>
              <w:szCs w:val="72"/>
            </w:rPr>
            <w:alias w:val="Title"/>
            <w:tag w:val=""/>
            <w:id w:val="1735040861"/>
            <w:placeholder>
              <w:docPart w:val="B49ACB614DC64AB987B6D66EF19A1A4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303E689" w14:textId="5677AF0B" w:rsidR="005136B9" w:rsidRPr="0039665D" w:rsidRDefault="005136B9">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00000" w:themeColor="text1"/>
                  <w:sz w:val="80"/>
                  <w:szCs w:val="80"/>
                </w:rPr>
              </w:pPr>
              <w:r w:rsidRPr="0039665D">
                <w:rPr>
                  <w:rFonts w:ascii="Arial Black" w:eastAsiaTheme="majorEastAsia" w:hAnsi="Arial Black" w:cstheme="majorBidi"/>
                  <w:caps/>
                  <w:color w:val="000000" w:themeColor="text1"/>
                  <w:sz w:val="72"/>
                  <w:szCs w:val="72"/>
                </w:rPr>
                <w:t>Regeneration of Newport</w:t>
              </w:r>
            </w:p>
          </w:sdtContent>
        </w:sdt>
        <w:sdt>
          <w:sdtPr>
            <w:rPr>
              <w:rFonts w:ascii="Arial Black" w:hAnsi="Arial Black"/>
              <w:color w:val="000000" w:themeColor="text1"/>
              <w:sz w:val="72"/>
              <w:szCs w:val="72"/>
            </w:rPr>
            <w:alias w:val="Subtitle"/>
            <w:tag w:val=""/>
            <w:id w:val="328029620"/>
            <w:placeholder>
              <w:docPart w:val="BA781D1C8CDD45E592414C3D9781F514"/>
            </w:placeholder>
            <w:dataBinding w:prefixMappings="xmlns:ns0='http://purl.org/dc/elements/1.1/' xmlns:ns1='http://schemas.openxmlformats.org/package/2006/metadata/core-properties' " w:xpath="/ns1:coreProperties[1]/ns0:subject[1]" w:storeItemID="{6C3C8BC8-F283-45AE-878A-BAB7291924A1}"/>
            <w:text/>
          </w:sdtPr>
          <w:sdtContent>
            <w:p w14:paraId="77AFFCB8" w14:textId="4836608E" w:rsidR="005136B9" w:rsidRPr="0039665D" w:rsidRDefault="005136B9">
              <w:pPr>
                <w:pStyle w:val="NoSpacing"/>
                <w:jc w:val="center"/>
                <w:rPr>
                  <w:rFonts w:ascii="Arial Black" w:hAnsi="Arial Black"/>
                  <w:color w:val="000000" w:themeColor="text1"/>
                  <w:sz w:val="72"/>
                  <w:szCs w:val="72"/>
                </w:rPr>
              </w:pPr>
              <w:r w:rsidRPr="0039665D">
                <w:rPr>
                  <w:rFonts w:ascii="Arial Black" w:hAnsi="Arial Black"/>
                  <w:color w:val="000000" w:themeColor="text1"/>
                  <w:sz w:val="72"/>
                  <w:szCs w:val="72"/>
                </w:rPr>
                <w:t>Report</w:t>
              </w:r>
            </w:p>
          </w:sdtContent>
        </w:sdt>
        <w:p w14:paraId="357F0EDD" w14:textId="77777777" w:rsidR="005136B9" w:rsidRPr="0039665D" w:rsidRDefault="005136B9">
          <w:pPr>
            <w:pStyle w:val="NoSpacing"/>
            <w:spacing w:before="480"/>
            <w:jc w:val="center"/>
            <w:rPr>
              <w:rFonts w:ascii="Arial Black" w:hAnsi="Arial Black"/>
              <w:color w:val="156082" w:themeColor="accent1"/>
              <w:sz w:val="72"/>
              <w:szCs w:val="72"/>
            </w:rPr>
          </w:pPr>
          <w:r w:rsidRPr="0039665D">
            <w:rPr>
              <w:rFonts w:ascii="Arial Black" w:hAnsi="Arial Black"/>
              <w:noProof/>
              <w:color w:val="156082" w:themeColor="accent1"/>
              <w:sz w:val="72"/>
              <w:szCs w:val="72"/>
            </w:rPr>
            <mc:AlternateContent>
              <mc:Choice Requires="wps">
                <w:drawing>
                  <wp:anchor distT="0" distB="0" distL="114300" distR="114300" simplePos="0" relativeHeight="251659264" behindDoc="0" locked="0" layoutInCell="1" allowOverlap="1" wp14:anchorId="7EB0F4ED" wp14:editId="65B113F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5CB6F3D5" w14:textId="3F222DFE" w:rsidR="005136B9" w:rsidRPr="0039665D" w:rsidRDefault="005136B9">
                                    <w:pPr>
                                      <w:pStyle w:val="NoSpacing"/>
                                      <w:spacing w:after="40"/>
                                      <w:jc w:val="center"/>
                                      <w:rPr>
                                        <w:rFonts w:ascii="Arial Black" w:hAnsi="Arial Black"/>
                                        <w:caps/>
                                        <w:color w:val="000000" w:themeColor="text1"/>
                                        <w:sz w:val="28"/>
                                        <w:szCs w:val="28"/>
                                      </w:rPr>
                                    </w:pPr>
                                    <w:r w:rsidRPr="0039665D">
                                      <w:rPr>
                                        <w:rFonts w:ascii="Arial Black" w:hAnsi="Arial Black"/>
                                        <w:caps/>
                                        <w:color w:val="000000" w:themeColor="text1"/>
                                        <w:sz w:val="28"/>
                                        <w:szCs w:val="28"/>
                                      </w:rPr>
                                      <w:t>March 20, 2026</w:t>
                                    </w:r>
                                  </w:p>
                                </w:sdtContent>
                              </w:sdt>
                              <w:p w14:paraId="71B52A1D" w14:textId="72B01B21" w:rsidR="005136B9" w:rsidRPr="0039665D" w:rsidRDefault="005136B9">
                                <w:pPr>
                                  <w:pStyle w:val="NoSpacing"/>
                                  <w:jc w:val="center"/>
                                  <w:rPr>
                                    <w:rFonts w:ascii="Arial Black" w:hAnsi="Arial Black"/>
                                    <w:color w:val="000000" w:themeColor="text1"/>
                                  </w:rPr>
                                </w:pPr>
                                <w:sdt>
                                  <w:sdtPr>
                                    <w:rPr>
                                      <w:rFonts w:ascii="Arial Black" w:hAnsi="Arial Black"/>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39665D">
                                      <w:rPr>
                                        <w:rFonts w:ascii="Arial Black" w:hAnsi="Arial Black"/>
                                        <w:caps/>
                                        <w:color w:val="000000" w:themeColor="text1"/>
                                      </w:rPr>
                                      <w:t>Module:</w:t>
                                    </w:r>
                                    <w:r w:rsidRPr="0039665D">
                                      <w:rPr>
                                        <w:rFonts w:ascii="Arial Black" w:hAnsi="Arial Black"/>
                                        <w:caps/>
                                        <w:color w:val="000000" w:themeColor="text1"/>
                                      </w:rPr>
                                      <w:t xml:space="preserve"> </w:t>
                                    </w:r>
                                    <w:r w:rsidRPr="0039665D">
                                      <w:rPr>
                                        <w:rFonts w:ascii="Arial Black" w:hAnsi="Arial Black"/>
                                        <w:caps/>
                                        <w:color w:val="000000" w:themeColor="text1"/>
                                      </w:rPr>
                                      <w:t>Distinctiveness and Regeneration</w:t>
                                    </w:r>
                                  </w:sdtContent>
                                </w:sdt>
                              </w:p>
                              <w:p w14:paraId="4E1D7E6A" w14:textId="0FD82449" w:rsidR="005136B9" w:rsidRPr="0039665D" w:rsidRDefault="005136B9">
                                <w:pPr>
                                  <w:pStyle w:val="NoSpacing"/>
                                  <w:jc w:val="center"/>
                                  <w:rPr>
                                    <w:rFonts w:ascii="Arial Black" w:hAnsi="Arial Black"/>
                                    <w:color w:val="000000" w:themeColor="text1"/>
                                  </w:rPr>
                                </w:pPr>
                                <w:sdt>
                                  <w:sdtPr>
                                    <w:rPr>
                                      <w:rFonts w:ascii="Arial Black" w:hAnsi="Arial Black"/>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39665D">
                                      <w:rPr>
                                        <w:rFonts w:ascii="Arial Black" w:hAnsi="Arial Black"/>
                                        <w:color w:val="000000" w:themeColor="text1"/>
                                      </w:rPr>
                                      <w:t>Module code:</w:t>
                                    </w:r>
                                    <w:r w:rsidR="0039665D" w:rsidRPr="0039665D">
                                      <w:rPr>
                                        <w:rFonts w:ascii="Arial Black" w:hAnsi="Arial Black"/>
                                        <w:color w:val="000000" w:themeColor="text1"/>
                                      </w:rPr>
                                      <w:t xml:space="preserve"> </w:t>
                                    </w:r>
                                    <w:r w:rsidRPr="0039665D">
                                      <w:rPr>
                                        <w:rFonts w:ascii="Arial Black" w:hAnsi="Arial Black"/>
                                        <w:color w:val="000000" w:themeColor="text1"/>
                                      </w:rPr>
                                      <w:t>BMSP4016D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EB0F4ED"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Black" w:hAnsi="Arial Black"/>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6-03-20T00:00:00Z">
                              <w:dateFormat w:val="MMMM d, yyyy"/>
                              <w:lid w:val="en-US"/>
                              <w:storeMappedDataAs w:val="dateTime"/>
                              <w:calendar w:val="gregorian"/>
                            </w:date>
                          </w:sdtPr>
                          <w:sdtContent>
                            <w:p w14:paraId="5CB6F3D5" w14:textId="3F222DFE" w:rsidR="005136B9" w:rsidRPr="0039665D" w:rsidRDefault="005136B9">
                              <w:pPr>
                                <w:pStyle w:val="NoSpacing"/>
                                <w:spacing w:after="40"/>
                                <w:jc w:val="center"/>
                                <w:rPr>
                                  <w:rFonts w:ascii="Arial Black" w:hAnsi="Arial Black"/>
                                  <w:caps/>
                                  <w:color w:val="000000" w:themeColor="text1"/>
                                  <w:sz w:val="28"/>
                                  <w:szCs w:val="28"/>
                                </w:rPr>
                              </w:pPr>
                              <w:r w:rsidRPr="0039665D">
                                <w:rPr>
                                  <w:rFonts w:ascii="Arial Black" w:hAnsi="Arial Black"/>
                                  <w:caps/>
                                  <w:color w:val="000000" w:themeColor="text1"/>
                                  <w:sz w:val="28"/>
                                  <w:szCs w:val="28"/>
                                </w:rPr>
                                <w:t>March 20, 2026</w:t>
                              </w:r>
                            </w:p>
                          </w:sdtContent>
                        </w:sdt>
                        <w:p w14:paraId="71B52A1D" w14:textId="72B01B21" w:rsidR="005136B9" w:rsidRPr="0039665D" w:rsidRDefault="005136B9">
                          <w:pPr>
                            <w:pStyle w:val="NoSpacing"/>
                            <w:jc w:val="center"/>
                            <w:rPr>
                              <w:rFonts w:ascii="Arial Black" w:hAnsi="Arial Black"/>
                              <w:color w:val="000000" w:themeColor="text1"/>
                            </w:rPr>
                          </w:pPr>
                          <w:sdt>
                            <w:sdtPr>
                              <w:rPr>
                                <w:rFonts w:ascii="Arial Black" w:hAnsi="Arial Black"/>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Pr="0039665D">
                                <w:rPr>
                                  <w:rFonts w:ascii="Arial Black" w:hAnsi="Arial Black"/>
                                  <w:caps/>
                                  <w:color w:val="000000" w:themeColor="text1"/>
                                </w:rPr>
                                <w:t>Module:</w:t>
                              </w:r>
                              <w:r w:rsidRPr="0039665D">
                                <w:rPr>
                                  <w:rFonts w:ascii="Arial Black" w:hAnsi="Arial Black"/>
                                  <w:caps/>
                                  <w:color w:val="000000" w:themeColor="text1"/>
                                </w:rPr>
                                <w:t xml:space="preserve"> </w:t>
                              </w:r>
                              <w:r w:rsidRPr="0039665D">
                                <w:rPr>
                                  <w:rFonts w:ascii="Arial Black" w:hAnsi="Arial Black"/>
                                  <w:caps/>
                                  <w:color w:val="000000" w:themeColor="text1"/>
                                </w:rPr>
                                <w:t>Distinctiveness and Regeneration</w:t>
                              </w:r>
                            </w:sdtContent>
                          </w:sdt>
                        </w:p>
                        <w:p w14:paraId="4E1D7E6A" w14:textId="0FD82449" w:rsidR="005136B9" w:rsidRPr="0039665D" w:rsidRDefault="005136B9">
                          <w:pPr>
                            <w:pStyle w:val="NoSpacing"/>
                            <w:jc w:val="center"/>
                            <w:rPr>
                              <w:rFonts w:ascii="Arial Black" w:hAnsi="Arial Black"/>
                              <w:color w:val="000000" w:themeColor="text1"/>
                            </w:rPr>
                          </w:pPr>
                          <w:sdt>
                            <w:sdtPr>
                              <w:rPr>
                                <w:rFonts w:ascii="Arial Black" w:hAnsi="Arial Black"/>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Pr="0039665D">
                                <w:rPr>
                                  <w:rFonts w:ascii="Arial Black" w:hAnsi="Arial Black"/>
                                  <w:color w:val="000000" w:themeColor="text1"/>
                                </w:rPr>
                                <w:t>Module code:</w:t>
                              </w:r>
                              <w:r w:rsidR="0039665D" w:rsidRPr="0039665D">
                                <w:rPr>
                                  <w:rFonts w:ascii="Arial Black" w:hAnsi="Arial Black"/>
                                  <w:color w:val="000000" w:themeColor="text1"/>
                                </w:rPr>
                                <w:t xml:space="preserve"> </w:t>
                              </w:r>
                              <w:r w:rsidRPr="0039665D">
                                <w:rPr>
                                  <w:rFonts w:ascii="Arial Black" w:hAnsi="Arial Black"/>
                                  <w:color w:val="000000" w:themeColor="text1"/>
                                </w:rPr>
                                <w:t>BMSP4016D</w:t>
                              </w:r>
                            </w:sdtContent>
                          </w:sdt>
                        </w:p>
                      </w:txbxContent>
                    </v:textbox>
                    <w10:wrap anchorx="margin" anchory="page"/>
                  </v:shape>
                </w:pict>
              </mc:Fallback>
            </mc:AlternateContent>
          </w:r>
          <w:r w:rsidRPr="0039665D">
            <w:rPr>
              <w:rFonts w:ascii="Arial Black" w:hAnsi="Arial Black"/>
              <w:noProof/>
              <w:color w:val="156082" w:themeColor="accent1"/>
              <w:sz w:val="72"/>
              <w:szCs w:val="72"/>
            </w:rPr>
            <w:drawing>
              <wp:inline distT="0" distB="0" distL="0" distR="0" wp14:anchorId="5558E6B1" wp14:editId="4E96F1F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73EA7AC" w14:textId="10833315" w:rsidR="005136B9" w:rsidRDefault="005136B9">
          <w:pPr>
            <w:rPr>
              <w:rFonts w:ascii="Arial" w:hAnsi="Arial" w:cs="Arial"/>
              <w:b/>
              <w:bCs/>
            </w:rPr>
          </w:pPr>
          <w:r>
            <w:rPr>
              <w:rFonts w:ascii="Arial" w:hAnsi="Arial" w:cs="Arial"/>
              <w:b/>
              <w:bCs/>
            </w:rPr>
            <w:br w:type="page"/>
          </w:r>
        </w:p>
      </w:sdtContent>
    </w:sdt>
    <w:p w14:paraId="27F54595" w14:textId="69561A5F" w:rsidR="00883997" w:rsidRDefault="00883997" w:rsidP="00883997">
      <w:pPr>
        <w:spacing w:line="480" w:lineRule="auto"/>
        <w:jc w:val="center"/>
        <w:rPr>
          <w:rFonts w:ascii="Arial" w:hAnsi="Arial" w:cs="Arial"/>
          <w:b/>
          <w:bCs/>
        </w:rPr>
      </w:pPr>
      <w:r w:rsidRPr="00883997">
        <w:rPr>
          <w:rFonts w:ascii="Arial" w:hAnsi="Arial" w:cs="Arial"/>
          <w:b/>
          <w:bCs/>
        </w:rPr>
        <w:lastRenderedPageBreak/>
        <w:t>Introduction</w:t>
      </w:r>
    </w:p>
    <w:p w14:paraId="08DEC569" w14:textId="77777777" w:rsidR="00883997" w:rsidRPr="00883997" w:rsidRDefault="00883997" w:rsidP="00883997">
      <w:pPr>
        <w:spacing w:line="480" w:lineRule="auto"/>
        <w:jc w:val="center"/>
        <w:rPr>
          <w:rFonts w:ascii="Arial" w:hAnsi="Arial" w:cs="Arial"/>
          <w:b/>
          <w:bCs/>
        </w:rPr>
      </w:pPr>
    </w:p>
    <w:p w14:paraId="2F1B4FD6" w14:textId="419D6BBB" w:rsidR="00883997" w:rsidRPr="00883997" w:rsidRDefault="00883997" w:rsidP="00883997">
      <w:pPr>
        <w:spacing w:line="480" w:lineRule="auto"/>
        <w:jc w:val="both"/>
        <w:rPr>
          <w:rFonts w:ascii="Arial" w:hAnsi="Arial" w:cs="Arial"/>
        </w:rPr>
      </w:pPr>
      <w:r w:rsidRPr="00883997">
        <w:rPr>
          <w:rFonts w:ascii="Arial" w:hAnsi="Arial" w:cs="Arial"/>
        </w:rPr>
        <w:t xml:space="preserve">Newport is positioned in </w:t>
      </w:r>
      <w:r w:rsidRPr="00883997">
        <w:rPr>
          <w:rFonts w:ascii="Arial" w:hAnsi="Arial" w:cs="Arial"/>
        </w:rPr>
        <w:t>Southeast</w:t>
      </w:r>
      <w:r w:rsidRPr="00883997">
        <w:rPr>
          <w:rFonts w:ascii="Arial" w:hAnsi="Arial" w:cs="Arial"/>
        </w:rPr>
        <w:t xml:space="preserve"> Wales</w:t>
      </w:r>
      <w:r>
        <w:rPr>
          <w:rFonts w:ascii="Arial" w:hAnsi="Arial" w:cs="Arial"/>
        </w:rPr>
        <w:t>;</w:t>
      </w:r>
      <w:r w:rsidRPr="00883997">
        <w:rPr>
          <w:rFonts w:ascii="Arial" w:hAnsi="Arial" w:cs="Arial"/>
        </w:rPr>
        <w:t xml:space="preserve"> however, </w:t>
      </w:r>
      <w:r>
        <w:rPr>
          <w:rFonts w:ascii="Arial" w:hAnsi="Arial" w:cs="Arial"/>
        </w:rPr>
        <w:t xml:space="preserve">it </w:t>
      </w:r>
      <w:r w:rsidRPr="00883997">
        <w:rPr>
          <w:rFonts w:ascii="Arial" w:hAnsi="Arial" w:cs="Arial"/>
        </w:rPr>
        <w:t>has a unique set of regeneration issues which distinguish it from both Cardiff’s ongoing new capital city development and Swansea’s large-scale history of heavy industry. Since its inception</w:t>
      </w:r>
      <w:r>
        <w:rPr>
          <w:rFonts w:ascii="Arial" w:hAnsi="Arial" w:cs="Arial"/>
        </w:rPr>
        <w:t>,</w:t>
      </w:r>
      <w:r w:rsidRPr="00883997">
        <w:rPr>
          <w:rFonts w:ascii="Arial" w:hAnsi="Arial" w:cs="Arial"/>
        </w:rPr>
        <w:t xml:space="preserve"> Newport has had its development shaped by transport, logistics, manufacturing, river-based economies, and providing a regional service. In recent years</w:t>
      </w:r>
      <w:r>
        <w:rPr>
          <w:rFonts w:ascii="Arial" w:hAnsi="Arial" w:cs="Arial"/>
        </w:rPr>
        <w:t>,</w:t>
      </w:r>
      <w:r w:rsidRPr="00883997">
        <w:rPr>
          <w:rFonts w:ascii="Arial" w:hAnsi="Arial" w:cs="Arial"/>
        </w:rPr>
        <w:t xml:space="preserve"> however, Newport has been faced with city centre retail decline</w:t>
      </w:r>
      <w:r>
        <w:rPr>
          <w:rFonts w:ascii="Arial" w:hAnsi="Arial" w:cs="Arial"/>
        </w:rPr>
        <w:t>,</w:t>
      </w:r>
      <w:r w:rsidRPr="00883997">
        <w:rPr>
          <w:rFonts w:ascii="Arial" w:hAnsi="Arial" w:cs="Arial"/>
        </w:rPr>
        <w:t xml:space="preserve"> underutilised land</w:t>
      </w:r>
      <w:r>
        <w:rPr>
          <w:rFonts w:ascii="Arial" w:hAnsi="Arial" w:cs="Arial"/>
        </w:rPr>
        <w:t>,</w:t>
      </w:r>
      <w:r w:rsidRPr="00883997">
        <w:rPr>
          <w:rFonts w:ascii="Arial" w:hAnsi="Arial" w:cs="Arial"/>
        </w:rPr>
        <w:t xml:space="preserve"> city centre fragmentation</w:t>
      </w:r>
      <w:r>
        <w:rPr>
          <w:rFonts w:ascii="Arial" w:hAnsi="Arial" w:cs="Arial"/>
        </w:rPr>
        <w:t>,</w:t>
      </w:r>
      <w:r w:rsidRPr="00883997">
        <w:rPr>
          <w:rFonts w:ascii="Arial" w:hAnsi="Arial" w:cs="Arial"/>
        </w:rPr>
        <w:t xml:space="preserve"> and difficulty diversifying its strategic location to provide local benefits on a </w:t>
      </w:r>
      <w:r>
        <w:rPr>
          <w:rFonts w:ascii="Arial" w:hAnsi="Arial" w:cs="Arial"/>
        </w:rPr>
        <w:t>broader</w:t>
      </w:r>
      <w:r w:rsidRPr="00883997">
        <w:rPr>
          <w:rFonts w:ascii="Arial" w:hAnsi="Arial" w:cs="Arial"/>
        </w:rPr>
        <w:t xml:space="preserve"> scale. This report provides an assessment of Newport as a river-based city where the future viability of the city lies in achieving integrated </w:t>
      </w:r>
      <w:r>
        <w:rPr>
          <w:rFonts w:ascii="Arial" w:hAnsi="Arial" w:cs="Arial"/>
        </w:rPr>
        <w:t>placemaking</w:t>
      </w:r>
      <w:r w:rsidRPr="00883997">
        <w:rPr>
          <w:rFonts w:ascii="Arial" w:hAnsi="Arial" w:cs="Arial"/>
        </w:rPr>
        <w:t xml:space="preserve">, rather than reliance on </w:t>
      </w:r>
      <w:r>
        <w:rPr>
          <w:rFonts w:ascii="Arial" w:hAnsi="Arial" w:cs="Arial"/>
        </w:rPr>
        <w:t>single-use</w:t>
      </w:r>
      <w:r w:rsidRPr="00883997">
        <w:rPr>
          <w:rFonts w:ascii="Arial" w:hAnsi="Arial" w:cs="Arial"/>
        </w:rPr>
        <w:t xml:space="preserve"> developments.</w:t>
      </w:r>
    </w:p>
    <w:p w14:paraId="45D27E36" w14:textId="77777777" w:rsidR="00883997" w:rsidRPr="00883997" w:rsidRDefault="00883997" w:rsidP="00883997">
      <w:pPr>
        <w:spacing w:line="480" w:lineRule="auto"/>
        <w:jc w:val="both"/>
        <w:rPr>
          <w:rFonts w:ascii="Arial" w:hAnsi="Arial" w:cs="Arial"/>
        </w:rPr>
      </w:pPr>
    </w:p>
    <w:p w14:paraId="34830851" w14:textId="77777777" w:rsidR="00883997" w:rsidRDefault="00883997" w:rsidP="00883997">
      <w:pPr>
        <w:spacing w:line="480" w:lineRule="auto"/>
        <w:jc w:val="both"/>
        <w:rPr>
          <w:rFonts w:ascii="Arial" w:hAnsi="Arial" w:cs="Arial"/>
        </w:rPr>
      </w:pPr>
    </w:p>
    <w:p w14:paraId="1911ECE9" w14:textId="77777777" w:rsidR="00883997" w:rsidRDefault="00883997" w:rsidP="00883997">
      <w:pPr>
        <w:spacing w:line="480" w:lineRule="auto"/>
        <w:jc w:val="both"/>
        <w:rPr>
          <w:rFonts w:ascii="Arial" w:hAnsi="Arial" w:cs="Arial"/>
        </w:rPr>
      </w:pPr>
    </w:p>
    <w:p w14:paraId="0EAC8012" w14:textId="77777777" w:rsidR="00883997" w:rsidRDefault="00883997" w:rsidP="00883997">
      <w:pPr>
        <w:spacing w:line="480" w:lineRule="auto"/>
        <w:jc w:val="both"/>
        <w:rPr>
          <w:rFonts w:ascii="Arial" w:hAnsi="Arial" w:cs="Arial"/>
        </w:rPr>
      </w:pPr>
    </w:p>
    <w:p w14:paraId="18F93648" w14:textId="77777777" w:rsidR="00883997" w:rsidRDefault="00883997" w:rsidP="00883997">
      <w:pPr>
        <w:spacing w:line="480" w:lineRule="auto"/>
        <w:jc w:val="both"/>
        <w:rPr>
          <w:rFonts w:ascii="Arial" w:hAnsi="Arial" w:cs="Arial"/>
        </w:rPr>
      </w:pPr>
    </w:p>
    <w:p w14:paraId="555CBE23" w14:textId="77777777" w:rsidR="00883997" w:rsidRDefault="00883997" w:rsidP="00883997">
      <w:pPr>
        <w:spacing w:line="480" w:lineRule="auto"/>
        <w:jc w:val="both"/>
        <w:rPr>
          <w:rFonts w:ascii="Arial" w:hAnsi="Arial" w:cs="Arial"/>
        </w:rPr>
      </w:pPr>
    </w:p>
    <w:p w14:paraId="63E296A6" w14:textId="77777777" w:rsidR="00883997" w:rsidRDefault="00883997" w:rsidP="00883997">
      <w:pPr>
        <w:spacing w:line="480" w:lineRule="auto"/>
        <w:jc w:val="both"/>
        <w:rPr>
          <w:rFonts w:ascii="Arial" w:hAnsi="Arial" w:cs="Arial"/>
        </w:rPr>
      </w:pPr>
    </w:p>
    <w:p w14:paraId="3284240B" w14:textId="77777777" w:rsidR="00883997" w:rsidRDefault="00883997" w:rsidP="00883997">
      <w:pPr>
        <w:spacing w:line="480" w:lineRule="auto"/>
        <w:jc w:val="both"/>
        <w:rPr>
          <w:rFonts w:ascii="Arial" w:hAnsi="Arial" w:cs="Arial"/>
        </w:rPr>
      </w:pPr>
    </w:p>
    <w:p w14:paraId="2D0B49AF" w14:textId="77777777" w:rsidR="005136B9" w:rsidRDefault="005136B9" w:rsidP="005136B9">
      <w:pPr>
        <w:spacing w:line="480" w:lineRule="auto"/>
        <w:rPr>
          <w:rFonts w:ascii="Arial" w:hAnsi="Arial" w:cs="Arial"/>
        </w:rPr>
      </w:pPr>
    </w:p>
    <w:p w14:paraId="3740C3AC" w14:textId="14FC45B7" w:rsidR="00883997" w:rsidRPr="00883997" w:rsidRDefault="00883997" w:rsidP="005136B9">
      <w:pPr>
        <w:spacing w:line="480" w:lineRule="auto"/>
        <w:jc w:val="center"/>
        <w:rPr>
          <w:rFonts w:ascii="Arial" w:hAnsi="Arial" w:cs="Arial"/>
          <w:b/>
          <w:bCs/>
        </w:rPr>
      </w:pPr>
      <w:r w:rsidRPr="00883997">
        <w:rPr>
          <w:rFonts w:ascii="Arial" w:hAnsi="Arial" w:cs="Arial"/>
          <w:b/>
          <w:bCs/>
        </w:rPr>
        <w:lastRenderedPageBreak/>
        <w:t>Changing Fortunes</w:t>
      </w:r>
    </w:p>
    <w:p w14:paraId="61291230" w14:textId="77777777" w:rsidR="00883997" w:rsidRDefault="00883997" w:rsidP="00883997">
      <w:pPr>
        <w:spacing w:line="480" w:lineRule="auto"/>
        <w:jc w:val="both"/>
        <w:rPr>
          <w:rFonts w:ascii="Arial" w:hAnsi="Arial" w:cs="Arial"/>
        </w:rPr>
      </w:pPr>
    </w:p>
    <w:p w14:paraId="44CA49F0" w14:textId="13B68968" w:rsidR="00883997" w:rsidRPr="00883997" w:rsidRDefault="00883997" w:rsidP="00883997">
      <w:pPr>
        <w:spacing w:line="480" w:lineRule="auto"/>
        <w:jc w:val="both"/>
        <w:rPr>
          <w:rFonts w:ascii="Arial" w:hAnsi="Arial" w:cs="Arial"/>
        </w:rPr>
      </w:pPr>
      <w:r w:rsidRPr="00883997">
        <w:rPr>
          <w:rFonts w:ascii="Arial" w:hAnsi="Arial" w:cs="Arial"/>
        </w:rPr>
        <w:t xml:space="preserve">Historically, Newport has had its economic fortunes based on movement: the movement of goods, the movement of labour, rail traffic, ports and the subsequent road access (M4) associated with this movement of goods and services. This </w:t>
      </w:r>
      <w:r>
        <w:rPr>
          <w:rFonts w:ascii="Arial" w:hAnsi="Arial" w:cs="Arial"/>
        </w:rPr>
        <w:t>infrastructure-rich</w:t>
      </w:r>
      <w:r w:rsidRPr="00883997">
        <w:rPr>
          <w:rFonts w:ascii="Arial" w:hAnsi="Arial" w:cs="Arial"/>
        </w:rPr>
        <w:t xml:space="preserve"> geography has provided economic strength, but it has also created an ‘economic profile’ that has created a place </w:t>
      </w:r>
      <w:r>
        <w:rPr>
          <w:rFonts w:ascii="Arial" w:hAnsi="Arial" w:cs="Arial"/>
        </w:rPr>
        <w:t>were</w:t>
      </w:r>
      <w:r w:rsidRPr="00883997">
        <w:rPr>
          <w:rFonts w:ascii="Arial" w:hAnsi="Arial" w:cs="Arial"/>
        </w:rPr>
        <w:t xml:space="preserve"> passing through, to get to another location</w:t>
      </w:r>
      <w:r>
        <w:rPr>
          <w:rFonts w:ascii="Arial" w:hAnsi="Arial" w:cs="Arial"/>
        </w:rPr>
        <w:t>,</w:t>
      </w:r>
      <w:r w:rsidRPr="00883997">
        <w:rPr>
          <w:rFonts w:ascii="Arial" w:hAnsi="Arial" w:cs="Arial"/>
        </w:rPr>
        <w:t xml:space="preserve"> has been more important than staying. As demonstrated by many city centres across the UK, as the transition occurred from an industrial and distribution-based economy to one that is consumption and </w:t>
      </w:r>
      <w:r>
        <w:rPr>
          <w:rFonts w:ascii="Arial" w:hAnsi="Arial" w:cs="Arial"/>
        </w:rPr>
        <w:t>service-based</w:t>
      </w:r>
      <w:r w:rsidRPr="00883997">
        <w:rPr>
          <w:rFonts w:ascii="Arial" w:hAnsi="Arial" w:cs="Arial"/>
        </w:rPr>
        <w:t>, historic city centre locations didn’t benefit from that transition</w:t>
      </w:r>
      <w:r>
        <w:rPr>
          <w:rFonts w:ascii="Arial" w:hAnsi="Arial" w:cs="Arial"/>
        </w:rPr>
        <w:t>,</w:t>
      </w:r>
      <w:r w:rsidRPr="00883997">
        <w:rPr>
          <w:rFonts w:ascii="Arial" w:hAnsi="Arial" w:cs="Arial"/>
        </w:rPr>
        <w:t xml:space="preserve"> as is evidenced by increased levels of retail competition</w:t>
      </w:r>
      <w:r>
        <w:rPr>
          <w:rFonts w:ascii="Arial" w:hAnsi="Arial" w:cs="Arial"/>
        </w:rPr>
        <w:t>,</w:t>
      </w:r>
      <w:r w:rsidRPr="00883997">
        <w:rPr>
          <w:rFonts w:ascii="Arial" w:hAnsi="Arial" w:cs="Arial"/>
        </w:rPr>
        <w:t xml:space="preserve"> fragmentation of land ownership</w:t>
      </w:r>
      <w:r>
        <w:rPr>
          <w:rFonts w:ascii="Arial" w:hAnsi="Arial" w:cs="Arial"/>
        </w:rPr>
        <w:t>,</w:t>
      </w:r>
      <w:r w:rsidRPr="00883997">
        <w:rPr>
          <w:rFonts w:ascii="Arial" w:hAnsi="Arial" w:cs="Arial"/>
        </w:rPr>
        <w:t xml:space="preserve"> and changing patterns of travel. Evans (1997) points out that successful town centre regeneration involves more than cosmetic changes and that they must re-establish a context of purpose (based on present day economy) </w:t>
      </w:r>
      <w:r w:rsidRPr="00883997">
        <w:rPr>
          <w:rFonts w:ascii="Arial" w:hAnsi="Arial" w:cs="Arial"/>
        </w:rPr>
        <w:t>to</w:t>
      </w:r>
      <w:r w:rsidRPr="00883997">
        <w:rPr>
          <w:rFonts w:ascii="Arial" w:hAnsi="Arial" w:cs="Arial"/>
        </w:rPr>
        <w:t xml:space="preserve"> achieve success. This observation is still very applicable to Newport.</w:t>
      </w:r>
    </w:p>
    <w:p w14:paraId="0AA25213" w14:textId="65D42169" w:rsidR="00883997" w:rsidRPr="00883997" w:rsidRDefault="00883997" w:rsidP="00883997">
      <w:pPr>
        <w:spacing w:line="480" w:lineRule="auto"/>
        <w:jc w:val="both"/>
        <w:rPr>
          <w:rFonts w:ascii="Arial" w:hAnsi="Arial" w:cs="Arial"/>
        </w:rPr>
      </w:pPr>
      <w:r w:rsidRPr="00883997">
        <w:rPr>
          <w:rFonts w:ascii="Arial" w:hAnsi="Arial" w:cs="Arial"/>
        </w:rPr>
        <w:t xml:space="preserve">The city’s new strategy for Newport acknowledges these long-standing issues related to the city’s situation and includes references to identifying vacant buildings, anti-social behaviour and the decline of retail as being structural issues as opposed to only temporary </w:t>
      </w:r>
      <w:r>
        <w:rPr>
          <w:rFonts w:ascii="Arial" w:hAnsi="Arial" w:cs="Arial"/>
        </w:rPr>
        <w:t>setbacks</w:t>
      </w:r>
      <w:r w:rsidRPr="00883997">
        <w:rPr>
          <w:rFonts w:ascii="Arial" w:hAnsi="Arial" w:cs="Arial"/>
        </w:rPr>
        <w:t xml:space="preserve"> </w:t>
      </w:r>
      <w:r w:rsidRPr="00883997">
        <w:rPr>
          <w:rFonts w:ascii="Arial" w:hAnsi="Arial" w:cs="Arial"/>
        </w:rPr>
        <w:t>and</w:t>
      </w:r>
      <w:r w:rsidRPr="00883997">
        <w:rPr>
          <w:rFonts w:ascii="Arial" w:hAnsi="Arial" w:cs="Arial"/>
        </w:rPr>
        <w:t xml:space="preserve"> identifying heritage, culture and the River Usk as underutilised sources of strength within the city.</w:t>
      </w:r>
      <w:r>
        <w:rPr>
          <w:rFonts w:ascii="Arial" w:hAnsi="Arial" w:cs="Arial"/>
        </w:rPr>
        <w:t xml:space="preserve"> </w:t>
      </w:r>
      <w:r w:rsidRPr="00883997">
        <w:rPr>
          <w:rFonts w:ascii="Arial" w:hAnsi="Arial" w:cs="Arial"/>
        </w:rPr>
        <w:t xml:space="preserve">This is a very different view. Instead of viewing the city centre as simply an unsuccessful shopping area, the new thinking sees it as an overall urban setting that has the potential to accommodate housing, culture, employment, and public amenity. This approach falls within the more general </w:t>
      </w:r>
      <w:r w:rsidRPr="00883997">
        <w:rPr>
          <w:rFonts w:ascii="Arial" w:hAnsi="Arial" w:cs="Arial"/>
        </w:rPr>
        <w:lastRenderedPageBreak/>
        <w:t>trends of integrated urban development as summarised by URBACT (2010) and Franke et al (2007)</w:t>
      </w:r>
      <w:r>
        <w:rPr>
          <w:rFonts w:ascii="Arial" w:hAnsi="Arial" w:cs="Arial"/>
        </w:rPr>
        <w:t>,</w:t>
      </w:r>
      <w:r w:rsidRPr="00883997">
        <w:rPr>
          <w:rFonts w:ascii="Arial" w:hAnsi="Arial" w:cs="Arial"/>
        </w:rPr>
        <w:t xml:space="preserve"> who point out that regeneration works best when economic, spatial and social elements are planned together.</w:t>
      </w:r>
    </w:p>
    <w:p w14:paraId="1D576F79" w14:textId="5695C096" w:rsidR="00883997" w:rsidRPr="00883997" w:rsidRDefault="00883997" w:rsidP="00883997">
      <w:pPr>
        <w:spacing w:line="480" w:lineRule="auto"/>
        <w:jc w:val="both"/>
        <w:rPr>
          <w:rFonts w:ascii="Arial" w:hAnsi="Arial" w:cs="Arial"/>
        </w:rPr>
      </w:pPr>
      <w:r w:rsidRPr="00883997">
        <w:rPr>
          <w:rFonts w:ascii="Arial" w:hAnsi="Arial" w:cs="Arial"/>
        </w:rPr>
        <w:t>The changing fortunes of Newport have left the city with a legacy that is mixed. On the one hand, Newport has still substantial assets</w:t>
      </w:r>
      <w:r>
        <w:rPr>
          <w:rFonts w:ascii="Arial" w:hAnsi="Arial" w:cs="Arial"/>
        </w:rPr>
        <w:t>,</w:t>
      </w:r>
      <w:r w:rsidRPr="00883997">
        <w:rPr>
          <w:rFonts w:ascii="Arial" w:hAnsi="Arial" w:cs="Arial"/>
        </w:rPr>
        <w:t xml:space="preserve"> including accessibility, civic facilities, industrial history, and a recognisable city centre; however, the city also inherits </w:t>
      </w:r>
      <w:r>
        <w:rPr>
          <w:rFonts w:ascii="Arial" w:hAnsi="Arial" w:cs="Arial"/>
        </w:rPr>
        <w:t>underperforming</w:t>
      </w:r>
      <w:r w:rsidRPr="00883997">
        <w:rPr>
          <w:rFonts w:ascii="Arial" w:hAnsi="Arial" w:cs="Arial"/>
        </w:rPr>
        <w:t xml:space="preserve"> sites, varying perceptions of place quality, and a river that is often seen as an edge instead of a key organisational driver in the urban framework. The direction in which the city develops will be dependent on the ability to turn these legacies into new opportunities.</w:t>
      </w:r>
    </w:p>
    <w:p w14:paraId="3E5C2E0E" w14:textId="77777777" w:rsidR="00883997" w:rsidRPr="00883997" w:rsidRDefault="00883997" w:rsidP="00883997">
      <w:pPr>
        <w:spacing w:line="480" w:lineRule="auto"/>
        <w:jc w:val="both"/>
        <w:rPr>
          <w:rFonts w:ascii="Arial" w:hAnsi="Arial" w:cs="Arial"/>
        </w:rPr>
      </w:pPr>
    </w:p>
    <w:p w14:paraId="715F924B" w14:textId="77777777" w:rsidR="00883997" w:rsidRPr="00883997" w:rsidRDefault="00883997" w:rsidP="00883997">
      <w:pPr>
        <w:spacing w:line="480" w:lineRule="auto"/>
        <w:jc w:val="center"/>
        <w:rPr>
          <w:rFonts w:ascii="Arial" w:hAnsi="Arial" w:cs="Arial"/>
          <w:b/>
          <w:bCs/>
        </w:rPr>
      </w:pPr>
      <w:r w:rsidRPr="00883997">
        <w:rPr>
          <w:rFonts w:ascii="Arial" w:hAnsi="Arial" w:cs="Arial"/>
          <w:b/>
          <w:bCs/>
        </w:rPr>
        <w:t>Existing assets, structures and economic characteristics of Newport</w:t>
      </w:r>
    </w:p>
    <w:p w14:paraId="7A7C44D3" w14:textId="77777777" w:rsidR="00883997" w:rsidRPr="00883997" w:rsidRDefault="00883997" w:rsidP="00883997">
      <w:pPr>
        <w:spacing w:line="480" w:lineRule="auto"/>
        <w:jc w:val="both"/>
        <w:rPr>
          <w:rFonts w:ascii="Arial" w:hAnsi="Arial" w:cs="Arial"/>
        </w:rPr>
      </w:pPr>
    </w:p>
    <w:p w14:paraId="0C693CFB" w14:textId="31A70A26" w:rsidR="00883997" w:rsidRPr="00883997" w:rsidRDefault="00883997" w:rsidP="00883997">
      <w:pPr>
        <w:spacing w:line="480" w:lineRule="auto"/>
        <w:jc w:val="both"/>
        <w:rPr>
          <w:rFonts w:ascii="Arial" w:hAnsi="Arial" w:cs="Arial"/>
        </w:rPr>
      </w:pPr>
      <w:r w:rsidRPr="00883997">
        <w:rPr>
          <w:rFonts w:ascii="Arial" w:hAnsi="Arial" w:cs="Arial"/>
        </w:rPr>
        <w:t xml:space="preserve">Newport has a greater number of assets than its reputation might imply. There are historical markets and civic buildings located within the city centre; the centre of the city has many transport options and independent cultural activity; and the centre of the city is walkable and manageable size. The River Usk creates a strong landscape and identity base, while the Transporter Bridge, university presence, and wider cultural institutions provide a level of distinctiveness. Newport is also a key part of an important regional economy with connections to Cardiff, Bristol, and the broader industrial corridor within </w:t>
      </w:r>
      <w:r>
        <w:rPr>
          <w:rFonts w:ascii="Arial" w:hAnsi="Arial" w:cs="Arial"/>
        </w:rPr>
        <w:t>South</w:t>
      </w:r>
      <w:r w:rsidRPr="00883997">
        <w:rPr>
          <w:rFonts w:ascii="Arial" w:hAnsi="Arial" w:cs="Arial"/>
        </w:rPr>
        <w:t xml:space="preserve"> </w:t>
      </w:r>
      <w:r w:rsidRPr="00883997">
        <w:rPr>
          <w:rFonts w:ascii="Arial" w:hAnsi="Arial" w:cs="Arial"/>
        </w:rPr>
        <w:t>Wales. Essentially</w:t>
      </w:r>
      <w:r w:rsidRPr="00883997">
        <w:rPr>
          <w:rFonts w:ascii="Arial" w:hAnsi="Arial" w:cs="Arial"/>
        </w:rPr>
        <w:t xml:space="preserve">, Newport requires a </w:t>
      </w:r>
      <w:r>
        <w:rPr>
          <w:rFonts w:ascii="Arial" w:hAnsi="Arial" w:cs="Arial"/>
        </w:rPr>
        <w:t>customised</w:t>
      </w:r>
      <w:r w:rsidRPr="00883997">
        <w:rPr>
          <w:rFonts w:ascii="Arial" w:hAnsi="Arial" w:cs="Arial"/>
        </w:rPr>
        <w:t xml:space="preserve"> regeneration model that focuses on Newport's local characteristics as they relate to the redevelopment of Newport's downtown area. The contemporary theory supports this </w:t>
      </w:r>
      <w:r w:rsidRPr="00883997">
        <w:rPr>
          <w:rFonts w:ascii="Arial" w:hAnsi="Arial" w:cs="Arial"/>
        </w:rPr>
        <w:lastRenderedPageBreak/>
        <w:t xml:space="preserve">notion. The Leipzig Charter supports this approach with its promotion of integrated urban development (and its importance to the sustainability of the cities) through attention to areas of concern (e.g., social capital, public realm and functional diversity) (EU ministers, 2007). Similarly, Deakin and </w:t>
      </w:r>
      <w:proofErr w:type="spellStart"/>
      <w:r w:rsidRPr="00883997">
        <w:rPr>
          <w:rFonts w:ascii="Arial" w:hAnsi="Arial" w:cs="Arial"/>
        </w:rPr>
        <w:t>Allwinkle</w:t>
      </w:r>
      <w:proofErr w:type="spellEnd"/>
      <w:r w:rsidRPr="00883997">
        <w:rPr>
          <w:rFonts w:ascii="Arial" w:hAnsi="Arial" w:cs="Arial"/>
        </w:rPr>
        <w:t xml:space="preserve"> (2007) argue that networks, innovation and partnership are central to successful regeneration, and thus the physical redevelopment of the region, of its existing disadvantages. Newport has a foundation of this type of model, as current placemaking efforts have been conducted with great involvement of the community through a steering committee, cross-sector collaboration, and demonstrating that the term "regeneration" represents a citywide civic project instead of property redevelopment projects. It is worth noting that medium-sized cities' successes in their regeneration efforts have typically not been achieved by developing </w:t>
      </w:r>
      <w:r>
        <w:rPr>
          <w:rFonts w:ascii="Arial" w:hAnsi="Arial" w:cs="Arial"/>
        </w:rPr>
        <w:t>several</w:t>
      </w:r>
      <w:r w:rsidRPr="00883997">
        <w:rPr>
          <w:rFonts w:ascii="Arial" w:hAnsi="Arial" w:cs="Arial"/>
        </w:rPr>
        <w:t xml:space="preserve"> disconnected projects.</w:t>
      </w:r>
    </w:p>
    <w:p w14:paraId="1BB570A1" w14:textId="77777777" w:rsidR="00883997" w:rsidRDefault="00883997" w:rsidP="00883997">
      <w:pPr>
        <w:spacing w:line="480" w:lineRule="auto"/>
        <w:jc w:val="both"/>
        <w:rPr>
          <w:rFonts w:ascii="Arial" w:hAnsi="Arial" w:cs="Arial"/>
        </w:rPr>
      </w:pPr>
      <w:r w:rsidRPr="00883997">
        <w:rPr>
          <w:rFonts w:ascii="Arial" w:hAnsi="Arial" w:cs="Arial"/>
        </w:rPr>
        <w:t xml:space="preserve">Newport currently displays a transitional economic profile, meaning that the city does not have a predominant identity (i.e. Newport is not simply an industrial-based city and does not have a fully developed visitor and/or culture-based economy). Nonetheless, the lack of identity may inhibit </w:t>
      </w:r>
      <w:r w:rsidRPr="00883997">
        <w:rPr>
          <w:rFonts w:ascii="Arial" w:hAnsi="Arial" w:cs="Arial"/>
        </w:rPr>
        <w:t>policymaking</w:t>
      </w:r>
      <w:r w:rsidRPr="00883997">
        <w:rPr>
          <w:rFonts w:ascii="Arial" w:hAnsi="Arial" w:cs="Arial"/>
        </w:rPr>
        <w:t xml:space="preserve">, but the flexibility of Newport allows for mixed-use, creative, and local enterprise development, as well as multi-family housing. According to DTZ (2009), retail-based regeneration will continue to play an important role in helping bring foot traffic (visitors) and credibility to the town </w:t>
      </w:r>
      <w:proofErr w:type="gramStart"/>
      <w:r w:rsidRPr="00883997">
        <w:rPr>
          <w:rFonts w:ascii="Arial" w:hAnsi="Arial" w:cs="Arial"/>
        </w:rPr>
        <w:t>centre</w:t>
      </w:r>
      <w:r>
        <w:rPr>
          <w:rFonts w:ascii="Arial" w:hAnsi="Arial" w:cs="Arial"/>
        </w:rPr>
        <w:t>, but</w:t>
      </w:r>
      <w:proofErr w:type="gramEnd"/>
      <w:r w:rsidRPr="00883997">
        <w:rPr>
          <w:rFonts w:ascii="Arial" w:hAnsi="Arial" w:cs="Arial"/>
        </w:rPr>
        <w:t xml:space="preserve"> also acknowledges that retail alone will not be sufficient for the long-term sustainability of urban centres.</w:t>
      </w:r>
      <w:r>
        <w:rPr>
          <w:rFonts w:ascii="Arial" w:hAnsi="Arial" w:cs="Arial"/>
        </w:rPr>
        <w:t xml:space="preserve"> </w:t>
      </w:r>
      <w:r w:rsidRPr="00883997">
        <w:rPr>
          <w:rFonts w:ascii="Arial" w:hAnsi="Arial" w:cs="Arial"/>
        </w:rPr>
        <w:t xml:space="preserve">The future of Newport's economy is based around creating a diverse centre that mixes the retail sector with leisure, culture, flexible working spaces and residential development. The most promising economic model includes using </w:t>
      </w:r>
      <w:r w:rsidRPr="00883997">
        <w:rPr>
          <w:rFonts w:ascii="Arial" w:hAnsi="Arial" w:cs="Arial"/>
        </w:rPr>
        <w:t>all</w:t>
      </w:r>
      <w:r w:rsidRPr="00883997">
        <w:rPr>
          <w:rFonts w:ascii="Arial" w:hAnsi="Arial" w:cs="Arial"/>
        </w:rPr>
        <w:t xml:space="preserve"> these factors in conjunction with one another to create a prosperous economic environment.</w:t>
      </w:r>
    </w:p>
    <w:p w14:paraId="675DB8F2" w14:textId="1F854CC1" w:rsidR="00883997" w:rsidRPr="00883997" w:rsidRDefault="00883997" w:rsidP="00883997">
      <w:pPr>
        <w:spacing w:line="480" w:lineRule="auto"/>
        <w:jc w:val="both"/>
        <w:rPr>
          <w:rFonts w:ascii="Arial" w:hAnsi="Arial" w:cs="Arial"/>
        </w:rPr>
      </w:pPr>
      <w:r w:rsidRPr="00883997">
        <w:rPr>
          <w:rFonts w:ascii="Arial" w:hAnsi="Arial" w:cs="Arial"/>
        </w:rPr>
        <w:lastRenderedPageBreak/>
        <w:t xml:space="preserve">Newport City Council plays an important role as the main strategic authority for the city, especially as it relates to city centre place-making, economic development and regeneration services, and their connections to destination planning and culture. The City Council's recent efforts to establish a Place Board and conduct </w:t>
      </w:r>
      <w:r>
        <w:rPr>
          <w:rFonts w:ascii="Arial" w:hAnsi="Arial" w:cs="Arial"/>
        </w:rPr>
        <w:t>large-scale</w:t>
      </w:r>
      <w:r w:rsidRPr="00883997">
        <w:rPr>
          <w:rFonts w:ascii="Arial" w:hAnsi="Arial" w:cs="Arial"/>
        </w:rPr>
        <w:t xml:space="preserve"> community engagement stand in stark contrast to historical top-down approaches to regeneration. It is essential to this collaborative governance strategy that the City Council is the primary entity overseeing any future development because the success of the project will have a direct impact on </w:t>
      </w:r>
      <w:r w:rsidRPr="00883997">
        <w:rPr>
          <w:rFonts w:ascii="Arial" w:hAnsi="Arial" w:cs="Arial"/>
        </w:rPr>
        <w:t>whether</w:t>
      </w:r>
      <w:r w:rsidRPr="00883997">
        <w:rPr>
          <w:rFonts w:ascii="Arial" w:hAnsi="Arial" w:cs="Arial"/>
        </w:rPr>
        <w:t xml:space="preserve"> the project can continue past one funding cycle. </w:t>
      </w:r>
    </w:p>
    <w:p w14:paraId="69F0256F" w14:textId="539C6EB9" w:rsidR="00883997" w:rsidRPr="00883997" w:rsidRDefault="00883997" w:rsidP="00883997">
      <w:pPr>
        <w:spacing w:line="480" w:lineRule="auto"/>
        <w:jc w:val="both"/>
        <w:rPr>
          <w:rFonts w:ascii="Arial" w:hAnsi="Arial" w:cs="Arial"/>
        </w:rPr>
      </w:pPr>
      <w:r>
        <w:rPr>
          <w:rFonts w:ascii="Arial" w:hAnsi="Arial" w:cs="Arial"/>
        </w:rPr>
        <w:t>Several</w:t>
      </w:r>
      <w:r w:rsidRPr="00883997">
        <w:rPr>
          <w:rFonts w:ascii="Arial" w:hAnsi="Arial" w:cs="Arial"/>
        </w:rPr>
        <w:t xml:space="preserve"> powerful stakeholders play an important role in the current development plans for Newport, such as small businesses, market traders, cultural organisations, the University of South Wales, transport bodies, community groups, developers, investors and private property owners. It is essential that private property owners also participate in the redevelopment plans for the upper floors of buildings, vacant properties and other potential development sites so that they can be reused in an economically productive way. Ricciardelli, Amoruso, and Di Liddo (2025) have discussed how social innovation plays a much bigger role in urban regeneration than physical design; this is particularly relevant for Newport because the confidence of the community, the nature of programmed events, and local entrepreneurs may be equally as impactful in urban impact </w:t>
      </w:r>
      <w:r>
        <w:rPr>
          <w:rFonts w:ascii="Arial" w:hAnsi="Arial" w:cs="Arial"/>
        </w:rPr>
        <w:t>as</w:t>
      </w:r>
      <w:r w:rsidRPr="00883997">
        <w:rPr>
          <w:rFonts w:ascii="Arial" w:hAnsi="Arial" w:cs="Arial"/>
        </w:rPr>
        <w:t xml:space="preserve"> large-scale construction projects that are used as flagship developments.</w:t>
      </w:r>
    </w:p>
    <w:p w14:paraId="6E6D381C" w14:textId="6BEBA8FF" w:rsidR="00883997" w:rsidRPr="00883997" w:rsidRDefault="00883997" w:rsidP="00883997">
      <w:pPr>
        <w:spacing w:line="480" w:lineRule="auto"/>
        <w:jc w:val="both"/>
        <w:rPr>
          <w:rFonts w:ascii="Arial" w:hAnsi="Arial" w:cs="Arial"/>
        </w:rPr>
      </w:pPr>
      <w:r w:rsidRPr="00883997">
        <w:rPr>
          <w:rFonts w:ascii="Arial" w:hAnsi="Arial" w:cs="Arial"/>
        </w:rPr>
        <w:t xml:space="preserve">Cultural stakeholders are very important to successful developments within Newport. The emerging culture strategy for Newport defines culture not as an accessory to development, but rather as the foundation for belonging, engagement and economic </w:t>
      </w:r>
      <w:r w:rsidRPr="00883997">
        <w:rPr>
          <w:rFonts w:ascii="Arial" w:hAnsi="Arial" w:cs="Arial"/>
        </w:rPr>
        <w:lastRenderedPageBreak/>
        <w:t xml:space="preserve">differentiation. Popa, Pop, and Marian-Potra (2025) have demonstrated how the use of culture and the arts can transform previously forgotten areas into vibrant creative environments; however, any of these strategies must maintain their complete integration with the local identity of </w:t>
      </w:r>
      <w:r w:rsidRPr="00883997">
        <w:rPr>
          <w:rFonts w:ascii="Arial" w:hAnsi="Arial" w:cs="Arial"/>
        </w:rPr>
        <w:t>Newport and</w:t>
      </w:r>
      <w:r w:rsidRPr="00883997">
        <w:rPr>
          <w:rFonts w:ascii="Arial" w:hAnsi="Arial" w:cs="Arial"/>
        </w:rPr>
        <w:t xml:space="preserve"> should not be imposed through imported branding </w:t>
      </w:r>
      <w:r w:rsidRPr="00883997">
        <w:rPr>
          <w:rFonts w:ascii="Arial" w:hAnsi="Arial" w:cs="Arial"/>
        </w:rPr>
        <w:t>strategies. The</w:t>
      </w:r>
      <w:r w:rsidRPr="00883997">
        <w:rPr>
          <w:rFonts w:ascii="Arial" w:hAnsi="Arial" w:cs="Arial"/>
        </w:rPr>
        <w:t xml:space="preserve"> cultural value of Newport's City Centre arises primarily from its ability to link resident participation, city image, and everyday City Centre use with each other. Businesses that have an interest in public safety, footfall and the public realm will also have a vested interest in the outcome of this work, as well as businesses that are concerned that the regeneration of the area provides improved access to and inclusion within the City Centre, rather than just repurposing the land for higher-value uses.</w:t>
      </w:r>
    </w:p>
    <w:p w14:paraId="6F0E7C96" w14:textId="77777777" w:rsidR="00883997" w:rsidRPr="00883997" w:rsidRDefault="00883997" w:rsidP="00883997">
      <w:pPr>
        <w:spacing w:line="480" w:lineRule="auto"/>
        <w:jc w:val="both"/>
        <w:rPr>
          <w:rFonts w:ascii="Arial" w:hAnsi="Arial" w:cs="Arial"/>
        </w:rPr>
      </w:pPr>
    </w:p>
    <w:p w14:paraId="19CE6E6C" w14:textId="77777777" w:rsidR="00883997" w:rsidRPr="00883997" w:rsidRDefault="00883997" w:rsidP="00883997">
      <w:pPr>
        <w:spacing w:line="480" w:lineRule="auto"/>
        <w:jc w:val="center"/>
        <w:rPr>
          <w:rFonts w:ascii="Arial" w:hAnsi="Arial" w:cs="Arial"/>
          <w:b/>
          <w:bCs/>
        </w:rPr>
      </w:pPr>
      <w:r w:rsidRPr="00883997">
        <w:rPr>
          <w:rFonts w:ascii="Arial" w:hAnsi="Arial" w:cs="Arial"/>
          <w:b/>
          <w:bCs/>
        </w:rPr>
        <w:t>Implications of existing development strategies</w:t>
      </w:r>
    </w:p>
    <w:p w14:paraId="1F6ED651" w14:textId="77777777" w:rsidR="00883997" w:rsidRPr="00883997" w:rsidRDefault="00883997" w:rsidP="00883997">
      <w:pPr>
        <w:spacing w:line="480" w:lineRule="auto"/>
        <w:jc w:val="both"/>
        <w:rPr>
          <w:rFonts w:ascii="Arial" w:hAnsi="Arial" w:cs="Arial"/>
        </w:rPr>
      </w:pPr>
    </w:p>
    <w:p w14:paraId="7A2093ED" w14:textId="440E7EE2" w:rsidR="00883997" w:rsidRPr="00883997" w:rsidRDefault="00883997" w:rsidP="00883997">
      <w:pPr>
        <w:spacing w:line="480" w:lineRule="auto"/>
        <w:jc w:val="both"/>
        <w:rPr>
          <w:rFonts w:ascii="Arial" w:hAnsi="Arial" w:cs="Arial"/>
        </w:rPr>
      </w:pPr>
      <w:r w:rsidRPr="00883997">
        <w:rPr>
          <w:rFonts w:ascii="Arial" w:hAnsi="Arial" w:cs="Arial"/>
        </w:rPr>
        <w:t xml:space="preserve">Newport's most recent placemaking agenda shows strong alignment </w:t>
      </w:r>
      <w:r>
        <w:rPr>
          <w:rFonts w:ascii="Arial" w:hAnsi="Arial" w:cs="Arial"/>
        </w:rPr>
        <w:t>with</w:t>
      </w:r>
      <w:r w:rsidRPr="00883997">
        <w:rPr>
          <w:rFonts w:ascii="Arial" w:hAnsi="Arial" w:cs="Arial"/>
        </w:rPr>
        <w:t xml:space="preserve"> integrated regeneration theory. The framework for Newport is focused on addressing perceptions, public safety, cultural elements, retail diversity due to the broad range of shopping options, the riverfront, residential and employment growth within the City Centre. These objectives align with those established for an integrated urban development model endorsed by URBACT (2010), Franke et al. (2007), and Leipzig Charter (EU Ministers, 2007). Consistent with more recent authors writing about sustainability, it must not be the addition of an environmental solution but the primary </w:t>
      </w:r>
      <w:r w:rsidR="00BC2606">
        <w:rPr>
          <w:rFonts w:ascii="Arial" w:hAnsi="Arial" w:cs="Arial"/>
        </w:rPr>
        <w:lastRenderedPageBreak/>
        <w:t>s</w:t>
      </w:r>
      <w:r w:rsidRPr="00883997">
        <w:rPr>
          <w:rFonts w:ascii="Arial" w:hAnsi="Arial" w:cs="Arial"/>
        </w:rPr>
        <w:t>tructural framework for all aspects of the regeneration process (Hashim, Alias and Dali, 2022).</w:t>
      </w:r>
    </w:p>
    <w:p w14:paraId="0CB06D73" w14:textId="541DAA74" w:rsidR="00BC2606" w:rsidRDefault="00883997" w:rsidP="00883997">
      <w:pPr>
        <w:spacing w:line="480" w:lineRule="auto"/>
        <w:jc w:val="both"/>
        <w:rPr>
          <w:rFonts w:ascii="Arial" w:hAnsi="Arial" w:cs="Arial"/>
        </w:rPr>
      </w:pPr>
      <w:r w:rsidRPr="00883997">
        <w:rPr>
          <w:rFonts w:ascii="Arial" w:hAnsi="Arial" w:cs="Arial"/>
        </w:rPr>
        <w:t xml:space="preserve">The second implication for the planned regeneration is that Newport's City Centre should avoid the short-sighted project-by-project logic of urban renewal and plan a sequenced strategy for chronological public realm development, cultural development, mobility improvements, and the reuse of buildings within the City Centre. The River Usk should also be regarded as the spine of the City Centre and not as an </w:t>
      </w:r>
      <w:r w:rsidR="00BC2606" w:rsidRPr="00883997">
        <w:rPr>
          <w:rFonts w:ascii="Arial" w:hAnsi="Arial" w:cs="Arial"/>
        </w:rPr>
        <w:t xml:space="preserve">edge. </w:t>
      </w:r>
      <w:r w:rsidRPr="00883997">
        <w:rPr>
          <w:rFonts w:ascii="Arial" w:hAnsi="Arial" w:cs="Arial"/>
        </w:rPr>
        <w:t>Brownfield and waterfront sites can be used for development</w:t>
      </w:r>
      <w:r w:rsidR="00BC2606">
        <w:rPr>
          <w:rFonts w:ascii="Arial" w:hAnsi="Arial" w:cs="Arial"/>
        </w:rPr>
        <w:t xml:space="preserve">. </w:t>
      </w:r>
      <w:r w:rsidRPr="00883997">
        <w:rPr>
          <w:rFonts w:ascii="Arial" w:hAnsi="Arial" w:cs="Arial"/>
        </w:rPr>
        <w:t>Newport should develop strategies for brownfield redevelopment that focus on reusing existing construction, showing physical improvements to the surrounding community, and enhancing the local culture to increase community pride.</w:t>
      </w:r>
    </w:p>
    <w:p w14:paraId="4298ACC3" w14:textId="77777777" w:rsidR="00BC2606" w:rsidRDefault="00883997" w:rsidP="00883997">
      <w:pPr>
        <w:spacing w:line="480" w:lineRule="auto"/>
        <w:jc w:val="both"/>
        <w:rPr>
          <w:rFonts w:ascii="Arial" w:hAnsi="Arial" w:cs="Arial"/>
        </w:rPr>
      </w:pPr>
      <w:r w:rsidRPr="00883997">
        <w:rPr>
          <w:rFonts w:ascii="Arial" w:hAnsi="Arial" w:cs="Arial"/>
        </w:rPr>
        <w:t xml:space="preserve">The most important opportunity for redevelopment is the River Usk Climate and Culture Corridor. The River Usk is one of Newport's greatest natural assets; however, the river has not always served to create a spatial structure for urban life. A </w:t>
      </w:r>
      <w:r w:rsidR="00BC2606" w:rsidRPr="00883997">
        <w:rPr>
          <w:rFonts w:ascii="Arial" w:hAnsi="Arial" w:cs="Arial"/>
        </w:rPr>
        <w:t>long-term</w:t>
      </w:r>
      <w:r w:rsidRPr="00883997">
        <w:rPr>
          <w:rFonts w:ascii="Arial" w:hAnsi="Arial" w:cs="Arial"/>
        </w:rPr>
        <w:t xml:space="preserve"> plan for redevelopment would create a series of interconnected public spaces, active transportation routes, cultural venues, ecological enhancement zones and riverbank areas to connect the railway, market, civic area and edges of the river. </w:t>
      </w:r>
      <w:proofErr w:type="spellStart"/>
      <w:r w:rsidRPr="00883997">
        <w:rPr>
          <w:rFonts w:ascii="Arial" w:hAnsi="Arial" w:cs="Arial"/>
        </w:rPr>
        <w:t>Torkfar</w:t>
      </w:r>
      <w:proofErr w:type="spellEnd"/>
      <w:r w:rsidRPr="00883997">
        <w:rPr>
          <w:rFonts w:ascii="Arial" w:hAnsi="Arial" w:cs="Arial"/>
        </w:rPr>
        <w:t xml:space="preserve"> and Russo (2023) state that </w:t>
      </w:r>
      <w:r w:rsidR="00BC2606">
        <w:rPr>
          <w:rFonts w:ascii="Arial" w:hAnsi="Arial" w:cs="Arial"/>
        </w:rPr>
        <w:t>climate-responsive</w:t>
      </w:r>
      <w:r w:rsidRPr="00883997">
        <w:rPr>
          <w:rFonts w:ascii="Arial" w:hAnsi="Arial" w:cs="Arial"/>
        </w:rPr>
        <w:t xml:space="preserve"> design and </w:t>
      </w:r>
      <w:r w:rsidR="00BC2606">
        <w:rPr>
          <w:rFonts w:ascii="Arial" w:hAnsi="Arial" w:cs="Arial"/>
        </w:rPr>
        <w:t>nature-based</w:t>
      </w:r>
      <w:r w:rsidRPr="00883997">
        <w:rPr>
          <w:rFonts w:ascii="Arial" w:hAnsi="Arial" w:cs="Arial"/>
        </w:rPr>
        <w:t xml:space="preserve"> solutions will collectively provide increased opportunities for redevelopment, resulting in higher adaptation rates, improved quality of life and better environmental protection. The overall effect would be recreating the development of the riverfront for both environmental infrastructure and economic development.</w:t>
      </w:r>
    </w:p>
    <w:p w14:paraId="35D7667C" w14:textId="14BAE001" w:rsidR="00883997" w:rsidRPr="00883997" w:rsidRDefault="00BC2606" w:rsidP="00883997">
      <w:pPr>
        <w:spacing w:line="480" w:lineRule="auto"/>
        <w:jc w:val="both"/>
        <w:rPr>
          <w:rFonts w:ascii="Arial" w:hAnsi="Arial" w:cs="Arial"/>
        </w:rPr>
      </w:pPr>
      <w:r>
        <w:rPr>
          <w:rFonts w:ascii="Arial" w:hAnsi="Arial" w:cs="Arial"/>
        </w:rPr>
        <w:t xml:space="preserve">An </w:t>
      </w:r>
      <w:r w:rsidR="00883997" w:rsidRPr="00883997">
        <w:rPr>
          <w:rFonts w:ascii="Arial" w:hAnsi="Arial" w:cs="Arial"/>
        </w:rPr>
        <w:t xml:space="preserve">opportunity for redevelopment is establishing a market, events and makers district within the centre of Newport. Instead of trying to revert to the past when retail sales </w:t>
      </w:r>
      <w:r w:rsidR="00883997" w:rsidRPr="00883997">
        <w:rPr>
          <w:rFonts w:ascii="Arial" w:hAnsi="Arial" w:cs="Arial"/>
        </w:rPr>
        <w:lastRenderedPageBreak/>
        <w:t xml:space="preserve">were the primary industry in the city, Newport should develop a more diversified centre that embraces food, crafts, small businesses, community events and evening activities. Bahar (2025) claims that urban retail environments need a new strategy for redevelopment </w:t>
      </w:r>
      <w:r w:rsidRPr="00883997">
        <w:rPr>
          <w:rFonts w:ascii="Arial" w:hAnsi="Arial" w:cs="Arial"/>
        </w:rPr>
        <w:t>because</w:t>
      </w:r>
      <w:r w:rsidR="00883997" w:rsidRPr="00883997">
        <w:rPr>
          <w:rFonts w:ascii="Arial" w:hAnsi="Arial" w:cs="Arial"/>
        </w:rPr>
        <w:t xml:space="preserve"> of the digital economy</w:t>
      </w:r>
      <w:r>
        <w:rPr>
          <w:rFonts w:ascii="Arial" w:hAnsi="Arial" w:cs="Arial"/>
        </w:rPr>
        <w:t xml:space="preserve">. </w:t>
      </w:r>
      <w:r w:rsidR="00883997" w:rsidRPr="00883997">
        <w:rPr>
          <w:rFonts w:ascii="Arial" w:hAnsi="Arial" w:cs="Arial"/>
        </w:rPr>
        <w:t>By having a healthy market and strong</w:t>
      </w:r>
      <w:r>
        <w:rPr>
          <w:rFonts w:ascii="Arial" w:hAnsi="Arial" w:cs="Arial"/>
        </w:rPr>
        <w:t xml:space="preserve"> and </w:t>
      </w:r>
      <w:r w:rsidR="00883997" w:rsidRPr="00883997">
        <w:rPr>
          <w:rFonts w:ascii="Arial" w:hAnsi="Arial" w:cs="Arial"/>
        </w:rPr>
        <w:t>available cultural attributes, Newport is uniquely positioned to facilitate the development of a new form of urban centre. By using a coordinated programme of interim use, independent trader support, cultural programming and streetscape enhancement, visible progress can be made towards this goal without the development of any one major project.</w:t>
      </w:r>
    </w:p>
    <w:p w14:paraId="0641034E" w14:textId="524BC4C6" w:rsidR="00883997" w:rsidRPr="00883997" w:rsidRDefault="00BC2606" w:rsidP="00883997">
      <w:pPr>
        <w:spacing w:line="480" w:lineRule="auto"/>
        <w:jc w:val="both"/>
        <w:rPr>
          <w:rFonts w:ascii="Arial" w:hAnsi="Arial" w:cs="Arial"/>
        </w:rPr>
      </w:pPr>
      <w:r>
        <w:rPr>
          <w:rFonts w:ascii="Arial" w:hAnsi="Arial" w:cs="Arial"/>
        </w:rPr>
        <w:t xml:space="preserve">Another </w:t>
      </w:r>
      <w:r w:rsidR="00883997" w:rsidRPr="00883997">
        <w:rPr>
          <w:rFonts w:ascii="Arial" w:hAnsi="Arial" w:cs="Arial"/>
        </w:rPr>
        <w:t xml:space="preserve">opportunity for redevelopment is as an </w:t>
      </w:r>
      <w:r>
        <w:rPr>
          <w:rFonts w:ascii="Arial" w:hAnsi="Arial" w:cs="Arial"/>
        </w:rPr>
        <w:t>upper-floor</w:t>
      </w:r>
      <w:r w:rsidR="00883997" w:rsidRPr="00883997">
        <w:rPr>
          <w:rFonts w:ascii="Arial" w:hAnsi="Arial" w:cs="Arial"/>
        </w:rPr>
        <w:t xml:space="preserve"> retrofitting of residences and flexible workspaces associated with public services and education. Newport has opportunities to create compact urban living through the adaptive </w:t>
      </w:r>
      <w:r>
        <w:rPr>
          <w:rFonts w:ascii="Arial" w:hAnsi="Arial" w:cs="Arial"/>
        </w:rPr>
        <w:t>reuse</w:t>
      </w:r>
      <w:r w:rsidR="00883997" w:rsidRPr="00883997">
        <w:rPr>
          <w:rFonts w:ascii="Arial" w:hAnsi="Arial" w:cs="Arial"/>
        </w:rPr>
        <w:t xml:space="preserve"> of existing buildings. This should not be limited to speculative adaptation only; instead, renovation should also incorporate </w:t>
      </w:r>
      <w:r>
        <w:rPr>
          <w:rFonts w:ascii="Arial" w:hAnsi="Arial" w:cs="Arial"/>
        </w:rPr>
        <w:t>upper-floor</w:t>
      </w:r>
      <w:r w:rsidR="00883997" w:rsidRPr="00883997">
        <w:rPr>
          <w:rFonts w:ascii="Arial" w:hAnsi="Arial" w:cs="Arial"/>
        </w:rPr>
        <w:t xml:space="preserve"> apartments, affordable workspaces, training facilities and support for small business owners, </w:t>
      </w:r>
      <w:r>
        <w:rPr>
          <w:rFonts w:ascii="Arial" w:hAnsi="Arial" w:cs="Arial"/>
        </w:rPr>
        <w:t>increasing</w:t>
      </w:r>
      <w:r w:rsidR="00883997" w:rsidRPr="00883997">
        <w:rPr>
          <w:rFonts w:ascii="Arial" w:hAnsi="Arial" w:cs="Arial"/>
        </w:rPr>
        <w:t xml:space="preserve"> the number of people living in the city </w:t>
      </w:r>
      <w:proofErr w:type="gramStart"/>
      <w:r w:rsidR="00883997" w:rsidRPr="00883997">
        <w:rPr>
          <w:rFonts w:ascii="Arial" w:hAnsi="Arial" w:cs="Arial"/>
        </w:rPr>
        <w:t>and also</w:t>
      </w:r>
      <w:proofErr w:type="gramEnd"/>
      <w:r w:rsidR="00883997" w:rsidRPr="00883997">
        <w:rPr>
          <w:rFonts w:ascii="Arial" w:hAnsi="Arial" w:cs="Arial"/>
        </w:rPr>
        <w:t xml:space="preserve"> the number of people with access to employment and education. This model will create a sustainable brownfield redevelopment approach in relation to the development of this community, as well as providing an emphasis on social innovation as discussed by Ricciardelli et al. (2025</w:t>
      </w:r>
      <w:r w:rsidRPr="00883997">
        <w:rPr>
          <w:rFonts w:ascii="Arial" w:hAnsi="Arial" w:cs="Arial"/>
        </w:rPr>
        <w:t>) and</w:t>
      </w:r>
      <w:r w:rsidR="00883997" w:rsidRPr="00883997">
        <w:rPr>
          <w:rFonts w:ascii="Arial" w:hAnsi="Arial" w:cs="Arial"/>
        </w:rPr>
        <w:t xml:space="preserve"> will also assist community efforts to make the downtown safer and more vibrant during non-retail time periods by enhancing activity throughout downtown.</w:t>
      </w:r>
    </w:p>
    <w:p w14:paraId="7AF76818" w14:textId="77777777" w:rsidR="00BC2606" w:rsidRDefault="00BC2606" w:rsidP="00883997">
      <w:pPr>
        <w:spacing w:line="480" w:lineRule="auto"/>
        <w:jc w:val="both"/>
        <w:rPr>
          <w:rFonts w:ascii="Arial" w:hAnsi="Arial" w:cs="Arial"/>
        </w:rPr>
      </w:pPr>
    </w:p>
    <w:p w14:paraId="6D525E27" w14:textId="77777777" w:rsidR="005136B9" w:rsidRDefault="005136B9" w:rsidP="00883997">
      <w:pPr>
        <w:spacing w:line="480" w:lineRule="auto"/>
        <w:jc w:val="both"/>
        <w:rPr>
          <w:rFonts w:ascii="Arial" w:hAnsi="Arial" w:cs="Arial"/>
        </w:rPr>
      </w:pPr>
    </w:p>
    <w:p w14:paraId="36BA3236" w14:textId="4F834B95" w:rsidR="00883997" w:rsidRPr="00BC2606" w:rsidRDefault="00883997" w:rsidP="00BC2606">
      <w:pPr>
        <w:spacing w:line="480" w:lineRule="auto"/>
        <w:jc w:val="center"/>
        <w:rPr>
          <w:rFonts w:ascii="Arial" w:hAnsi="Arial" w:cs="Arial"/>
          <w:b/>
          <w:bCs/>
        </w:rPr>
      </w:pPr>
      <w:r w:rsidRPr="00BC2606">
        <w:rPr>
          <w:rFonts w:ascii="Arial" w:hAnsi="Arial" w:cs="Arial"/>
          <w:b/>
          <w:bCs/>
        </w:rPr>
        <w:lastRenderedPageBreak/>
        <w:t>Conclusion</w:t>
      </w:r>
    </w:p>
    <w:p w14:paraId="202506B4" w14:textId="77777777" w:rsidR="00883997" w:rsidRPr="00883997" w:rsidRDefault="00883997" w:rsidP="00883997">
      <w:pPr>
        <w:spacing w:line="480" w:lineRule="auto"/>
        <w:jc w:val="both"/>
        <w:rPr>
          <w:rFonts w:ascii="Arial" w:hAnsi="Arial" w:cs="Arial"/>
        </w:rPr>
      </w:pPr>
    </w:p>
    <w:p w14:paraId="1802622D" w14:textId="207AD403" w:rsidR="00883997" w:rsidRDefault="00883997" w:rsidP="00883997">
      <w:pPr>
        <w:spacing w:line="480" w:lineRule="auto"/>
        <w:jc w:val="both"/>
        <w:rPr>
          <w:rFonts w:ascii="Arial" w:hAnsi="Arial" w:cs="Arial"/>
        </w:rPr>
      </w:pPr>
      <w:r w:rsidRPr="00883997">
        <w:rPr>
          <w:rFonts w:ascii="Arial" w:hAnsi="Arial" w:cs="Arial"/>
        </w:rPr>
        <w:t>There is a regeneration issue for Newport in that Newport's identity does not have to be created from nothing</w:t>
      </w:r>
      <w:r w:rsidR="00BC2606">
        <w:rPr>
          <w:rFonts w:ascii="Arial" w:hAnsi="Arial" w:cs="Arial"/>
        </w:rPr>
        <w:t>;</w:t>
      </w:r>
      <w:r w:rsidRPr="00883997">
        <w:rPr>
          <w:rFonts w:ascii="Arial" w:hAnsi="Arial" w:cs="Arial"/>
        </w:rPr>
        <w:t xml:space="preserve"> it should focus on developing the existing assets of the city. Newport has a strategically located downtown, an easily recognisable downtown, a strong cultural base and a powerful river; however, the city </w:t>
      </w:r>
      <w:r w:rsidR="00BC2606">
        <w:rPr>
          <w:rFonts w:ascii="Arial" w:hAnsi="Arial" w:cs="Arial"/>
        </w:rPr>
        <w:t>has also</w:t>
      </w:r>
      <w:r w:rsidRPr="00883997">
        <w:rPr>
          <w:rFonts w:ascii="Arial" w:hAnsi="Arial" w:cs="Arial"/>
        </w:rPr>
        <w:t xml:space="preserve"> been challenged with a decline in retail businesses, vacant parcels and a lack of consistency in the way the public perceives the city. The current placemaking strategy is a good opportunity for Newport because it will frame the issues in a holistic manner. The best approach to develop Newport into a more sustainable form of centre-city redevelopment will be through the implementation of three components: 1) development of the River Usk climate corridor; 2) a market/maker economy in the centre; and 3) maximum adaptive use of the existing </w:t>
      </w:r>
      <w:r w:rsidR="00BC2606">
        <w:rPr>
          <w:rFonts w:ascii="Arial" w:hAnsi="Arial" w:cs="Arial"/>
        </w:rPr>
        <w:t>built form</w:t>
      </w:r>
      <w:r w:rsidRPr="00883997">
        <w:rPr>
          <w:rFonts w:ascii="Arial" w:hAnsi="Arial" w:cs="Arial"/>
        </w:rPr>
        <w:t xml:space="preserve"> for housing, education and businesses. Collectively, these initiatives will help the city of Newport transition from a reactionary to a more confident, sustainable approach for the future redevelopment of the centre of the</w:t>
      </w:r>
      <w:r w:rsidR="00BC2606">
        <w:rPr>
          <w:rFonts w:ascii="Arial" w:hAnsi="Arial" w:cs="Arial"/>
        </w:rPr>
        <w:t xml:space="preserve"> city.</w:t>
      </w:r>
    </w:p>
    <w:p w14:paraId="41252472" w14:textId="77777777" w:rsidR="00BC2606" w:rsidRDefault="00BC2606" w:rsidP="00883997">
      <w:pPr>
        <w:spacing w:line="480" w:lineRule="auto"/>
        <w:jc w:val="both"/>
        <w:rPr>
          <w:rFonts w:ascii="Arial" w:hAnsi="Arial" w:cs="Arial"/>
        </w:rPr>
      </w:pPr>
    </w:p>
    <w:p w14:paraId="553BDA21" w14:textId="77777777" w:rsidR="00BC2606" w:rsidRDefault="00BC2606" w:rsidP="00883997">
      <w:pPr>
        <w:spacing w:line="480" w:lineRule="auto"/>
        <w:jc w:val="both"/>
        <w:rPr>
          <w:rFonts w:ascii="Arial" w:hAnsi="Arial" w:cs="Arial"/>
        </w:rPr>
      </w:pPr>
    </w:p>
    <w:p w14:paraId="561486EE" w14:textId="77777777" w:rsidR="00BC2606" w:rsidRDefault="00BC2606" w:rsidP="00883997">
      <w:pPr>
        <w:spacing w:line="480" w:lineRule="auto"/>
        <w:jc w:val="both"/>
        <w:rPr>
          <w:rFonts w:ascii="Arial" w:hAnsi="Arial" w:cs="Arial"/>
        </w:rPr>
      </w:pPr>
    </w:p>
    <w:p w14:paraId="66670520" w14:textId="77777777" w:rsidR="00BC2606" w:rsidRDefault="00BC2606" w:rsidP="00883997">
      <w:pPr>
        <w:spacing w:line="480" w:lineRule="auto"/>
        <w:jc w:val="both"/>
        <w:rPr>
          <w:rFonts w:ascii="Arial" w:hAnsi="Arial" w:cs="Arial"/>
        </w:rPr>
      </w:pPr>
    </w:p>
    <w:p w14:paraId="42D55FA8" w14:textId="77777777" w:rsidR="00BC2606" w:rsidRDefault="00BC2606" w:rsidP="00883997">
      <w:pPr>
        <w:spacing w:line="480" w:lineRule="auto"/>
        <w:jc w:val="both"/>
        <w:rPr>
          <w:rFonts w:ascii="Arial" w:hAnsi="Arial" w:cs="Arial"/>
        </w:rPr>
      </w:pPr>
    </w:p>
    <w:p w14:paraId="1F6EC1E6" w14:textId="77777777" w:rsidR="00BC2606" w:rsidRDefault="00BC2606" w:rsidP="00883997">
      <w:pPr>
        <w:spacing w:line="480" w:lineRule="auto"/>
        <w:jc w:val="both"/>
        <w:rPr>
          <w:rFonts w:ascii="Arial" w:hAnsi="Arial" w:cs="Arial"/>
        </w:rPr>
      </w:pPr>
    </w:p>
    <w:p w14:paraId="6E8884A9" w14:textId="77777777" w:rsidR="00BC2606" w:rsidRDefault="00BC2606" w:rsidP="00883997">
      <w:pPr>
        <w:spacing w:line="480" w:lineRule="auto"/>
        <w:jc w:val="both"/>
        <w:rPr>
          <w:rFonts w:ascii="Arial" w:hAnsi="Arial" w:cs="Arial"/>
        </w:rPr>
      </w:pPr>
    </w:p>
    <w:p w14:paraId="35BDD913" w14:textId="6E0AAF80" w:rsidR="00BC2606" w:rsidRPr="00BC2606" w:rsidRDefault="00BC2606" w:rsidP="00BC2606">
      <w:pPr>
        <w:spacing w:line="480" w:lineRule="auto"/>
        <w:jc w:val="center"/>
        <w:rPr>
          <w:rFonts w:ascii="Arial" w:hAnsi="Arial" w:cs="Arial"/>
          <w:b/>
          <w:bCs/>
        </w:rPr>
      </w:pPr>
      <w:r w:rsidRPr="00BC2606">
        <w:rPr>
          <w:rFonts w:ascii="Arial" w:hAnsi="Arial" w:cs="Arial"/>
          <w:b/>
          <w:bCs/>
        </w:rPr>
        <w:lastRenderedPageBreak/>
        <w:t>References</w:t>
      </w:r>
    </w:p>
    <w:p w14:paraId="14E7434C" w14:textId="77777777" w:rsidR="00BC2606" w:rsidRDefault="00BC2606" w:rsidP="00BC2606">
      <w:pPr>
        <w:spacing w:line="480" w:lineRule="auto"/>
        <w:jc w:val="both"/>
        <w:rPr>
          <w:rFonts w:ascii="Arial" w:hAnsi="Arial" w:cs="Arial"/>
        </w:rPr>
      </w:pPr>
    </w:p>
    <w:p w14:paraId="3437AA4E" w14:textId="2AFBB1F8" w:rsidR="00BC2606" w:rsidRPr="00BC2606" w:rsidRDefault="00BC2606" w:rsidP="00BC2606">
      <w:pPr>
        <w:spacing w:line="480" w:lineRule="auto"/>
        <w:jc w:val="both"/>
        <w:rPr>
          <w:rFonts w:ascii="Arial" w:hAnsi="Arial" w:cs="Arial"/>
        </w:rPr>
      </w:pPr>
      <w:r w:rsidRPr="00BC2606">
        <w:rPr>
          <w:rFonts w:ascii="Arial" w:hAnsi="Arial" w:cs="Arial"/>
        </w:rPr>
        <w:t xml:space="preserve">Bahar, U. (2025). Transforming urban retail environments: A strategic framework for digital-age regeneration. </w:t>
      </w:r>
      <w:r w:rsidRPr="00BC2606">
        <w:rPr>
          <w:rFonts w:ascii="Arial" w:hAnsi="Arial" w:cs="Arial"/>
          <w:i/>
          <w:iCs/>
        </w:rPr>
        <w:t>Journal of Urban Regeneration &amp; Renewal, 18(</w:t>
      </w:r>
      <w:r w:rsidRPr="00BC2606">
        <w:rPr>
          <w:rFonts w:ascii="Arial" w:hAnsi="Arial" w:cs="Arial"/>
        </w:rPr>
        <w:t>3), 239–251.</w:t>
      </w:r>
    </w:p>
    <w:p w14:paraId="03EA0075" w14:textId="77777777" w:rsidR="00BC2606" w:rsidRPr="00BC2606" w:rsidRDefault="00BC2606" w:rsidP="00BC2606">
      <w:pPr>
        <w:spacing w:line="480" w:lineRule="auto"/>
        <w:jc w:val="both"/>
        <w:rPr>
          <w:rFonts w:ascii="Arial" w:hAnsi="Arial" w:cs="Arial"/>
        </w:rPr>
      </w:pPr>
      <w:proofErr w:type="spellStart"/>
      <w:r w:rsidRPr="00BC2606">
        <w:rPr>
          <w:rFonts w:ascii="Arial" w:hAnsi="Arial" w:cs="Arial"/>
        </w:rPr>
        <w:t>Cheshmehzangi</w:t>
      </w:r>
      <w:proofErr w:type="spellEnd"/>
      <w:r w:rsidRPr="00BC2606">
        <w:rPr>
          <w:rFonts w:ascii="Arial" w:hAnsi="Arial" w:cs="Arial"/>
        </w:rPr>
        <w:t xml:space="preserve">, A., &amp; Munday, R. (2022). From global to local: The case of migration and urban identity for regenerative city transformations. </w:t>
      </w:r>
      <w:r w:rsidRPr="00BC2606">
        <w:rPr>
          <w:rFonts w:ascii="Arial" w:hAnsi="Arial" w:cs="Arial"/>
          <w:i/>
          <w:iCs/>
        </w:rPr>
        <w:t>Journal of Urban Regeneration &amp; Renewal, 15(</w:t>
      </w:r>
      <w:r w:rsidRPr="00BC2606">
        <w:rPr>
          <w:rFonts w:ascii="Arial" w:hAnsi="Arial" w:cs="Arial"/>
        </w:rPr>
        <w:t>3), 308–324.</w:t>
      </w:r>
    </w:p>
    <w:p w14:paraId="46706071" w14:textId="77777777" w:rsidR="00BC2606" w:rsidRPr="00BC2606" w:rsidRDefault="00BC2606" w:rsidP="00BC2606">
      <w:pPr>
        <w:spacing w:line="480" w:lineRule="auto"/>
        <w:jc w:val="both"/>
        <w:rPr>
          <w:rFonts w:ascii="Arial" w:hAnsi="Arial" w:cs="Arial"/>
        </w:rPr>
      </w:pPr>
      <w:r w:rsidRPr="00BC2606">
        <w:rPr>
          <w:rFonts w:ascii="Arial" w:hAnsi="Arial" w:cs="Arial"/>
        </w:rPr>
        <w:t xml:space="preserve">Deakin, M., &amp; </w:t>
      </w:r>
      <w:proofErr w:type="spellStart"/>
      <w:r w:rsidRPr="00BC2606">
        <w:rPr>
          <w:rFonts w:ascii="Arial" w:hAnsi="Arial" w:cs="Arial"/>
        </w:rPr>
        <w:t>Allwinkle</w:t>
      </w:r>
      <w:proofErr w:type="spellEnd"/>
      <w:r w:rsidRPr="00BC2606">
        <w:rPr>
          <w:rFonts w:ascii="Arial" w:hAnsi="Arial" w:cs="Arial"/>
        </w:rPr>
        <w:t xml:space="preserve">, S. (2007). Urban regeneration and sustainable communities: The role of networks, innovation, and creativity in building successful partnerships. </w:t>
      </w:r>
      <w:r w:rsidRPr="00BC2606">
        <w:rPr>
          <w:rFonts w:ascii="Arial" w:hAnsi="Arial" w:cs="Arial"/>
          <w:i/>
          <w:iCs/>
        </w:rPr>
        <w:t>Journal of Urban Technology, 14(</w:t>
      </w:r>
      <w:r w:rsidRPr="00BC2606">
        <w:rPr>
          <w:rFonts w:ascii="Arial" w:hAnsi="Arial" w:cs="Arial"/>
        </w:rPr>
        <w:t>1), 77–91.</w:t>
      </w:r>
    </w:p>
    <w:p w14:paraId="46953B72" w14:textId="77777777" w:rsidR="00BC2606" w:rsidRPr="00BC2606" w:rsidRDefault="00BC2606" w:rsidP="00BC2606">
      <w:pPr>
        <w:spacing w:line="480" w:lineRule="auto"/>
        <w:jc w:val="both"/>
        <w:rPr>
          <w:rFonts w:ascii="Arial" w:hAnsi="Arial" w:cs="Arial"/>
        </w:rPr>
      </w:pPr>
      <w:r w:rsidRPr="00BC2606">
        <w:rPr>
          <w:rFonts w:ascii="Arial" w:hAnsi="Arial" w:cs="Arial"/>
        </w:rPr>
        <w:t xml:space="preserve">Dixon, T. J. (2007). </w:t>
      </w:r>
      <w:r w:rsidRPr="00BC2606">
        <w:rPr>
          <w:rFonts w:ascii="Arial" w:hAnsi="Arial" w:cs="Arial"/>
          <w:i/>
          <w:iCs/>
        </w:rPr>
        <w:t>Sustainable brownfield regeneration: Liveable places from problem spaces</w:t>
      </w:r>
      <w:r w:rsidRPr="00BC2606">
        <w:rPr>
          <w:rFonts w:ascii="Arial" w:hAnsi="Arial" w:cs="Arial"/>
        </w:rPr>
        <w:t>. Blackwell.</w:t>
      </w:r>
    </w:p>
    <w:p w14:paraId="215E0B89" w14:textId="77777777" w:rsidR="00BC2606" w:rsidRPr="00BC2606" w:rsidRDefault="00BC2606" w:rsidP="00BC2606">
      <w:pPr>
        <w:spacing w:line="480" w:lineRule="auto"/>
        <w:jc w:val="both"/>
        <w:rPr>
          <w:rFonts w:ascii="Arial" w:hAnsi="Arial" w:cs="Arial"/>
        </w:rPr>
      </w:pPr>
      <w:r w:rsidRPr="00BC2606">
        <w:rPr>
          <w:rFonts w:ascii="Arial" w:hAnsi="Arial" w:cs="Arial"/>
        </w:rPr>
        <w:t xml:space="preserve">Earley, A. (2025). Achieving urban regeneration without gentrification? Community enterprises and community assets in the UK. </w:t>
      </w:r>
      <w:r w:rsidRPr="005136B9">
        <w:rPr>
          <w:rFonts w:ascii="Arial" w:hAnsi="Arial" w:cs="Arial"/>
          <w:i/>
          <w:iCs/>
        </w:rPr>
        <w:t>Journal of Urban Affairs, 47(</w:t>
      </w:r>
      <w:r w:rsidRPr="00BC2606">
        <w:rPr>
          <w:rFonts w:ascii="Arial" w:hAnsi="Arial" w:cs="Arial"/>
        </w:rPr>
        <w:t>4), 1125–1148.</w:t>
      </w:r>
    </w:p>
    <w:p w14:paraId="3ADF6DB9" w14:textId="77777777" w:rsidR="005136B9" w:rsidRDefault="00BC2606" w:rsidP="00BC2606">
      <w:pPr>
        <w:spacing w:line="480" w:lineRule="auto"/>
        <w:jc w:val="both"/>
        <w:rPr>
          <w:rFonts w:ascii="Arial" w:hAnsi="Arial" w:cs="Arial"/>
        </w:rPr>
      </w:pPr>
      <w:r w:rsidRPr="00BC2606">
        <w:rPr>
          <w:rFonts w:ascii="Arial" w:hAnsi="Arial" w:cs="Arial"/>
        </w:rPr>
        <w:t xml:space="preserve">EU Ministers. (2007). </w:t>
      </w:r>
      <w:r w:rsidRPr="005136B9">
        <w:rPr>
          <w:rFonts w:ascii="Arial" w:hAnsi="Arial" w:cs="Arial"/>
          <w:i/>
          <w:iCs/>
        </w:rPr>
        <w:t>Leipzig Charter on Sustainable European Cities</w:t>
      </w:r>
      <w:r w:rsidRPr="00BC2606">
        <w:rPr>
          <w:rFonts w:ascii="Arial" w:hAnsi="Arial" w:cs="Arial"/>
        </w:rPr>
        <w:t>. European Union.</w:t>
      </w:r>
      <w:r w:rsidR="005136B9">
        <w:rPr>
          <w:rFonts w:ascii="Arial" w:hAnsi="Arial" w:cs="Arial"/>
        </w:rPr>
        <w:t xml:space="preserve"> Available at: </w:t>
      </w:r>
    </w:p>
    <w:p w14:paraId="3E55ACBA" w14:textId="01A86C83" w:rsidR="00BC2606" w:rsidRPr="00BC2606" w:rsidRDefault="005136B9" w:rsidP="00BC2606">
      <w:pPr>
        <w:spacing w:line="480" w:lineRule="auto"/>
        <w:jc w:val="both"/>
        <w:rPr>
          <w:rFonts w:ascii="Arial" w:hAnsi="Arial" w:cs="Arial"/>
        </w:rPr>
      </w:pPr>
      <w:hyperlink r:id="rId9" w:history="1">
        <w:r w:rsidRPr="001B6952">
          <w:rPr>
            <w:rStyle w:val="Hyperlink"/>
            <w:rFonts w:ascii="Arial" w:hAnsi="Arial" w:cs="Arial"/>
          </w:rPr>
          <w:t>https://territorialagenda.eu/wp-content/uploads/leipzig_charter_2007.pdf</w:t>
        </w:r>
      </w:hyperlink>
      <w:r>
        <w:rPr>
          <w:rFonts w:ascii="Arial" w:hAnsi="Arial" w:cs="Arial"/>
        </w:rPr>
        <w:t xml:space="preserve"> </w:t>
      </w:r>
    </w:p>
    <w:p w14:paraId="090E1549" w14:textId="77777777" w:rsidR="00BC2606" w:rsidRPr="00BC2606" w:rsidRDefault="00BC2606" w:rsidP="00BC2606">
      <w:pPr>
        <w:spacing w:line="480" w:lineRule="auto"/>
        <w:jc w:val="both"/>
        <w:rPr>
          <w:rFonts w:ascii="Arial" w:hAnsi="Arial" w:cs="Arial"/>
        </w:rPr>
      </w:pPr>
      <w:r w:rsidRPr="00BC2606">
        <w:rPr>
          <w:rFonts w:ascii="Arial" w:hAnsi="Arial" w:cs="Arial"/>
        </w:rPr>
        <w:t xml:space="preserve">Evans, R. (1997). </w:t>
      </w:r>
      <w:r w:rsidRPr="005136B9">
        <w:rPr>
          <w:rFonts w:ascii="Arial" w:hAnsi="Arial" w:cs="Arial"/>
          <w:i/>
          <w:iCs/>
        </w:rPr>
        <w:t>Regenerating town centres</w:t>
      </w:r>
      <w:r w:rsidRPr="00BC2606">
        <w:rPr>
          <w:rFonts w:ascii="Arial" w:hAnsi="Arial" w:cs="Arial"/>
        </w:rPr>
        <w:t>. Manchester University Press.</w:t>
      </w:r>
    </w:p>
    <w:p w14:paraId="239BA484" w14:textId="77777777" w:rsidR="00BC2606" w:rsidRPr="00BC2606" w:rsidRDefault="00BC2606" w:rsidP="00BC2606">
      <w:pPr>
        <w:spacing w:line="480" w:lineRule="auto"/>
        <w:jc w:val="both"/>
        <w:rPr>
          <w:rFonts w:ascii="Arial" w:hAnsi="Arial" w:cs="Arial"/>
        </w:rPr>
      </w:pPr>
      <w:r w:rsidRPr="00BC2606">
        <w:rPr>
          <w:rFonts w:ascii="Arial" w:hAnsi="Arial" w:cs="Arial"/>
        </w:rPr>
        <w:t xml:space="preserve">Fiorentino, S., </w:t>
      </w:r>
      <w:proofErr w:type="spellStart"/>
      <w:r w:rsidRPr="00BC2606">
        <w:rPr>
          <w:rFonts w:ascii="Arial" w:hAnsi="Arial" w:cs="Arial"/>
        </w:rPr>
        <w:t>Sielker</w:t>
      </w:r>
      <w:proofErr w:type="spellEnd"/>
      <w:r w:rsidRPr="00BC2606">
        <w:rPr>
          <w:rFonts w:ascii="Arial" w:hAnsi="Arial" w:cs="Arial"/>
        </w:rPr>
        <w:t xml:space="preserve">, F., &amp; </w:t>
      </w:r>
      <w:proofErr w:type="spellStart"/>
      <w:r w:rsidRPr="00BC2606">
        <w:rPr>
          <w:rFonts w:ascii="Arial" w:hAnsi="Arial" w:cs="Arial"/>
        </w:rPr>
        <w:t>Tomaney</w:t>
      </w:r>
      <w:proofErr w:type="spellEnd"/>
      <w:r w:rsidRPr="00BC2606">
        <w:rPr>
          <w:rFonts w:ascii="Arial" w:hAnsi="Arial" w:cs="Arial"/>
        </w:rPr>
        <w:t xml:space="preserve">, J. (2024). Coastal towns as ‘left-behind places’: Economy, environment and planning. </w:t>
      </w:r>
      <w:r w:rsidRPr="005136B9">
        <w:rPr>
          <w:rFonts w:ascii="Arial" w:hAnsi="Arial" w:cs="Arial"/>
          <w:i/>
          <w:iCs/>
        </w:rPr>
        <w:t>Cambridge Journal of Regions, Economy and Society, 17(</w:t>
      </w:r>
      <w:r w:rsidRPr="00BC2606">
        <w:rPr>
          <w:rFonts w:ascii="Arial" w:hAnsi="Arial" w:cs="Arial"/>
        </w:rPr>
        <w:t>1), 103–116.</w:t>
      </w:r>
    </w:p>
    <w:p w14:paraId="02C131A3" w14:textId="095157A8" w:rsidR="00BC2606" w:rsidRPr="00BC2606" w:rsidRDefault="00BC2606" w:rsidP="00BC2606">
      <w:pPr>
        <w:spacing w:line="480" w:lineRule="auto"/>
        <w:jc w:val="both"/>
        <w:rPr>
          <w:rFonts w:ascii="Arial" w:hAnsi="Arial" w:cs="Arial"/>
        </w:rPr>
      </w:pPr>
      <w:r w:rsidRPr="00BC2606">
        <w:rPr>
          <w:rFonts w:ascii="Arial" w:hAnsi="Arial" w:cs="Arial"/>
        </w:rPr>
        <w:lastRenderedPageBreak/>
        <w:t xml:space="preserve">Florida, R. (2004). The rise of the creative class. </w:t>
      </w:r>
      <w:r w:rsidR="005136B9">
        <w:rPr>
          <w:rFonts w:ascii="Arial" w:hAnsi="Arial" w:cs="Arial"/>
        </w:rPr>
        <w:t xml:space="preserve">Available at: </w:t>
      </w:r>
      <w:hyperlink r:id="rId10" w:history="1">
        <w:r w:rsidR="005136B9" w:rsidRPr="001B6952">
          <w:rPr>
            <w:rStyle w:val="Hyperlink"/>
            <w:rFonts w:ascii="Arial" w:hAnsi="Arial" w:cs="Arial"/>
          </w:rPr>
          <w:t>https://www.researchgate.net/publication/31745369_THE_Rise_of_the_Creative_Class_And_How_It's_Transforming_Work_Leisure_Community_and_Everyday_Life</w:t>
        </w:r>
      </w:hyperlink>
      <w:r w:rsidR="005136B9">
        <w:rPr>
          <w:rFonts w:ascii="Arial" w:hAnsi="Arial" w:cs="Arial"/>
        </w:rPr>
        <w:t xml:space="preserve"> </w:t>
      </w:r>
    </w:p>
    <w:p w14:paraId="5188D045" w14:textId="77777777" w:rsidR="00BC2606" w:rsidRPr="00BC2606" w:rsidRDefault="00BC2606" w:rsidP="00BC2606">
      <w:pPr>
        <w:spacing w:line="480" w:lineRule="auto"/>
        <w:jc w:val="both"/>
        <w:rPr>
          <w:rFonts w:ascii="Arial" w:hAnsi="Arial" w:cs="Arial"/>
        </w:rPr>
      </w:pPr>
      <w:r w:rsidRPr="00BC2606">
        <w:rPr>
          <w:rFonts w:ascii="Arial" w:hAnsi="Arial" w:cs="Arial"/>
        </w:rPr>
        <w:t xml:space="preserve">Franke, T., Strauss, W.-C., Reimann, B., &amp; Beckmann, K. J. (2007). </w:t>
      </w:r>
      <w:r w:rsidRPr="005136B9">
        <w:rPr>
          <w:rFonts w:ascii="Arial" w:hAnsi="Arial" w:cs="Arial"/>
          <w:i/>
          <w:iCs/>
        </w:rPr>
        <w:t>Integrated urban development: A prerequisite for urban sustainability in Europe.</w:t>
      </w:r>
      <w:r w:rsidRPr="00BC2606">
        <w:rPr>
          <w:rFonts w:ascii="Arial" w:hAnsi="Arial" w:cs="Arial"/>
        </w:rPr>
        <w:t xml:space="preserve"> German Institute of Urban Affairs.</w:t>
      </w:r>
    </w:p>
    <w:p w14:paraId="1D12CF4A" w14:textId="77777777" w:rsidR="00BC2606" w:rsidRPr="00BC2606" w:rsidRDefault="00BC2606" w:rsidP="00BC2606">
      <w:pPr>
        <w:spacing w:line="480" w:lineRule="auto"/>
        <w:jc w:val="both"/>
        <w:rPr>
          <w:rFonts w:ascii="Arial" w:hAnsi="Arial" w:cs="Arial"/>
        </w:rPr>
      </w:pPr>
      <w:r w:rsidRPr="00BC2606">
        <w:rPr>
          <w:rFonts w:ascii="Arial" w:hAnsi="Arial" w:cs="Arial"/>
        </w:rPr>
        <w:t xml:space="preserve">Hashim, N. H. N., Alias, A., &amp; Dali, M. M. (2022). The conceptual framework to integrate sustainability in urban regeneration initiatives. </w:t>
      </w:r>
      <w:r w:rsidRPr="005136B9">
        <w:rPr>
          <w:rFonts w:ascii="Arial" w:hAnsi="Arial" w:cs="Arial"/>
          <w:i/>
          <w:iCs/>
        </w:rPr>
        <w:t>International Journal of Property Sciences, 12(</w:t>
      </w:r>
      <w:r w:rsidRPr="00BC2606">
        <w:rPr>
          <w:rFonts w:ascii="Arial" w:hAnsi="Arial" w:cs="Arial"/>
        </w:rPr>
        <w:t>1), 1–20.</w:t>
      </w:r>
    </w:p>
    <w:p w14:paraId="2191ECC3" w14:textId="773B4F87" w:rsidR="00BC2606" w:rsidRPr="00BC2606" w:rsidRDefault="00BC2606" w:rsidP="00BC2606">
      <w:pPr>
        <w:spacing w:line="480" w:lineRule="auto"/>
        <w:jc w:val="both"/>
        <w:rPr>
          <w:rFonts w:ascii="Arial" w:hAnsi="Arial" w:cs="Arial"/>
        </w:rPr>
      </w:pPr>
      <w:r w:rsidRPr="00BC2606">
        <w:rPr>
          <w:rFonts w:ascii="Arial" w:hAnsi="Arial" w:cs="Arial"/>
        </w:rPr>
        <w:t xml:space="preserve">Hehir, A., </w:t>
      </w:r>
      <w:proofErr w:type="spellStart"/>
      <w:r w:rsidRPr="00BC2606">
        <w:rPr>
          <w:rFonts w:ascii="Arial" w:hAnsi="Arial" w:cs="Arial"/>
        </w:rPr>
        <w:t>Warnaby</w:t>
      </w:r>
      <w:proofErr w:type="spellEnd"/>
      <w:r w:rsidRPr="00BC2606">
        <w:rPr>
          <w:rFonts w:ascii="Arial" w:hAnsi="Arial" w:cs="Arial"/>
        </w:rPr>
        <w:t xml:space="preserve">, G., &amp; Theodoridis, C. (2023). Exploring the concept of town centre paradigms and how they impact town centre retail landscapes. </w:t>
      </w:r>
      <w:r w:rsidRPr="005136B9">
        <w:rPr>
          <w:rFonts w:ascii="Arial" w:hAnsi="Arial" w:cs="Arial"/>
          <w:i/>
          <w:iCs/>
        </w:rPr>
        <w:t>Environment and Planning C: Politics and Space, 41(</w:t>
      </w:r>
      <w:r w:rsidRPr="00BC2606">
        <w:rPr>
          <w:rFonts w:ascii="Arial" w:hAnsi="Arial" w:cs="Arial"/>
        </w:rPr>
        <w:t>1), 37–55.</w:t>
      </w:r>
    </w:p>
    <w:p w14:paraId="5E3DF0AE" w14:textId="77777777" w:rsidR="00BC2606" w:rsidRPr="00BC2606" w:rsidRDefault="00BC2606" w:rsidP="00BC2606">
      <w:pPr>
        <w:spacing w:line="480" w:lineRule="auto"/>
        <w:jc w:val="both"/>
        <w:rPr>
          <w:rFonts w:ascii="Arial" w:hAnsi="Arial" w:cs="Arial"/>
        </w:rPr>
      </w:pPr>
      <w:r w:rsidRPr="00BC2606">
        <w:rPr>
          <w:rFonts w:ascii="Arial" w:hAnsi="Arial" w:cs="Arial"/>
        </w:rPr>
        <w:t xml:space="preserve">Kavanagh, N., &amp; Lewis, C. (2024). </w:t>
      </w:r>
      <w:r w:rsidRPr="005136B9">
        <w:rPr>
          <w:rFonts w:ascii="Arial" w:hAnsi="Arial" w:cs="Arial"/>
          <w:i/>
          <w:iCs/>
        </w:rPr>
        <w:t xml:space="preserve">Developing age-friendly communities in areas of urban regeneration. </w:t>
      </w:r>
      <w:r w:rsidRPr="00BC2606">
        <w:rPr>
          <w:rFonts w:ascii="Arial" w:hAnsi="Arial" w:cs="Arial"/>
        </w:rPr>
        <w:t>In Reimagining age-friendly communities (pp. 100–117). Policy Press.</w:t>
      </w:r>
    </w:p>
    <w:p w14:paraId="0C1AA065" w14:textId="77777777" w:rsidR="00BC2606" w:rsidRPr="00BC2606" w:rsidRDefault="00BC2606" w:rsidP="00BC2606">
      <w:pPr>
        <w:spacing w:line="480" w:lineRule="auto"/>
        <w:jc w:val="both"/>
        <w:rPr>
          <w:rFonts w:ascii="Arial" w:hAnsi="Arial" w:cs="Arial"/>
        </w:rPr>
      </w:pPr>
      <w:r w:rsidRPr="00BC2606">
        <w:rPr>
          <w:rFonts w:ascii="Arial" w:hAnsi="Arial" w:cs="Arial"/>
        </w:rPr>
        <w:t xml:space="preserve">Popa, N., Pop, A. M., &amp; Marian-Potra, A. C. (2025). </w:t>
      </w:r>
      <w:r w:rsidRPr="005136B9">
        <w:rPr>
          <w:rFonts w:ascii="Arial" w:hAnsi="Arial" w:cs="Arial"/>
          <w:i/>
          <w:iCs/>
        </w:rPr>
        <w:t>Culture-led urban regeneration in post-socialist cities: From decadent spaces towards creative initiatives.</w:t>
      </w:r>
      <w:r w:rsidRPr="00BC2606">
        <w:rPr>
          <w:rFonts w:ascii="Arial" w:hAnsi="Arial" w:cs="Arial"/>
        </w:rPr>
        <w:t xml:space="preserve"> Cities, 158, 105707.</w:t>
      </w:r>
    </w:p>
    <w:p w14:paraId="1CB6FB6B" w14:textId="56A9329E" w:rsidR="00BC2606" w:rsidRPr="00BC2606" w:rsidRDefault="00BC2606" w:rsidP="00BC2606">
      <w:pPr>
        <w:spacing w:line="480" w:lineRule="auto"/>
        <w:jc w:val="both"/>
        <w:rPr>
          <w:rFonts w:ascii="Arial" w:hAnsi="Arial" w:cs="Arial"/>
        </w:rPr>
      </w:pPr>
      <w:r w:rsidRPr="00BC2606">
        <w:rPr>
          <w:rFonts w:ascii="Arial" w:hAnsi="Arial" w:cs="Arial"/>
        </w:rPr>
        <w:t>Ricciardelli, A., Amoruso, P., &amp; Di Liddo, F. (2025). Urban regeneration: From design to social innovation</w:t>
      </w:r>
      <w:r w:rsidR="005136B9">
        <w:rPr>
          <w:rFonts w:ascii="Arial" w:hAnsi="Arial" w:cs="Arial"/>
        </w:rPr>
        <w:t xml:space="preserve">: </w:t>
      </w:r>
      <w:r w:rsidRPr="00BC2606">
        <w:rPr>
          <w:rFonts w:ascii="Arial" w:hAnsi="Arial" w:cs="Arial"/>
        </w:rPr>
        <w:t xml:space="preserve">Does organisational aesthetics matter? </w:t>
      </w:r>
      <w:r w:rsidRPr="005136B9">
        <w:rPr>
          <w:rFonts w:ascii="Arial" w:hAnsi="Arial" w:cs="Arial"/>
          <w:i/>
          <w:iCs/>
        </w:rPr>
        <w:t>Urban Science, 9(</w:t>
      </w:r>
      <w:r w:rsidRPr="00BC2606">
        <w:rPr>
          <w:rFonts w:ascii="Arial" w:hAnsi="Arial" w:cs="Arial"/>
        </w:rPr>
        <w:t>3), 79.</w:t>
      </w:r>
    </w:p>
    <w:p w14:paraId="62AA0111" w14:textId="77777777" w:rsidR="005136B9" w:rsidRDefault="00BC2606" w:rsidP="00BC2606">
      <w:pPr>
        <w:spacing w:line="480" w:lineRule="auto"/>
        <w:jc w:val="both"/>
        <w:rPr>
          <w:rFonts w:ascii="Arial" w:hAnsi="Arial" w:cs="Arial"/>
        </w:rPr>
      </w:pPr>
      <w:r w:rsidRPr="00BC2606">
        <w:rPr>
          <w:rFonts w:ascii="Arial" w:hAnsi="Arial" w:cs="Arial"/>
        </w:rPr>
        <w:t xml:space="preserve">Roberts, M. (2024). Night-time and strategies for regeneration in two medium-sized town centres. </w:t>
      </w:r>
      <w:r w:rsidRPr="005136B9">
        <w:rPr>
          <w:rFonts w:ascii="Arial" w:hAnsi="Arial" w:cs="Arial"/>
          <w:i/>
          <w:iCs/>
        </w:rPr>
        <w:t>Journal of Urban Design, 29(</w:t>
      </w:r>
      <w:r w:rsidRPr="00BC2606">
        <w:rPr>
          <w:rFonts w:ascii="Arial" w:hAnsi="Arial" w:cs="Arial"/>
        </w:rPr>
        <w:t>5), 517–535.</w:t>
      </w:r>
    </w:p>
    <w:p w14:paraId="338BA3B7" w14:textId="275AD4FF" w:rsidR="00BC2606" w:rsidRPr="00BC2606" w:rsidRDefault="00BC2606" w:rsidP="00BC2606">
      <w:pPr>
        <w:spacing w:line="480" w:lineRule="auto"/>
        <w:jc w:val="both"/>
        <w:rPr>
          <w:rFonts w:ascii="Arial" w:hAnsi="Arial" w:cs="Arial"/>
        </w:rPr>
      </w:pPr>
      <w:r w:rsidRPr="00BC2606">
        <w:rPr>
          <w:rFonts w:ascii="Arial" w:hAnsi="Arial" w:cs="Arial"/>
        </w:rPr>
        <w:lastRenderedPageBreak/>
        <w:t xml:space="preserve">Salonen, K., Ritala, P., &amp; </w:t>
      </w:r>
      <w:proofErr w:type="spellStart"/>
      <w:r w:rsidRPr="00BC2606">
        <w:rPr>
          <w:rFonts w:ascii="Arial" w:hAnsi="Arial" w:cs="Arial"/>
        </w:rPr>
        <w:t>Bocken</w:t>
      </w:r>
      <w:proofErr w:type="spellEnd"/>
      <w:r w:rsidRPr="00BC2606">
        <w:rPr>
          <w:rFonts w:ascii="Arial" w:hAnsi="Arial" w:cs="Arial"/>
        </w:rPr>
        <w:t xml:space="preserve">, N. (2025). Emerging regenerative business paradigm: Narrative review, synthesis, and research agenda. </w:t>
      </w:r>
      <w:r w:rsidRPr="005136B9">
        <w:rPr>
          <w:rFonts w:ascii="Arial" w:hAnsi="Arial" w:cs="Arial"/>
          <w:i/>
          <w:iCs/>
        </w:rPr>
        <w:t>Journal of Circular Economy, 3(</w:t>
      </w:r>
      <w:r w:rsidRPr="00BC2606">
        <w:rPr>
          <w:rFonts w:ascii="Arial" w:hAnsi="Arial" w:cs="Arial"/>
        </w:rPr>
        <w:t>3).</w:t>
      </w:r>
    </w:p>
    <w:p w14:paraId="1C303178" w14:textId="77777777" w:rsidR="00BC2606" w:rsidRPr="00BC2606" w:rsidRDefault="00BC2606" w:rsidP="00BC2606">
      <w:pPr>
        <w:spacing w:line="480" w:lineRule="auto"/>
        <w:jc w:val="both"/>
        <w:rPr>
          <w:rFonts w:ascii="Arial" w:hAnsi="Arial" w:cs="Arial"/>
        </w:rPr>
      </w:pPr>
      <w:proofErr w:type="spellStart"/>
      <w:r w:rsidRPr="00BC2606">
        <w:rPr>
          <w:rFonts w:ascii="Arial" w:hAnsi="Arial" w:cs="Arial"/>
        </w:rPr>
        <w:t>Torkfar</w:t>
      </w:r>
      <w:proofErr w:type="spellEnd"/>
      <w:r w:rsidRPr="00BC2606">
        <w:rPr>
          <w:rFonts w:ascii="Arial" w:hAnsi="Arial" w:cs="Arial"/>
        </w:rPr>
        <w:t xml:space="preserve">, P., &amp; Russo, A. (2023). Assessing the benefits of climate-sensitive design with nature-based solutions for climate change adaptation in urban regeneration: A case study in Cheltenham, UK. </w:t>
      </w:r>
      <w:r w:rsidRPr="005136B9">
        <w:rPr>
          <w:rFonts w:ascii="Arial" w:hAnsi="Arial" w:cs="Arial"/>
          <w:i/>
          <w:iCs/>
        </w:rPr>
        <w:t>Sustainability, 15(</w:t>
      </w:r>
      <w:r w:rsidRPr="00BC2606">
        <w:rPr>
          <w:rFonts w:ascii="Arial" w:hAnsi="Arial" w:cs="Arial"/>
        </w:rPr>
        <w:t>22), 15855.</w:t>
      </w:r>
    </w:p>
    <w:p w14:paraId="4A54B7A4" w14:textId="4EF80DAC" w:rsidR="00BC2606" w:rsidRPr="00BC2606" w:rsidRDefault="00BC2606" w:rsidP="00BC2606">
      <w:pPr>
        <w:spacing w:line="480" w:lineRule="auto"/>
        <w:jc w:val="both"/>
        <w:rPr>
          <w:rFonts w:ascii="Arial" w:hAnsi="Arial" w:cs="Arial"/>
        </w:rPr>
      </w:pPr>
      <w:r w:rsidRPr="00BC2606">
        <w:rPr>
          <w:rFonts w:ascii="Arial" w:hAnsi="Arial" w:cs="Arial"/>
        </w:rPr>
        <w:t>URBACT. (2010). Understanding integrated urban development. Urban Action.</w:t>
      </w:r>
      <w:r w:rsidR="005136B9">
        <w:rPr>
          <w:rFonts w:ascii="Arial" w:hAnsi="Arial" w:cs="Arial"/>
        </w:rPr>
        <w:t xml:space="preserve"> Available at: </w:t>
      </w:r>
      <w:hyperlink r:id="rId11" w:history="1">
        <w:r w:rsidR="005136B9" w:rsidRPr="001B6952">
          <w:rPr>
            <w:rStyle w:val="Hyperlink"/>
            <w:rFonts w:ascii="Arial" w:hAnsi="Arial" w:cs="Arial"/>
          </w:rPr>
          <w:t>https://urbact.eu/whats-new/stories/integrated-urban-development</w:t>
        </w:r>
      </w:hyperlink>
      <w:r w:rsidR="005136B9">
        <w:rPr>
          <w:rFonts w:ascii="Arial" w:hAnsi="Arial" w:cs="Arial"/>
        </w:rPr>
        <w:t xml:space="preserve"> </w:t>
      </w:r>
    </w:p>
    <w:p w14:paraId="1FB12D3F" w14:textId="74153E79" w:rsidR="00BC2606" w:rsidRPr="00883997" w:rsidRDefault="00BC2606" w:rsidP="00BC2606">
      <w:pPr>
        <w:spacing w:line="480" w:lineRule="auto"/>
        <w:jc w:val="both"/>
        <w:rPr>
          <w:rFonts w:ascii="Arial" w:hAnsi="Arial" w:cs="Arial"/>
        </w:rPr>
      </w:pPr>
      <w:r w:rsidRPr="00BC2606">
        <w:rPr>
          <w:rFonts w:ascii="Arial" w:hAnsi="Arial" w:cs="Arial"/>
        </w:rPr>
        <w:t xml:space="preserve">Williams, D. G. (2023). Enabling the practices in an urban regeneration system of provision. </w:t>
      </w:r>
      <w:r w:rsidRPr="005136B9">
        <w:rPr>
          <w:rFonts w:ascii="Arial" w:hAnsi="Arial" w:cs="Arial"/>
          <w:i/>
          <w:iCs/>
        </w:rPr>
        <w:t>Regional Studies, Regional Science, 10(</w:t>
      </w:r>
      <w:r w:rsidRPr="00BC2606">
        <w:rPr>
          <w:rFonts w:ascii="Arial" w:hAnsi="Arial" w:cs="Arial"/>
        </w:rPr>
        <w:t>1), 167–183.</w:t>
      </w:r>
    </w:p>
    <w:sectPr w:rsidR="00BC2606" w:rsidRPr="00883997" w:rsidSect="005136B9">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4DB3F8" w14:textId="77777777" w:rsidR="004C3986" w:rsidRDefault="004C3986" w:rsidP="005136B9">
      <w:pPr>
        <w:spacing w:after="0" w:line="240" w:lineRule="auto"/>
      </w:pPr>
      <w:r>
        <w:separator/>
      </w:r>
    </w:p>
  </w:endnote>
  <w:endnote w:type="continuationSeparator" w:id="0">
    <w:p w14:paraId="4DF6447F" w14:textId="77777777" w:rsidR="004C3986" w:rsidRDefault="004C3986" w:rsidP="005136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0C9025" w14:textId="77777777" w:rsidR="005136B9" w:rsidRDefault="005136B9">
    <w:pPr>
      <w:pStyle w:val="Header"/>
      <w:pBdr>
        <w:top w:val="single" w:sz="6" w:space="10" w:color="156082" w:themeColor="accent1"/>
      </w:pBdr>
      <w:spacing w:before="240"/>
      <w:jc w:val="center"/>
      <w:rPr>
        <w:color w:val="156082" w:themeColor="accent1"/>
      </w:rPr>
    </w:pPr>
    <w:r>
      <w:rPr>
        <w:noProof/>
        <w:color w:val="156082" w:themeColor="accent1"/>
      </w:rPr>
      <w:drawing>
        <wp:inline distT="0" distB="0" distL="0" distR="0" wp14:anchorId="3B02D14E" wp14:editId="76246C75">
          <wp:extent cx="438912" cy="276973"/>
          <wp:effectExtent l="0" t="0" r="0" b="8890"/>
          <wp:docPr id="145"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200D43B2" w14:textId="77777777" w:rsidR="005136B9" w:rsidRDefault="00513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3EA0C" w14:textId="77777777" w:rsidR="004C3986" w:rsidRDefault="004C3986" w:rsidP="005136B9">
      <w:pPr>
        <w:spacing w:after="0" w:line="240" w:lineRule="auto"/>
      </w:pPr>
      <w:r>
        <w:separator/>
      </w:r>
    </w:p>
  </w:footnote>
  <w:footnote w:type="continuationSeparator" w:id="0">
    <w:p w14:paraId="060440EF" w14:textId="77777777" w:rsidR="004C3986" w:rsidRDefault="004C3986" w:rsidP="005136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81278656"/>
      <w:docPartObj>
        <w:docPartGallery w:val="Page Numbers (Top of Page)"/>
        <w:docPartUnique/>
      </w:docPartObj>
    </w:sdtPr>
    <w:sdtEndPr>
      <w:rPr>
        <w:noProof/>
      </w:rPr>
    </w:sdtEndPr>
    <w:sdtContent>
      <w:p w14:paraId="1FA4552D" w14:textId="6D42725C" w:rsidR="005136B9" w:rsidRDefault="005136B9">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61E0D58D" w14:textId="77777777" w:rsidR="005136B9" w:rsidRDefault="005136B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997"/>
    <w:rsid w:val="00247BE0"/>
    <w:rsid w:val="0039665D"/>
    <w:rsid w:val="004C3986"/>
    <w:rsid w:val="005136B9"/>
    <w:rsid w:val="00883997"/>
    <w:rsid w:val="00BC26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BBCF5"/>
  <w15:chartTrackingRefBased/>
  <w15:docId w15:val="{87E18EA7-69E0-43B8-B3E4-E391650AC9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39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39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39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39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39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39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39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39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39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39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39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39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39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39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39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39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39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3997"/>
    <w:rPr>
      <w:rFonts w:eastAsiaTheme="majorEastAsia" w:cstheme="majorBidi"/>
      <w:color w:val="272727" w:themeColor="text1" w:themeTint="D8"/>
    </w:rPr>
  </w:style>
  <w:style w:type="paragraph" w:styleId="Title">
    <w:name w:val="Title"/>
    <w:basedOn w:val="Normal"/>
    <w:next w:val="Normal"/>
    <w:link w:val="TitleChar"/>
    <w:uiPriority w:val="10"/>
    <w:qFormat/>
    <w:rsid w:val="008839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39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39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39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3997"/>
    <w:pPr>
      <w:spacing w:before="160"/>
      <w:jc w:val="center"/>
    </w:pPr>
    <w:rPr>
      <w:i/>
      <w:iCs/>
      <w:color w:val="404040" w:themeColor="text1" w:themeTint="BF"/>
    </w:rPr>
  </w:style>
  <w:style w:type="character" w:customStyle="1" w:styleId="QuoteChar">
    <w:name w:val="Quote Char"/>
    <w:basedOn w:val="DefaultParagraphFont"/>
    <w:link w:val="Quote"/>
    <w:uiPriority w:val="29"/>
    <w:rsid w:val="00883997"/>
    <w:rPr>
      <w:i/>
      <w:iCs/>
      <w:color w:val="404040" w:themeColor="text1" w:themeTint="BF"/>
    </w:rPr>
  </w:style>
  <w:style w:type="paragraph" w:styleId="ListParagraph">
    <w:name w:val="List Paragraph"/>
    <w:basedOn w:val="Normal"/>
    <w:uiPriority w:val="34"/>
    <w:qFormat/>
    <w:rsid w:val="00883997"/>
    <w:pPr>
      <w:ind w:left="720"/>
      <w:contextualSpacing/>
    </w:pPr>
  </w:style>
  <w:style w:type="character" w:styleId="IntenseEmphasis">
    <w:name w:val="Intense Emphasis"/>
    <w:basedOn w:val="DefaultParagraphFont"/>
    <w:uiPriority w:val="21"/>
    <w:qFormat/>
    <w:rsid w:val="00883997"/>
    <w:rPr>
      <w:i/>
      <w:iCs/>
      <w:color w:val="0F4761" w:themeColor="accent1" w:themeShade="BF"/>
    </w:rPr>
  </w:style>
  <w:style w:type="paragraph" w:styleId="IntenseQuote">
    <w:name w:val="Intense Quote"/>
    <w:basedOn w:val="Normal"/>
    <w:next w:val="Normal"/>
    <w:link w:val="IntenseQuoteChar"/>
    <w:uiPriority w:val="30"/>
    <w:qFormat/>
    <w:rsid w:val="008839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3997"/>
    <w:rPr>
      <w:i/>
      <w:iCs/>
      <w:color w:val="0F4761" w:themeColor="accent1" w:themeShade="BF"/>
    </w:rPr>
  </w:style>
  <w:style w:type="character" w:styleId="IntenseReference">
    <w:name w:val="Intense Reference"/>
    <w:basedOn w:val="DefaultParagraphFont"/>
    <w:uiPriority w:val="32"/>
    <w:qFormat/>
    <w:rsid w:val="00883997"/>
    <w:rPr>
      <w:b/>
      <w:bCs/>
      <w:smallCaps/>
      <w:color w:val="0F4761" w:themeColor="accent1" w:themeShade="BF"/>
      <w:spacing w:val="5"/>
    </w:rPr>
  </w:style>
  <w:style w:type="character" w:styleId="Hyperlink">
    <w:name w:val="Hyperlink"/>
    <w:basedOn w:val="DefaultParagraphFont"/>
    <w:uiPriority w:val="99"/>
    <w:unhideWhenUsed/>
    <w:rsid w:val="005136B9"/>
    <w:rPr>
      <w:color w:val="467886" w:themeColor="hyperlink"/>
      <w:u w:val="single"/>
    </w:rPr>
  </w:style>
  <w:style w:type="character" w:styleId="UnresolvedMention">
    <w:name w:val="Unresolved Mention"/>
    <w:basedOn w:val="DefaultParagraphFont"/>
    <w:uiPriority w:val="99"/>
    <w:semiHidden/>
    <w:unhideWhenUsed/>
    <w:rsid w:val="005136B9"/>
    <w:rPr>
      <w:color w:val="605E5C"/>
      <w:shd w:val="clear" w:color="auto" w:fill="E1DFDD"/>
    </w:rPr>
  </w:style>
  <w:style w:type="paragraph" w:styleId="Header">
    <w:name w:val="header"/>
    <w:basedOn w:val="Normal"/>
    <w:link w:val="HeaderChar"/>
    <w:uiPriority w:val="99"/>
    <w:unhideWhenUsed/>
    <w:rsid w:val="005136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36B9"/>
  </w:style>
  <w:style w:type="paragraph" w:styleId="Footer">
    <w:name w:val="footer"/>
    <w:basedOn w:val="Normal"/>
    <w:link w:val="FooterChar"/>
    <w:uiPriority w:val="99"/>
    <w:unhideWhenUsed/>
    <w:rsid w:val="005136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36B9"/>
  </w:style>
  <w:style w:type="paragraph" w:styleId="NoSpacing">
    <w:name w:val="No Spacing"/>
    <w:link w:val="NoSpacingChar"/>
    <w:uiPriority w:val="1"/>
    <w:qFormat/>
    <w:rsid w:val="005136B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136B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urbact.eu/whats-new/stories/integrated-urban-development"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s://www.researchgate.net/publication/31745369_THE_Rise_of_the_Creative_Class_And_How_It's_Transforming_Work_Leisure_Community_and_Everyday_Life" TargetMode="External"/><Relationship Id="rId4" Type="http://schemas.openxmlformats.org/officeDocument/2006/relationships/webSettings" Target="webSettings.xml"/><Relationship Id="rId9" Type="http://schemas.openxmlformats.org/officeDocument/2006/relationships/hyperlink" Target="https://territorialagenda.eu/wp-content/uploads/leipzig_charter_2007.pdf" TargetMode="External"/><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49ACB614DC64AB987B6D66EF19A1A46"/>
        <w:category>
          <w:name w:val="General"/>
          <w:gallery w:val="placeholder"/>
        </w:category>
        <w:types>
          <w:type w:val="bbPlcHdr"/>
        </w:types>
        <w:behaviors>
          <w:behavior w:val="content"/>
        </w:behaviors>
        <w:guid w:val="{87128B41-5774-4E64-A6B0-9BEEA930233D}"/>
      </w:docPartPr>
      <w:docPartBody>
        <w:p w:rsidR="00000000" w:rsidRDefault="004C0C75" w:rsidP="004C0C75">
          <w:pPr>
            <w:pStyle w:val="B49ACB614DC64AB987B6D66EF19A1A46"/>
          </w:pPr>
          <w:r>
            <w:rPr>
              <w:rFonts w:asciiTheme="majorHAnsi" w:eastAsiaTheme="majorEastAsia" w:hAnsiTheme="majorHAnsi" w:cstheme="majorBidi"/>
              <w:caps/>
              <w:color w:val="156082" w:themeColor="accent1"/>
              <w:sz w:val="80"/>
              <w:szCs w:val="80"/>
            </w:rPr>
            <w:t>[Document title]</w:t>
          </w:r>
        </w:p>
      </w:docPartBody>
    </w:docPart>
    <w:docPart>
      <w:docPartPr>
        <w:name w:val="BA781D1C8CDD45E592414C3D9781F514"/>
        <w:category>
          <w:name w:val="General"/>
          <w:gallery w:val="placeholder"/>
        </w:category>
        <w:types>
          <w:type w:val="bbPlcHdr"/>
        </w:types>
        <w:behaviors>
          <w:behavior w:val="content"/>
        </w:behaviors>
        <w:guid w:val="{5940EDD1-28ED-4D05-8862-DB9E173C56C0}"/>
      </w:docPartPr>
      <w:docPartBody>
        <w:p w:rsidR="00000000" w:rsidRDefault="004C0C75" w:rsidP="004C0C75">
          <w:pPr>
            <w:pStyle w:val="BA781D1C8CDD45E592414C3D9781F51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C75"/>
    <w:rsid w:val="00247BE0"/>
    <w:rsid w:val="004C0C75"/>
    <w:rsid w:val="00B139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9ACB614DC64AB987B6D66EF19A1A46">
    <w:name w:val="B49ACB614DC64AB987B6D66EF19A1A46"/>
    <w:rsid w:val="004C0C75"/>
  </w:style>
  <w:style w:type="paragraph" w:customStyle="1" w:styleId="BA781D1C8CDD45E592414C3D9781F514">
    <w:name w:val="BA781D1C8CDD45E592414C3D9781F514"/>
    <w:rsid w:val="004C0C7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2026-03-20T00:00:00</PublishDate>
  <Abstract/>
  <CompanyAddress>Module code: BMSP4016D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13</Pages>
  <Words>2720</Words>
  <Characters>15508</Characters>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18192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Regeneration of Newport</dc:title>
  <dc:subject>Report</dc:subject>
  <cp:keywords/>
  <dc:description/>
  <dcterms:created xsi:type="dcterms:W3CDTF">2026-03-19T22:59:00Z</dcterms:created>
  <dcterms:modified xsi:type="dcterms:W3CDTF">2026-03-19T23:33:00Z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cdaaa2b9-85c7-4e79-9de9-c5f286f83504</vt:lpwstr>
  </property>
</Properties>
</file>