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835D2" w14:textId="77777777" w:rsidR="00A3343E" w:rsidRDefault="00A3343E" w:rsidP="009A757C">
      <w:bookmarkStart w:id="0" w:name="_Toc236666136"/>
    </w:p>
    <w:p w14:paraId="0805A6D7" w14:textId="77777777" w:rsidR="00A3343E" w:rsidRPr="009A49C5" w:rsidRDefault="00A3343E" w:rsidP="009A757C">
      <w:pPr>
        <w:tabs>
          <w:tab w:val="left" w:pos="6540"/>
        </w:tabs>
        <w:rPr>
          <w:rFonts w:ascii="Arial" w:hAnsi="Arial" w:cs="Arial"/>
          <w:sz w:val="22"/>
          <w:szCs w:val="22"/>
        </w:rPr>
      </w:pPr>
      <w:r w:rsidRPr="009A49C5">
        <w:rPr>
          <w:rFonts w:ascii="Arial" w:hAnsi="Arial" w:cs="Arial"/>
          <w:b/>
          <w:bCs/>
          <w:sz w:val="22"/>
          <w:szCs w:val="22"/>
        </w:rPr>
        <w:t>Student name</w:t>
      </w:r>
      <w:r w:rsidRPr="009A49C5">
        <w:rPr>
          <w:rFonts w:ascii="Arial" w:hAnsi="Arial" w:cs="Arial"/>
          <w:sz w:val="22"/>
          <w:szCs w:val="22"/>
        </w:rPr>
        <w:t>: Chantal Montille</w:t>
      </w:r>
    </w:p>
    <w:p w14:paraId="610CF5B3" w14:textId="77777777" w:rsidR="008F2D10" w:rsidRDefault="008F2D10" w:rsidP="009A757C">
      <w:pPr>
        <w:tabs>
          <w:tab w:val="left" w:pos="6540"/>
        </w:tabs>
        <w:rPr>
          <w:rFonts w:ascii="Arial" w:hAnsi="Arial" w:cs="Arial"/>
          <w:b/>
          <w:bCs/>
          <w:sz w:val="22"/>
          <w:szCs w:val="22"/>
        </w:rPr>
      </w:pPr>
    </w:p>
    <w:p w14:paraId="5BDE28A5" w14:textId="178193BA" w:rsidR="00A3343E" w:rsidRPr="009A49C5" w:rsidRDefault="00A3343E" w:rsidP="009A757C">
      <w:pPr>
        <w:tabs>
          <w:tab w:val="left" w:pos="6540"/>
        </w:tabs>
        <w:rPr>
          <w:rFonts w:ascii="Arial" w:hAnsi="Arial" w:cs="Arial"/>
          <w:sz w:val="22"/>
          <w:szCs w:val="22"/>
        </w:rPr>
      </w:pPr>
      <w:r w:rsidRPr="009A49C5">
        <w:rPr>
          <w:rFonts w:ascii="Arial" w:hAnsi="Arial" w:cs="Arial"/>
          <w:b/>
          <w:bCs/>
          <w:sz w:val="22"/>
          <w:szCs w:val="22"/>
        </w:rPr>
        <w:t>Student ID</w:t>
      </w:r>
      <w:r w:rsidRPr="009A49C5">
        <w:rPr>
          <w:rFonts w:ascii="Arial" w:hAnsi="Arial" w:cs="Arial"/>
          <w:sz w:val="22"/>
          <w:szCs w:val="22"/>
        </w:rPr>
        <w:t>: 2532540</w:t>
      </w:r>
    </w:p>
    <w:p w14:paraId="31085F2E" w14:textId="77777777" w:rsidR="008F2D10" w:rsidRDefault="00A3343E" w:rsidP="009A757C">
      <w:pPr>
        <w:spacing w:after="400"/>
        <w:rPr>
          <w:rFonts w:ascii="Arial" w:hAnsi="Arial" w:cs="Arial"/>
          <w:b/>
          <w:bCs/>
          <w:sz w:val="22"/>
          <w:szCs w:val="22"/>
        </w:rPr>
      </w:pPr>
      <w:r w:rsidRPr="009A49C5">
        <w:rPr>
          <w:rFonts w:ascii="Arial" w:hAnsi="Arial" w:cs="Arial"/>
          <w:b/>
          <w:bCs/>
          <w:sz w:val="22"/>
          <w:szCs w:val="22"/>
        </w:rPr>
        <w:t>Module name</w:t>
      </w:r>
      <w:r w:rsidRPr="009A49C5">
        <w:rPr>
          <w:rFonts w:ascii="Arial" w:hAnsi="Arial" w:cs="Arial"/>
          <w:sz w:val="22"/>
          <w:szCs w:val="22"/>
        </w:rPr>
        <w:t xml:space="preserve">: Health and Social Care – </w:t>
      </w:r>
      <w:r w:rsidRPr="009A49C5">
        <w:rPr>
          <w:rFonts w:ascii="Arial" w:hAnsi="Arial" w:cs="Arial"/>
          <w:b/>
          <w:bCs/>
          <w:sz w:val="22"/>
          <w:szCs w:val="22"/>
        </w:rPr>
        <w:t>Component 2-</w:t>
      </w:r>
      <w:r w:rsidRPr="009A49C5">
        <w:rPr>
          <w:rFonts w:ascii="Arial" w:eastAsia="Arial" w:hAnsi="Arial" w:cs="Arial"/>
          <w:b/>
          <w:bCs/>
          <w:sz w:val="22"/>
          <w:szCs w:val="22"/>
        </w:rPr>
        <w:t xml:space="preserve"> Communication, Administration, and Collaborative Working in the Care of Mrs Thompson</w:t>
      </w:r>
    </w:p>
    <w:p w14:paraId="1C8E43E3" w14:textId="311C9838" w:rsidR="008F2D10" w:rsidRDefault="00A3343E" w:rsidP="009A757C">
      <w:pPr>
        <w:spacing w:after="400"/>
        <w:rPr>
          <w:rFonts w:ascii="Arial" w:hAnsi="Arial" w:cs="Arial"/>
          <w:b/>
          <w:bCs/>
          <w:sz w:val="22"/>
          <w:szCs w:val="22"/>
        </w:rPr>
      </w:pPr>
      <w:r w:rsidRPr="009A49C5">
        <w:rPr>
          <w:rFonts w:ascii="Arial" w:hAnsi="Arial" w:cs="Arial"/>
          <w:b/>
          <w:bCs/>
          <w:sz w:val="22"/>
          <w:szCs w:val="22"/>
        </w:rPr>
        <w:t>Module code</w:t>
      </w:r>
      <w:r w:rsidRPr="009A49C5">
        <w:rPr>
          <w:rFonts w:ascii="Arial" w:hAnsi="Arial" w:cs="Arial"/>
          <w:sz w:val="22"/>
          <w:szCs w:val="22"/>
        </w:rPr>
        <w:t xml:space="preserve">: LCHS </w:t>
      </w:r>
      <w:r w:rsidR="008F2D10">
        <w:rPr>
          <w:rFonts w:ascii="Arial" w:hAnsi="Arial" w:cs="Arial"/>
          <w:sz w:val="22"/>
          <w:szCs w:val="22"/>
        </w:rPr>
        <w:t>–</w:t>
      </w:r>
      <w:r w:rsidRPr="009A49C5">
        <w:rPr>
          <w:rFonts w:ascii="Arial" w:hAnsi="Arial" w:cs="Arial"/>
          <w:sz w:val="22"/>
          <w:szCs w:val="22"/>
        </w:rPr>
        <w:t xml:space="preserve"> 4003</w:t>
      </w:r>
    </w:p>
    <w:p w14:paraId="46F0F5C3" w14:textId="71DBE933" w:rsidR="00A3343E" w:rsidRPr="008F2D10" w:rsidRDefault="00A3343E" w:rsidP="009A757C">
      <w:pPr>
        <w:spacing w:after="400"/>
        <w:rPr>
          <w:rFonts w:ascii="Arial" w:hAnsi="Arial" w:cs="Arial"/>
          <w:b/>
          <w:bCs/>
          <w:sz w:val="22"/>
          <w:szCs w:val="22"/>
        </w:rPr>
      </w:pPr>
      <w:r w:rsidRPr="009A49C5">
        <w:rPr>
          <w:rFonts w:ascii="Arial" w:hAnsi="Arial" w:cs="Arial"/>
          <w:b/>
          <w:bCs/>
          <w:sz w:val="22"/>
          <w:szCs w:val="22"/>
        </w:rPr>
        <w:t>Lecturer name</w:t>
      </w:r>
      <w:r w:rsidRPr="009A49C5">
        <w:rPr>
          <w:rFonts w:ascii="Arial" w:hAnsi="Arial" w:cs="Arial"/>
          <w:sz w:val="22"/>
          <w:szCs w:val="22"/>
        </w:rPr>
        <w:t>: Dr Jolly N</w:t>
      </w:r>
      <w:r w:rsidR="0048686A">
        <w:rPr>
          <w:rFonts w:ascii="Arial" w:hAnsi="Arial" w:cs="Arial"/>
          <w:sz w:val="22"/>
          <w:szCs w:val="22"/>
        </w:rPr>
        <w:t>w</w:t>
      </w:r>
      <w:r w:rsidR="00030CA6">
        <w:rPr>
          <w:rFonts w:ascii="Arial" w:hAnsi="Arial" w:cs="Arial"/>
          <w:sz w:val="22"/>
          <w:szCs w:val="22"/>
        </w:rPr>
        <w:t>ankwo</w:t>
      </w:r>
    </w:p>
    <w:p w14:paraId="4C922135" w14:textId="77777777" w:rsidR="00CE3EA0" w:rsidRPr="009A49C5" w:rsidRDefault="003939EE" w:rsidP="00CE3EA0">
      <w:pPr>
        <w:pStyle w:val="Header"/>
        <w:rPr>
          <w:rFonts w:ascii="Arial" w:hAnsi="Arial" w:cs="Arial"/>
          <w:b/>
          <w:bCs/>
          <w:i/>
          <w:iCs/>
          <w:color w:val="595959"/>
          <w:sz w:val="22"/>
          <w:szCs w:val="22"/>
        </w:rPr>
      </w:pPr>
      <w:r w:rsidRPr="009A49C5">
        <w:rPr>
          <w:rFonts w:ascii="Arial" w:hAnsi="Arial" w:cs="Arial"/>
          <w:b/>
          <w:bCs/>
          <w:sz w:val="22"/>
          <w:szCs w:val="22"/>
        </w:rPr>
        <w:t>Health and Social Care –</w:t>
      </w:r>
      <w:r w:rsidRPr="009A49C5">
        <w:rPr>
          <w:rFonts w:ascii="Arial" w:hAnsi="Arial" w:cs="Arial"/>
          <w:b/>
          <w:bCs/>
          <w:i/>
          <w:iCs/>
          <w:color w:val="595959"/>
          <w:sz w:val="22"/>
          <w:szCs w:val="22"/>
        </w:rPr>
        <w:t>Mrs Thompson: A Case Study</w:t>
      </w:r>
    </w:p>
    <w:p w14:paraId="2EA5494E" w14:textId="524217A6" w:rsidR="009718BC" w:rsidRPr="009A49C5" w:rsidRDefault="003939EE" w:rsidP="00CE3EA0">
      <w:pPr>
        <w:pStyle w:val="Header"/>
        <w:rPr>
          <w:rFonts w:ascii="Arial" w:hAnsi="Arial" w:cs="Arial"/>
          <w:b/>
          <w:bCs/>
          <w:sz w:val="22"/>
          <w:szCs w:val="22"/>
        </w:rPr>
      </w:pPr>
      <w:r w:rsidRPr="009A49C5">
        <w:rPr>
          <w:rFonts w:ascii="Arial" w:hAnsi="Arial" w:cs="Arial"/>
          <w:b/>
          <w:bCs/>
          <w:sz w:val="36"/>
          <w:szCs w:val="36"/>
        </w:rPr>
        <w:br/>
      </w:r>
      <w:bookmarkStart w:id="1" w:name="_Toc236666137"/>
      <w:r w:rsidR="009718BC" w:rsidRPr="009A49C5">
        <w:rPr>
          <w:rFonts w:ascii="Arial" w:hAnsi="Arial" w:cs="Arial"/>
        </w:rPr>
        <w:t>Case Study: Mrs Thompson</w:t>
      </w:r>
      <w:bookmarkEnd w:id="1"/>
    </w:p>
    <w:p w14:paraId="003D8902" w14:textId="79223F1B" w:rsidR="003939EE" w:rsidRPr="009A49C5" w:rsidRDefault="009718BC" w:rsidP="00FF46EB">
      <w:pPr>
        <w:spacing w:after="200" w:line="276" w:lineRule="auto"/>
        <w:jc w:val="both"/>
        <w:rPr>
          <w:rFonts w:ascii="Arial" w:hAnsi="Arial" w:cs="Arial"/>
          <w:b/>
          <w:bCs/>
        </w:rPr>
      </w:pPr>
      <w:r w:rsidRPr="009A49C5">
        <w:rPr>
          <w:rFonts w:ascii="Arial" w:hAnsi="Arial" w:cs="Arial"/>
          <w:b/>
          <w:bCs/>
        </w:rPr>
        <w:t>Mrs Thompson is an 84-year-old woman recently discharged from hospital after pneumonia. She lives alone in sheltered housing and receives twice-daily domiciliary care. She has mild dementia and sometimes forgets her medication. A recent concern was raised when she missed two days of medication, leading to increased confusion. This has been recorded through the service's incident process, and a medication review has been requested. Separately, she was found outside without appropriate clothing in cold weather. The case is under review by the local council.</w:t>
      </w:r>
    </w:p>
    <w:p w14:paraId="1431FC37" w14:textId="24CA4ECB" w:rsidR="009C0319" w:rsidRPr="009A49C5" w:rsidRDefault="00B9123A">
      <w:pPr>
        <w:pStyle w:val="Heading1"/>
        <w:spacing w:after="150"/>
        <w:rPr>
          <w:rFonts w:ascii="Arial" w:hAnsi="Arial" w:cs="Arial"/>
          <w:sz w:val="20"/>
          <w:szCs w:val="20"/>
        </w:rPr>
      </w:pPr>
      <w:r w:rsidRPr="009A49C5">
        <w:rPr>
          <w:rFonts w:ascii="Arial" w:hAnsi="Arial" w:cs="Arial"/>
          <w:sz w:val="20"/>
          <w:szCs w:val="20"/>
        </w:rPr>
        <w:t>Table of Contents</w:t>
      </w:r>
      <w:bookmarkEnd w:id="0"/>
    </w:p>
    <w:sdt>
      <w:sdtPr>
        <w:rPr>
          <w:rFonts w:ascii="Arial" w:hAnsi="Arial" w:cs="Arial"/>
          <w:sz w:val="20"/>
          <w:szCs w:val="20"/>
        </w:rPr>
        <w:alias w:val="Table of Contents"/>
        <w:id w:val="-195312026"/>
      </w:sdtPr>
      <w:sdtEndPr/>
      <w:sdtContent>
        <w:p w14:paraId="5CA58878" w14:textId="77777777" w:rsidR="00793126" w:rsidRPr="009A49C5" w:rsidRDefault="00B9123A">
          <w:pPr>
            <w:pStyle w:val="TOC1"/>
            <w:tabs>
              <w:tab w:val="right" w:leader="dot" w:pos="9016"/>
            </w:tabs>
            <w:rPr>
              <w:rFonts w:ascii="Arial" w:hAnsi="Arial" w:cs="Arial"/>
              <w:noProof/>
              <w:sz w:val="20"/>
              <w:szCs w:val="20"/>
            </w:rPr>
          </w:pPr>
          <w:r w:rsidRPr="009A49C5">
            <w:rPr>
              <w:rFonts w:ascii="Arial" w:hAnsi="Arial" w:cs="Arial"/>
              <w:sz w:val="20"/>
              <w:szCs w:val="20"/>
            </w:rPr>
            <w:fldChar w:fldCharType="begin"/>
          </w:r>
          <w:r w:rsidRPr="009A49C5">
            <w:rPr>
              <w:rFonts w:ascii="Arial" w:hAnsi="Arial" w:cs="Arial"/>
              <w:sz w:val="20"/>
              <w:szCs w:val="20"/>
            </w:rPr>
            <w:instrText>TOC \h \o "1-2"</w:instrText>
          </w:r>
          <w:r w:rsidRPr="009A49C5">
            <w:rPr>
              <w:rFonts w:ascii="Arial" w:hAnsi="Arial" w:cs="Arial"/>
              <w:sz w:val="20"/>
              <w:szCs w:val="20"/>
            </w:rPr>
            <w:fldChar w:fldCharType="separate"/>
          </w:r>
          <w:hyperlink w:anchor="_Toc236666136" w:history="1">
            <w:r w:rsidR="00793126" w:rsidRPr="009A49C5">
              <w:rPr>
                <w:rStyle w:val="Hyperlink"/>
                <w:rFonts w:ascii="Arial" w:hAnsi="Arial" w:cs="Arial"/>
                <w:noProof/>
                <w:sz w:val="20"/>
                <w:szCs w:val="20"/>
              </w:rPr>
              <w:t>Table of Contents</w:t>
            </w:r>
            <w:r w:rsidR="00793126" w:rsidRPr="009A49C5">
              <w:rPr>
                <w:rFonts w:ascii="Arial" w:hAnsi="Arial" w:cs="Arial"/>
                <w:noProof/>
                <w:sz w:val="20"/>
                <w:szCs w:val="20"/>
              </w:rPr>
              <w:tab/>
            </w:r>
            <w:r w:rsidR="00793126" w:rsidRPr="009A49C5">
              <w:rPr>
                <w:rFonts w:ascii="Arial" w:hAnsi="Arial" w:cs="Arial"/>
                <w:noProof/>
                <w:sz w:val="20"/>
                <w:szCs w:val="20"/>
              </w:rPr>
              <w:fldChar w:fldCharType="begin"/>
            </w:r>
            <w:r w:rsidR="00793126" w:rsidRPr="009A49C5">
              <w:rPr>
                <w:rFonts w:ascii="Arial" w:hAnsi="Arial" w:cs="Arial"/>
                <w:noProof/>
                <w:sz w:val="20"/>
                <w:szCs w:val="20"/>
              </w:rPr>
              <w:instrText xml:space="preserve"> PAGEREF _Toc236666136 \h </w:instrText>
            </w:r>
            <w:r w:rsidR="00793126" w:rsidRPr="009A49C5">
              <w:rPr>
                <w:rFonts w:ascii="Arial" w:hAnsi="Arial" w:cs="Arial"/>
                <w:noProof/>
                <w:sz w:val="20"/>
                <w:szCs w:val="20"/>
              </w:rPr>
            </w:r>
            <w:r w:rsidR="00793126" w:rsidRPr="009A49C5">
              <w:rPr>
                <w:rFonts w:ascii="Arial" w:hAnsi="Arial" w:cs="Arial"/>
                <w:noProof/>
                <w:sz w:val="20"/>
                <w:szCs w:val="20"/>
              </w:rPr>
              <w:fldChar w:fldCharType="separate"/>
            </w:r>
            <w:r w:rsidR="00793126" w:rsidRPr="009A49C5">
              <w:rPr>
                <w:rFonts w:ascii="Arial" w:hAnsi="Arial" w:cs="Arial"/>
                <w:noProof/>
                <w:sz w:val="20"/>
                <w:szCs w:val="20"/>
              </w:rPr>
              <w:t>1</w:t>
            </w:r>
            <w:r w:rsidR="00793126" w:rsidRPr="009A49C5">
              <w:rPr>
                <w:rFonts w:ascii="Arial" w:hAnsi="Arial" w:cs="Arial"/>
                <w:noProof/>
                <w:sz w:val="20"/>
                <w:szCs w:val="20"/>
              </w:rPr>
              <w:fldChar w:fldCharType="end"/>
            </w:r>
          </w:hyperlink>
        </w:p>
        <w:p w14:paraId="5571502A" w14:textId="77777777" w:rsidR="00793126" w:rsidRPr="009A49C5" w:rsidRDefault="00793126">
          <w:pPr>
            <w:pStyle w:val="TOC2"/>
            <w:tabs>
              <w:tab w:val="right" w:leader="dot" w:pos="9016"/>
            </w:tabs>
            <w:rPr>
              <w:rFonts w:ascii="Arial" w:hAnsi="Arial" w:cs="Arial"/>
              <w:noProof/>
              <w:sz w:val="20"/>
              <w:szCs w:val="20"/>
            </w:rPr>
          </w:pPr>
          <w:hyperlink w:anchor="_Toc236666137" w:history="1">
            <w:r w:rsidRPr="009A49C5">
              <w:rPr>
                <w:rStyle w:val="Hyperlink"/>
                <w:rFonts w:ascii="Arial" w:hAnsi="Arial" w:cs="Arial"/>
                <w:noProof/>
                <w:sz w:val="20"/>
                <w:szCs w:val="20"/>
              </w:rPr>
              <w:t>Case Study: Mrs Thompson</w:t>
            </w:r>
            <w:r w:rsidRPr="009A49C5">
              <w:rPr>
                <w:rFonts w:ascii="Arial" w:hAnsi="Arial" w:cs="Arial"/>
                <w:noProof/>
                <w:sz w:val="20"/>
                <w:szCs w:val="20"/>
              </w:rPr>
              <w:tab/>
            </w:r>
            <w:r w:rsidRPr="009A49C5">
              <w:rPr>
                <w:rFonts w:ascii="Arial" w:hAnsi="Arial" w:cs="Arial"/>
                <w:noProof/>
                <w:sz w:val="20"/>
                <w:szCs w:val="20"/>
              </w:rPr>
              <w:fldChar w:fldCharType="begin"/>
            </w:r>
            <w:r w:rsidRPr="009A49C5">
              <w:rPr>
                <w:rFonts w:ascii="Arial" w:hAnsi="Arial" w:cs="Arial"/>
                <w:noProof/>
                <w:sz w:val="20"/>
                <w:szCs w:val="20"/>
              </w:rPr>
              <w:instrText xml:space="preserve"> PAGEREF _Toc236666137 \h </w:instrText>
            </w:r>
            <w:r w:rsidRPr="009A49C5">
              <w:rPr>
                <w:rFonts w:ascii="Arial" w:hAnsi="Arial" w:cs="Arial"/>
                <w:noProof/>
                <w:sz w:val="20"/>
                <w:szCs w:val="20"/>
              </w:rPr>
            </w:r>
            <w:r w:rsidRPr="009A49C5">
              <w:rPr>
                <w:rFonts w:ascii="Arial" w:hAnsi="Arial" w:cs="Arial"/>
                <w:noProof/>
                <w:sz w:val="20"/>
                <w:szCs w:val="20"/>
              </w:rPr>
              <w:fldChar w:fldCharType="separate"/>
            </w:r>
            <w:r w:rsidRPr="009A49C5">
              <w:rPr>
                <w:rFonts w:ascii="Arial" w:hAnsi="Arial" w:cs="Arial"/>
                <w:noProof/>
                <w:sz w:val="20"/>
                <w:szCs w:val="20"/>
              </w:rPr>
              <w:t>1</w:t>
            </w:r>
            <w:r w:rsidRPr="009A49C5">
              <w:rPr>
                <w:rFonts w:ascii="Arial" w:hAnsi="Arial" w:cs="Arial"/>
                <w:noProof/>
                <w:sz w:val="20"/>
                <w:szCs w:val="20"/>
              </w:rPr>
              <w:fldChar w:fldCharType="end"/>
            </w:r>
          </w:hyperlink>
        </w:p>
        <w:p w14:paraId="771D3CA9" w14:textId="77777777" w:rsidR="00793126" w:rsidRPr="009A49C5" w:rsidRDefault="00793126">
          <w:pPr>
            <w:pStyle w:val="TOC1"/>
            <w:tabs>
              <w:tab w:val="right" w:leader="dot" w:pos="9016"/>
            </w:tabs>
            <w:rPr>
              <w:rFonts w:ascii="Arial" w:hAnsi="Arial" w:cs="Arial"/>
              <w:noProof/>
              <w:sz w:val="20"/>
              <w:szCs w:val="20"/>
            </w:rPr>
          </w:pPr>
          <w:hyperlink w:anchor="_Toc236666138" w:history="1">
            <w:r w:rsidRPr="009A49C5">
              <w:rPr>
                <w:rStyle w:val="Hyperlink"/>
                <w:rFonts w:ascii="Arial" w:hAnsi="Arial" w:cs="Arial"/>
                <w:noProof/>
                <w:sz w:val="20"/>
                <w:szCs w:val="20"/>
              </w:rPr>
              <w:t>1. Introduction</w:t>
            </w:r>
            <w:r w:rsidRPr="009A49C5">
              <w:rPr>
                <w:rFonts w:ascii="Arial" w:hAnsi="Arial" w:cs="Arial"/>
                <w:noProof/>
                <w:sz w:val="20"/>
                <w:szCs w:val="20"/>
              </w:rPr>
              <w:tab/>
            </w:r>
            <w:r w:rsidRPr="009A49C5">
              <w:rPr>
                <w:rFonts w:ascii="Arial" w:hAnsi="Arial" w:cs="Arial"/>
                <w:noProof/>
                <w:sz w:val="20"/>
                <w:szCs w:val="20"/>
              </w:rPr>
              <w:fldChar w:fldCharType="begin"/>
            </w:r>
            <w:r w:rsidRPr="009A49C5">
              <w:rPr>
                <w:rFonts w:ascii="Arial" w:hAnsi="Arial" w:cs="Arial"/>
                <w:noProof/>
                <w:sz w:val="20"/>
                <w:szCs w:val="20"/>
              </w:rPr>
              <w:instrText xml:space="preserve"> PAGEREF _Toc236666138 \h </w:instrText>
            </w:r>
            <w:r w:rsidRPr="009A49C5">
              <w:rPr>
                <w:rFonts w:ascii="Arial" w:hAnsi="Arial" w:cs="Arial"/>
                <w:noProof/>
                <w:sz w:val="20"/>
                <w:szCs w:val="20"/>
              </w:rPr>
            </w:r>
            <w:r w:rsidRPr="009A49C5">
              <w:rPr>
                <w:rFonts w:ascii="Arial" w:hAnsi="Arial" w:cs="Arial"/>
                <w:noProof/>
                <w:sz w:val="20"/>
                <w:szCs w:val="20"/>
              </w:rPr>
              <w:fldChar w:fldCharType="separate"/>
            </w:r>
            <w:r w:rsidRPr="009A49C5">
              <w:rPr>
                <w:rFonts w:ascii="Arial" w:hAnsi="Arial" w:cs="Arial"/>
                <w:noProof/>
                <w:sz w:val="20"/>
                <w:szCs w:val="20"/>
              </w:rPr>
              <w:t>1</w:t>
            </w:r>
            <w:r w:rsidRPr="009A49C5">
              <w:rPr>
                <w:rFonts w:ascii="Arial" w:hAnsi="Arial" w:cs="Arial"/>
                <w:noProof/>
                <w:sz w:val="20"/>
                <w:szCs w:val="20"/>
              </w:rPr>
              <w:fldChar w:fldCharType="end"/>
            </w:r>
          </w:hyperlink>
        </w:p>
        <w:p w14:paraId="37AD24B1" w14:textId="77777777" w:rsidR="00793126" w:rsidRPr="009A49C5" w:rsidRDefault="00793126">
          <w:pPr>
            <w:pStyle w:val="TOC1"/>
            <w:tabs>
              <w:tab w:val="right" w:leader="dot" w:pos="9016"/>
            </w:tabs>
            <w:rPr>
              <w:rFonts w:ascii="Arial" w:hAnsi="Arial" w:cs="Arial"/>
              <w:noProof/>
              <w:sz w:val="20"/>
              <w:szCs w:val="20"/>
            </w:rPr>
          </w:pPr>
          <w:hyperlink w:anchor="_Toc236666139" w:history="1">
            <w:r w:rsidRPr="009A49C5">
              <w:rPr>
                <w:rStyle w:val="Hyperlink"/>
                <w:rFonts w:ascii="Arial" w:hAnsi="Arial" w:cs="Arial"/>
                <w:noProof/>
                <w:sz w:val="20"/>
                <w:szCs w:val="20"/>
              </w:rPr>
              <w:t>2. Section 1: Communication in Mrs Thompson's Care</w:t>
            </w:r>
            <w:r w:rsidRPr="009A49C5">
              <w:rPr>
                <w:rFonts w:ascii="Arial" w:hAnsi="Arial" w:cs="Arial"/>
                <w:noProof/>
                <w:sz w:val="20"/>
                <w:szCs w:val="20"/>
              </w:rPr>
              <w:tab/>
            </w:r>
            <w:r w:rsidRPr="009A49C5">
              <w:rPr>
                <w:rFonts w:ascii="Arial" w:hAnsi="Arial" w:cs="Arial"/>
                <w:noProof/>
                <w:sz w:val="20"/>
                <w:szCs w:val="20"/>
              </w:rPr>
              <w:fldChar w:fldCharType="begin"/>
            </w:r>
            <w:r w:rsidRPr="009A49C5">
              <w:rPr>
                <w:rFonts w:ascii="Arial" w:hAnsi="Arial" w:cs="Arial"/>
                <w:noProof/>
                <w:sz w:val="20"/>
                <w:szCs w:val="20"/>
              </w:rPr>
              <w:instrText xml:space="preserve"> PAGEREF _Toc236666139 \h </w:instrText>
            </w:r>
            <w:r w:rsidRPr="009A49C5">
              <w:rPr>
                <w:rFonts w:ascii="Arial" w:hAnsi="Arial" w:cs="Arial"/>
                <w:noProof/>
                <w:sz w:val="20"/>
                <w:szCs w:val="20"/>
              </w:rPr>
            </w:r>
            <w:r w:rsidRPr="009A49C5">
              <w:rPr>
                <w:rFonts w:ascii="Arial" w:hAnsi="Arial" w:cs="Arial"/>
                <w:noProof/>
                <w:sz w:val="20"/>
                <w:szCs w:val="20"/>
              </w:rPr>
              <w:fldChar w:fldCharType="separate"/>
            </w:r>
            <w:r w:rsidRPr="009A49C5">
              <w:rPr>
                <w:rFonts w:ascii="Arial" w:hAnsi="Arial" w:cs="Arial"/>
                <w:noProof/>
                <w:sz w:val="20"/>
                <w:szCs w:val="20"/>
              </w:rPr>
              <w:t>1</w:t>
            </w:r>
            <w:r w:rsidRPr="009A49C5">
              <w:rPr>
                <w:rFonts w:ascii="Arial" w:hAnsi="Arial" w:cs="Arial"/>
                <w:noProof/>
                <w:sz w:val="20"/>
                <w:szCs w:val="20"/>
              </w:rPr>
              <w:fldChar w:fldCharType="end"/>
            </w:r>
          </w:hyperlink>
        </w:p>
        <w:p w14:paraId="0865798A" w14:textId="77777777" w:rsidR="00793126" w:rsidRPr="009A49C5" w:rsidRDefault="00793126">
          <w:pPr>
            <w:pStyle w:val="TOC2"/>
            <w:tabs>
              <w:tab w:val="right" w:leader="dot" w:pos="9016"/>
            </w:tabs>
            <w:rPr>
              <w:rFonts w:ascii="Arial" w:hAnsi="Arial" w:cs="Arial"/>
              <w:noProof/>
              <w:sz w:val="20"/>
              <w:szCs w:val="20"/>
            </w:rPr>
          </w:pPr>
          <w:hyperlink w:anchor="_Toc236666140" w:history="1">
            <w:r w:rsidRPr="009A49C5">
              <w:rPr>
                <w:rStyle w:val="Hyperlink"/>
                <w:rFonts w:ascii="Arial" w:hAnsi="Arial" w:cs="Arial"/>
                <w:noProof/>
                <w:sz w:val="20"/>
                <w:szCs w:val="20"/>
              </w:rPr>
              <w:t>1.1 Importance of Communication</w:t>
            </w:r>
            <w:r w:rsidRPr="009A49C5">
              <w:rPr>
                <w:rFonts w:ascii="Arial" w:hAnsi="Arial" w:cs="Arial"/>
                <w:noProof/>
                <w:sz w:val="20"/>
                <w:szCs w:val="20"/>
              </w:rPr>
              <w:tab/>
            </w:r>
            <w:r w:rsidRPr="009A49C5">
              <w:rPr>
                <w:rFonts w:ascii="Arial" w:hAnsi="Arial" w:cs="Arial"/>
                <w:noProof/>
                <w:sz w:val="20"/>
                <w:szCs w:val="20"/>
              </w:rPr>
              <w:fldChar w:fldCharType="begin"/>
            </w:r>
            <w:r w:rsidRPr="009A49C5">
              <w:rPr>
                <w:rFonts w:ascii="Arial" w:hAnsi="Arial" w:cs="Arial"/>
                <w:noProof/>
                <w:sz w:val="20"/>
                <w:szCs w:val="20"/>
              </w:rPr>
              <w:instrText xml:space="preserve"> PAGEREF _Toc236666140 \h </w:instrText>
            </w:r>
            <w:r w:rsidRPr="009A49C5">
              <w:rPr>
                <w:rFonts w:ascii="Arial" w:hAnsi="Arial" w:cs="Arial"/>
                <w:noProof/>
                <w:sz w:val="20"/>
                <w:szCs w:val="20"/>
              </w:rPr>
            </w:r>
            <w:r w:rsidRPr="009A49C5">
              <w:rPr>
                <w:rFonts w:ascii="Arial" w:hAnsi="Arial" w:cs="Arial"/>
                <w:noProof/>
                <w:sz w:val="20"/>
                <w:szCs w:val="20"/>
              </w:rPr>
              <w:fldChar w:fldCharType="separate"/>
            </w:r>
            <w:r w:rsidRPr="009A49C5">
              <w:rPr>
                <w:rFonts w:ascii="Arial" w:hAnsi="Arial" w:cs="Arial"/>
                <w:noProof/>
                <w:sz w:val="20"/>
                <w:szCs w:val="20"/>
              </w:rPr>
              <w:t>1</w:t>
            </w:r>
            <w:r w:rsidRPr="009A49C5">
              <w:rPr>
                <w:rFonts w:ascii="Arial" w:hAnsi="Arial" w:cs="Arial"/>
                <w:noProof/>
                <w:sz w:val="20"/>
                <w:szCs w:val="20"/>
              </w:rPr>
              <w:fldChar w:fldCharType="end"/>
            </w:r>
          </w:hyperlink>
        </w:p>
        <w:p w14:paraId="37F45170" w14:textId="77777777" w:rsidR="00793126" w:rsidRPr="009A49C5" w:rsidRDefault="00793126">
          <w:pPr>
            <w:pStyle w:val="TOC2"/>
            <w:tabs>
              <w:tab w:val="right" w:leader="dot" w:pos="9016"/>
            </w:tabs>
            <w:rPr>
              <w:rFonts w:ascii="Arial" w:hAnsi="Arial" w:cs="Arial"/>
              <w:noProof/>
              <w:sz w:val="20"/>
              <w:szCs w:val="20"/>
            </w:rPr>
          </w:pPr>
          <w:hyperlink w:anchor="_Toc236666141" w:history="1">
            <w:r w:rsidRPr="009A49C5">
              <w:rPr>
                <w:rStyle w:val="Hyperlink"/>
                <w:rFonts w:ascii="Arial" w:hAnsi="Arial" w:cs="Arial"/>
                <w:noProof/>
                <w:sz w:val="20"/>
                <w:szCs w:val="20"/>
              </w:rPr>
              <w:t>1.2 Equality Act 2010</w:t>
            </w:r>
            <w:r w:rsidRPr="009A49C5">
              <w:rPr>
                <w:rFonts w:ascii="Arial" w:hAnsi="Arial" w:cs="Arial"/>
                <w:noProof/>
                <w:sz w:val="20"/>
                <w:szCs w:val="20"/>
              </w:rPr>
              <w:tab/>
            </w:r>
            <w:r w:rsidRPr="009A49C5">
              <w:rPr>
                <w:rFonts w:ascii="Arial" w:hAnsi="Arial" w:cs="Arial"/>
                <w:noProof/>
                <w:sz w:val="20"/>
                <w:szCs w:val="20"/>
              </w:rPr>
              <w:fldChar w:fldCharType="begin"/>
            </w:r>
            <w:r w:rsidRPr="009A49C5">
              <w:rPr>
                <w:rFonts w:ascii="Arial" w:hAnsi="Arial" w:cs="Arial"/>
                <w:noProof/>
                <w:sz w:val="20"/>
                <w:szCs w:val="20"/>
              </w:rPr>
              <w:instrText xml:space="preserve"> PAGEREF _Toc236666141 \h </w:instrText>
            </w:r>
            <w:r w:rsidRPr="009A49C5">
              <w:rPr>
                <w:rFonts w:ascii="Arial" w:hAnsi="Arial" w:cs="Arial"/>
                <w:noProof/>
                <w:sz w:val="20"/>
                <w:szCs w:val="20"/>
              </w:rPr>
            </w:r>
            <w:r w:rsidRPr="009A49C5">
              <w:rPr>
                <w:rFonts w:ascii="Arial" w:hAnsi="Arial" w:cs="Arial"/>
                <w:noProof/>
                <w:sz w:val="20"/>
                <w:szCs w:val="20"/>
              </w:rPr>
              <w:fldChar w:fldCharType="separate"/>
            </w:r>
            <w:r w:rsidRPr="009A49C5">
              <w:rPr>
                <w:rFonts w:ascii="Arial" w:hAnsi="Arial" w:cs="Arial"/>
                <w:noProof/>
                <w:sz w:val="20"/>
                <w:szCs w:val="20"/>
              </w:rPr>
              <w:t>1</w:t>
            </w:r>
            <w:r w:rsidRPr="009A49C5">
              <w:rPr>
                <w:rFonts w:ascii="Arial" w:hAnsi="Arial" w:cs="Arial"/>
                <w:noProof/>
                <w:sz w:val="20"/>
                <w:szCs w:val="20"/>
              </w:rPr>
              <w:fldChar w:fldCharType="end"/>
            </w:r>
          </w:hyperlink>
        </w:p>
        <w:p w14:paraId="32E51945" w14:textId="77777777" w:rsidR="00793126" w:rsidRPr="009A49C5" w:rsidRDefault="00793126">
          <w:pPr>
            <w:pStyle w:val="TOC2"/>
            <w:tabs>
              <w:tab w:val="right" w:leader="dot" w:pos="9016"/>
            </w:tabs>
            <w:rPr>
              <w:rFonts w:ascii="Arial" w:hAnsi="Arial" w:cs="Arial"/>
              <w:noProof/>
              <w:sz w:val="20"/>
              <w:szCs w:val="20"/>
            </w:rPr>
          </w:pPr>
          <w:hyperlink w:anchor="_Toc236666142" w:history="1">
            <w:r w:rsidRPr="009A49C5">
              <w:rPr>
                <w:rStyle w:val="Hyperlink"/>
                <w:rFonts w:ascii="Arial" w:hAnsi="Arial" w:cs="Arial"/>
                <w:noProof/>
                <w:sz w:val="20"/>
                <w:szCs w:val="20"/>
              </w:rPr>
              <w:t>1.3 SOLER Model</w:t>
            </w:r>
            <w:r w:rsidRPr="009A49C5">
              <w:rPr>
                <w:rFonts w:ascii="Arial" w:hAnsi="Arial" w:cs="Arial"/>
                <w:noProof/>
                <w:sz w:val="20"/>
                <w:szCs w:val="20"/>
              </w:rPr>
              <w:tab/>
            </w:r>
            <w:r w:rsidRPr="009A49C5">
              <w:rPr>
                <w:rFonts w:ascii="Arial" w:hAnsi="Arial" w:cs="Arial"/>
                <w:noProof/>
                <w:sz w:val="20"/>
                <w:szCs w:val="20"/>
              </w:rPr>
              <w:fldChar w:fldCharType="begin"/>
            </w:r>
            <w:r w:rsidRPr="009A49C5">
              <w:rPr>
                <w:rFonts w:ascii="Arial" w:hAnsi="Arial" w:cs="Arial"/>
                <w:noProof/>
                <w:sz w:val="20"/>
                <w:szCs w:val="20"/>
              </w:rPr>
              <w:instrText xml:space="preserve"> PAGEREF _Toc236666142 \h </w:instrText>
            </w:r>
            <w:r w:rsidRPr="009A49C5">
              <w:rPr>
                <w:rFonts w:ascii="Arial" w:hAnsi="Arial" w:cs="Arial"/>
                <w:noProof/>
                <w:sz w:val="20"/>
                <w:szCs w:val="20"/>
              </w:rPr>
            </w:r>
            <w:r w:rsidRPr="009A49C5">
              <w:rPr>
                <w:rFonts w:ascii="Arial" w:hAnsi="Arial" w:cs="Arial"/>
                <w:noProof/>
                <w:sz w:val="20"/>
                <w:szCs w:val="20"/>
              </w:rPr>
              <w:fldChar w:fldCharType="separate"/>
            </w:r>
            <w:r w:rsidRPr="009A49C5">
              <w:rPr>
                <w:rFonts w:ascii="Arial" w:hAnsi="Arial" w:cs="Arial"/>
                <w:noProof/>
                <w:sz w:val="20"/>
                <w:szCs w:val="20"/>
              </w:rPr>
              <w:t>1</w:t>
            </w:r>
            <w:r w:rsidRPr="009A49C5">
              <w:rPr>
                <w:rFonts w:ascii="Arial" w:hAnsi="Arial" w:cs="Arial"/>
                <w:noProof/>
                <w:sz w:val="20"/>
                <w:szCs w:val="20"/>
              </w:rPr>
              <w:fldChar w:fldCharType="end"/>
            </w:r>
          </w:hyperlink>
        </w:p>
        <w:p w14:paraId="1A072EE8" w14:textId="77777777" w:rsidR="00793126" w:rsidRPr="009A49C5" w:rsidRDefault="00793126">
          <w:pPr>
            <w:pStyle w:val="TOC1"/>
            <w:tabs>
              <w:tab w:val="right" w:leader="dot" w:pos="9016"/>
            </w:tabs>
            <w:rPr>
              <w:rFonts w:ascii="Arial" w:hAnsi="Arial" w:cs="Arial"/>
              <w:noProof/>
              <w:sz w:val="20"/>
              <w:szCs w:val="20"/>
            </w:rPr>
          </w:pPr>
          <w:hyperlink w:anchor="_Toc236666143" w:history="1">
            <w:r w:rsidRPr="009A49C5">
              <w:rPr>
                <w:rStyle w:val="Hyperlink"/>
                <w:rFonts w:ascii="Arial" w:hAnsi="Arial" w:cs="Arial"/>
                <w:noProof/>
                <w:sz w:val="20"/>
                <w:szCs w:val="20"/>
              </w:rPr>
              <w:t>3. Section 2: Administrative Skills and Record Keeping</w:t>
            </w:r>
            <w:r w:rsidRPr="009A49C5">
              <w:rPr>
                <w:rFonts w:ascii="Arial" w:hAnsi="Arial" w:cs="Arial"/>
                <w:noProof/>
                <w:sz w:val="20"/>
                <w:szCs w:val="20"/>
              </w:rPr>
              <w:tab/>
            </w:r>
            <w:r w:rsidRPr="009A49C5">
              <w:rPr>
                <w:rFonts w:ascii="Arial" w:hAnsi="Arial" w:cs="Arial"/>
                <w:noProof/>
                <w:sz w:val="20"/>
                <w:szCs w:val="20"/>
              </w:rPr>
              <w:fldChar w:fldCharType="begin"/>
            </w:r>
            <w:r w:rsidRPr="009A49C5">
              <w:rPr>
                <w:rFonts w:ascii="Arial" w:hAnsi="Arial" w:cs="Arial"/>
                <w:noProof/>
                <w:sz w:val="20"/>
                <w:szCs w:val="20"/>
              </w:rPr>
              <w:instrText xml:space="preserve"> PAGEREF _Toc236666143 \h </w:instrText>
            </w:r>
            <w:r w:rsidRPr="009A49C5">
              <w:rPr>
                <w:rFonts w:ascii="Arial" w:hAnsi="Arial" w:cs="Arial"/>
                <w:noProof/>
                <w:sz w:val="20"/>
                <w:szCs w:val="20"/>
              </w:rPr>
            </w:r>
            <w:r w:rsidRPr="009A49C5">
              <w:rPr>
                <w:rFonts w:ascii="Arial" w:hAnsi="Arial" w:cs="Arial"/>
                <w:noProof/>
                <w:sz w:val="20"/>
                <w:szCs w:val="20"/>
              </w:rPr>
              <w:fldChar w:fldCharType="separate"/>
            </w:r>
            <w:r w:rsidRPr="009A49C5">
              <w:rPr>
                <w:rFonts w:ascii="Arial" w:hAnsi="Arial" w:cs="Arial"/>
                <w:noProof/>
                <w:sz w:val="20"/>
                <w:szCs w:val="20"/>
              </w:rPr>
              <w:t>1</w:t>
            </w:r>
            <w:r w:rsidRPr="009A49C5">
              <w:rPr>
                <w:rFonts w:ascii="Arial" w:hAnsi="Arial" w:cs="Arial"/>
                <w:noProof/>
                <w:sz w:val="20"/>
                <w:szCs w:val="20"/>
              </w:rPr>
              <w:fldChar w:fldCharType="end"/>
            </w:r>
          </w:hyperlink>
        </w:p>
        <w:p w14:paraId="209F2EA9" w14:textId="77777777" w:rsidR="00793126" w:rsidRPr="009A49C5" w:rsidRDefault="00793126">
          <w:pPr>
            <w:pStyle w:val="TOC2"/>
            <w:tabs>
              <w:tab w:val="right" w:leader="dot" w:pos="9016"/>
            </w:tabs>
            <w:rPr>
              <w:rFonts w:ascii="Arial" w:hAnsi="Arial" w:cs="Arial"/>
              <w:noProof/>
              <w:sz w:val="20"/>
              <w:szCs w:val="20"/>
            </w:rPr>
          </w:pPr>
          <w:hyperlink w:anchor="_Toc236666144" w:history="1">
            <w:r w:rsidRPr="009A49C5">
              <w:rPr>
                <w:rStyle w:val="Hyperlink"/>
                <w:rFonts w:ascii="Arial" w:hAnsi="Arial" w:cs="Arial"/>
                <w:noProof/>
                <w:sz w:val="20"/>
                <w:szCs w:val="20"/>
              </w:rPr>
              <w:t>2.1 Importance of Record Keeping</w:t>
            </w:r>
            <w:r w:rsidRPr="009A49C5">
              <w:rPr>
                <w:rFonts w:ascii="Arial" w:hAnsi="Arial" w:cs="Arial"/>
                <w:noProof/>
                <w:sz w:val="20"/>
                <w:szCs w:val="20"/>
              </w:rPr>
              <w:tab/>
            </w:r>
            <w:r w:rsidRPr="009A49C5">
              <w:rPr>
                <w:rFonts w:ascii="Arial" w:hAnsi="Arial" w:cs="Arial"/>
                <w:noProof/>
                <w:sz w:val="20"/>
                <w:szCs w:val="20"/>
              </w:rPr>
              <w:fldChar w:fldCharType="begin"/>
            </w:r>
            <w:r w:rsidRPr="009A49C5">
              <w:rPr>
                <w:rFonts w:ascii="Arial" w:hAnsi="Arial" w:cs="Arial"/>
                <w:noProof/>
                <w:sz w:val="20"/>
                <w:szCs w:val="20"/>
              </w:rPr>
              <w:instrText xml:space="preserve"> PAGEREF _Toc236666144 \h </w:instrText>
            </w:r>
            <w:r w:rsidRPr="009A49C5">
              <w:rPr>
                <w:rFonts w:ascii="Arial" w:hAnsi="Arial" w:cs="Arial"/>
                <w:noProof/>
                <w:sz w:val="20"/>
                <w:szCs w:val="20"/>
              </w:rPr>
            </w:r>
            <w:r w:rsidRPr="009A49C5">
              <w:rPr>
                <w:rFonts w:ascii="Arial" w:hAnsi="Arial" w:cs="Arial"/>
                <w:noProof/>
                <w:sz w:val="20"/>
                <w:szCs w:val="20"/>
              </w:rPr>
              <w:fldChar w:fldCharType="separate"/>
            </w:r>
            <w:r w:rsidRPr="009A49C5">
              <w:rPr>
                <w:rFonts w:ascii="Arial" w:hAnsi="Arial" w:cs="Arial"/>
                <w:noProof/>
                <w:sz w:val="20"/>
                <w:szCs w:val="20"/>
              </w:rPr>
              <w:t>1</w:t>
            </w:r>
            <w:r w:rsidRPr="009A49C5">
              <w:rPr>
                <w:rFonts w:ascii="Arial" w:hAnsi="Arial" w:cs="Arial"/>
                <w:noProof/>
                <w:sz w:val="20"/>
                <w:szCs w:val="20"/>
              </w:rPr>
              <w:fldChar w:fldCharType="end"/>
            </w:r>
          </w:hyperlink>
        </w:p>
        <w:p w14:paraId="15CDBB99" w14:textId="77777777" w:rsidR="00793126" w:rsidRPr="009A49C5" w:rsidRDefault="00793126">
          <w:pPr>
            <w:pStyle w:val="TOC2"/>
            <w:tabs>
              <w:tab w:val="right" w:leader="dot" w:pos="9016"/>
            </w:tabs>
            <w:rPr>
              <w:rFonts w:ascii="Arial" w:hAnsi="Arial" w:cs="Arial"/>
              <w:noProof/>
              <w:sz w:val="20"/>
              <w:szCs w:val="20"/>
            </w:rPr>
          </w:pPr>
          <w:hyperlink w:anchor="_Toc236666145" w:history="1">
            <w:r w:rsidRPr="009A49C5">
              <w:rPr>
                <w:rStyle w:val="Hyperlink"/>
                <w:rFonts w:ascii="Arial" w:hAnsi="Arial" w:cs="Arial"/>
                <w:noProof/>
                <w:sz w:val="20"/>
                <w:szCs w:val="20"/>
              </w:rPr>
              <w:t>2.2 Data Protection Act 2018</w:t>
            </w:r>
            <w:r w:rsidRPr="009A49C5">
              <w:rPr>
                <w:rFonts w:ascii="Arial" w:hAnsi="Arial" w:cs="Arial"/>
                <w:noProof/>
                <w:sz w:val="20"/>
                <w:szCs w:val="20"/>
              </w:rPr>
              <w:tab/>
            </w:r>
            <w:r w:rsidRPr="009A49C5">
              <w:rPr>
                <w:rFonts w:ascii="Arial" w:hAnsi="Arial" w:cs="Arial"/>
                <w:noProof/>
                <w:sz w:val="20"/>
                <w:szCs w:val="20"/>
              </w:rPr>
              <w:fldChar w:fldCharType="begin"/>
            </w:r>
            <w:r w:rsidRPr="009A49C5">
              <w:rPr>
                <w:rFonts w:ascii="Arial" w:hAnsi="Arial" w:cs="Arial"/>
                <w:noProof/>
                <w:sz w:val="20"/>
                <w:szCs w:val="20"/>
              </w:rPr>
              <w:instrText xml:space="preserve"> PAGEREF _Toc236666145 \h </w:instrText>
            </w:r>
            <w:r w:rsidRPr="009A49C5">
              <w:rPr>
                <w:rFonts w:ascii="Arial" w:hAnsi="Arial" w:cs="Arial"/>
                <w:noProof/>
                <w:sz w:val="20"/>
                <w:szCs w:val="20"/>
              </w:rPr>
            </w:r>
            <w:r w:rsidRPr="009A49C5">
              <w:rPr>
                <w:rFonts w:ascii="Arial" w:hAnsi="Arial" w:cs="Arial"/>
                <w:noProof/>
                <w:sz w:val="20"/>
                <w:szCs w:val="20"/>
              </w:rPr>
              <w:fldChar w:fldCharType="separate"/>
            </w:r>
            <w:r w:rsidRPr="009A49C5">
              <w:rPr>
                <w:rFonts w:ascii="Arial" w:hAnsi="Arial" w:cs="Arial"/>
                <w:noProof/>
                <w:sz w:val="20"/>
                <w:szCs w:val="20"/>
              </w:rPr>
              <w:t>1</w:t>
            </w:r>
            <w:r w:rsidRPr="009A49C5">
              <w:rPr>
                <w:rFonts w:ascii="Arial" w:hAnsi="Arial" w:cs="Arial"/>
                <w:noProof/>
                <w:sz w:val="20"/>
                <w:szCs w:val="20"/>
              </w:rPr>
              <w:fldChar w:fldCharType="end"/>
            </w:r>
          </w:hyperlink>
        </w:p>
        <w:p w14:paraId="10A2AAE3" w14:textId="77777777" w:rsidR="00793126" w:rsidRPr="009A49C5" w:rsidRDefault="00793126">
          <w:pPr>
            <w:pStyle w:val="TOC2"/>
            <w:tabs>
              <w:tab w:val="right" w:leader="dot" w:pos="9016"/>
            </w:tabs>
            <w:rPr>
              <w:rFonts w:ascii="Arial" w:hAnsi="Arial" w:cs="Arial"/>
              <w:noProof/>
              <w:sz w:val="20"/>
              <w:szCs w:val="20"/>
            </w:rPr>
          </w:pPr>
          <w:hyperlink w:anchor="_Toc236666146" w:history="1">
            <w:r w:rsidRPr="009A49C5">
              <w:rPr>
                <w:rStyle w:val="Hyperlink"/>
                <w:rFonts w:ascii="Arial" w:hAnsi="Arial" w:cs="Arial"/>
                <w:noProof/>
                <w:sz w:val="20"/>
                <w:szCs w:val="20"/>
              </w:rPr>
              <w:t>2.3 Incident Reporting</w:t>
            </w:r>
            <w:r w:rsidRPr="009A49C5">
              <w:rPr>
                <w:rFonts w:ascii="Arial" w:hAnsi="Arial" w:cs="Arial"/>
                <w:noProof/>
                <w:sz w:val="20"/>
                <w:szCs w:val="20"/>
              </w:rPr>
              <w:tab/>
            </w:r>
            <w:r w:rsidRPr="009A49C5">
              <w:rPr>
                <w:rFonts w:ascii="Arial" w:hAnsi="Arial" w:cs="Arial"/>
                <w:noProof/>
                <w:sz w:val="20"/>
                <w:szCs w:val="20"/>
              </w:rPr>
              <w:fldChar w:fldCharType="begin"/>
            </w:r>
            <w:r w:rsidRPr="009A49C5">
              <w:rPr>
                <w:rFonts w:ascii="Arial" w:hAnsi="Arial" w:cs="Arial"/>
                <w:noProof/>
                <w:sz w:val="20"/>
                <w:szCs w:val="20"/>
              </w:rPr>
              <w:instrText xml:space="preserve"> PAGEREF _Toc236666146 \h </w:instrText>
            </w:r>
            <w:r w:rsidRPr="009A49C5">
              <w:rPr>
                <w:rFonts w:ascii="Arial" w:hAnsi="Arial" w:cs="Arial"/>
                <w:noProof/>
                <w:sz w:val="20"/>
                <w:szCs w:val="20"/>
              </w:rPr>
            </w:r>
            <w:r w:rsidRPr="009A49C5">
              <w:rPr>
                <w:rFonts w:ascii="Arial" w:hAnsi="Arial" w:cs="Arial"/>
                <w:noProof/>
                <w:sz w:val="20"/>
                <w:szCs w:val="20"/>
              </w:rPr>
              <w:fldChar w:fldCharType="separate"/>
            </w:r>
            <w:r w:rsidRPr="009A49C5">
              <w:rPr>
                <w:rFonts w:ascii="Arial" w:hAnsi="Arial" w:cs="Arial"/>
                <w:noProof/>
                <w:sz w:val="20"/>
                <w:szCs w:val="20"/>
              </w:rPr>
              <w:t>1</w:t>
            </w:r>
            <w:r w:rsidRPr="009A49C5">
              <w:rPr>
                <w:rFonts w:ascii="Arial" w:hAnsi="Arial" w:cs="Arial"/>
                <w:noProof/>
                <w:sz w:val="20"/>
                <w:szCs w:val="20"/>
              </w:rPr>
              <w:fldChar w:fldCharType="end"/>
            </w:r>
          </w:hyperlink>
        </w:p>
        <w:p w14:paraId="4B8272D2" w14:textId="77777777" w:rsidR="00793126" w:rsidRPr="009A49C5" w:rsidRDefault="00793126">
          <w:pPr>
            <w:pStyle w:val="TOC1"/>
            <w:tabs>
              <w:tab w:val="right" w:leader="dot" w:pos="9016"/>
            </w:tabs>
            <w:rPr>
              <w:rFonts w:ascii="Arial" w:hAnsi="Arial" w:cs="Arial"/>
              <w:noProof/>
              <w:sz w:val="20"/>
              <w:szCs w:val="20"/>
            </w:rPr>
          </w:pPr>
          <w:hyperlink w:anchor="_Toc236666147" w:history="1">
            <w:r w:rsidRPr="009A49C5">
              <w:rPr>
                <w:rStyle w:val="Hyperlink"/>
                <w:rFonts w:ascii="Arial" w:hAnsi="Arial" w:cs="Arial"/>
                <w:noProof/>
                <w:sz w:val="20"/>
                <w:szCs w:val="20"/>
              </w:rPr>
              <w:t>4. Section 3: Collaborative Working</w:t>
            </w:r>
            <w:r w:rsidRPr="009A49C5">
              <w:rPr>
                <w:rFonts w:ascii="Arial" w:hAnsi="Arial" w:cs="Arial"/>
                <w:noProof/>
                <w:sz w:val="20"/>
                <w:szCs w:val="20"/>
              </w:rPr>
              <w:tab/>
            </w:r>
            <w:r w:rsidRPr="009A49C5">
              <w:rPr>
                <w:rFonts w:ascii="Arial" w:hAnsi="Arial" w:cs="Arial"/>
                <w:noProof/>
                <w:sz w:val="20"/>
                <w:szCs w:val="20"/>
              </w:rPr>
              <w:fldChar w:fldCharType="begin"/>
            </w:r>
            <w:r w:rsidRPr="009A49C5">
              <w:rPr>
                <w:rFonts w:ascii="Arial" w:hAnsi="Arial" w:cs="Arial"/>
                <w:noProof/>
                <w:sz w:val="20"/>
                <w:szCs w:val="20"/>
              </w:rPr>
              <w:instrText xml:space="preserve"> PAGEREF _Toc236666147 \h </w:instrText>
            </w:r>
            <w:r w:rsidRPr="009A49C5">
              <w:rPr>
                <w:rFonts w:ascii="Arial" w:hAnsi="Arial" w:cs="Arial"/>
                <w:noProof/>
                <w:sz w:val="20"/>
                <w:szCs w:val="20"/>
              </w:rPr>
            </w:r>
            <w:r w:rsidRPr="009A49C5">
              <w:rPr>
                <w:rFonts w:ascii="Arial" w:hAnsi="Arial" w:cs="Arial"/>
                <w:noProof/>
                <w:sz w:val="20"/>
                <w:szCs w:val="20"/>
              </w:rPr>
              <w:fldChar w:fldCharType="separate"/>
            </w:r>
            <w:r w:rsidRPr="009A49C5">
              <w:rPr>
                <w:rFonts w:ascii="Arial" w:hAnsi="Arial" w:cs="Arial"/>
                <w:noProof/>
                <w:sz w:val="20"/>
                <w:szCs w:val="20"/>
              </w:rPr>
              <w:t>1</w:t>
            </w:r>
            <w:r w:rsidRPr="009A49C5">
              <w:rPr>
                <w:rFonts w:ascii="Arial" w:hAnsi="Arial" w:cs="Arial"/>
                <w:noProof/>
                <w:sz w:val="20"/>
                <w:szCs w:val="20"/>
              </w:rPr>
              <w:fldChar w:fldCharType="end"/>
            </w:r>
          </w:hyperlink>
        </w:p>
        <w:p w14:paraId="667BD082" w14:textId="77777777" w:rsidR="00793126" w:rsidRPr="009A49C5" w:rsidRDefault="00793126">
          <w:pPr>
            <w:pStyle w:val="TOC2"/>
            <w:tabs>
              <w:tab w:val="right" w:leader="dot" w:pos="9016"/>
            </w:tabs>
            <w:rPr>
              <w:rFonts w:ascii="Arial" w:hAnsi="Arial" w:cs="Arial"/>
              <w:noProof/>
              <w:sz w:val="20"/>
              <w:szCs w:val="20"/>
            </w:rPr>
          </w:pPr>
          <w:hyperlink w:anchor="_Toc236666148" w:history="1">
            <w:r w:rsidRPr="009A49C5">
              <w:rPr>
                <w:rStyle w:val="Hyperlink"/>
                <w:rFonts w:ascii="Arial" w:hAnsi="Arial" w:cs="Arial"/>
                <w:noProof/>
                <w:sz w:val="20"/>
                <w:szCs w:val="20"/>
              </w:rPr>
              <w:t>3.1 Multi-agency Roles</w:t>
            </w:r>
            <w:r w:rsidRPr="009A49C5">
              <w:rPr>
                <w:rFonts w:ascii="Arial" w:hAnsi="Arial" w:cs="Arial"/>
                <w:noProof/>
                <w:sz w:val="20"/>
                <w:szCs w:val="20"/>
              </w:rPr>
              <w:tab/>
            </w:r>
            <w:r w:rsidRPr="009A49C5">
              <w:rPr>
                <w:rFonts w:ascii="Arial" w:hAnsi="Arial" w:cs="Arial"/>
                <w:noProof/>
                <w:sz w:val="20"/>
                <w:szCs w:val="20"/>
              </w:rPr>
              <w:fldChar w:fldCharType="begin"/>
            </w:r>
            <w:r w:rsidRPr="009A49C5">
              <w:rPr>
                <w:rFonts w:ascii="Arial" w:hAnsi="Arial" w:cs="Arial"/>
                <w:noProof/>
                <w:sz w:val="20"/>
                <w:szCs w:val="20"/>
              </w:rPr>
              <w:instrText xml:space="preserve"> PAGEREF _Toc236666148 \h </w:instrText>
            </w:r>
            <w:r w:rsidRPr="009A49C5">
              <w:rPr>
                <w:rFonts w:ascii="Arial" w:hAnsi="Arial" w:cs="Arial"/>
                <w:noProof/>
                <w:sz w:val="20"/>
                <w:szCs w:val="20"/>
              </w:rPr>
            </w:r>
            <w:r w:rsidRPr="009A49C5">
              <w:rPr>
                <w:rFonts w:ascii="Arial" w:hAnsi="Arial" w:cs="Arial"/>
                <w:noProof/>
                <w:sz w:val="20"/>
                <w:szCs w:val="20"/>
              </w:rPr>
              <w:fldChar w:fldCharType="separate"/>
            </w:r>
            <w:r w:rsidRPr="009A49C5">
              <w:rPr>
                <w:rFonts w:ascii="Arial" w:hAnsi="Arial" w:cs="Arial"/>
                <w:noProof/>
                <w:sz w:val="20"/>
                <w:szCs w:val="20"/>
              </w:rPr>
              <w:t>1</w:t>
            </w:r>
            <w:r w:rsidRPr="009A49C5">
              <w:rPr>
                <w:rFonts w:ascii="Arial" w:hAnsi="Arial" w:cs="Arial"/>
                <w:noProof/>
                <w:sz w:val="20"/>
                <w:szCs w:val="20"/>
              </w:rPr>
              <w:fldChar w:fldCharType="end"/>
            </w:r>
          </w:hyperlink>
        </w:p>
        <w:p w14:paraId="36FAEC7C" w14:textId="77777777" w:rsidR="00793126" w:rsidRPr="009A49C5" w:rsidRDefault="00793126">
          <w:pPr>
            <w:pStyle w:val="TOC2"/>
            <w:tabs>
              <w:tab w:val="right" w:leader="dot" w:pos="9016"/>
            </w:tabs>
            <w:rPr>
              <w:rFonts w:ascii="Arial" w:hAnsi="Arial" w:cs="Arial"/>
              <w:noProof/>
              <w:sz w:val="20"/>
              <w:szCs w:val="20"/>
            </w:rPr>
          </w:pPr>
          <w:hyperlink w:anchor="_Toc236666149" w:history="1">
            <w:r w:rsidRPr="009A49C5">
              <w:rPr>
                <w:rStyle w:val="Hyperlink"/>
                <w:rFonts w:ascii="Arial" w:hAnsi="Arial" w:cs="Arial"/>
                <w:noProof/>
                <w:sz w:val="20"/>
                <w:szCs w:val="20"/>
              </w:rPr>
              <w:t>3.2 Challenges</w:t>
            </w:r>
            <w:r w:rsidRPr="009A49C5">
              <w:rPr>
                <w:rFonts w:ascii="Arial" w:hAnsi="Arial" w:cs="Arial"/>
                <w:noProof/>
                <w:sz w:val="20"/>
                <w:szCs w:val="20"/>
              </w:rPr>
              <w:tab/>
            </w:r>
            <w:r w:rsidRPr="009A49C5">
              <w:rPr>
                <w:rFonts w:ascii="Arial" w:hAnsi="Arial" w:cs="Arial"/>
                <w:noProof/>
                <w:sz w:val="20"/>
                <w:szCs w:val="20"/>
              </w:rPr>
              <w:fldChar w:fldCharType="begin"/>
            </w:r>
            <w:r w:rsidRPr="009A49C5">
              <w:rPr>
                <w:rFonts w:ascii="Arial" w:hAnsi="Arial" w:cs="Arial"/>
                <w:noProof/>
                <w:sz w:val="20"/>
                <w:szCs w:val="20"/>
              </w:rPr>
              <w:instrText xml:space="preserve"> PAGEREF _Toc236666149 \h </w:instrText>
            </w:r>
            <w:r w:rsidRPr="009A49C5">
              <w:rPr>
                <w:rFonts w:ascii="Arial" w:hAnsi="Arial" w:cs="Arial"/>
                <w:noProof/>
                <w:sz w:val="20"/>
                <w:szCs w:val="20"/>
              </w:rPr>
            </w:r>
            <w:r w:rsidRPr="009A49C5">
              <w:rPr>
                <w:rFonts w:ascii="Arial" w:hAnsi="Arial" w:cs="Arial"/>
                <w:noProof/>
                <w:sz w:val="20"/>
                <w:szCs w:val="20"/>
              </w:rPr>
              <w:fldChar w:fldCharType="separate"/>
            </w:r>
            <w:r w:rsidRPr="009A49C5">
              <w:rPr>
                <w:rFonts w:ascii="Arial" w:hAnsi="Arial" w:cs="Arial"/>
                <w:noProof/>
                <w:sz w:val="20"/>
                <w:szCs w:val="20"/>
              </w:rPr>
              <w:t>1</w:t>
            </w:r>
            <w:r w:rsidRPr="009A49C5">
              <w:rPr>
                <w:rFonts w:ascii="Arial" w:hAnsi="Arial" w:cs="Arial"/>
                <w:noProof/>
                <w:sz w:val="20"/>
                <w:szCs w:val="20"/>
              </w:rPr>
              <w:fldChar w:fldCharType="end"/>
            </w:r>
          </w:hyperlink>
        </w:p>
        <w:p w14:paraId="534F220B" w14:textId="77777777" w:rsidR="00793126" w:rsidRPr="009A49C5" w:rsidRDefault="00793126">
          <w:pPr>
            <w:pStyle w:val="TOC2"/>
            <w:tabs>
              <w:tab w:val="right" w:leader="dot" w:pos="9016"/>
            </w:tabs>
            <w:rPr>
              <w:rFonts w:ascii="Arial" w:hAnsi="Arial" w:cs="Arial"/>
              <w:noProof/>
              <w:sz w:val="20"/>
              <w:szCs w:val="20"/>
            </w:rPr>
          </w:pPr>
          <w:hyperlink w:anchor="_Toc236666150" w:history="1">
            <w:r w:rsidRPr="009A49C5">
              <w:rPr>
                <w:rStyle w:val="Hyperlink"/>
                <w:rFonts w:ascii="Arial" w:hAnsi="Arial" w:cs="Arial"/>
                <w:noProof/>
                <w:sz w:val="20"/>
                <w:szCs w:val="20"/>
              </w:rPr>
              <w:t>3.3 Strategies</w:t>
            </w:r>
            <w:r w:rsidRPr="009A49C5">
              <w:rPr>
                <w:rFonts w:ascii="Arial" w:hAnsi="Arial" w:cs="Arial"/>
                <w:noProof/>
                <w:sz w:val="20"/>
                <w:szCs w:val="20"/>
              </w:rPr>
              <w:tab/>
            </w:r>
            <w:r w:rsidRPr="009A49C5">
              <w:rPr>
                <w:rFonts w:ascii="Arial" w:hAnsi="Arial" w:cs="Arial"/>
                <w:noProof/>
                <w:sz w:val="20"/>
                <w:szCs w:val="20"/>
              </w:rPr>
              <w:fldChar w:fldCharType="begin"/>
            </w:r>
            <w:r w:rsidRPr="009A49C5">
              <w:rPr>
                <w:rFonts w:ascii="Arial" w:hAnsi="Arial" w:cs="Arial"/>
                <w:noProof/>
                <w:sz w:val="20"/>
                <w:szCs w:val="20"/>
              </w:rPr>
              <w:instrText xml:space="preserve"> PAGEREF _Toc236666150 \h </w:instrText>
            </w:r>
            <w:r w:rsidRPr="009A49C5">
              <w:rPr>
                <w:rFonts w:ascii="Arial" w:hAnsi="Arial" w:cs="Arial"/>
                <w:noProof/>
                <w:sz w:val="20"/>
                <w:szCs w:val="20"/>
              </w:rPr>
            </w:r>
            <w:r w:rsidRPr="009A49C5">
              <w:rPr>
                <w:rFonts w:ascii="Arial" w:hAnsi="Arial" w:cs="Arial"/>
                <w:noProof/>
                <w:sz w:val="20"/>
                <w:szCs w:val="20"/>
              </w:rPr>
              <w:fldChar w:fldCharType="separate"/>
            </w:r>
            <w:r w:rsidRPr="009A49C5">
              <w:rPr>
                <w:rFonts w:ascii="Arial" w:hAnsi="Arial" w:cs="Arial"/>
                <w:noProof/>
                <w:sz w:val="20"/>
                <w:szCs w:val="20"/>
              </w:rPr>
              <w:t>1</w:t>
            </w:r>
            <w:r w:rsidRPr="009A49C5">
              <w:rPr>
                <w:rFonts w:ascii="Arial" w:hAnsi="Arial" w:cs="Arial"/>
                <w:noProof/>
                <w:sz w:val="20"/>
                <w:szCs w:val="20"/>
              </w:rPr>
              <w:fldChar w:fldCharType="end"/>
            </w:r>
          </w:hyperlink>
        </w:p>
        <w:p w14:paraId="1DD9E766" w14:textId="77777777" w:rsidR="00793126" w:rsidRPr="009A49C5" w:rsidRDefault="00793126">
          <w:pPr>
            <w:pStyle w:val="TOC1"/>
            <w:tabs>
              <w:tab w:val="right" w:leader="dot" w:pos="9016"/>
            </w:tabs>
            <w:rPr>
              <w:rFonts w:ascii="Arial" w:hAnsi="Arial" w:cs="Arial"/>
              <w:noProof/>
              <w:sz w:val="20"/>
              <w:szCs w:val="20"/>
            </w:rPr>
          </w:pPr>
          <w:hyperlink w:anchor="_Toc236666151" w:history="1">
            <w:r w:rsidRPr="009A49C5">
              <w:rPr>
                <w:rStyle w:val="Hyperlink"/>
                <w:rFonts w:ascii="Arial" w:hAnsi="Arial" w:cs="Arial"/>
                <w:noProof/>
                <w:sz w:val="20"/>
                <w:szCs w:val="20"/>
              </w:rPr>
              <w:t>5. Conclusion</w:t>
            </w:r>
            <w:r w:rsidRPr="009A49C5">
              <w:rPr>
                <w:rFonts w:ascii="Arial" w:hAnsi="Arial" w:cs="Arial"/>
                <w:noProof/>
                <w:sz w:val="20"/>
                <w:szCs w:val="20"/>
              </w:rPr>
              <w:tab/>
            </w:r>
            <w:r w:rsidRPr="009A49C5">
              <w:rPr>
                <w:rFonts w:ascii="Arial" w:hAnsi="Arial" w:cs="Arial"/>
                <w:noProof/>
                <w:sz w:val="20"/>
                <w:szCs w:val="20"/>
              </w:rPr>
              <w:fldChar w:fldCharType="begin"/>
            </w:r>
            <w:r w:rsidRPr="009A49C5">
              <w:rPr>
                <w:rFonts w:ascii="Arial" w:hAnsi="Arial" w:cs="Arial"/>
                <w:noProof/>
                <w:sz w:val="20"/>
                <w:szCs w:val="20"/>
              </w:rPr>
              <w:instrText xml:space="preserve"> PAGEREF _Toc236666151 \h </w:instrText>
            </w:r>
            <w:r w:rsidRPr="009A49C5">
              <w:rPr>
                <w:rFonts w:ascii="Arial" w:hAnsi="Arial" w:cs="Arial"/>
                <w:noProof/>
                <w:sz w:val="20"/>
                <w:szCs w:val="20"/>
              </w:rPr>
            </w:r>
            <w:r w:rsidRPr="009A49C5">
              <w:rPr>
                <w:rFonts w:ascii="Arial" w:hAnsi="Arial" w:cs="Arial"/>
                <w:noProof/>
                <w:sz w:val="20"/>
                <w:szCs w:val="20"/>
              </w:rPr>
              <w:fldChar w:fldCharType="separate"/>
            </w:r>
            <w:r w:rsidRPr="009A49C5">
              <w:rPr>
                <w:rFonts w:ascii="Arial" w:hAnsi="Arial" w:cs="Arial"/>
                <w:noProof/>
                <w:sz w:val="20"/>
                <w:szCs w:val="20"/>
              </w:rPr>
              <w:t>1</w:t>
            </w:r>
            <w:r w:rsidRPr="009A49C5">
              <w:rPr>
                <w:rFonts w:ascii="Arial" w:hAnsi="Arial" w:cs="Arial"/>
                <w:noProof/>
                <w:sz w:val="20"/>
                <w:szCs w:val="20"/>
              </w:rPr>
              <w:fldChar w:fldCharType="end"/>
            </w:r>
          </w:hyperlink>
        </w:p>
        <w:p w14:paraId="4B8F0101" w14:textId="77777777" w:rsidR="00793126" w:rsidRPr="009A49C5" w:rsidRDefault="00793126">
          <w:pPr>
            <w:pStyle w:val="TOC1"/>
            <w:tabs>
              <w:tab w:val="right" w:leader="dot" w:pos="9016"/>
            </w:tabs>
            <w:rPr>
              <w:rFonts w:ascii="Arial" w:hAnsi="Arial" w:cs="Arial"/>
              <w:noProof/>
              <w:sz w:val="20"/>
              <w:szCs w:val="20"/>
            </w:rPr>
          </w:pPr>
          <w:hyperlink w:anchor="_Toc236666152" w:history="1">
            <w:r w:rsidRPr="009A49C5">
              <w:rPr>
                <w:rStyle w:val="Hyperlink"/>
                <w:rFonts w:ascii="Arial" w:hAnsi="Arial" w:cs="Arial"/>
                <w:noProof/>
                <w:sz w:val="20"/>
                <w:szCs w:val="20"/>
              </w:rPr>
              <w:t>6. References</w:t>
            </w:r>
            <w:r w:rsidRPr="009A49C5">
              <w:rPr>
                <w:rFonts w:ascii="Arial" w:hAnsi="Arial" w:cs="Arial"/>
                <w:noProof/>
                <w:sz w:val="20"/>
                <w:szCs w:val="20"/>
              </w:rPr>
              <w:tab/>
            </w:r>
            <w:r w:rsidRPr="009A49C5">
              <w:rPr>
                <w:rFonts w:ascii="Arial" w:hAnsi="Arial" w:cs="Arial"/>
                <w:noProof/>
                <w:sz w:val="20"/>
                <w:szCs w:val="20"/>
              </w:rPr>
              <w:fldChar w:fldCharType="begin"/>
            </w:r>
            <w:r w:rsidRPr="009A49C5">
              <w:rPr>
                <w:rFonts w:ascii="Arial" w:hAnsi="Arial" w:cs="Arial"/>
                <w:noProof/>
                <w:sz w:val="20"/>
                <w:szCs w:val="20"/>
              </w:rPr>
              <w:instrText xml:space="preserve"> PAGEREF _Toc236666152 \h </w:instrText>
            </w:r>
            <w:r w:rsidRPr="009A49C5">
              <w:rPr>
                <w:rFonts w:ascii="Arial" w:hAnsi="Arial" w:cs="Arial"/>
                <w:noProof/>
                <w:sz w:val="20"/>
                <w:szCs w:val="20"/>
              </w:rPr>
            </w:r>
            <w:r w:rsidRPr="009A49C5">
              <w:rPr>
                <w:rFonts w:ascii="Arial" w:hAnsi="Arial" w:cs="Arial"/>
                <w:noProof/>
                <w:sz w:val="20"/>
                <w:szCs w:val="20"/>
              </w:rPr>
              <w:fldChar w:fldCharType="separate"/>
            </w:r>
            <w:r w:rsidRPr="009A49C5">
              <w:rPr>
                <w:rFonts w:ascii="Arial" w:hAnsi="Arial" w:cs="Arial"/>
                <w:noProof/>
                <w:sz w:val="20"/>
                <w:szCs w:val="20"/>
              </w:rPr>
              <w:t>1</w:t>
            </w:r>
            <w:r w:rsidRPr="009A49C5">
              <w:rPr>
                <w:rFonts w:ascii="Arial" w:hAnsi="Arial" w:cs="Arial"/>
                <w:noProof/>
                <w:sz w:val="20"/>
                <w:szCs w:val="20"/>
              </w:rPr>
              <w:fldChar w:fldCharType="end"/>
            </w:r>
          </w:hyperlink>
        </w:p>
        <w:p w14:paraId="4826721B" w14:textId="77777777" w:rsidR="009C0319" w:rsidRPr="009A49C5" w:rsidRDefault="00B9123A">
          <w:pPr>
            <w:rPr>
              <w:rFonts w:ascii="Arial" w:hAnsi="Arial" w:cs="Arial"/>
              <w:sz w:val="20"/>
              <w:szCs w:val="20"/>
            </w:rPr>
          </w:pPr>
          <w:r w:rsidRPr="009A49C5">
            <w:rPr>
              <w:rFonts w:ascii="Arial" w:hAnsi="Arial" w:cs="Arial"/>
              <w:sz w:val="20"/>
              <w:szCs w:val="20"/>
            </w:rPr>
            <w:lastRenderedPageBreak/>
            <w:fldChar w:fldCharType="end"/>
          </w:r>
        </w:p>
      </w:sdtContent>
    </w:sdt>
    <w:p w14:paraId="50F10A1A" w14:textId="77777777" w:rsidR="009C0319" w:rsidRPr="009A49C5" w:rsidRDefault="00B9123A" w:rsidP="006D75F3">
      <w:pPr>
        <w:pStyle w:val="Heading1"/>
        <w:spacing w:before="300" w:after="150" w:line="360" w:lineRule="auto"/>
        <w:rPr>
          <w:rFonts w:ascii="Arial" w:hAnsi="Arial" w:cs="Arial"/>
          <w:sz w:val="22"/>
          <w:szCs w:val="22"/>
        </w:rPr>
      </w:pPr>
      <w:bookmarkStart w:id="2" w:name="_Toc236666138"/>
      <w:r w:rsidRPr="009A49C5">
        <w:rPr>
          <w:rFonts w:ascii="Arial" w:hAnsi="Arial" w:cs="Arial"/>
          <w:sz w:val="22"/>
          <w:szCs w:val="22"/>
        </w:rPr>
        <w:t xml:space="preserve">1. </w:t>
      </w:r>
      <w:r w:rsidRPr="009A49C5">
        <w:rPr>
          <w:rFonts w:ascii="Arial" w:hAnsi="Arial" w:cs="Arial"/>
          <w:sz w:val="22"/>
          <w:szCs w:val="22"/>
        </w:rPr>
        <w:t>Introduction</w:t>
      </w:r>
      <w:bookmarkEnd w:id="2"/>
    </w:p>
    <w:p w14:paraId="48E0DE19" w14:textId="27B39EAC" w:rsidR="00CD0754" w:rsidRPr="009A49C5" w:rsidRDefault="00CD0754" w:rsidP="006D75F3">
      <w:pPr>
        <w:spacing w:after="200" w:line="360" w:lineRule="auto"/>
        <w:jc w:val="both"/>
        <w:rPr>
          <w:rFonts w:ascii="Arial" w:hAnsi="Arial" w:cs="Arial"/>
          <w:sz w:val="22"/>
          <w:szCs w:val="22"/>
        </w:rPr>
      </w:pPr>
      <w:r w:rsidRPr="009A49C5">
        <w:rPr>
          <w:rFonts w:ascii="Arial" w:hAnsi="Arial" w:cs="Arial"/>
          <w:sz w:val="22"/>
          <w:szCs w:val="22"/>
        </w:rPr>
        <w:t>Mrs Thompson is an 84</w:t>
      </w:r>
      <w:r w:rsidRPr="009A49C5">
        <w:rPr>
          <w:rFonts w:ascii="Arial" w:hAnsi="Arial" w:cs="Arial"/>
          <w:sz w:val="22"/>
          <w:szCs w:val="22"/>
        </w:rPr>
        <w:noBreakHyphen/>
        <w:t>year</w:t>
      </w:r>
      <w:r w:rsidRPr="009A49C5">
        <w:rPr>
          <w:rFonts w:ascii="Arial" w:hAnsi="Arial" w:cs="Arial"/>
          <w:sz w:val="22"/>
          <w:szCs w:val="22"/>
        </w:rPr>
        <w:noBreakHyphen/>
        <w:t>old woman with mild dementia who has recently been discharged from hospital following pneumonia. Living alone in sheltered housing and receiving twice</w:t>
      </w:r>
      <w:r w:rsidRPr="009A49C5">
        <w:rPr>
          <w:rFonts w:ascii="Arial" w:hAnsi="Arial" w:cs="Arial"/>
          <w:sz w:val="22"/>
          <w:szCs w:val="22"/>
        </w:rPr>
        <w:noBreakHyphen/>
        <w:t>daily domiciliary care, she has experienced several risks, including missing two days of prescribed medication—resulting in increased confusion—and being found outdoors without appropriate clothing in cold weather. These incidents have triggered both an internal incident report and a local council review. Within the UK health and social care system, effective communication, accurate documentation, and collaborative multi</w:t>
      </w:r>
      <w:r w:rsidRPr="009A49C5">
        <w:rPr>
          <w:rFonts w:ascii="Arial" w:hAnsi="Arial" w:cs="Arial"/>
          <w:sz w:val="22"/>
          <w:szCs w:val="22"/>
        </w:rPr>
        <w:noBreakHyphen/>
        <w:t>agency practice are essential to safeguarding vulnerable</w:t>
      </w:r>
      <w:r w:rsidR="002C7DE1" w:rsidRPr="009A49C5">
        <w:rPr>
          <w:rFonts w:ascii="Arial" w:hAnsi="Arial" w:cs="Arial"/>
          <w:sz w:val="22"/>
          <w:szCs w:val="22"/>
        </w:rPr>
        <w:t xml:space="preserve"> </w:t>
      </w:r>
      <w:r w:rsidR="002C7DE1" w:rsidRPr="009A49C5">
        <w:rPr>
          <w:rFonts w:ascii="Arial" w:hAnsi="Arial" w:cs="Arial"/>
          <w:sz w:val="22"/>
          <w:szCs w:val="22"/>
        </w:rPr>
        <w:t>adults and promoting person</w:t>
      </w:r>
      <w:r w:rsidR="002C7DE1" w:rsidRPr="009A49C5">
        <w:rPr>
          <w:rFonts w:ascii="Arial" w:hAnsi="Arial" w:cs="Arial"/>
          <w:sz w:val="22"/>
          <w:szCs w:val="22"/>
        </w:rPr>
        <w:noBreakHyphen/>
        <w:t>centred care (Glasby and Dickinson, 2014; Stevens, 2013). This report will examine communication approaches relevant to dementia care, record</w:t>
      </w:r>
      <w:r w:rsidR="002C7DE1" w:rsidRPr="009A49C5">
        <w:rPr>
          <w:rFonts w:ascii="Arial" w:hAnsi="Arial" w:cs="Arial"/>
          <w:sz w:val="22"/>
          <w:szCs w:val="22"/>
        </w:rPr>
        <w:noBreakHyphen/>
        <w:t>keeping under the Data Protection Act 2018, and collaborative partnership working between professionals involved in Mrs Thompson’s care.</w:t>
      </w:r>
    </w:p>
    <w:p w14:paraId="62EDCD6A" w14:textId="77777777" w:rsidR="009C0319" w:rsidRPr="009A49C5" w:rsidRDefault="00B9123A" w:rsidP="006D75F3">
      <w:pPr>
        <w:pStyle w:val="Heading1"/>
        <w:spacing w:before="300" w:after="150" w:line="360" w:lineRule="auto"/>
        <w:rPr>
          <w:rFonts w:ascii="Arial" w:hAnsi="Arial" w:cs="Arial"/>
          <w:sz w:val="22"/>
          <w:szCs w:val="22"/>
        </w:rPr>
      </w:pPr>
      <w:bookmarkStart w:id="3" w:name="_Toc236666139"/>
      <w:r w:rsidRPr="009A49C5">
        <w:rPr>
          <w:rFonts w:ascii="Arial" w:hAnsi="Arial" w:cs="Arial"/>
          <w:sz w:val="22"/>
          <w:szCs w:val="22"/>
        </w:rPr>
        <w:t>2. Section 1: Communication in Mrs Thompson's Care</w:t>
      </w:r>
      <w:bookmarkEnd w:id="3"/>
    </w:p>
    <w:p w14:paraId="57EE5437" w14:textId="77777777" w:rsidR="009C0319" w:rsidRPr="009A49C5" w:rsidRDefault="00B9123A" w:rsidP="006D75F3">
      <w:pPr>
        <w:pStyle w:val="Heading2"/>
        <w:spacing w:before="300" w:after="150" w:line="360" w:lineRule="auto"/>
        <w:rPr>
          <w:rFonts w:ascii="Arial" w:hAnsi="Arial" w:cs="Arial"/>
          <w:sz w:val="22"/>
          <w:szCs w:val="22"/>
        </w:rPr>
      </w:pPr>
      <w:bookmarkStart w:id="4" w:name="_Toc236666140"/>
      <w:r w:rsidRPr="009A49C5">
        <w:rPr>
          <w:rFonts w:ascii="Arial" w:hAnsi="Arial" w:cs="Arial"/>
          <w:sz w:val="22"/>
          <w:szCs w:val="22"/>
        </w:rPr>
        <w:t>1.1 Importance of Communication</w:t>
      </w:r>
      <w:bookmarkEnd w:id="4"/>
    </w:p>
    <w:p w14:paraId="73DECAA5" w14:textId="0FB0422F" w:rsidR="00032DE5" w:rsidRPr="009A49C5" w:rsidRDefault="00032DE5" w:rsidP="006D75F3">
      <w:pPr>
        <w:spacing w:after="200" w:line="360" w:lineRule="auto"/>
        <w:jc w:val="both"/>
        <w:rPr>
          <w:rFonts w:ascii="Arial" w:hAnsi="Arial" w:cs="Arial"/>
          <w:sz w:val="22"/>
          <w:szCs w:val="22"/>
        </w:rPr>
      </w:pPr>
      <w:r w:rsidRPr="009A49C5">
        <w:rPr>
          <w:rFonts w:ascii="Arial" w:hAnsi="Arial" w:cs="Arial"/>
          <w:sz w:val="22"/>
          <w:szCs w:val="22"/>
        </w:rPr>
        <w:t>Effective communication is fundamental to delivering safe, person</w:t>
      </w:r>
      <w:r w:rsidRPr="009A49C5">
        <w:rPr>
          <w:rFonts w:ascii="Arial" w:hAnsi="Arial" w:cs="Arial"/>
          <w:sz w:val="22"/>
          <w:szCs w:val="22"/>
        </w:rPr>
        <w:noBreakHyphen/>
        <w:t>centred care for Mrs Thompson, particularly given her mild dementia and recent deterioration. Communication is both a professional competency and a legal requirement within UK health and social care, as inadequate communication with individuals who have cognitive impairment can increase the risk of harm (Pepper and Harrison Dening, 2023).</w:t>
      </w:r>
      <w:r w:rsidR="00641267" w:rsidRPr="009A49C5">
        <w:rPr>
          <w:rFonts w:ascii="Arial" w:hAnsi="Arial" w:cs="Arial"/>
          <w:sz w:val="22"/>
          <w:szCs w:val="22"/>
        </w:rPr>
        <w:t xml:space="preserve"> </w:t>
      </w:r>
      <w:r w:rsidR="00641267" w:rsidRPr="009A49C5">
        <w:rPr>
          <w:rFonts w:ascii="Arial" w:hAnsi="Arial" w:cs="Arial"/>
          <w:sz w:val="22"/>
          <w:szCs w:val="22"/>
        </w:rPr>
        <w:t xml:space="preserve">The incidents recorded in her case illustrate this risk: it is unclear whether she understood or was reminded about her medication on the days it was missed, and similarly uncertain what she was attempting to communicate—or was unable to communicate—when she was found outdoors without appropriate clothing. </w:t>
      </w:r>
      <w:r w:rsidR="00B82254" w:rsidRPr="009A49C5">
        <w:rPr>
          <w:rFonts w:ascii="Arial" w:hAnsi="Arial" w:cs="Arial"/>
          <w:sz w:val="22"/>
          <w:szCs w:val="22"/>
        </w:rPr>
        <w:t>Marmot et al. (2020</w:t>
      </w:r>
      <w:r w:rsidR="00B82254" w:rsidRPr="009A49C5">
        <w:rPr>
          <w:rFonts w:ascii="Arial" w:hAnsi="Arial" w:cs="Arial"/>
          <w:sz w:val="22"/>
          <w:szCs w:val="22"/>
        </w:rPr>
        <w:t>)</w:t>
      </w:r>
      <w:r w:rsidR="00A550A8" w:rsidRPr="009A49C5">
        <w:rPr>
          <w:rFonts w:ascii="Arial" w:hAnsi="Arial" w:cs="Arial"/>
          <w:sz w:val="22"/>
          <w:szCs w:val="22"/>
        </w:rPr>
        <w:t xml:space="preserve"> c</w:t>
      </w:r>
      <w:r w:rsidR="00A550A8" w:rsidRPr="009A49C5">
        <w:rPr>
          <w:rFonts w:ascii="Arial" w:hAnsi="Arial" w:cs="Arial"/>
          <w:sz w:val="22"/>
          <w:szCs w:val="22"/>
        </w:rPr>
        <w:t>ommunication barriers are also shaped by wider determinants such as cognitive decline, social isolation, and environmental stressors</w:t>
      </w:r>
      <w:r w:rsidR="00641267" w:rsidRPr="009A49C5">
        <w:rPr>
          <w:rFonts w:ascii="Arial" w:hAnsi="Arial" w:cs="Arial"/>
          <w:sz w:val="22"/>
          <w:szCs w:val="22"/>
        </w:rPr>
        <w:t>. For a person with dementia, communication is therefore a core safeguarding mechanism rather than a peripheral courtesy, essential for supporting comprehension, reducing confusion, and preventing further incidents (Nguyen et al., 2026).</w:t>
      </w:r>
    </w:p>
    <w:p w14:paraId="40F88FB5" w14:textId="77777777" w:rsidR="009C0319" w:rsidRPr="009A49C5" w:rsidRDefault="00B9123A" w:rsidP="006D75F3">
      <w:pPr>
        <w:pStyle w:val="Heading2"/>
        <w:spacing w:before="300" w:after="150" w:line="360" w:lineRule="auto"/>
        <w:rPr>
          <w:rFonts w:ascii="Arial" w:hAnsi="Arial" w:cs="Arial"/>
          <w:sz w:val="22"/>
          <w:szCs w:val="22"/>
        </w:rPr>
      </w:pPr>
      <w:bookmarkStart w:id="5" w:name="_Toc236666141"/>
      <w:r w:rsidRPr="009A49C5">
        <w:rPr>
          <w:rFonts w:ascii="Arial" w:hAnsi="Arial" w:cs="Arial"/>
          <w:sz w:val="22"/>
          <w:szCs w:val="22"/>
        </w:rPr>
        <w:t>1.2 Equality Act 2010</w:t>
      </w:r>
      <w:bookmarkEnd w:id="5"/>
    </w:p>
    <w:p w14:paraId="3A96B6CC" w14:textId="13647D5D" w:rsidR="001873AA" w:rsidRPr="009A49C5" w:rsidRDefault="00070337" w:rsidP="006D75F3">
      <w:pPr>
        <w:spacing w:after="200" w:line="360" w:lineRule="auto"/>
        <w:jc w:val="both"/>
        <w:rPr>
          <w:rFonts w:ascii="Arial" w:hAnsi="Arial" w:cs="Arial"/>
          <w:sz w:val="22"/>
          <w:szCs w:val="22"/>
        </w:rPr>
      </w:pPr>
      <w:r w:rsidRPr="009A49C5">
        <w:rPr>
          <w:rFonts w:ascii="Arial" w:hAnsi="Arial" w:cs="Arial"/>
          <w:sz w:val="22"/>
          <w:szCs w:val="22"/>
        </w:rPr>
        <w:lastRenderedPageBreak/>
        <w:t>The Equality Act 2010 identifies age and disability as protected characteristics, requiring health and social care professionals to make reasonable adjustments to ensure individuals such as Mrs Thompson are not disadvantaged. In practice, this includes adapting communication to her cognitive needs by using clear, unhurried language, repetition, and reassurance, particularly when prompting medication or explaining the need for appropriate clothing in cold weather. The Act also underpins inclusive communication with her family, requiring professionals to avoid discriminatory assumptions based on age or cognitive ability and to involve both Mrs Thompson and her relatives, with her consent, in decisions about her care. Her family can provide valuable insight into her routines and early signs of deterioration, so communication with them should be respectful, accessible, and free from unnecessary jargon, supporting shared decision</w:t>
      </w:r>
      <w:r w:rsidRPr="009A49C5">
        <w:rPr>
          <w:rFonts w:ascii="Arial" w:hAnsi="Arial" w:cs="Arial"/>
          <w:sz w:val="22"/>
          <w:szCs w:val="22"/>
        </w:rPr>
        <w:noBreakHyphen/>
        <w:t>making and continuity of care.</w:t>
      </w:r>
    </w:p>
    <w:p w14:paraId="1BC22742" w14:textId="77777777" w:rsidR="009C0319" w:rsidRPr="009A49C5" w:rsidRDefault="00B9123A" w:rsidP="006D75F3">
      <w:pPr>
        <w:pStyle w:val="Heading2"/>
        <w:spacing w:before="300" w:after="150" w:line="360" w:lineRule="auto"/>
        <w:rPr>
          <w:rFonts w:ascii="Arial" w:hAnsi="Arial" w:cs="Arial"/>
          <w:sz w:val="22"/>
          <w:szCs w:val="22"/>
        </w:rPr>
      </w:pPr>
      <w:bookmarkStart w:id="6" w:name="_Toc236666142"/>
      <w:r w:rsidRPr="009A49C5">
        <w:rPr>
          <w:rFonts w:ascii="Arial" w:hAnsi="Arial" w:cs="Arial"/>
          <w:sz w:val="22"/>
          <w:szCs w:val="22"/>
        </w:rPr>
        <w:t>1.3 SOLER Model</w:t>
      </w:r>
      <w:bookmarkEnd w:id="6"/>
    </w:p>
    <w:p w14:paraId="1B49E738" w14:textId="77777777" w:rsidR="00811361" w:rsidRPr="009A49C5" w:rsidRDefault="00811361" w:rsidP="00811361">
      <w:pPr>
        <w:spacing w:after="200" w:line="360" w:lineRule="auto"/>
        <w:jc w:val="both"/>
        <w:rPr>
          <w:rFonts w:ascii="Arial" w:hAnsi="Arial" w:cs="Arial"/>
          <w:sz w:val="22"/>
          <w:szCs w:val="22"/>
        </w:rPr>
      </w:pPr>
      <w:r w:rsidRPr="009A49C5">
        <w:rPr>
          <w:rFonts w:ascii="Arial" w:hAnsi="Arial" w:cs="Arial"/>
          <w:sz w:val="22"/>
          <w:szCs w:val="22"/>
        </w:rPr>
        <w:t>Dementia affects memory, attention, and interpretation of verbal information, meaning communication must be calm, structured, and supported by non</w:t>
      </w:r>
      <w:r w:rsidRPr="009A49C5">
        <w:rPr>
          <w:rFonts w:ascii="Arial" w:hAnsi="Arial" w:cs="Arial"/>
          <w:sz w:val="22"/>
          <w:szCs w:val="22"/>
        </w:rPr>
        <w:noBreakHyphen/>
        <w:t>verbal cues (Pepper and Harrison Dening, 2023). The SOLER model, developed by Egan and later expanded by Egan and Reese (2018; 2024), is appropriate because it emphasises presence, posture, and emotional connection. Sitting squarely, maintaining an open posture, and offering gentle eye contact help Mrs Thompson feel safe and reduce anxiety—important when she is confused or disoriented.</w:t>
      </w:r>
    </w:p>
    <w:p w14:paraId="7D381B9E" w14:textId="48883BAF" w:rsidR="00811361" w:rsidRPr="009A49C5" w:rsidRDefault="00811361" w:rsidP="00811361">
      <w:pPr>
        <w:spacing w:after="200" w:line="360" w:lineRule="auto"/>
        <w:jc w:val="both"/>
        <w:rPr>
          <w:rFonts w:ascii="Arial" w:hAnsi="Arial" w:cs="Arial"/>
          <w:sz w:val="22"/>
          <w:szCs w:val="22"/>
        </w:rPr>
      </w:pPr>
      <w:r w:rsidRPr="009A49C5">
        <w:rPr>
          <w:rFonts w:ascii="Arial" w:hAnsi="Arial" w:cs="Arial"/>
          <w:sz w:val="22"/>
          <w:szCs w:val="22"/>
        </w:rPr>
        <w:t xml:space="preserve">Applied to her medication prompts, a carer positioned at eye level, speaking slowly, and showing the medication packet supports comprehension more effectively than rushed verbal </w:t>
      </w:r>
      <w:r w:rsidRPr="0052045F">
        <w:rPr>
          <w:rFonts w:ascii="Arial" w:hAnsi="Arial" w:cs="Arial"/>
          <w:sz w:val="22"/>
          <w:szCs w:val="22"/>
        </w:rPr>
        <w:t>instructio</w:t>
      </w:r>
      <w:r w:rsidR="0052045F" w:rsidRPr="0052045F">
        <w:rPr>
          <w:rFonts w:ascii="Arial" w:hAnsi="Arial" w:cs="Arial"/>
          <w:sz w:val="22"/>
          <w:szCs w:val="22"/>
        </w:rPr>
        <w:t>n</w:t>
      </w:r>
      <w:r w:rsidR="009A2855" w:rsidRPr="009A2855">
        <w:t xml:space="preserve"> </w:t>
      </w:r>
      <w:r w:rsidR="009A2855" w:rsidRPr="009A2855">
        <w:rPr>
          <w:rFonts w:ascii="Arial" w:hAnsi="Arial" w:cs="Arial"/>
          <w:sz w:val="22"/>
          <w:szCs w:val="22"/>
        </w:rPr>
        <w:t>(Egan and Reese, 2018; Egan and Reese, 2024)</w:t>
      </w:r>
      <w:r w:rsidR="0052045F" w:rsidRPr="0052045F">
        <w:rPr>
          <w:rFonts w:ascii="Arial" w:hAnsi="Arial" w:cs="Arial"/>
          <w:sz w:val="22"/>
          <w:szCs w:val="22"/>
        </w:rPr>
        <w:t>.</w:t>
      </w:r>
      <w:r w:rsidR="00001A3C">
        <w:rPr>
          <w:rFonts w:ascii="Arial" w:hAnsi="Arial" w:cs="Arial"/>
          <w:sz w:val="22"/>
          <w:szCs w:val="22"/>
        </w:rPr>
        <w:t xml:space="preserve"> </w:t>
      </w:r>
      <w:r w:rsidRPr="009A49C5">
        <w:rPr>
          <w:rFonts w:ascii="Arial" w:hAnsi="Arial" w:cs="Arial"/>
          <w:sz w:val="22"/>
          <w:szCs w:val="22"/>
        </w:rPr>
        <w:t xml:space="preserve">Similarly, when she was found outside, approaching her calmly and using open body language would likely have reduced distress and encouraged </w:t>
      </w:r>
      <w:r w:rsidRPr="000E2691">
        <w:rPr>
          <w:rFonts w:ascii="Arial" w:hAnsi="Arial" w:cs="Arial"/>
          <w:sz w:val="22"/>
          <w:szCs w:val="22"/>
        </w:rPr>
        <w:t>cooperation</w:t>
      </w:r>
      <w:r w:rsidR="00626A17" w:rsidRPr="000E2691">
        <w:rPr>
          <w:rFonts w:ascii="Arial" w:hAnsi="Arial" w:cs="Arial"/>
          <w:sz w:val="22"/>
          <w:szCs w:val="22"/>
        </w:rPr>
        <w:t xml:space="preserve"> </w:t>
      </w:r>
      <w:r w:rsidR="000E2691" w:rsidRPr="000E2691">
        <w:rPr>
          <w:rFonts w:ascii="Arial" w:hAnsi="Arial" w:cs="Arial"/>
          <w:sz w:val="22"/>
          <w:szCs w:val="22"/>
        </w:rPr>
        <w:t>(Pepper and Harrison Dening, 2023).</w:t>
      </w:r>
    </w:p>
    <w:p w14:paraId="2CE3B205" w14:textId="3E4A434F" w:rsidR="00EE4744" w:rsidRPr="009A49C5" w:rsidRDefault="00665F64" w:rsidP="006D75F3">
      <w:pPr>
        <w:spacing w:after="200" w:line="360" w:lineRule="auto"/>
        <w:jc w:val="both"/>
        <w:rPr>
          <w:rFonts w:ascii="Arial" w:hAnsi="Arial" w:cs="Arial"/>
          <w:sz w:val="22"/>
          <w:szCs w:val="22"/>
        </w:rPr>
      </w:pPr>
      <w:r w:rsidRPr="009A49C5">
        <w:rPr>
          <w:rFonts w:ascii="Arial" w:hAnsi="Arial" w:cs="Arial"/>
          <w:sz w:val="22"/>
          <w:szCs w:val="22"/>
        </w:rPr>
        <w:t>Evidence supports this approach. Pepper and Harrison Dening (2023) highlight that dementia</w:t>
      </w:r>
      <w:r w:rsidRPr="009A49C5">
        <w:rPr>
          <w:rFonts w:ascii="Arial" w:hAnsi="Arial" w:cs="Arial"/>
          <w:sz w:val="22"/>
          <w:szCs w:val="22"/>
        </w:rPr>
        <w:noBreakHyphen/>
        <w:t>specific communication requires short, concrete sentences and reliance on tone, pace, and non</w:t>
      </w:r>
      <w:r w:rsidRPr="009A49C5">
        <w:rPr>
          <w:rFonts w:ascii="Arial" w:hAnsi="Arial" w:cs="Arial"/>
          <w:sz w:val="22"/>
          <w:szCs w:val="22"/>
        </w:rPr>
        <w:noBreakHyphen/>
        <w:t>verbal reassurance. Nguyen et al. (2026) found that structured dementia communication training improves practitioner confidence and practice, indicating that models such as SOLER are most effective when embedded in staff education. Communication must also be documented clearly, noting what was said, how Mrs Thompson responded, and any concerns raised, supporting safeguarding and continuity of care (Beach and Oates, 2014).</w:t>
      </w:r>
    </w:p>
    <w:p w14:paraId="5FF22971" w14:textId="77777777" w:rsidR="009C0319" w:rsidRPr="009A49C5" w:rsidRDefault="00B9123A" w:rsidP="006D75F3">
      <w:pPr>
        <w:pStyle w:val="Heading1"/>
        <w:spacing w:before="300" w:after="150" w:line="360" w:lineRule="auto"/>
        <w:rPr>
          <w:rFonts w:ascii="Arial" w:hAnsi="Arial" w:cs="Arial"/>
          <w:sz w:val="22"/>
          <w:szCs w:val="22"/>
        </w:rPr>
      </w:pPr>
      <w:bookmarkStart w:id="7" w:name="_Toc236666143"/>
      <w:r w:rsidRPr="009A49C5">
        <w:rPr>
          <w:rFonts w:ascii="Arial" w:hAnsi="Arial" w:cs="Arial"/>
          <w:sz w:val="22"/>
          <w:szCs w:val="22"/>
        </w:rPr>
        <w:lastRenderedPageBreak/>
        <w:t>3. Section 2: Administrative Skills and Record Keeping</w:t>
      </w:r>
      <w:bookmarkEnd w:id="7"/>
    </w:p>
    <w:p w14:paraId="682CAE0A" w14:textId="77777777" w:rsidR="009C0319" w:rsidRPr="009A49C5" w:rsidRDefault="00B9123A" w:rsidP="006D75F3">
      <w:pPr>
        <w:pStyle w:val="Heading2"/>
        <w:spacing w:before="300" w:after="150" w:line="360" w:lineRule="auto"/>
        <w:rPr>
          <w:rFonts w:ascii="Arial" w:hAnsi="Arial" w:cs="Arial"/>
          <w:sz w:val="22"/>
          <w:szCs w:val="22"/>
        </w:rPr>
      </w:pPr>
      <w:bookmarkStart w:id="8" w:name="_Toc236666144"/>
      <w:r w:rsidRPr="009A49C5">
        <w:rPr>
          <w:rFonts w:ascii="Arial" w:hAnsi="Arial" w:cs="Arial"/>
          <w:sz w:val="22"/>
          <w:szCs w:val="22"/>
        </w:rPr>
        <w:t>2.1 Importance of Record Keeping</w:t>
      </w:r>
      <w:bookmarkEnd w:id="8"/>
    </w:p>
    <w:p w14:paraId="146F3EFC" w14:textId="53AF2F14" w:rsidR="00D86CC3" w:rsidRPr="009A49C5" w:rsidRDefault="00D86CC3" w:rsidP="006D75F3">
      <w:pPr>
        <w:spacing w:after="200" w:line="360" w:lineRule="auto"/>
        <w:jc w:val="both"/>
        <w:rPr>
          <w:rFonts w:ascii="Arial" w:hAnsi="Arial" w:cs="Arial"/>
          <w:sz w:val="22"/>
          <w:szCs w:val="22"/>
        </w:rPr>
      </w:pPr>
      <w:r w:rsidRPr="009A49C5">
        <w:rPr>
          <w:rFonts w:ascii="Arial" w:hAnsi="Arial" w:cs="Arial"/>
          <w:sz w:val="22"/>
          <w:szCs w:val="22"/>
        </w:rPr>
        <w:t>Record</w:t>
      </w:r>
      <w:r w:rsidRPr="009A49C5">
        <w:rPr>
          <w:rFonts w:ascii="Arial" w:hAnsi="Arial" w:cs="Arial"/>
          <w:sz w:val="22"/>
          <w:szCs w:val="22"/>
        </w:rPr>
        <w:noBreakHyphen/>
        <w:t>keeping is essential when supporting vulnerable adults such as Mrs Thompson. Clear, consistent documentation enables professionals to identify patterns, risks, and changes before they escalate (Beach and Oates, 2014). Recording that she missed two days of medication has already prompted a GP</w:t>
      </w:r>
      <w:r w:rsidRPr="009A49C5">
        <w:rPr>
          <w:rFonts w:ascii="Arial" w:hAnsi="Arial" w:cs="Arial"/>
          <w:sz w:val="22"/>
          <w:szCs w:val="22"/>
        </w:rPr>
        <w:noBreakHyphen/>
        <w:t>led review and consideration of additional support such as a Dorsette box or increased prompts. Similarly, documenting the incident in which she was found outside has ensured the concern was escalated to the local authority rather than treated as isolated, supporting safeguarding procedures (Stevens, 2013).</w:t>
      </w:r>
    </w:p>
    <w:p w14:paraId="7A68DFF1" w14:textId="7F20643A" w:rsidR="002C4E69" w:rsidRPr="009A49C5" w:rsidRDefault="00054F50" w:rsidP="006D75F3">
      <w:pPr>
        <w:spacing w:after="200" w:line="360" w:lineRule="auto"/>
        <w:jc w:val="both"/>
        <w:rPr>
          <w:rFonts w:ascii="Arial" w:hAnsi="Arial" w:cs="Arial"/>
          <w:sz w:val="22"/>
          <w:szCs w:val="22"/>
        </w:rPr>
      </w:pPr>
      <w:r w:rsidRPr="009A49C5">
        <w:rPr>
          <w:rFonts w:ascii="Arial" w:hAnsi="Arial" w:cs="Arial"/>
          <w:sz w:val="22"/>
          <w:szCs w:val="22"/>
        </w:rPr>
        <w:t>Marmot et al.,</w:t>
      </w:r>
      <w:r w:rsidR="004B72C0" w:rsidRPr="009A49C5">
        <w:rPr>
          <w:rFonts w:ascii="Arial" w:hAnsi="Arial" w:cs="Arial"/>
          <w:sz w:val="22"/>
          <w:szCs w:val="22"/>
        </w:rPr>
        <w:t xml:space="preserve"> </w:t>
      </w:r>
      <w:r w:rsidRPr="009A49C5">
        <w:rPr>
          <w:rFonts w:ascii="Arial" w:hAnsi="Arial" w:cs="Arial"/>
          <w:sz w:val="22"/>
          <w:szCs w:val="22"/>
        </w:rPr>
        <w:t>(</w:t>
      </w:r>
      <w:r w:rsidRPr="009A49C5">
        <w:rPr>
          <w:rFonts w:ascii="Arial" w:hAnsi="Arial" w:cs="Arial"/>
          <w:sz w:val="22"/>
          <w:szCs w:val="22"/>
        </w:rPr>
        <w:t xml:space="preserve">2020) </w:t>
      </w:r>
      <w:r w:rsidRPr="009A49C5">
        <w:rPr>
          <w:rFonts w:ascii="Arial" w:hAnsi="Arial" w:cs="Arial"/>
          <w:sz w:val="22"/>
          <w:szCs w:val="22"/>
        </w:rPr>
        <w:t>a</w:t>
      </w:r>
      <w:r w:rsidR="00DE2089" w:rsidRPr="009A49C5">
        <w:rPr>
          <w:rFonts w:ascii="Arial" w:hAnsi="Arial" w:cs="Arial"/>
          <w:sz w:val="22"/>
          <w:szCs w:val="22"/>
        </w:rPr>
        <w:t>ccurate documentation also helps professionals identify broader risks related to housing, isolation, and environmental exposure, which are recognised in the Marmot Review as significant determinants of health inequalities</w:t>
      </w:r>
      <w:r w:rsidRPr="009A49C5">
        <w:rPr>
          <w:rFonts w:ascii="Arial" w:hAnsi="Arial" w:cs="Arial"/>
          <w:sz w:val="22"/>
          <w:szCs w:val="22"/>
        </w:rPr>
        <w:t>.</w:t>
      </w:r>
      <w:r w:rsidR="00DE2089" w:rsidRPr="009A49C5">
        <w:rPr>
          <w:rFonts w:ascii="Arial" w:hAnsi="Arial" w:cs="Arial"/>
          <w:sz w:val="22"/>
          <w:szCs w:val="22"/>
        </w:rPr>
        <w:t xml:space="preserve"> Beach and Oates (2014) highlight that poor record keeping is repeatedly identified in public inquiries as a contributing factor in care failures, emphasising that records must be contemporaneous, objective, and written with an awareness that service users may access them. Clear documentation is essential in safeguarding practice, as delays or omissions can prevent timely intervention (Stevens, 2013).</w:t>
      </w:r>
    </w:p>
    <w:p w14:paraId="506B6175" w14:textId="77777777" w:rsidR="009C0319" w:rsidRPr="009A49C5" w:rsidRDefault="00B9123A" w:rsidP="006D75F3">
      <w:pPr>
        <w:pStyle w:val="Heading2"/>
        <w:spacing w:before="300" w:after="150" w:line="360" w:lineRule="auto"/>
        <w:rPr>
          <w:rFonts w:ascii="Arial" w:hAnsi="Arial" w:cs="Arial"/>
          <w:sz w:val="22"/>
          <w:szCs w:val="22"/>
        </w:rPr>
      </w:pPr>
      <w:bookmarkStart w:id="9" w:name="_Toc236666145"/>
      <w:r w:rsidRPr="009A49C5">
        <w:rPr>
          <w:rFonts w:ascii="Arial" w:hAnsi="Arial" w:cs="Arial"/>
          <w:sz w:val="22"/>
          <w:szCs w:val="22"/>
        </w:rPr>
        <w:t>2.2 Data Protection Act 2018</w:t>
      </w:r>
      <w:bookmarkEnd w:id="9"/>
    </w:p>
    <w:p w14:paraId="68E3BC77" w14:textId="77777777" w:rsidR="008361F9" w:rsidRPr="009A49C5" w:rsidRDefault="008361F9" w:rsidP="008361F9">
      <w:pPr>
        <w:spacing w:after="200" w:line="360" w:lineRule="auto"/>
        <w:jc w:val="both"/>
        <w:rPr>
          <w:rFonts w:ascii="Arial" w:hAnsi="Arial" w:cs="Arial"/>
          <w:sz w:val="22"/>
          <w:szCs w:val="22"/>
        </w:rPr>
      </w:pPr>
      <w:r w:rsidRPr="009A49C5">
        <w:rPr>
          <w:rFonts w:ascii="Arial" w:hAnsi="Arial" w:cs="Arial"/>
          <w:sz w:val="22"/>
          <w:szCs w:val="22"/>
        </w:rPr>
        <w:t>The Data Protection Act 2018, incorporating UK GDPR principles, governs how Mrs Thompson’s personal information must be handled. Data must be processed lawfully, fairly, and transparently; kept accurate and secure; and retained only for necessary purposes. For Mrs Thompson, this means her medical information, incident reports, and care records must be stored safely and shared only with professionals who have a legitimate need to know.</w:t>
      </w:r>
    </w:p>
    <w:p w14:paraId="03C20989" w14:textId="3E61D2C6" w:rsidR="008361F9" w:rsidRPr="009A49C5" w:rsidRDefault="008361F9" w:rsidP="008361F9">
      <w:pPr>
        <w:spacing w:after="200" w:line="360" w:lineRule="auto"/>
        <w:jc w:val="both"/>
        <w:rPr>
          <w:rFonts w:ascii="Arial" w:hAnsi="Arial" w:cs="Arial"/>
          <w:sz w:val="22"/>
          <w:szCs w:val="22"/>
        </w:rPr>
      </w:pPr>
      <w:r w:rsidRPr="009A49C5">
        <w:rPr>
          <w:rFonts w:ascii="Arial" w:hAnsi="Arial" w:cs="Arial"/>
          <w:sz w:val="22"/>
          <w:szCs w:val="22"/>
        </w:rPr>
        <w:t>Birkinshaw and Varney (2019) note that data protection legislation aims to balance privacy with the need for appropriate information</w:t>
      </w:r>
      <w:r w:rsidRPr="009A49C5">
        <w:rPr>
          <w:rFonts w:ascii="Arial" w:hAnsi="Arial" w:cs="Arial"/>
          <w:sz w:val="22"/>
          <w:szCs w:val="22"/>
        </w:rPr>
        <w:noBreakHyphen/>
        <w:t>sharing across public services—a balance directly relevant to communication between domiciliary carers, the GP, and the safeguarding team. Key principles include accuracy, ensuring records reflect true events; confidentiality, limiting access to those involved in her care; and purpose limitation, preventing her information from being used for unrelated activities. These principles protect her dignity while enabling coordinated intervention during the local authority review.</w:t>
      </w:r>
    </w:p>
    <w:p w14:paraId="2316C3D2" w14:textId="3E61D2C6" w:rsidR="009C0319" w:rsidRPr="009A49C5" w:rsidRDefault="00B9123A" w:rsidP="006D75F3">
      <w:pPr>
        <w:pStyle w:val="Heading2"/>
        <w:spacing w:before="300" w:after="150" w:line="360" w:lineRule="auto"/>
        <w:rPr>
          <w:rFonts w:ascii="Arial" w:hAnsi="Arial" w:cs="Arial"/>
          <w:sz w:val="22"/>
          <w:szCs w:val="22"/>
        </w:rPr>
      </w:pPr>
      <w:bookmarkStart w:id="10" w:name="_Toc236666146"/>
      <w:r w:rsidRPr="009A49C5">
        <w:rPr>
          <w:rFonts w:ascii="Arial" w:hAnsi="Arial" w:cs="Arial"/>
          <w:sz w:val="22"/>
          <w:szCs w:val="22"/>
        </w:rPr>
        <w:lastRenderedPageBreak/>
        <w:t>2.3 Incident Reporting</w:t>
      </w:r>
      <w:bookmarkEnd w:id="10"/>
    </w:p>
    <w:p w14:paraId="0932E133" w14:textId="46B70D03" w:rsidR="00886C1D" w:rsidRPr="009A49C5" w:rsidRDefault="00204220" w:rsidP="006D75F3">
      <w:pPr>
        <w:spacing w:after="200" w:line="360" w:lineRule="auto"/>
        <w:jc w:val="both"/>
        <w:rPr>
          <w:rFonts w:ascii="Arial" w:hAnsi="Arial" w:cs="Arial"/>
          <w:sz w:val="22"/>
          <w:szCs w:val="22"/>
        </w:rPr>
      </w:pPr>
      <w:r w:rsidRPr="009A49C5">
        <w:rPr>
          <w:rFonts w:ascii="Arial" w:hAnsi="Arial" w:cs="Arial"/>
          <w:sz w:val="22"/>
          <w:szCs w:val="22"/>
        </w:rPr>
        <w:t xml:space="preserve">Glasby and Dickinson, </w:t>
      </w:r>
      <w:r w:rsidRPr="009A49C5">
        <w:rPr>
          <w:rFonts w:ascii="Arial" w:hAnsi="Arial" w:cs="Arial"/>
          <w:sz w:val="22"/>
          <w:szCs w:val="22"/>
        </w:rPr>
        <w:t>(</w:t>
      </w:r>
      <w:r w:rsidRPr="009A49C5">
        <w:rPr>
          <w:rFonts w:ascii="Arial" w:hAnsi="Arial" w:cs="Arial"/>
          <w:sz w:val="22"/>
          <w:szCs w:val="22"/>
        </w:rPr>
        <w:t>2014)</w:t>
      </w:r>
      <w:r w:rsidRPr="009A49C5">
        <w:rPr>
          <w:rFonts w:ascii="Arial" w:hAnsi="Arial" w:cs="Arial"/>
          <w:sz w:val="22"/>
          <w:szCs w:val="22"/>
        </w:rPr>
        <w:t xml:space="preserve"> a</w:t>
      </w:r>
      <w:r w:rsidR="00A6320B" w:rsidRPr="009A49C5">
        <w:rPr>
          <w:rFonts w:ascii="Arial" w:hAnsi="Arial" w:cs="Arial"/>
          <w:sz w:val="22"/>
          <w:szCs w:val="22"/>
        </w:rPr>
        <w:t>dministrative competence also includes completing incident reports correctly. These reports must be factual, objective, and free from personal opinion. In Mrs Thompson’s case, the incident report concerning her being found outside should clearly state what happened, who observed it, and what actions were taken, supporting accountability and ensuring that appropriate follow</w:t>
      </w:r>
      <w:r w:rsidR="00A6320B" w:rsidRPr="009A49C5">
        <w:rPr>
          <w:rFonts w:ascii="Arial" w:hAnsi="Arial" w:cs="Arial"/>
          <w:sz w:val="22"/>
          <w:szCs w:val="22"/>
        </w:rPr>
        <w:noBreakHyphen/>
        <w:t>up measures—such as a risk assessment or a review of her care plan—are completed. Good administrative practice also strengthens multi</w:t>
      </w:r>
      <w:r w:rsidR="00A6320B" w:rsidRPr="009A49C5">
        <w:rPr>
          <w:rFonts w:ascii="Arial" w:hAnsi="Arial" w:cs="Arial"/>
          <w:sz w:val="22"/>
          <w:szCs w:val="22"/>
        </w:rPr>
        <w:noBreakHyphen/>
        <w:t>agency working clear, accurate records allow the GP, community nurse, and domiciliary care team to understand her needs without relying on memory or informal handovers, reducing duplication and minimising the risk that important information is lost between visits</w:t>
      </w:r>
      <w:r w:rsidRPr="009A49C5">
        <w:rPr>
          <w:rFonts w:ascii="Arial" w:hAnsi="Arial" w:cs="Arial"/>
          <w:sz w:val="22"/>
          <w:szCs w:val="22"/>
        </w:rPr>
        <w:t>.</w:t>
      </w:r>
      <w:r w:rsidR="00A6320B" w:rsidRPr="009A49C5">
        <w:rPr>
          <w:rFonts w:ascii="Arial" w:hAnsi="Arial" w:cs="Arial"/>
          <w:sz w:val="22"/>
          <w:szCs w:val="22"/>
        </w:rPr>
        <w:t xml:space="preserve"> </w:t>
      </w:r>
    </w:p>
    <w:p w14:paraId="65DA4C69" w14:textId="77777777" w:rsidR="009C0319" w:rsidRPr="009A49C5" w:rsidRDefault="00B9123A" w:rsidP="006D75F3">
      <w:pPr>
        <w:pStyle w:val="Heading1"/>
        <w:spacing w:before="300" w:after="150" w:line="360" w:lineRule="auto"/>
        <w:rPr>
          <w:rFonts w:ascii="Arial" w:hAnsi="Arial" w:cs="Arial"/>
          <w:sz w:val="22"/>
          <w:szCs w:val="22"/>
        </w:rPr>
      </w:pPr>
      <w:bookmarkStart w:id="11" w:name="_Toc236666147"/>
      <w:r w:rsidRPr="009A49C5">
        <w:rPr>
          <w:rFonts w:ascii="Arial" w:hAnsi="Arial" w:cs="Arial"/>
          <w:sz w:val="22"/>
          <w:szCs w:val="22"/>
        </w:rPr>
        <w:t>4. Section 3: Collaborative Working</w:t>
      </w:r>
      <w:bookmarkEnd w:id="11"/>
    </w:p>
    <w:p w14:paraId="1DFB2ADE" w14:textId="55EAB2D2" w:rsidR="00A3400C" w:rsidRPr="009A49C5" w:rsidRDefault="00B9123A" w:rsidP="006D75F3">
      <w:pPr>
        <w:pStyle w:val="Heading2"/>
        <w:spacing w:before="300" w:after="150" w:line="360" w:lineRule="auto"/>
        <w:rPr>
          <w:rFonts w:ascii="Arial" w:hAnsi="Arial" w:cs="Arial"/>
          <w:sz w:val="22"/>
          <w:szCs w:val="22"/>
        </w:rPr>
      </w:pPr>
      <w:bookmarkStart w:id="12" w:name="_Toc236666148"/>
      <w:r w:rsidRPr="009A49C5">
        <w:rPr>
          <w:rFonts w:ascii="Arial" w:hAnsi="Arial" w:cs="Arial"/>
          <w:sz w:val="22"/>
          <w:szCs w:val="22"/>
        </w:rPr>
        <w:t>3.1 Multi-agency Roles</w:t>
      </w:r>
      <w:bookmarkEnd w:id="12"/>
    </w:p>
    <w:p w14:paraId="3854D225" w14:textId="001FA9EA" w:rsidR="00A3400C" w:rsidRPr="009A49C5" w:rsidRDefault="00A3400C" w:rsidP="006D75F3">
      <w:pPr>
        <w:spacing w:after="200" w:line="360" w:lineRule="auto"/>
        <w:jc w:val="both"/>
        <w:rPr>
          <w:rFonts w:ascii="Arial" w:hAnsi="Arial" w:cs="Arial"/>
          <w:sz w:val="22"/>
          <w:szCs w:val="22"/>
        </w:rPr>
      </w:pPr>
      <w:r w:rsidRPr="009A49C5">
        <w:rPr>
          <w:rFonts w:ascii="Arial" w:hAnsi="Arial" w:cs="Arial"/>
          <w:sz w:val="22"/>
          <w:szCs w:val="22"/>
        </w:rPr>
        <w:t>Collaborative working is essential for delivering safe, effective care for Mrs Thompson, whose mild dementia, recent pneumonia and safeguarding concerns require coordinated input from multiple professionals. Her GP oversees medical management, including the requested medication review; the community nurse monitors her between appointments; domiciliary care workers observe day-to-day changes during twice-daily visits; and the local authority safeguarding team is now involved. No single professional sees her whole situation, so effective collaboration ensures information is shared promptly and care plans stay aligned. Marmot et al. (2020) highlight that cold housing and social isolation significantly increase health risks for older adults, suggesting her outdoor incident may reflect broader vulnerability rather than an isolated event.</w:t>
      </w:r>
    </w:p>
    <w:p w14:paraId="0E3CC3F2" w14:textId="77777777" w:rsidR="009C0319" w:rsidRPr="009A49C5" w:rsidRDefault="00B9123A" w:rsidP="006D75F3">
      <w:pPr>
        <w:pStyle w:val="Heading2"/>
        <w:spacing w:before="300" w:after="150" w:line="360" w:lineRule="auto"/>
        <w:rPr>
          <w:rFonts w:ascii="Arial" w:hAnsi="Arial" w:cs="Arial"/>
          <w:sz w:val="22"/>
          <w:szCs w:val="22"/>
        </w:rPr>
      </w:pPr>
      <w:bookmarkStart w:id="13" w:name="_Toc236666149"/>
      <w:r w:rsidRPr="009A49C5">
        <w:rPr>
          <w:rFonts w:ascii="Arial" w:hAnsi="Arial" w:cs="Arial"/>
          <w:sz w:val="22"/>
          <w:szCs w:val="22"/>
        </w:rPr>
        <w:t>3.2 Challenges</w:t>
      </w:r>
      <w:bookmarkEnd w:id="13"/>
    </w:p>
    <w:p w14:paraId="610408F9" w14:textId="35FCBA32" w:rsidR="005E4881" w:rsidRPr="009A49C5" w:rsidRDefault="005E4881" w:rsidP="006D75F3">
      <w:pPr>
        <w:spacing w:after="200" w:line="360" w:lineRule="auto"/>
        <w:jc w:val="both"/>
        <w:rPr>
          <w:rFonts w:ascii="Arial" w:hAnsi="Arial" w:cs="Arial"/>
          <w:sz w:val="22"/>
          <w:szCs w:val="22"/>
        </w:rPr>
      </w:pPr>
      <w:r w:rsidRPr="009A49C5">
        <w:rPr>
          <w:rFonts w:ascii="Arial" w:hAnsi="Arial" w:cs="Arial"/>
          <w:sz w:val="22"/>
          <w:szCs w:val="22"/>
        </w:rPr>
        <w:t xml:space="preserve">Although partnership working improves outcomes by reducing fragmentation and promoting continuity, it also presents challenges. Glasby and Dickinson (2014) note that differences in professional roles, organisational cultures, communication styles, and time pressures can hinder effective collaboration. These challenges are particularly evident in adult safeguarding. Stevens (2013) found that professionals across agencies often hold differing interpretations of abuse thresholds and responsibilities, which can delay intervention or lead to assumptions that another agency will act first. A lack of coordinated action can exacerbate the structural </w:t>
      </w:r>
      <w:r w:rsidRPr="009A49C5">
        <w:rPr>
          <w:rFonts w:ascii="Arial" w:hAnsi="Arial" w:cs="Arial"/>
          <w:sz w:val="22"/>
          <w:szCs w:val="22"/>
        </w:rPr>
        <w:lastRenderedPageBreak/>
        <w:t>inequalities that Marmot et al. (2020) argue disproportionately affect older adults, particularly those living alone with cognitive impairment.</w:t>
      </w:r>
    </w:p>
    <w:p w14:paraId="462A3450" w14:textId="77777777" w:rsidR="009C0319" w:rsidRPr="009A49C5" w:rsidRDefault="00B9123A" w:rsidP="006D75F3">
      <w:pPr>
        <w:pStyle w:val="Heading2"/>
        <w:spacing w:before="300" w:after="150" w:line="360" w:lineRule="auto"/>
        <w:rPr>
          <w:rFonts w:ascii="Arial" w:hAnsi="Arial" w:cs="Arial"/>
          <w:sz w:val="22"/>
          <w:szCs w:val="22"/>
        </w:rPr>
      </w:pPr>
      <w:bookmarkStart w:id="14" w:name="_Toc236666150"/>
      <w:r w:rsidRPr="009A49C5">
        <w:rPr>
          <w:rFonts w:ascii="Arial" w:hAnsi="Arial" w:cs="Arial"/>
          <w:sz w:val="22"/>
          <w:szCs w:val="22"/>
        </w:rPr>
        <w:t>3.3 Strategies</w:t>
      </w:r>
      <w:bookmarkEnd w:id="14"/>
    </w:p>
    <w:p w14:paraId="628563FE" w14:textId="525D0B9C" w:rsidR="00E100D4" w:rsidRPr="009A49C5" w:rsidRDefault="007B00C6" w:rsidP="006D75F3">
      <w:pPr>
        <w:spacing w:after="200" w:line="360" w:lineRule="auto"/>
        <w:jc w:val="both"/>
        <w:rPr>
          <w:rFonts w:ascii="Arial" w:hAnsi="Arial" w:cs="Arial"/>
          <w:sz w:val="22"/>
          <w:szCs w:val="22"/>
        </w:rPr>
      </w:pPr>
      <w:r w:rsidRPr="009A49C5">
        <w:rPr>
          <w:rFonts w:ascii="Arial" w:hAnsi="Arial" w:cs="Arial"/>
          <w:sz w:val="22"/>
          <w:szCs w:val="22"/>
        </w:rPr>
        <w:t>S</w:t>
      </w:r>
      <w:r w:rsidR="00E100D4" w:rsidRPr="009A49C5">
        <w:rPr>
          <w:rFonts w:ascii="Arial" w:hAnsi="Arial" w:cs="Arial"/>
          <w:sz w:val="22"/>
          <w:szCs w:val="22"/>
        </w:rPr>
        <w:t xml:space="preserve">trategies to strengthen collaboration include regular multidisciplinary meetings or case reviews, shared digital records accessible to all relevant professionals, and clear communication pathways for raising concerns. Shared digital records and regular multidisciplinary meetings are recommended approaches to reducing fragmentation in integrated care systems (Glasby and Dickinson, 2014). Information should be shared promptly rather than only at scheduled intervals, ensuring that risks are addressed in real time. Establishing a single point of contact—such as a named social worker or key carer—could support coordination during the local authority’s review and improve communication with her family. </w:t>
      </w:r>
      <w:r w:rsidRPr="009A49C5">
        <w:rPr>
          <w:rFonts w:ascii="Arial" w:hAnsi="Arial" w:cs="Arial"/>
          <w:sz w:val="22"/>
          <w:szCs w:val="22"/>
        </w:rPr>
        <w:t>(</w:t>
      </w:r>
      <w:r w:rsidRPr="009A49C5">
        <w:rPr>
          <w:rFonts w:ascii="Arial" w:hAnsi="Arial" w:cs="Arial"/>
          <w:sz w:val="22"/>
          <w:szCs w:val="22"/>
        </w:rPr>
        <w:t>Marmot et al.</w:t>
      </w:r>
      <w:r w:rsidRPr="009A49C5">
        <w:rPr>
          <w:rFonts w:ascii="Arial" w:hAnsi="Arial" w:cs="Arial"/>
          <w:sz w:val="22"/>
          <w:szCs w:val="22"/>
        </w:rPr>
        <w:t>,</w:t>
      </w:r>
      <w:r w:rsidRPr="009A49C5">
        <w:rPr>
          <w:rFonts w:ascii="Arial" w:hAnsi="Arial" w:cs="Arial"/>
          <w:sz w:val="22"/>
          <w:szCs w:val="22"/>
        </w:rPr>
        <w:t xml:space="preserve"> 2020)</w:t>
      </w:r>
    </w:p>
    <w:p w14:paraId="2CF07391" w14:textId="77777777" w:rsidR="009C0319" w:rsidRPr="009A49C5" w:rsidRDefault="00B9123A" w:rsidP="006D75F3">
      <w:pPr>
        <w:pStyle w:val="Heading1"/>
        <w:spacing w:before="300" w:after="150" w:line="360" w:lineRule="auto"/>
        <w:rPr>
          <w:rFonts w:ascii="Arial" w:hAnsi="Arial" w:cs="Arial"/>
          <w:sz w:val="22"/>
          <w:szCs w:val="22"/>
        </w:rPr>
      </w:pPr>
      <w:bookmarkStart w:id="15" w:name="_Toc236666151"/>
      <w:r w:rsidRPr="009A49C5">
        <w:rPr>
          <w:rFonts w:ascii="Arial" w:hAnsi="Arial" w:cs="Arial"/>
          <w:sz w:val="22"/>
          <w:szCs w:val="22"/>
        </w:rPr>
        <w:t>5. Conclusion</w:t>
      </w:r>
      <w:bookmarkEnd w:id="15"/>
    </w:p>
    <w:p w14:paraId="19FF8166" w14:textId="6E7DE1A5" w:rsidR="00793126" w:rsidRDefault="00793126" w:rsidP="006D75F3">
      <w:pPr>
        <w:spacing w:after="200" w:line="360" w:lineRule="auto"/>
        <w:jc w:val="both"/>
        <w:rPr>
          <w:rFonts w:ascii="Arial" w:hAnsi="Arial" w:cs="Arial"/>
          <w:sz w:val="22"/>
          <w:szCs w:val="22"/>
        </w:rPr>
      </w:pPr>
      <w:r w:rsidRPr="009A49C5">
        <w:rPr>
          <w:rFonts w:ascii="Arial" w:hAnsi="Arial" w:cs="Arial"/>
          <w:sz w:val="22"/>
          <w:szCs w:val="22"/>
        </w:rPr>
        <w:t>Mrs Thompson’s case demonstrates how gaps in communication, record keeping, and collaboration can quickly escalate into safeguarding concerns for an older adult living alone with mild dementia. Adapting communication to her cognitive needs, using approaches such as the SOLER model and acting within the principles of the Equality Act 2010, can reduce confusion and support safer responses during incidents. Accurate, timely record keeping, carried out in line with the Data Protection Act 2018, has already enabled her missed medication and outdoor incident to be identified, escalated, and acted upon, and remains essential as her case progresses through the local authority review. Strengthened collaboration between her GP, community nurse, domiciliary carers, and safeguarding team—supported by clear roles, shared information, and awareness of wider determinants of health highlighted by Marmot et al. (2020)—would help ensure that concerns noticed by any one professional reach others in time to act. Addressing these wider determinants requires coordinated, multi</w:t>
      </w:r>
      <w:r w:rsidRPr="009A49C5">
        <w:rPr>
          <w:rFonts w:ascii="Arial" w:hAnsi="Arial" w:cs="Arial"/>
          <w:sz w:val="22"/>
          <w:szCs w:val="22"/>
        </w:rPr>
        <w:noBreakHyphen/>
        <w:t>agency practice, making collaboration essential to preventing further harm. Together, these three areas of practice offer Mrs Thompson the best chance of remaining safe, independent, and treated with dignity within her home.</w:t>
      </w:r>
    </w:p>
    <w:p w14:paraId="4F6F9DE3" w14:textId="77777777" w:rsidR="009A2855" w:rsidRDefault="009A2855" w:rsidP="006D75F3">
      <w:pPr>
        <w:spacing w:after="200" w:line="360" w:lineRule="auto"/>
        <w:jc w:val="both"/>
        <w:rPr>
          <w:rFonts w:ascii="Arial" w:hAnsi="Arial" w:cs="Arial"/>
          <w:sz w:val="22"/>
          <w:szCs w:val="22"/>
        </w:rPr>
      </w:pPr>
    </w:p>
    <w:p w14:paraId="1B7BABF9" w14:textId="77777777" w:rsidR="00276979" w:rsidRPr="009A49C5" w:rsidRDefault="00276979" w:rsidP="006D75F3">
      <w:pPr>
        <w:spacing w:after="200" w:line="360" w:lineRule="auto"/>
        <w:jc w:val="both"/>
        <w:rPr>
          <w:rFonts w:ascii="Arial" w:hAnsi="Arial" w:cs="Arial"/>
          <w:sz w:val="22"/>
          <w:szCs w:val="22"/>
        </w:rPr>
      </w:pPr>
    </w:p>
    <w:p w14:paraId="32E3CDEE" w14:textId="77777777" w:rsidR="009C0319" w:rsidRPr="009A49C5" w:rsidRDefault="00B9123A">
      <w:pPr>
        <w:pStyle w:val="Heading1"/>
        <w:spacing w:before="300" w:after="150"/>
        <w:rPr>
          <w:rFonts w:ascii="Arial" w:hAnsi="Arial" w:cs="Arial"/>
          <w:sz w:val="22"/>
          <w:szCs w:val="22"/>
        </w:rPr>
      </w:pPr>
      <w:bookmarkStart w:id="16" w:name="_Toc236666152"/>
      <w:r w:rsidRPr="009A49C5">
        <w:rPr>
          <w:rFonts w:ascii="Arial" w:hAnsi="Arial" w:cs="Arial"/>
          <w:sz w:val="22"/>
          <w:szCs w:val="22"/>
        </w:rPr>
        <w:lastRenderedPageBreak/>
        <w:t>6. References</w:t>
      </w:r>
      <w:bookmarkEnd w:id="16"/>
    </w:p>
    <w:p w14:paraId="414B5207" w14:textId="77777777" w:rsidR="00476138" w:rsidRPr="009A49C5" w:rsidRDefault="00B9123A" w:rsidP="005B1F5A">
      <w:pPr>
        <w:spacing w:after="200" w:line="276" w:lineRule="auto"/>
        <w:rPr>
          <w:rFonts w:ascii="Arial" w:hAnsi="Arial" w:cs="Arial"/>
          <w:sz w:val="22"/>
          <w:szCs w:val="22"/>
        </w:rPr>
      </w:pPr>
      <w:r w:rsidRPr="009A49C5">
        <w:rPr>
          <w:rFonts w:ascii="Arial" w:hAnsi="Arial" w:cs="Arial"/>
          <w:sz w:val="22"/>
          <w:szCs w:val="22"/>
        </w:rPr>
        <w:t xml:space="preserve">Beach, J. and Oates, J. (2014) 'Maintaining best practice in record-keeping and documentation', </w:t>
      </w:r>
      <w:r w:rsidRPr="009A49C5">
        <w:rPr>
          <w:rFonts w:ascii="Arial" w:hAnsi="Arial" w:cs="Arial"/>
          <w:i/>
          <w:iCs/>
          <w:sz w:val="22"/>
          <w:szCs w:val="22"/>
        </w:rPr>
        <w:t>Nursing Standard</w:t>
      </w:r>
      <w:r w:rsidRPr="009A49C5">
        <w:rPr>
          <w:rFonts w:ascii="Arial" w:hAnsi="Arial" w:cs="Arial"/>
          <w:sz w:val="22"/>
          <w:szCs w:val="22"/>
        </w:rPr>
        <w:t>, 28(36), pp. 45–50. doi: 10.7748/ns2014.05.28.36.</w:t>
      </w:r>
      <w:proofErr w:type="gramStart"/>
      <w:r w:rsidRPr="009A49C5">
        <w:rPr>
          <w:rFonts w:ascii="Arial" w:hAnsi="Arial" w:cs="Arial"/>
          <w:sz w:val="22"/>
          <w:szCs w:val="22"/>
        </w:rPr>
        <w:t>45.e</w:t>
      </w:r>
      <w:proofErr w:type="gramEnd"/>
      <w:r w:rsidRPr="009A49C5">
        <w:rPr>
          <w:rFonts w:ascii="Arial" w:hAnsi="Arial" w:cs="Arial"/>
          <w:sz w:val="22"/>
          <w:szCs w:val="22"/>
        </w:rPr>
        <w:t>8835.</w:t>
      </w:r>
      <w:r w:rsidR="00EF4D7F" w:rsidRPr="009A49C5">
        <w:rPr>
          <w:rFonts w:ascii="Arial" w:hAnsi="Arial" w:cs="Arial"/>
          <w:sz w:val="22"/>
          <w:szCs w:val="22"/>
        </w:rPr>
        <w:t xml:space="preserve"> </w:t>
      </w:r>
      <w:r w:rsidR="00EF4D7F" w:rsidRPr="009A49C5">
        <w:rPr>
          <w:rFonts w:ascii="Arial" w:hAnsi="Arial" w:cs="Arial"/>
          <w:sz w:val="22"/>
          <w:szCs w:val="22"/>
        </w:rPr>
        <w:t>(Accessed: 2 August 2026).</w:t>
      </w:r>
    </w:p>
    <w:p w14:paraId="3E459469" w14:textId="0169576B" w:rsidR="00EF4D7F" w:rsidRPr="009A49C5" w:rsidRDefault="00B9123A" w:rsidP="005B1F5A">
      <w:pPr>
        <w:spacing w:after="200" w:line="276" w:lineRule="auto"/>
        <w:rPr>
          <w:rFonts w:ascii="Arial" w:hAnsi="Arial" w:cs="Arial"/>
          <w:sz w:val="22"/>
          <w:szCs w:val="22"/>
        </w:rPr>
      </w:pPr>
      <w:r w:rsidRPr="009A49C5">
        <w:rPr>
          <w:rFonts w:ascii="Arial" w:hAnsi="Arial" w:cs="Arial"/>
          <w:sz w:val="22"/>
          <w:szCs w:val="22"/>
        </w:rPr>
        <w:t>Birkinshaw</w:t>
      </w:r>
      <w:r w:rsidRPr="009A49C5">
        <w:rPr>
          <w:rFonts w:ascii="Arial" w:hAnsi="Arial" w:cs="Arial"/>
          <w:sz w:val="22"/>
          <w:szCs w:val="22"/>
        </w:rPr>
        <w:t xml:space="preserve">, P. and Varney, M. (2019) </w:t>
      </w:r>
      <w:r w:rsidRPr="009A49C5">
        <w:rPr>
          <w:rFonts w:ascii="Arial" w:hAnsi="Arial" w:cs="Arial"/>
          <w:i/>
          <w:iCs/>
          <w:sz w:val="22"/>
          <w:szCs w:val="22"/>
        </w:rPr>
        <w:t>Government and Information Rights: The Law Relating to Access, Disclosure and their Regulation</w:t>
      </w:r>
      <w:r w:rsidRPr="009A49C5">
        <w:rPr>
          <w:rFonts w:ascii="Arial" w:hAnsi="Arial" w:cs="Arial"/>
          <w:sz w:val="22"/>
          <w:szCs w:val="22"/>
        </w:rPr>
        <w:t>. Haywards Heath: Bloomsbury Professional.</w:t>
      </w:r>
      <w:r w:rsidR="00EF4D7F" w:rsidRPr="009A49C5">
        <w:rPr>
          <w:rFonts w:ascii="Arial" w:hAnsi="Arial" w:cs="Arial"/>
          <w:sz w:val="22"/>
          <w:szCs w:val="22"/>
        </w:rPr>
        <w:t xml:space="preserve"> </w:t>
      </w:r>
      <w:r w:rsidR="00EF4D7F" w:rsidRPr="009A49C5">
        <w:rPr>
          <w:rFonts w:ascii="Arial" w:hAnsi="Arial" w:cs="Arial"/>
          <w:sz w:val="22"/>
          <w:szCs w:val="22"/>
        </w:rPr>
        <w:t>(Accessed: 2 August 2026).</w:t>
      </w:r>
    </w:p>
    <w:p w14:paraId="2D1CA356" w14:textId="77777777" w:rsidR="009C0319" w:rsidRPr="009A49C5" w:rsidRDefault="00B9123A" w:rsidP="00B2215D">
      <w:pPr>
        <w:spacing w:after="200" w:line="276" w:lineRule="auto"/>
        <w:rPr>
          <w:rFonts w:ascii="Arial" w:hAnsi="Arial" w:cs="Arial"/>
          <w:sz w:val="22"/>
          <w:szCs w:val="22"/>
        </w:rPr>
      </w:pPr>
      <w:r w:rsidRPr="009A49C5">
        <w:rPr>
          <w:rFonts w:ascii="Arial" w:hAnsi="Arial" w:cs="Arial"/>
          <w:sz w:val="22"/>
          <w:szCs w:val="22"/>
        </w:rPr>
        <w:t>Data Protection Act 2018. Available at: https://www.legislation.gov.uk/ukpga/2018/12/contents/enacted (Accessed: 2 August 2026)</w:t>
      </w:r>
      <w:r w:rsidRPr="009A49C5">
        <w:rPr>
          <w:rFonts w:ascii="Arial" w:hAnsi="Arial" w:cs="Arial"/>
          <w:sz w:val="22"/>
          <w:szCs w:val="22"/>
        </w:rPr>
        <w:t>.</w:t>
      </w:r>
    </w:p>
    <w:p w14:paraId="3EB2E70B" w14:textId="657D7BE0" w:rsidR="009C0319" w:rsidRPr="009A49C5" w:rsidRDefault="00B9123A" w:rsidP="00B2215D">
      <w:pPr>
        <w:spacing w:after="200" w:line="276" w:lineRule="auto"/>
        <w:rPr>
          <w:rFonts w:ascii="Arial" w:hAnsi="Arial" w:cs="Arial"/>
          <w:sz w:val="22"/>
          <w:szCs w:val="22"/>
        </w:rPr>
      </w:pPr>
      <w:r w:rsidRPr="009A49C5">
        <w:rPr>
          <w:rFonts w:ascii="Arial" w:hAnsi="Arial" w:cs="Arial"/>
          <w:sz w:val="22"/>
          <w:szCs w:val="22"/>
        </w:rPr>
        <w:t xml:space="preserve">Egan, G. and Reese, R.J. (2018) </w:t>
      </w:r>
      <w:r w:rsidRPr="009A49C5">
        <w:rPr>
          <w:rFonts w:ascii="Arial" w:hAnsi="Arial" w:cs="Arial"/>
          <w:i/>
          <w:iCs/>
          <w:sz w:val="22"/>
          <w:szCs w:val="22"/>
        </w:rPr>
        <w:t>The Skilled Helper: A Problem-Management and Opportunity-Development Approach to Helping</w:t>
      </w:r>
      <w:r w:rsidRPr="009A49C5">
        <w:rPr>
          <w:rFonts w:ascii="Arial" w:hAnsi="Arial" w:cs="Arial"/>
          <w:sz w:val="22"/>
          <w:szCs w:val="22"/>
        </w:rPr>
        <w:t xml:space="preserve">. 11th </w:t>
      </w:r>
      <w:proofErr w:type="spellStart"/>
      <w:r w:rsidRPr="009A49C5">
        <w:rPr>
          <w:rFonts w:ascii="Arial" w:hAnsi="Arial" w:cs="Arial"/>
          <w:sz w:val="22"/>
          <w:szCs w:val="22"/>
        </w:rPr>
        <w:t>edn</w:t>
      </w:r>
      <w:proofErr w:type="spellEnd"/>
      <w:r w:rsidRPr="009A49C5">
        <w:rPr>
          <w:rFonts w:ascii="Arial" w:hAnsi="Arial" w:cs="Arial"/>
          <w:sz w:val="22"/>
          <w:szCs w:val="22"/>
        </w:rPr>
        <w:t>. Boston, MA: Cengage.</w:t>
      </w:r>
      <w:r w:rsidR="00EF4D7F" w:rsidRPr="009A49C5">
        <w:rPr>
          <w:rFonts w:ascii="Arial" w:hAnsi="Arial" w:cs="Arial"/>
          <w:sz w:val="22"/>
          <w:szCs w:val="22"/>
        </w:rPr>
        <w:t xml:space="preserve"> </w:t>
      </w:r>
      <w:r w:rsidR="00EF4D7F" w:rsidRPr="009A49C5">
        <w:rPr>
          <w:rFonts w:ascii="Arial" w:hAnsi="Arial" w:cs="Arial"/>
          <w:sz w:val="22"/>
          <w:szCs w:val="22"/>
        </w:rPr>
        <w:t>(Accessed: 2 August 2026).</w:t>
      </w:r>
    </w:p>
    <w:p w14:paraId="0D05FE06" w14:textId="1B12ACB3" w:rsidR="00EF4D7F" w:rsidRPr="009A49C5" w:rsidRDefault="00B9123A" w:rsidP="00C25127">
      <w:pPr>
        <w:spacing w:after="200" w:line="276" w:lineRule="auto"/>
        <w:rPr>
          <w:rFonts w:ascii="Arial" w:hAnsi="Arial" w:cs="Arial"/>
          <w:sz w:val="22"/>
          <w:szCs w:val="22"/>
        </w:rPr>
      </w:pPr>
      <w:r w:rsidRPr="009A49C5">
        <w:rPr>
          <w:rFonts w:ascii="Arial" w:hAnsi="Arial" w:cs="Arial"/>
          <w:sz w:val="22"/>
          <w:szCs w:val="22"/>
        </w:rPr>
        <w:t xml:space="preserve">Egan, G. and Reese, R.J. (2024) </w:t>
      </w:r>
      <w:r w:rsidRPr="009A49C5">
        <w:rPr>
          <w:rFonts w:ascii="Arial" w:hAnsi="Arial" w:cs="Arial"/>
          <w:i/>
          <w:iCs/>
          <w:sz w:val="22"/>
          <w:szCs w:val="22"/>
        </w:rPr>
        <w:t>The Skilled Helper: A Client-Centred Approach</w:t>
      </w:r>
      <w:r w:rsidRPr="009A49C5">
        <w:rPr>
          <w:rFonts w:ascii="Arial" w:hAnsi="Arial" w:cs="Arial"/>
          <w:sz w:val="22"/>
          <w:szCs w:val="22"/>
        </w:rPr>
        <w:t xml:space="preserve">. 4th EMEA </w:t>
      </w:r>
      <w:proofErr w:type="spellStart"/>
      <w:r w:rsidRPr="009A49C5">
        <w:rPr>
          <w:rFonts w:ascii="Arial" w:hAnsi="Arial" w:cs="Arial"/>
          <w:sz w:val="22"/>
          <w:szCs w:val="22"/>
        </w:rPr>
        <w:t>edn</w:t>
      </w:r>
      <w:proofErr w:type="spellEnd"/>
      <w:r w:rsidRPr="009A49C5">
        <w:rPr>
          <w:rFonts w:ascii="Arial" w:hAnsi="Arial" w:cs="Arial"/>
          <w:sz w:val="22"/>
          <w:szCs w:val="22"/>
        </w:rPr>
        <w:t>. Andover: Cengage.</w:t>
      </w:r>
      <w:r w:rsidR="00EF4D7F" w:rsidRPr="009A49C5">
        <w:rPr>
          <w:rFonts w:ascii="Arial" w:hAnsi="Arial" w:cs="Arial"/>
          <w:sz w:val="22"/>
          <w:szCs w:val="22"/>
        </w:rPr>
        <w:t xml:space="preserve"> </w:t>
      </w:r>
      <w:r w:rsidR="00EF4D7F" w:rsidRPr="009A49C5">
        <w:rPr>
          <w:rFonts w:ascii="Arial" w:hAnsi="Arial" w:cs="Arial"/>
          <w:sz w:val="22"/>
          <w:szCs w:val="22"/>
        </w:rPr>
        <w:t>(Accessed: 2 August 2026).</w:t>
      </w:r>
    </w:p>
    <w:p w14:paraId="3F58B963" w14:textId="77777777" w:rsidR="009C0319" w:rsidRPr="009A49C5" w:rsidRDefault="00B9123A" w:rsidP="00C25127">
      <w:pPr>
        <w:spacing w:after="200" w:line="276" w:lineRule="auto"/>
        <w:rPr>
          <w:rFonts w:ascii="Arial" w:hAnsi="Arial" w:cs="Arial"/>
          <w:sz w:val="22"/>
          <w:szCs w:val="22"/>
        </w:rPr>
      </w:pPr>
      <w:r w:rsidRPr="009A49C5">
        <w:rPr>
          <w:rFonts w:ascii="Arial" w:hAnsi="Arial" w:cs="Arial"/>
          <w:sz w:val="22"/>
          <w:szCs w:val="22"/>
        </w:rPr>
        <w:t>Equality Act 2010. Available at: https://www.legislation.gov.uk/ukpga/2010/15/contents (Accessed: 2 August 2026).</w:t>
      </w:r>
    </w:p>
    <w:p w14:paraId="1C16EE8B" w14:textId="3E79A159" w:rsidR="00527064" w:rsidRPr="009A49C5" w:rsidRDefault="00B9123A" w:rsidP="00C25127">
      <w:pPr>
        <w:spacing w:after="200" w:line="276" w:lineRule="auto"/>
        <w:rPr>
          <w:rFonts w:ascii="Arial" w:hAnsi="Arial" w:cs="Arial"/>
          <w:sz w:val="22"/>
          <w:szCs w:val="22"/>
        </w:rPr>
      </w:pPr>
      <w:r w:rsidRPr="009A49C5">
        <w:rPr>
          <w:rFonts w:ascii="Arial" w:hAnsi="Arial" w:cs="Arial"/>
          <w:sz w:val="22"/>
          <w:szCs w:val="22"/>
        </w:rPr>
        <w:t xml:space="preserve">Glasby, J. and Dickinson, H. (2014) </w:t>
      </w:r>
      <w:r w:rsidRPr="009A49C5">
        <w:rPr>
          <w:rFonts w:ascii="Arial" w:hAnsi="Arial" w:cs="Arial"/>
          <w:i/>
          <w:iCs/>
          <w:sz w:val="22"/>
          <w:szCs w:val="22"/>
        </w:rPr>
        <w:t>Partnership Working in Health and Social Care: What is Integrated Care and How Can We Deliver It?</w:t>
      </w:r>
      <w:r w:rsidRPr="009A49C5">
        <w:rPr>
          <w:rFonts w:ascii="Arial" w:hAnsi="Arial" w:cs="Arial"/>
          <w:sz w:val="22"/>
          <w:szCs w:val="22"/>
        </w:rPr>
        <w:t xml:space="preserve"> 2nd </w:t>
      </w:r>
      <w:proofErr w:type="spellStart"/>
      <w:r w:rsidRPr="009A49C5">
        <w:rPr>
          <w:rFonts w:ascii="Arial" w:hAnsi="Arial" w:cs="Arial"/>
          <w:sz w:val="22"/>
          <w:szCs w:val="22"/>
        </w:rPr>
        <w:t>edn</w:t>
      </w:r>
      <w:proofErr w:type="spellEnd"/>
      <w:r w:rsidRPr="009A49C5">
        <w:rPr>
          <w:rFonts w:ascii="Arial" w:hAnsi="Arial" w:cs="Arial"/>
          <w:sz w:val="22"/>
          <w:szCs w:val="22"/>
        </w:rPr>
        <w:t>. Bristol: Policy Press.</w:t>
      </w:r>
      <w:r w:rsidR="00527064" w:rsidRPr="009A49C5">
        <w:rPr>
          <w:rFonts w:ascii="Arial" w:hAnsi="Arial" w:cs="Arial"/>
          <w:sz w:val="22"/>
          <w:szCs w:val="22"/>
        </w:rPr>
        <w:t xml:space="preserve"> </w:t>
      </w:r>
      <w:r w:rsidR="00527064" w:rsidRPr="009A49C5">
        <w:rPr>
          <w:rFonts w:ascii="Arial" w:hAnsi="Arial" w:cs="Arial"/>
          <w:sz w:val="22"/>
          <w:szCs w:val="22"/>
        </w:rPr>
        <w:t>(Accessed: 2 August 2026).</w:t>
      </w:r>
    </w:p>
    <w:p w14:paraId="54728482" w14:textId="3C68B15D" w:rsidR="009C0319" w:rsidRPr="009A49C5" w:rsidRDefault="00B9123A" w:rsidP="00C25127">
      <w:pPr>
        <w:spacing w:after="200" w:line="276" w:lineRule="auto"/>
        <w:rPr>
          <w:rFonts w:ascii="Arial" w:hAnsi="Arial" w:cs="Arial"/>
          <w:sz w:val="22"/>
          <w:szCs w:val="22"/>
        </w:rPr>
      </w:pPr>
      <w:r w:rsidRPr="009A49C5">
        <w:rPr>
          <w:rFonts w:ascii="Arial" w:hAnsi="Arial" w:cs="Arial"/>
          <w:sz w:val="22"/>
          <w:szCs w:val="22"/>
        </w:rPr>
        <w:t xml:space="preserve">Marmot, M., Allen, J., Boyce, T., Goldblatt, P. and Morrison, J. (2020) </w:t>
      </w:r>
      <w:r w:rsidRPr="009A49C5">
        <w:rPr>
          <w:rFonts w:ascii="Arial" w:hAnsi="Arial" w:cs="Arial"/>
          <w:i/>
          <w:iCs/>
          <w:sz w:val="22"/>
          <w:szCs w:val="22"/>
        </w:rPr>
        <w:t>Health Equity in England: The Marmot Review 10 Years On</w:t>
      </w:r>
      <w:r w:rsidRPr="009A49C5">
        <w:rPr>
          <w:rFonts w:ascii="Arial" w:hAnsi="Arial" w:cs="Arial"/>
          <w:sz w:val="22"/>
          <w:szCs w:val="22"/>
        </w:rPr>
        <w:t>. London: Institute of Health Equity.</w:t>
      </w:r>
      <w:r w:rsidR="00527064" w:rsidRPr="009A49C5">
        <w:rPr>
          <w:rFonts w:ascii="Arial" w:hAnsi="Arial" w:cs="Arial"/>
          <w:sz w:val="22"/>
          <w:szCs w:val="22"/>
        </w:rPr>
        <w:t xml:space="preserve"> </w:t>
      </w:r>
      <w:r w:rsidR="00527064" w:rsidRPr="009A49C5">
        <w:rPr>
          <w:rFonts w:ascii="Arial" w:hAnsi="Arial" w:cs="Arial"/>
          <w:sz w:val="22"/>
          <w:szCs w:val="22"/>
        </w:rPr>
        <w:t>(Accessed: 2 August 2026).</w:t>
      </w:r>
    </w:p>
    <w:p w14:paraId="4852489E" w14:textId="060AD9A0" w:rsidR="009C0319" w:rsidRPr="009A49C5" w:rsidRDefault="00B9123A" w:rsidP="00C25127">
      <w:pPr>
        <w:spacing w:after="200" w:line="276" w:lineRule="auto"/>
        <w:rPr>
          <w:rFonts w:ascii="Arial" w:hAnsi="Arial" w:cs="Arial"/>
          <w:sz w:val="22"/>
          <w:szCs w:val="22"/>
        </w:rPr>
      </w:pPr>
      <w:r w:rsidRPr="009A49C5">
        <w:rPr>
          <w:rFonts w:ascii="Arial" w:hAnsi="Arial" w:cs="Arial"/>
          <w:sz w:val="22"/>
          <w:szCs w:val="22"/>
        </w:rPr>
        <w:t xml:space="preserve">Nguyen, H., Jang, S., Doherty, K., Goldberg, L.R. and Eccleston, C. (2026) 'Improving communication in dementia care: impact of an undergraduate unit on knowledge, confidence, and practice', </w:t>
      </w:r>
      <w:r w:rsidRPr="009A49C5">
        <w:rPr>
          <w:rFonts w:ascii="Arial" w:hAnsi="Arial" w:cs="Arial"/>
          <w:i/>
          <w:iCs/>
          <w:sz w:val="22"/>
          <w:szCs w:val="22"/>
        </w:rPr>
        <w:t>Dementia</w:t>
      </w:r>
      <w:r w:rsidRPr="009A49C5">
        <w:rPr>
          <w:rFonts w:ascii="Arial" w:hAnsi="Arial" w:cs="Arial"/>
          <w:sz w:val="22"/>
          <w:szCs w:val="22"/>
        </w:rPr>
        <w:t>. doi: 10.1177/14713012261444241.</w:t>
      </w:r>
      <w:r w:rsidR="00527064" w:rsidRPr="009A49C5">
        <w:rPr>
          <w:rFonts w:ascii="Arial" w:hAnsi="Arial" w:cs="Arial"/>
          <w:sz w:val="22"/>
          <w:szCs w:val="22"/>
        </w:rPr>
        <w:t xml:space="preserve"> </w:t>
      </w:r>
      <w:r w:rsidR="00527064" w:rsidRPr="009A49C5">
        <w:rPr>
          <w:rFonts w:ascii="Arial" w:hAnsi="Arial" w:cs="Arial"/>
          <w:sz w:val="22"/>
          <w:szCs w:val="22"/>
        </w:rPr>
        <w:t>(Accessed: 2 August 2026).</w:t>
      </w:r>
    </w:p>
    <w:p w14:paraId="17B8A3A0" w14:textId="120731FB" w:rsidR="009C0319" w:rsidRPr="009A49C5" w:rsidRDefault="00B9123A" w:rsidP="00C25127">
      <w:pPr>
        <w:spacing w:after="200" w:line="276" w:lineRule="auto"/>
        <w:rPr>
          <w:rFonts w:ascii="Arial" w:hAnsi="Arial" w:cs="Arial"/>
          <w:sz w:val="22"/>
          <w:szCs w:val="22"/>
        </w:rPr>
      </w:pPr>
      <w:r w:rsidRPr="009A49C5">
        <w:rPr>
          <w:rFonts w:ascii="Arial" w:hAnsi="Arial" w:cs="Arial"/>
          <w:sz w:val="22"/>
          <w:szCs w:val="22"/>
        </w:rPr>
        <w:t xml:space="preserve">Pepper, A. and Harrison Dening, K. (2023) 'Person-centred communication with people with dementia', </w:t>
      </w:r>
      <w:r w:rsidRPr="009A49C5">
        <w:rPr>
          <w:rFonts w:ascii="Arial" w:hAnsi="Arial" w:cs="Arial"/>
          <w:i/>
          <w:iCs/>
          <w:sz w:val="22"/>
          <w:szCs w:val="22"/>
        </w:rPr>
        <w:t>Nursing Older People</w:t>
      </w:r>
      <w:r w:rsidRPr="009A49C5">
        <w:rPr>
          <w:rFonts w:ascii="Arial" w:hAnsi="Arial" w:cs="Arial"/>
          <w:sz w:val="22"/>
          <w:szCs w:val="22"/>
        </w:rPr>
        <w:t>. doi: 10.7748/</w:t>
      </w:r>
      <w:proofErr w:type="gramStart"/>
      <w:r w:rsidRPr="009A49C5">
        <w:rPr>
          <w:rFonts w:ascii="Arial" w:hAnsi="Arial" w:cs="Arial"/>
          <w:sz w:val="22"/>
          <w:szCs w:val="22"/>
        </w:rPr>
        <w:t>nop.2023.e</w:t>
      </w:r>
      <w:proofErr w:type="gramEnd"/>
      <w:r w:rsidRPr="009A49C5">
        <w:rPr>
          <w:rFonts w:ascii="Arial" w:hAnsi="Arial" w:cs="Arial"/>
          <w:sz w:val="22"/>
          <w:szCs w:val="22"/>
        </w:rPr>
        <w:t>1430.</w:t>
      </w:r>
      <w:r w:rsidR="00527064" w:rsidRPr="009A49C5">
        <w:rPr>
          <w:rFonts w:ascii="Arial" w:hAnsi="Arial" w:cs="Arial"/>
          <w:sz w:val="22"/>
          <w:szCs w:val="22"/>
        </w:rPr>
        <w:t xml:space="preserve"> </w:t>
      </w:r>
      <w:r w:rsidR="00527064" w:rsidRPr="009A49C5">
        <w:rPr>
          <w:rFonts w:ascii="Arial" w:hAnsi="Arial" w:cs="Arial"/>
          <w:sz w:val="22"/>
          <w:szCs w:val="22"/>
        </w:rPr>
        <w:t>(Accessed: 2 August 2026).</w:t>
      </w:r>
    </w:p>
    <w:p w14:paraId="12CE112C" w14:textId="77777777" w:rsidR="00527064" w:rsidRPr="009A49C5" w:rsidRDefault="00B9123A" w:rsidP="00476138">
      <w:pPr>
        <w:spacing w:after="200" w:line="276" w:lineRule="auto"/>
        <w:rPr>
          <w:rFonts w:ascii="Arial" w:hAnsi="Arial" w:cs="Arial"/>
          <w:sz w:val="22"/>
          <w:szCs w:val="22"/>
        </w:rPr>
      </w:pPr>
      <w:r w:rsidRPr="009A49C5">
        <w:rPr>
          <w:rFonts w:ascii="Arial" w:hAnsi="Arial" w:cs="Arial"/>
          <w:sz w:val="22"/>
          <w:szCs w:val="22"/>
        </w:rPr>
        <w:t xml:space="preserve">Stevens, E. (2013) 'Safeguarding vulnerable adults: exploring the challenges to best practice across multi-agency settings', </w:t>
      </w:r>
      <w:r w:rsidRPr="009A49C5">
        <w:rPr>
          <w:rFonts w:ascii="Arial" w:hAnsi="Arial" w:cs="Arial"/>
          <w:i/>
          <w:iCs/>
          <w:sz w:val="22"/>
          <w:szCs w:val="22"/>
        </w:rPr>
        <w:t>The Journal of Adult Protection</w:t>
      </w:r>
      <w:r w:rsidRPr="009A49C5">
        <w:rPr>
          <w:rFonts w:ascii="Arial" w:hAnsi="Arial" w:cs="Arial"/>
          <w:sz w:val="22"/>
          <w:szCs w:val="22"/>
        </w:rPr>
        <w:t>, 15(2), pp. 85–95. doi: 10.1108/14668201311313596.</w:t>
      </w:r>
      <w:r w:rsidR="00527064" w:rsidRPr="009A49C5">
        <w:rPr>
          <w:rFonts w:ascii="Arial" w:hAnsi="Arial" w:cs="Arial"/>
          <w:sz w:val="22"/>
          <w:szCs w:val="22"/>
        </w:rPr>
        <w:t xml:space="preserve"> </w:t>
      </w:r>
      <w:r w:rsidR="00527064" w:rsidRPr="009A49C5">
        <w:rPr>
          <w:rFonts w:ascii="Arial" w:hAnsi="Arial" w:cs="Arial"/>
          <w:sz w:val="22"/>
          <w:szCs w:val="22"/>
        </w:rPr>
        <w:t>(Accessed: 2 August 2026).</w:t>
      </w:r>
    </w:p>
    <w:p w14:paraId="2169FCE1" w14:textId="067585A7" w:rsidR="009C0319" w:rsidRPr="009A49C5" w:rsidRDefault="009C0319">
      <w:pPr>
        <w:spacing w:after="200" w:line="276" w:lineRule="auto"/>
        <w:ind w:left="720" w:hanging="720"/>
        <w:rPr>
          <w:rFonts w:ascii="Arial" w:hAnsi="Arial" w:cs="Arial"/>
          <w:sz w:val="22"/>
          <w:szCs w:val="22"/>
        </w:rPr>
      </w:pPr>
    </w:p>
    <w:sectPr w:rsidR="009C0319" w:rsidRPr="009A49C5">
      <w:headerReference w:type="default" r:id="rId7"/>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8C883" w14:textId="77777777" w:rsidR="00B9123A" w:rsidRDefault="00B9123A">
      <w:r>
        <w:separator/>
      </w:r>
    </w:p>
  </w:endnote>
  <w:endnote w:type="continuationSeparator" w:id="0">
    <w:p w14:paraId="01412C1F" w14:textId="77777777" w:rsidR="00B9123A" w:rsidRDefault="00B91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09E85" w14:textId="77777777" w:rsidR="009C0319" w:rsidRDefault="00B9123A">
    <w:pPr>
      <w:jc w:val="center"/>
    </w:pPr>
    <w:r>
      <w:rPr>
        <w:sz w:val="18"/>
        <w:szCs w:val="18"/>
      </w:rPr>
      <w:fldChar w:fldCharType="begin"/>
    </w:r>
    <w:r>
      <w:rPr>
        <w:sz w:val="18"/>
        <w:szCs w:val="18"/>
      </w:rPr>
      <w:instrText>PAGE</w:instrText>
    </w:r>
    <w:r>
      <w:rPr>
        <w:sz w:val="18"/>
        <w:szCs w:val="18"/>
      </w:rPr>
      <w:fldChar w:fldCharType="separate"/>
    </w:r>
    <w:r w:rsidR="00793126">
      <w:rPr>
        <w:noProof/>
        <w:sz w:val="18"/>
        <w:szCs w:val="18"/>
      </w:rPr>
      <w:t>5</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D4693" w14:textId="77777777" w:rsidR="00B9123A" w:rsidRDefault="00B9123A">
      <w:r>
        <w:separator/>
      </w:r>
    </w:p>
  </w:footnote>
  <w:footnote w:type="continuationSeparator" w:id="0">
    <w:p w14:paraId="2B0F9577" w14:textId="77777777" w:rsidR="00B9123A" w:rsidRDefault="00B91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D8E75" w14:textId="77777777" w:rsidR="00150C0C" w:rsidRPr="004008EF" w:rsidRDefault="00150C0C" w:rsidP="00150C0C">
    <w:pPr>
      <w:spacing w:line="360" w:lineRule="auto"/>
      <w:rPr>
        <w:rFonts w:ascii="Arial" w:hAnsi="Arial" w:cs="Arial"/>
      </w:rPr>
    </w:pPr>
    <w:r w:rsidRPr="00074402">
      <w:rPr>
        <w:rFonts w:ascii="Arial" w:hAnsi="Arial" w:cs="Arial"/>
        <w:noProof/>
      </w:rPr>
      <w:drawing>
        <wp:anchor distT="0" distB="0" distL="114300" distR="114300" simplePos="0" relativeHeight="251659264" behindDoc="0" locked="0" layoutInCell="1" allowOverlap="1" wp14:anchorId="5B1F4D77" wp14:editId="5AEBB122">
          <wp:simplePos x="0" y="0"/>
          <wp:positionH relativeFrom="column">
            <wp:posOffset>4000500</wp:posOffset>
          </wp:positionH>
          <wp:positionV relativeFrom="paragraph">
            <wp:posOffset>1270</wp:posOffset>
          </wp:positionV>
          <wp:extent cx="1822450" cy="717550"/>
          <wp:effectExtent l="0" t="0" r="6350" b="0"/>
          <wp:wrapSquare wrapText="bothSides"/>
          <wp:docPr id="808742917" name="Picture 80874291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22450" cy="717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3ED041" w14:textId="77777777" w:rsidR="00150C0C" w:rsidRDefault="00150C0C" w:rsidP="00150C0C">
    <w:pPr>
      <w:pStyle w:val="Header"/>
      <w:rPr>
        <w:b/>
        <w:bCs/>
      </w:rPr>
    </w:pPr>
  </w:p>
  <w:p w14:paraId="0F357389" w14:textId="77777777" w:rsidR="007B4E37" w:rsidRPr="003939EE" w:rsidRDefault="00150C0C" w:rsidP="007B4E37">
    <w:pPr>
      <w:pStyle w:val="Header"/>
      <w:rPr>
        <w:rFonts w:ascii="Arial" w:hAnsi="Arial" w:cs="Arial"/>
        <w:sz w:val="22"/>
        <w:szCs w:val="22"/>
      </w:rPr>
    </w:pPr>
    <w:r w:rsidRPr="00E20413">
      <w:rPr>
        <w:b/>
        <w:bCs/>
      </w:rPr>
      <w:t>Student Name:</w:t>
    </w:r>
    <w:r w:rsidRPr="00E20413">
      <w:t xml:space="preserve"> Chantal Montille</w:t>
    </w:r>
    <w:r>
      <w:t xml:space="preserve"> - 2532540</w:t>
    </w:r>
    <w:r w:rsidRPr="00E20413">
      <w:br/>
    </w:r>
    <w:r w:rsidRPr="00E20413">
      <w:rPr>
        <w:b/>
        <w:bCs/>
      </w:rPr>
      <w:t>Course:</w:t>
    </w:r>
    <w:r w:rsidRPr="00E20413">
      <w:t xml:space="preserve"> </w:t>
    </w:r>
    <w:r>
      <w:t xml:space="preserve">LCHS- 4003- </w:t>
    </w:r>
    <w:r w:rsidRPr="003939EE">
      <w:rPr>
        <w:rFonts w:ascii="Arial" w:hAnsi="Arial" w:cs="Arial"/>
        <w:sz w:val="22"/>
        <w:szCs w:val="22"/>
      </w:rPr>
      <w:t>Health and Social Care –</w:t>
    </w:r>
  </w:p>
  <w:p w14:paraId="4E8C8EEA" w14:textId="0A3786A7" w:rsidR="009C0319" w:rsidRDefault="00150C0C" w:rsidP="007B4E37">
    <w:pPr>
      <w:pStyle w:val="Header"/>
    </w:pPr>
    <w:r w:rsidRPr="003939EE">
      <w:rPr>
        <w:rFonts w:ascii="Arial" w:hAnsi="Arial" w:cs="Arial"/>
        <w:sz w:val="22"/>
        <w:szCs w:val="22"/>
      </w:rPr>
      <w:t xml:space="preserve"> Component 2</w:t>
    </w:r>
    <w:r w:rsidR="007B4E37" w:rsidRPr="003939EE">
      <w:rPr>
        <w:rFonts w:ascii="Arial" w:hAnsi="Arial" w:cs="Arial"/>
        <w:i/>
        <w:iCs/>
        <w:color w:val="595959"/>
        <w:sz w:val="22"/>
        <w:szCs w:val="22"/>
      </w:rPr>
      <w:t xml:space="preserve"> </w:t>
    </w:r>
    <w:r w:rsidR="007B4E37" w:rsidRPr="003939EE">
      <w:rPr>
        <w:rFonts w:ascii="Arial" w:hAnsi="Arial" w:cs="Arial"/>
        <w:i/>
        <w:iCs/>
        <w:color w:val="595959"/>
        <w:sz w:val="22"/>
        <w:szCs w:val="22"/>
      </w:rPr>
      <w:t>Mrs Thompson: A Case Study</w:t>
    </w:r>
    <w:r w:rsidRPr="003939EE">
      <w:rPr>
        <w:rFonts w:ascii="Arial" w:hAnsi="Arial" w:cs="Arial"/>
        <w:sz w:val="22"/>
        <w:szCs w:val="22"/>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2C082D"/>
    <w:multiLevelType w:val="hybridMultilevel"/>
    <w:tmpl w:val="BA420368"/>
    <w:lvl w:ilvl="0" w:tplc="FA7A9F8A">
      <w:start w:val="1"/>
      <w:numFmt w:val="bullet"/>
      <w:lvlText w:val="●"/>
      <w:lvlJc w:val="left"/>
      <w:pPr>
        <w:ind w:left="720" w:hanging="360"/>
      </w:pPr>
    </w:lvl>
    <w:lvl w:ilvl="1" w:tplc="203ABCFE">
      <w:start w:val="1"/>
      <w:numFmt w:val="bullet"/>
      <w:lvlText w:val="○"/>
      <w:lvlJc w:val="left"/>
      <w:pPr>
        <w:ind w:left="1440" w:hanging="360"/>
      </w:pPr>
    </w:lvl>
    <w:lvl w:ilvl="2" w:tplc="FEBC3B92">
      <w:start w:val="1"/>
      <w:numFmt w:val="bullet"/>
      <w:lvlText w:val="■"/>
      <w:lvlJc w:val="left"/>
      <w:pPr>
        <w:ind w:left="2160" w:hanging="360"/>
      </w:pPr>
    </w:lvl>
    <w:lvl w:ilvl="3" w:tplc="D2A0EACC">
      <w:start w:val="1"/>
      <w:numFmt w:val="bullet"/>
      <w:lvlText w:val="●"/>
      <w:lvlJc w:val="left"/>
      <w:pPr>
        <w:ind w:left="2880" w:hanging="360"/>
      </w:pPr>
    </w:lvl>
    <w:lvl w:ilvl="4" w:tplc="43E881FE">
      <w:start w:val="1"/>
      <w:numFmt w:val="bullet"/>
      <w:lvlText w:val="○"/>
      <w:lvlJc w:val="left"/>
      <w:pPr>
        <w:ind w:left="3600" w:hanging="360"/>
      </w:pPr>
    </w:lvl>
    <w:lvl w:ilvl="5" w:tplc="91E21FE0">
      <w:start w:val="1"/>
      <w:numFmt w:val="bullet"/>
      <w:lvlText w:val="■"/>
      <w:lvlJc w:val="left"/>
      <w:pPr>
        <w:ind w:left="4320" w:hanging="360"/>
      </w:pPr>
    </w:lvl>
    <w:lvl w:ilvl="6" w:tplc="1652B648">
      <w:start w:val="1"/>
      <w:numFmt w:val="bullet"/>
      <w:lvlText w:val="●"/>
      <w:lvlJc w:val="left"/>
      <w:pPr>
        <w:ind w:left="5040" w:hanging="360"/>
      </w:pPr>
    </w:lvl>
    <w:lvl w:ilvl="7" w:tplc="869ECD68">
      <w:start w:val="1"/>
      <w:numFmt w:val="bullet"/>
      <w:lvlText w:val="●"/>
      <w:lvlJc w:val="left"/>
      <w:pPr>
        <w:ind w:left="5760" w:hanging="360"/>
      </w:pPr>
    </w:lvl>
    <w:lvl w:ilvl="8" w:tplc="CE90F388">
      <w:start w:val="1"/>
      <w:numFmt w:val="bullet"/>
      <w:lvlText w:val="●"/>
      <w:lvlJc w:val="left"/>
      <w:pPr>
        <w:ind w:left="6480" w:hanging="360"/>
      </w:pPr>
    </w:lvl>
  </w:abstractNum>
  <w:num w:numId="1" w16cid:durableId="91393095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319"/>
    <w:rsid w:val="00001A3C"/>
    <w:rsid w:val="00006D43"/>
    <w:rsid w:val="000074E4"/>
    <w:rsid w:val="00030CA6"/>
    <w:rsid w:val="00032DE5"/>
    <w:rsid w:val="00054F50"/>
    <w:rsid w:val="000637DA"/>
    <w:rsid w:val="00070337"/>
    <w:rsid w:val="000E2691"/>
    <w:rsid w:val="000F24BE"/>
    <w:rsid w:val="00150C0C"/>
    <w:rsid w:val="0015566E"/>
    <w:rsid w:val="00157B3A"/>
    <w:rsid w:val="00166B81"/>
    <w:rsid w:val="001873AA"/>
    <w:rsid w:val="001B37B4"/>
    <w:rsid w:val="001F3941"/>
    <w:rsid w:val="001F4613"/>
    <w:rsid w:val="00204220"/>
    <w:rsid w:val="00206782"/>
    <w:rsid w:val="00221D43"/>
    <w:rsid w:val="00240F9E"/>
    <w:rsid w:val="00276979"/>
    <w:rsid w:val="002C4E69"/>
    <w:rsid w:val="002C7DE1"/>
    <w:rsid w:val="002E38C6"/>
    <w:rsid w:val="00325704"/>
    <w:rsid w:val="003939EE"/>
    <w:rsid w:val="003A7B0A"/>
    <w:rsid w:val="003D4305"/>
    <w:rsid w:val="004011CA"/>
    <w:rsid w:val="00416308"/>
    <w:rsid w:val="004429BF"/>
    <w:rsid w:val="00445C72"/>
    <w:rsid w:val="00476138"/>
    <w:rsid w:val="0048686A"/>
    <w:rsid w:val="004A2131"/>
    <w:rsid w:val="004B72C0"/>
    <w:rsid w:val="004C78AD"/>
    <w:rsid w:val="004F41DB"/>
    <w:rsid w:val="00503F0A"/>
    <w:rsid w:val="0052045F"/>
    <w:rsid w:val="005210D4"/>
    <w:rsid w:val="00527064"/>
    <w:rsid w:val="005308F4"/>
    <w:rsid w:val="00541680"/>
    <w:rsid w:val="00584B06"/>
    <w:rsid w:val="005B1F5A"/>
    <w:rsid w:val="005C1C78"/>
    <w:rsid w:val="005C3E09"/>
    <w:rsid w:val="005E294D"/>
    <w:rsid w:val="005E4881"/>
    <w:rsid w:val="005E540F"/>
    <w:rsid w:val="005F6654"/>
    <w:rsid w:val="00626A17"/>
    <w:rsid w:val="00641267"/>
    <w:rsid w:val="006445EF"/>
    <w:rsid w:val="00665F64"/>
    <w:rsid w:val="006D75F3"/>
    <w:rsid w:val="006E5AB1"/>
    <w:rsid w:val="00735EC8"/>
    <w:rsid w:val="00786782"/>
    <w:rsid w:val="00793126"/>
    <w:rsid w:val="00793869"/>
    <w:rsid w:val="007A1EA4"/>
    <w:rsid w:val="007A2D34"/>
    <w:rsid w:val="007A7B9D"/>
    <w:rsid w:val="007B00C6"/>
    <w:rsid w:val="007B4E37"/>
    <w:rsid w:val="007B4F69"/>
    <w:rsid w:val="00811361"/>
    <w:rsid w:val="008361F9"/>
    <w:rsid w:val="00857249"/>
    <w:rsid w:val="00860A1A"/>
    <w:rsid w:val="00886C1D"/>
    <w:rsid w:val="008B18D1"/>
    <w:rsid w:val="008E1DAB"/>
    <w:rsid w:val="008F1D10"/>
    <w:rsid w:val="008F2D10"/>
    <w:rsid w:val="00940ABE"/>
    <w:rsid w:val="00956BFE"/>
    <w:rsid w:val="009718BC"/>
    <w:rsid w:val="0097623A"/>
    <w:rsid w:val="0098785F"/>
    <w:rsid w:val="009A2855"/>
    <w:rsid w:val="009A49C5"/>
    <w:rsid w:val="009A757C"/>
    <w:rsid w:val="009C0319"/>
    <w:rsid w:val="009D69AE"/>
    <w:rsid w:val="009E508A"/>
    <w:rsid w:val="00A3343E"/>
    <w:rsid w:val="00A3400C"/>
    <w:rsid w:val="00A550A8"/>
    <w:rsid w:val="00A6320B"/>
    <w:rsid w:val="00A74C78"/>
    <w:rsid w:val="00A945FC"/>
    <w:rsid w:val="00AB150A"/>
    <w:rsid w:val="00AD186D"/>
    <w:rsid w:val="00AE1739"/>
    <w:rsid w:val="00B2215D"/>
    <w:rsid w:val="00B4500F"/>
    <w:rsid w:val="00B5177E"/>
    <w:rsid w:val="00B56CC9"/>
    <w:rsid w:val="00B57E4F"/>
    <w:rsid w:val="00B82254"/>
    <w:rsid w:val="00B90190"/>
    <w:rsid w:val="00B9123A"/>
    <w:rsid w:val="00BC30DE"/>
    <w:rsid w:val="00BD79C2"/>
    <w:rsid w:val="00BF3AA4"/>
    <w:rsid w:val="00C25127"/>
    <w:rsid w:val="00C8601C"/>
    <w:rsid w:val="00CD0754"/>
    <w:rsid w:val="00CE3EA0"/>
    <w:rsid w:val="00D86CC3"/>
    <w:rsid w:val="00DB0348"/>
    <w:rsid w:val="00DB1569"/>
    <w:rsid w:val="00DD2908"/>
    <w:rsid w:val="00DD692E"/>
    <w:rsid w:val="00DD6D04"/>
    <w:rsid w:val="00DE2089"/>
    <w:rsid w:val="00DF61ED"/>
    <w:rsid w:val="00E100D4"/>
    <w:rsid w:val="00E13688"/>
    <w:rsid w:val="00E17A08"/>
    <w:rsid w:val="00E214A3"/>
    <w:rsid w:val="00E451E3"/>
    <w:rsid w:val="00E932C4"/>
    <w:rsid w:val="00EC4C73"/>
    <w:rsid w:val="00EE4744"/>
    <w:rsid w:val="00EF4D7F"/>
    <w:rsid w:val="00F30C57"/>
    <w:rsid w:val="00F96FA3"/>
    <w:rsid w:val="00FA2ACA"/>
    <w:rsid w:val="00FE48CB"/>
    <w:rsid w:val="00FE6AE9"/>
    <w:rsid w:val="00FF4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582C0"/>
  <w15:docId w15:val="{031F8697-419A-4D98-B04C-704A1311E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793126"/>
    <w:pPr>
      <w:spacing w:after="100"/>
    </w:pPr>
  </w:style>
  <w:style w:type="paragraph" w:styleId="TOC2">
    <w:name w:val="toc 2"/>
    <w:basedOn w:val="Normal"/>
    <w:next w:val="Normal"/>
    <w:autoRedefine/>
    <w:uiPriority w:val="39"/>
    <w:unhideWhenUsed/>
    <w:rsid w:val="00793126"/>
    <w:pPr>
      <w:spacing w:after="100"/>
      <w:ind w:left="240"/>
    </w:pPr>
  </w:style>
  <w:style w:type="paragraph" w:styleId="Header">
    <w:name w:val="header"/>
    <w:basedOn w:val="Normal"/>
    <w:link w:val="HeaderChar"/>
    <w:uiPriority w:val="99"/>
    <w:unhideWhenUsed/>
    <w:rsid w:val="00AB150A"/>
    <w:pPr>
      <w:tabs>
        <w:tab w:val="center" w:pos="4513"/>
        <w:tab w:val="right" w:pos="9026"/>
      </w:tabs>
    </w:pPr>
  </w:style>
  <w:style w:type="character" w:customStyle="1" w:styleId="HeaderChar">
    <w:name w:val="Header Char"/>
    <w:basedOn w:val="DefaultParagraphFont"/>
    <w:link w:val="Header"/>
    <w:uiPriority w:val="99"/>
    <w:rsid w:val="00AB150A"/>
  </w:style>
  <w:style w:type="paragraph" w:styleId="Footer">
    <w:name w:val="footer"/>
    <w:basedOn w:val="Normal"/>
    <w:link w:val="FooterChar"/>
    <w:uiPriority w:val="99"/>
    <w:unhideWhenUsed/>
    <w:rsid w:val="00AB150A"/>
    <w:pPr>
      <w:tabs>
        <w:tab w:val="center" w:pos="4513"/>
        <w:tab w:val="right" w:pos="9026"/>
      </w:tabs>
    </w:pPr>
  </w:style>
  <w:style w:type="character" w:customStyle="1" w:styleId="FooterChar">
    <w:name w:val="Footer Char"/>
    <w:basedOn w:val="DefaultParagraphFont"/>
    <w:link w:val="Footer"/>
    <w:uiPriority w:val="99"/>
    <w:rsid w:val="00AB1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1602</TotalTime>
  <Pages>7</Pages>
  <Words>2269</Words>
  <Characters>14026</Characters>
  <Application>Microsoft Office Word</Application>
  <DocSecurity>0</DocSecurity>
  <Lines>233</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Chantal Montille</cp:lastModifiedBy>
  <cp:revision>135</cp:revision>
  <dcterms:created xsi:type="dcterms:W3CDTF">2026-08-04T13:40:00Z</dcterms:created>
  <dcterms:modified xsi:type="dcterms:W3CDTF">2026-08-04T20:30:00Z</dcterms:modified>
</cp:coreProperties>
</file>