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D6A11" w14:textId="551DAF44" w:rsidR="00B706D3" w:rsidRDefault="00A2198F" w:rsidP="00B706D3">
      <w:pPr>
        <w:pStyle w:val="Title"/>
        <w:adjustRightInd w:val="0"/>
        <w:snapToGrid w:val="0"/>
        <w:spacing w:before="240" w:after="240" w:line="360" w:lineRule="auto"/>
        <w:contextualSpacing w:val="0"/>
        <w:jc w:val="center"/>
        <w:rPr>
          <w:rFonts w:ascii="Times New Roman" w:hAnsi="Times New Roman" w:cs="Times New Roman"/>
          <w:color w:val="000000" w:themeColor="text1"/>
          <w:sz w:val="44"/>
          <w:szCs w:val="44"/>
          <w:lang w:val="en-US"/>
        </w:rPr>
      </w:pPr>
      <w:r w:rsidRPr="00977930">
        <w:rPr>
          <w:rFonts w:ascii="Times New Roman" w:hAnsi="Times New Roman" w:cs="Times New Roman"/>
          <w:noProof/>
          <w:color w:val="000000" w:themeColor="text1"/>
          <w:sz w:val="52"/>
          <w:szCs w:val="52"/>
          <w:lang w:val="en-GB" w:eastAsia="en-GB"/>
        </w:rPr>
        <w:drawing>
          <wp:inline distT="0" distB="0" distL="0" distR="0" wp14:anchorId="6ED99A18" wp14:editId="2CF9751E">
            <wp:extent cx="3237470" cy="1190827"/>
            <wp:effectExtent l="0" t="0" r="1270" b="3175"/>
            <wp:docPr id="1272164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4998" name=""/>
                    <pic:cNvPicPr/>
                  </pic:nvPicPr>
                  <pic:blipFill>
                    <a:blip r:embed="rId8"/>
                    <a:stretch>
                      <a:fillRect/>
                    </a:stretch>
                  </pic:blipFill>
                  <pic:spPr>
                    <a:xfrm>
                      <a:off x="0" y="0"/>
                      <a:ext cx="3253029" cy="1196550"/>
                    </a:xfrm>
                    <a:prstGeom prst="rect">
                      <a:avLst/>
                    </a:prstGeom>
                  </pic:spPr>
                </pic:pic>
              </a:graphicData>
            </a:graphic>
          </wp:inline>
        </w:drawing>
      </w:r>
    </w:p>
    <w:p w14:paraId="0F934BA1" w14:textId="77777777" w:rsidR="00B706D3" w:rsidRDefault="00B706D3" w:rsidP="00B706D3">
      <w:pPr>
        <w:pStyle w:val="Title"/>
        <w:adjustRightInd w:val="0"/>
        <w:snapToGrid w:val="0"/>
        <w:spacing w:before="240" w:after="240" w:line="360" w:lineRule="auto"/>
        <w:contextualSpacing w:val="0"/>
        <w:jc w:val="center"/>
        <w:rPr>
          <w:rFonts w:ascii="Times New Roman" w:hAnsi="Times New Roman" w:cs="Times New Roman"/>
          <w:color w:val="000000" w:themeColor="text1"/>
          <w:sz w:val="44"/>
          <w:szCs w:val="44"/>
          <w:lang w:val="en-US"/>
        </w:rPr>
      </w:pPr>
    </w:p>
    <w:p w14:paraId="3D44BB3F" w14:textId="4381721F" w:rsidR="00A2198F" w:rsidRPr="00A2198F" w:rsidRDefault="00A2198F" w:rsidP="00A2198F">
      <w:pPr>
        <w:pStyle w:val="Title"/>
        <w:adjustRightInd w:val="0"/>
        <w:snapToGrid w:val="0"/>
        <w:spacing w:before="240" w:after="240" w:line="360" w:lineRule="auto"/>
        <w:contextualSpacing w:val="0"/>
        <w:jc w:val="center"/>
        <w:rPr>
          <w:rFonts w:ascii="Times New Roman" w:hAnsi="Times New Roman" w:cs="Times New Roman"/>
          <w:color w:val="000000" w:themeColor="text1"/>
          <w:sz w:val="24"/>
          <w:szCs w:val="24"/>
          <w:lang w:val="en-US"/>
        </w:rPr>
      </w:pPr>
      <w:r w:rsidRPr="00A2198F">
        <w:rPr>
          <w:rFonts w:ascii="Times New Roman" w:hAnsi="Times New Roman" w:cs="Times New Roman"/>
          <w:color w:val="000000" w:themeColor="text1"/>
          <w:sz w:val="24"/>
          <w:szCs w:val="24"/>
          <w:lang w:val="en-US"/>
        </w:rPr>
        <w:t>Masters of Business Administration (MBA)</w:t>
      </w:r>
    </w:p>
    <w:p w14:paraId="29CA53D8" w14:textId="19BF5D37" w:rsidR="00A2198F" w:rsidRPr="00A2198F" w:rsidRDefault="00A2198F" w:rsidP="00A2198F">
      <w:pPr>
        <w:jc w:val="center"/>
        <w:rPr>
          <w:rFonts w:ascii="Times New Roman" w:hAnsi="Times New Roman" w:cs="Times New Roman"/>
          <w:lang w:val="en-US"/>
        </w:rPr>
      </w:pPr>
      <w:r w:rsidRPr="00A2198F">
        <w:rPr>
          <w:rFonts w:ascii="Times New Roman" w:hAnsi="Times New Roman" w:cs="Times New Roman"/>
          <w:lang w:val="en-US"/>
        </w:rPr>
        <w:t>Module Title: Financial Management</w:t>
      </w:r>
    </w:p>
    <w:p w14:paraId="63CE0E0B" w14:textId="01B28BFB" w:rsidR="00A2198F" w:rsidRPr="00A2198F" w:rsidRDefault="00A2198F" w:rsidP="00A2198F">
      <w:pPr>
        <w:jc w:val="center"/>
        <w:rPr>
          <w:rFonts w:ascii="Times New Roman" w:hAnsi="Times New Roman" w:cs="Times New Roman"/>
          <w:lang w:val="en-US"/>
        </w:rPr>
      </w:pPr>
      <w:r w:rsidRPr="00A2198F">
        <w:rPr>
          <w:rFonts w:ascii="Times New Roman" w:hAnsi="Times New Roman" w:cs="Times New Roman"/>
          <w:lang w:val="en-US"/>
        </w:rPr>
        <w:t>Module Code: LCMB7002</w:t>
      </w:r>
    </w:p>
    <w:p w14:paraId="11B7B279" w14:textId="77777777" w:rsidR="00A2198F" w:rsidRDefault="00A2198F" w:rsidP="00A2198F">
      <w:pPr>
        <w:jc w:val="center"/>
        <w:rPr>
          <w:rFonts w:ascii="Times New Roman" w:hAnsi="Times New Roman" w:cs="Times New Roman"/>
          <w:lang w:val="en-US"/>
        </w:rPr>
      </w:pPr>
    </w:p>
    <w:p w14:paraId="59590A8F" w14:textId="0C436CF5" w:rsidR="00A2198F" w:rsidRPr="00A2198F" w:rsidRDefault="00A2198F" w:rsidP="00A2198F">
      <w:pPr>
        <w:jc w:val="center"/>
        <w:rPr>
          <w:rFonts w:ascii="Times New Roman" w:hAnsi="Times New Roman" w:cs="Times New Roman"/>
          <w:lang w:val="en-US"/>
        </w:rPr>
      </w:pPr>
      <w:r w:rsidRPr="00A2198F">
        <w:rPr>
          <w:rFonts w:ascii="Times New Roman" w:hAnsi="Times New Roman" w:cs="Times New Roman"/>
          <w:lang w:val="en-US"/>
        </w:rPr>
        <w:t xml:space="preserve">Assessment Title: Financial Performance and Management Analysis </w:t>
      </w:r>
    </w:p>
    <w:p w14:paraId="2F05B3E3" w14:textId="470AADFB" w:rsidR="00A2198F" w:rsidRPr="00A2198F" w:rsidRDefault="00A2198F" w:rsidP="00A2198F">
      <w:pPr>
        <w:jc w:val="center"/>
        <w:rPr>
          <w:rFonts w:ascii="Times New Roman" w:hAnsi="Times New Roman" w:cs="Times New Roman"/>
          <w:lang w:val="en-US"/>
        </w:rPr>
      </w:pPr>
      <w:r w:rsidRPr="00A2198F">
        <w:rPr>
          <w:rFonts w:ascii="Times New Roman" w:hAnsi="Times New Roman" w:cs="Times New Roman"/>
          <w:lang w:val="en-US"/>
        </w:rPr>
        <w:t xml:space="preserve">Company: Kia Corporation </w:t>
      </w:r>
    </w:p>
    <w:p w14:paraId="5DB640F4" w14:textId="77777777" w:rsidR="00A2198F" w:rsidRDefault="00A2198F" w:rsidP="00E260B5">
      <w:pPr>
        <w:spacing w:line="360" w:lineRule="auto"/>
        <w:jc w:val="center"/>
        <w:rPr>
          <w:rFonts w:ascii="Times New Roman" w:hAnsi="Times New Roman" w:cs="Times New Roman"/>
          <w:lang w:eastAsia="en-GB"/>
        </w:rPr>
      </w:pPr>
    </w:p>
    <w:p w14:paraId="57AA21F7" w14:textId="4F4679AA" w:rsidR="00E260B5" w:rsidRPr="00A2198F" w:rsidRDefault="00A2198F" w:rsidP="00E260B5">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 xml:space="preserve">Student </w:t>
      </w:r>
      <w:r w:rsidR="00E260B5" w:rsidRPr="00A2198F">
        <w:rPr>
          <w:rFonts w:ascii="Times New Roman" w:hAnsi="Times New Roman" w:cs="Times New Roman"/>
          <w:lang w:eastAsia="en-GB"/>
        </w:rPr>
        <w:t>Name -</w:t>
      </w:r>
      <w:proofErr w:type="spellStart"/>
      <w:r w:rsidR="00E260B5" w:rsidRPr="00A2198F">
        <w:rPr>
          <w:rFonts w:ascii="Times New Roman" w:hAnsi="Times New Roman" w:cs="Times New Roman"/>
          <w:lang w:eastAsia="en-GB"/>
        </w:rPr>
        <w:t>Aemanben</w:t>
      </w:r>
      <w:proofErr w:type="spellEnd"/>
      <w:r w:rsidR="00E260B5" w:rsidRPr="00A2198F">
        <w:rPr>
          <w:rFonts w:ascii="Times New Roman" w:hAnsi="Times New Roman" w:cs="Times New Roman"/>
          <w:lang w:eastAsia="en-GB"/>
        </w:rPr>
        <w:t xml:space="preserve"> </w:t>
      </w:r>
      <w:proofErr w:type="spellStart"/>
      <w:r w:rsidR="00E260B5" w:rsidRPr="00A2198F">
        <w:rPr>
          <w:rFonts w:ascii="Times New Roman" w:hAnsi="Times New Roman" w:cs="Times New Roman"/>
          <w:lang w:eastAsia="en-GB"/>
        </w:rPr>
        <w:t>Anwarbhai</w:t>
      </w:r>
      <w:proofErr w:type="spellEnd"/>
      <w:r w:rsidR="00E260B5" w:rsidRPr="00A2198F">
        <w:rPr>
          <w:rFonts w:ascii="Times New Roman" w:hAnsi="Times New Roman" w:cs="Times New Roman"/>
          <w:lang w:eastAsia="en-GB"/>
        </w:rPr>
        <w:t xml:space="preserve"> Dhanani</w:t>
      </w:r>
    </w:p>
    <w:p w14:paraId="34E5EB81" w14:textId="77777777" w:rsidR="00E260B5" w:rsidRPr="00A2198F" w:rsidRDefault="00E260B5" w:rsidP="00E260B5">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Student id -2525496</w:t>
      </w:r>
    </w:p>
    <w:p w14:paraId="34A55128" w14:textId="77777777" w:rsidR="00A2198F" w:rsidRDefault="00A2198F" w:rsidP="00E260B5">
      <w:pPr>
        <w:spacing w:line="360" w:lineRule="auto"/>
        <w:jc w:val="center"/>
        <w:rPr>
          <w:rFonts w:ascii="Times New Roman" w:hAnsi="Times New Roman" w:cs="Times New Roman"/>
          <w:lang w:eastAsia="en-GB"/>
        </w:rPr>
      </w:pPr>
    </w:p>
    <w:p w14:paraId="77A99ACB" w14:textId="37901F91" w:rsidR="00A2198F" w:rsidRPr="00A2198F" w:rsidRDefault="00A2198F" w:rsidP="00E260B5">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 xml:space="preserve">Lecturer Name: </w:t>
      </w:r>
      <w:r w:rsidR="00AB1E0E">
        <w:rPr>
          <w:rFonts w:ascii="Times New Roman" w:hAnsi="Times New Roman" w:cs="Times New Roman"/>
          <w:lang w:eastAsia="en-GB"/>
        </w:rPr>
        <w:t xml:space="preserve">Isaiah </w:t>
      </w:r>
      <w:proofErr w:type="spellStart"/>
      <w:r w:rsidR="00AB1E0E">
        <w:rPr>
          <w:rFonts w:ascii="Times New Roman" w:hAnsi="Times New Roman" w:cs="Times New Roman"/>
          <w:lang w:eastAsia="en-GB"/>
        </w:rPr>
        <w:t>Oino</w:t>
      </w:r>
      <w:proofErr w:type="spellEnd"/>
      <w:r w:rsidR="00AB1E0E">
        <w:rPr>
          <w:rFonts w:ascii="Times New Roman" w:hAnsi="Times New Roman" w:cs="Times New Roman"/>
          <w:lang w:eastAsia="en-GB"/>
        </w:rPr>
        <w:t xml:space="preserve">, </w:t>
      </w:r>
      <w:proofErr w:type="spellStart"/>
      <w:r w:rsidRPr="00A2198F">
        <w:rPr>
          <w:rFonts w:ascii="Times New Roman" w:hAnsi="Times New Roman" w:cs="Times New Roman"/>
          <w:lang w:eastAsia="en-GB"/>
        </w:rPr>
        <w:t>Shengfeng</w:t>
      </w:r>
      <w:proofErr w:type="spellEnd"/>
      <w:r w:rsidRPr="00A2198F">
        <w:rPr>
          <w:rFonts w:ascii="Times New Roman" w:hAnsi="Times New Roman" w:cs="Times New Roman"/>
          <w:lang w:eastAsia="en-GB"/>
        </w:rPr>
        <w:t xml:space="preserve"> Mei </w:t>
      </w:r>
    </w:p>
    <w:p w14:paraId="5C5618E7" w14:textId="54010B10" w:rsidR="00A2198F" w:rsidRPr="00A2198F" w:rsidRDefault="00A2198F" w:rsidP="00E260B5">
      <w:pPr>
        <w:spacing w:line="360" w:lineRule="auto"/>
        <w:jc w:val="center"/>
        <w:rPr>
          <w:rFonts w:ascii="Times New Roman" w:hAnsi="Times New Roman" w:cs="Times New Roman"/>
          <w:lang w:eastAsia="en-GB"/>
        </w:rPr>
      </w:pPr>
      <w:r w:rsidRPr="00A2198F">
        <w:rPr>
          <w:rFonts w:ascii="Times New Roman" w:hAnsi="Times New Roman" w:cs="Times New Roman"/>
          <w:lang w:eastAsia="en-GB"/>
        </w:rPr>
        <w:t>Word Count: 534</w:t>
      </w:r>
      <w:r w:rsidR="00EA3102">
        <w:rPr>
          <w:rFonts w:ascii="Times New Roman" w:hAnsi="Times New Roman" w:cs="Times New Roman"/>
          <w:lang w:eastAsia="en-GB"/>
        </w:rPr>
        <w:t>6</w:t>
      </w:r>
      <w:r w:rsidRPr="00A2198F">
        <w:rPr>
          <w:rFonts w:ascii="Times New Roman" w:hAnsi="Times New Roman" w:cs="Times New Roman"/>
          <w:lang w:eastAsia="en-GB"/>
        </w:rPr>
        <w:t xml:space="preserve"> Words </w:t>
      </w:r>
    </w:p>
    <w:p w14:paraId="7C80A760" w14:textId="77777777" w:rsidR="00E260B5" w:rsidRPr="00E260B5" w:rsidRDefault="00E260B5" w:rsidP="00E260B5">
      <w:pPr>
        <w:rPr>
          <w:lang w:val="en-US"/>
        </w:rPr>
      </w:pPr>
    </w:p>
    <w:p w14:paraId="0780CE10" w14:textId="77777777" w:rsidR="007435F1" w:rsidRPr="00B706D3" w:rsidRDefault="007435F1"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br w:type="page"/>
      </w:r>
    </w:p>
    <w:sdt>
      <w:sdtPr>
        <w:rPr>
          <w:rFonts w:ascii="Times New Roman" w:eastAsiaTheme="minorHAnsi" w:hAnsi="Times New Roman" w:cs="Times New Roman"/>
          <w:b w:val="0"/>
          <w:bCs w:val="0"/>
          <w:color w:val="000000" w:themeColor="text1"/>
          <w:kern w:val="2"/>
          <w:sz w:val="24"/>
          <w:szCs w:val="24"/>
          <w:lang w:val="en-IN"/>
          <w14:ligatures w14:val="standardContextual"/>
        </w:rPr>
        <w:id w:val="-270317029"/>
        <w:docPartObj>
          <w:docPartGallery w:val="Table of Contents"/>
          <w:docPartUnique/>
        </w:docPartObj>
      </w:sdtPr>
      <w:sdtEndPr>
        <w:rPr>
          <w:noProof/>
        </w:rPr>
      </w:sdtEndPr>
      <w:sdtContent>
        <w:p w14:paraId="07F6BB4C" w14:textId="42314A0A" w:rsidR="00DB61B2" w:rsidRPr="00B706D3" w:rsidRDefault="00DB61B2" w:rsidP="00B706D3">
          <w:pPr>
            <w:pStyle w:val="TOCHeading"/>
            <w:adjustRightInd w:val="0"/>
            <w:snapToGrid w:val="0"/>
            <w:spacing w:before="240" w:after="240" w:line="360" w:lineRule="auto"/>
            <w:jc w:val="both"/>
            <w:rPr>
              <w:rFonts w:ascii="Times New Roman" w:hAnsi="Times New Roman" w:cs="Times New Roman"/>
              <w:color w:val="000000" w:themeColor="text1"/>
              <w:sz w:val="24"/>
              <w:szCs w:val="24"/>
            </w:rPr>
          </w:pPr>
          <w:r w:rsidRPr="00B706D3">
            <w:rPr>
              <w:rFonts w:ascii="Times New Roman" w:hAnsi="Times New Roman" w:cs="Times New Roman"/>
              <w:color w:val="000000" w:themeColor="text1"/>
              <w:sz w:val="24"/>
              <w:szCs w:val="24"/>
            </w:rPr>
            <w:t>Table of Contents</w:t>
          </w:r>
        </w:p>
        <w:p w14:paraId="7E4AF27F" w14:textId="7551E3CC" w:rsidR="004D7FF2" w:rsidRDefault="00DB61B2">
          <w:pPr>
            <w:pStyle w:val="TOC1"/>
            <w:tabs>
              <w:tab w:val="right" w:leader="dot" w:pos="9016"/>
            </w:tabs>
            <w:rPr>
              <w:rFonts w:eastAsiaTheme="minorEastAsia"/>
              <w:b w:val="0"/>
              <w:bCs w:val="0"/>
              <w:noProof/>
              <w:sz w:val="24"/>
              <w:szCs w:val="24"/>
              <w:lang w:eastAsia="en-GB"/>
            </w:rPr>
          </w:pPr>
          <w:r w:rsidRPr="00B706D3">
            <w:rPr>
              <w:rFonts w:ascii="Times New Roman" w:hAnsi="Times New Roman" w:cs="Times New Roman"/>
              <w:b w:val="0"/>
              <w:bCs w:val="0"/>
              <w:color w:val="000000" w:themeColor="text1"/>
              <w:sz w:val="24"/>
              <w:szCs w:val="24"/>
            </w:rPr>
            <w:fldChar w:fldCharType="begin"/>
          </w:r>
          <w:r w:rsidRPr="00B706D3">
            <w:rPr>
              <w:rFonts w:ascii="Times New Roman" w:hAnsi="Times New Roman" w:cs="Times New Roman"/>
              <w:color w:val="000000" w:themeColor="text1"/>
              <w:sz w:val="24"/>
              <w:szCs w:val="24"/>
            </w:rPr>
            <w:instrText xml:space="preserve"> TOC \o "1-3" \h \z \u </w:instrText>
          </w:r>
          <w:r w:rsidRPr="00B706D3">
            <w:rPr>
              <w:rFonts w:ascii="Times New Roman" w:hAnsi="Times New Roman" w:cs="Times New Roman"/>
              <w:b w:val="0"/>
              <w:bCs w:val="0"/>
              <w:color w:val="000000" w:themeColor="text1"/>
              <w:sz w:val="24"/>
              <w:szCs w:val="24"/>
            </w:rPr>
            <w:fldChar w:fldCharType="separate"/>
          </w:r>
          <w:hyperlink w:anchor="_Toc227875538" w:history="1">
            <w:r w:rsidR="004D7FF2" w:rsidRPr="006845C0">
              <w:rPr>
                <w:rStyle w:val="Hyperlink"/>
                <w:rFonts w:ascii="Times New Roman" w:hAnsi="Times New Roman" w:cs="Times New Roman"/>
                <w:noProof/>
                <w:lang w:val="en-US"/>
              </w:rPr>
              <w:t>1. Financial Health Check</w:t>
            </w:r>
            <w:r w:rsidR="004D7FF2">
              <w:rPr>
                <w:noProof/>
                <w:webHidden/>
              </w:rPr>
              <w:tab/>
            </w:r>
            <w:r w:rsidR="004D7FF2">
              <w:rPr>
                <w:noProof/>
                <w:webHidden/>
              </w:rPr>
              <w:fldChar w:fldCharType="begin"/>
            </w:r>
            <w:r w:rsidR="004D7FF2">
              <w:rPr>
                <w:noProof/>
                <w:webHidden/>
              </w:rPr>
              <w:instrText xml:space="preserve"> PAGEREF _Toc227875538 \h </w:instrText>
            </w:r>
            <w:r w:rsidR="004D7FF2">
              <w:rPr>
                <w:noProof/>
                <w:webHidden/>
              </w:rPr>
            </w:r>
            <w:r w:rsidR="004D7FF2">
              <w:rPr>
                <w:noProof/>
                <w:webHidden/>
              </w:rPr>
              <w:fldChar w:fldCharType="separate"/>
            </w:r>
            <w:r w:rsidR="00A53458">
              <w:rPr>
                <w:noProof/>
                <w:webHidden/>
              </w:rPr>
              <w:t>4</w:t>
            </w:r>
            <w:r w:rsidR="004D7FF2">
              <w:rPr>
                <w:noProof/>
                <w:webHidden/>
              </w:rPr>
              <w:fldChar w:fldCharType="end"/>
            </w:r>
          </w:hyperlink>
        </w:p>
        <w:p w14:paraId="1C45FA49" w14:textId="610C39F5" w:rsidR="004D7FF2" w:rsidRDefault="003D3DB3">
          <w:pPr>
            <w:pStyle w:val="TOC2"/>
            <w:tabs>
              <w:tab w:val="right" w:leader="dot" w:pos="9016"/>
            </w:tabs>
            <w:rPr>
              <w:rFonts w:eastAsiaTheme="minorEastAsia"/>
              <w:i w:val="0"/>
              <w:iCs w:val="0"/>
              <w:noProof/>
              <w:sz w:val="24"/>
              <w:szCs w:val="24"/>
              <w:lang w:eastAsia="en-GB"/>
            </w:rPr>
          </w:pPr>
          <w:hyperlink w:anchor="_Toc227875539" w:history="1">
            <w:r w:rsidR="004D7FF2" w:rsidRPr="006845C0">
              <w:rPr>
                <w:rStyle w:val="Hyperlink"/>
                <w:rFonts w:ascii="Times New Roman" w:hAnsi="Times New Roman" w:cs="Times New Roman"/>
                <w:b/>
                <w:bCs/>
                <w:noProof/>
                <w:lang w:val="en-US"/>
              </w:rPr>
              <w:t>1.1 Consolidated Income Statement Highlights</w:t>
            </w:r>
            <w:r w:rsidR="004D7FF2">
              <w:rPr>
                <w:noProof/>
                <w:webHidden/>
              </w:rPr>
              <w:tab/>
            </w:r>
            <w:r w:rsidR="004D7FF2">
              <w:rPr>
                <w:noProof/>
                <w:webHidden/>
              </w:rPr>
              <w:fldChar w:fldCharType="begin"/>
            </w:r>
            <w:r w:rsidR="004D7FF2">
              <w:rPr>
                <w:noProof/>
                <w:webHidden/>
              </w:rPr>
              <w:instrText xml:space="preserve"> PAGEREF _Toc227875539 \h </w:instrText>
            </w:r>
            <w:r w:rsidR="004D7FF2">
              <w:rPr>
                <w:noProof/>
                <w:webHidden/>
              </w:rPr>
            </w:r>
            <w:r w:rsidR="004D7FF2">
              <w:rPr>
                <w:noProof/>
                <w:webHidden/>
              </w:rPr>
              <w:fldChar w:fldCharType="separate"/>
            </w:r>
            <w:r w:rsidR="00A53458">
              <w:rPr>
                <w:noProof/>
                <w:webHidden/>
              </w:rPr>
              <w:t>4</w:t>
            </w:r>
            <w:r w:rsidR="004D7FF2">
              <w:rPr>
                <w:noProof/>
                <w:webHidden/>
              </w:rPr>
              <w:fldChar w:fldCharType="end"/>
            </w:r>
          </w:hyperlink>
        </w:p>
        <w:p w14:paraId="439F77A5" w14:textId="673AB17B" w:rsidR="004D7FF2" w:rsidRDefault="003D3DB3">
          <w:pPr>
            <w:pStyle w:val="TOC2"/>
            <w:tabs>
              <w:tab w:val="right" w:leader="dot" w:pos="9016"/>
            </w:tabs>
            <w:rPr>
              <w:rFonts w:eastAsiaTheme="minorEastAsia"/>
              <w:i w:val="0"/>
              <w:iCs w:val="0"/>
              <w:noProof/>
              <w:sz w:val="24"/>
              <w:szCs w:val="24"/>
              <w:lang w:eastAsia="en-GB"/>
            </w:rPr>
          </w:pPr>
          <w:hyperlink w:anchor="_Toc227875540" w:history="1">
            <w:r w:rsidR="004D7FF2" w:rsidRPr="006845C0">
              <w:rPr>
                <w:rStyle w:val="Hyperlink"/>
                <w:rFonts w:ascii="Times New Roman" w:hAnsi="Times New Roman" w:cs="Times New Roman"/>
                <w:b/>
                <w:bCs/>
                <w:noProof/>
                <w:lang w:val="en-US"/>
              </w:rPr>
              <w:t>1.2 Ratio Analysis</w:t>
            </w:r>
            <w:r w:rsidR="004D7FF2">
              <w:rPr>
                <w:noProof/>
                <w:webHidden/>
              </w:rPr>
              <w:tab/>
            </w:r>
            <w:r w:rsidR="004D7FF2">
              <w:rPr>
                <w:noProof/>
                <w:webHidden/>
              </w:rPr>
              <w:fldChar w:fldCharType="begin"/>
            </w:r>
            <w:r w:rsidR="004D7FF2">
              <w:rPr>
                <w:noProof/>
                <w:webHidden/>
              </w:rPr>
              <w:instrText xml:space="preserve"> PAGEREF _Toc227875540 \h </w:instrText>
            </w:r>
            <w:r w:rsidR="004D7FF2">
              <w:rPr>
                <w:noProof/>
                <w:webHidden/>
              </w:rPr>
            </w:r>
            <w:r w:rsidR="004D7FF2">
              <w:rPr>
                <w:noProof/>
                <w:webHidden/>
              </w:rPr>
              <w:fldChar w:fldCharType="separate"/>
            </w:r>
            <w:r w:rsidR="00A53458">
              <w:rPr>
                <w:noProof/>
                <w:webHidden/>
              </w:rPr>
              <w:t>6</w:t>
            </w:r>
            <w:r w:rsidR="004D7FF2">
              <w:rPr>
                <w:noProof/>
                <w:webHidden/>
              </w:rPr>
              <w:fldChar w:fldCharType="end"/>
            </w:r>
          </w:hyperlink>
        </w:p>
        <w:p w14:paraId="57BDC676" w14:textId="5A539A0C" w:rsidR="004D7FF2" w:rsidRDefault="003D3DB3">
          <w:pPr>
            <w:pStyle w:val="TOC2"/>
            <w:tabs>
              <w:tab w:val="right" w:leader="dot" w:pos="9016"/>
            </w:tabs>
            <w:rPr>
              <w:rFonts w:eastAsiaTheme="minorEastAsia"/>
              <w:i w:val="0"/>
              <w:iCs w:val="0"/>
              <w:noProof/>
              <w:sz w:val="24"/>
              <w:szCs w:val="24"/>
              <w:lang w:eastAsia="en-GB"/>
            </w:rPr>
          </w:pPr>
          <w:hyperlink w:anchor="_Toc227875541" w:history="1">
            <w:r w:rsidR="004D7FF2" w:rsidRPr="006845C0">
              <w:rPr>
                <w:rStyle w:val="Hyperlink"/>
                <w:rFonts w:ascii="Times New Roman" w:hAnsi="Times New Roman" w:cs="Times New Roman"/>
                <w:b/>
                <w:bCs/>
                <w:noProof/>
                <w:lang w:val="en-US"/>
              </w:rPr>
              <w:t>1.3 Key strengths and weaknesses</w:t>
            </w:r>
            <w:r w:rsidR="004D7FF2">
              <w:rPr>
                <w:noProof/>
                <w:webHidden/>
              </w:rPr>
              <w:tab/>
            </w:r>
            <w:r w:rsidR="004D7FF2">
              <w:rPr>
                <w:noProof/>
                <w:webHidden/>
              </w:rPr>
              <w:fldChar w:fldCharType="begin"/>
            </w:r>
            <w:r w:rsidR="004D7FF2">
              <w:rPr>
                <w:noProof/>
                <w:webHidden/>
              </w:rPr>
              <w:instrText xml:space="preserve"> PAGEREF _Toc227875541 \h </w:instrText>
            </w:r>
            <w:r w:rsidR="004D7FF2">
              <w:rPr>
                <w:noProof/>
                <w:webHidden/>
              </w:rPr>
            </w:r>
            <w:r w:rsidR="004D7FF2">
              <w:rPr>
                <w:noProof/>
                <w:webHidden/>
              </w:rPr>
              <w:fldChar w:fldCharType="separate"/>
            </w:r>
            <w:r w:rsidR="00A53458">
              <w:rPr>
                <w:noProof/>
                <w:webHidden/>
              </w:rPr>
              <w:t>11</w:t>
            </w:r>
            <w:r w:rsidR="004D7FF2">
              <w:rPr>
                <w:noProof/>
                <w:webHidden/>
              </w:rPr>
              <w:fldChar w:fldCharType="end"/>
            </w:r>
          </w:hyperlink>
        </w:p>
        <w:p w14:paraId="26738EAF" w14:textId="40ADA3A2" w:rsidR="004D7FF2" w:rsidRDefault="003D3DB3">
          <w:pPr>
            <w:pStyle w:val="TOC1"/>
            <w:tabs>
              <w:tab w:val="right" w:leader="dot" w:pos="9016"/>
            </w:tabs>
            <w:rPr>
              <w:rFonts w:eastAsiaTheme="minorEastAsia"/>
              <w:b w:val="0"/>
              <w:bCs w:val="0"/>
              <w:noProof/>
              <w:sz w:val="24"/>
              <w:szCs w:val="24"/>
              <w:lang w:eastAsia="en-GB"/>
            </w:rPr>
          </w:pPr>
          <w:hyperlink w:anchor="_Toc227875542" w:history="1">
            <w:r w:rsidR="004D7FF2" w:rsidRPr="006845C0">
              <w:rPr>
                <w:rStyle w:val="Hyperlink"/>
                <w:rFonts w:ascii="Times New Roman" w:hAnsi="Times New Roman" w:cs="Times New Roman"/>
                <w:noProof/>
                <w:lang w:val="en-US"/>
              </w:rPr>
              <w:t>2. Working Capital Management Analysis</w:t>
            </w:r>
            <w:r w:rsidR="004D7FF2">
              <w:rPr>
                <w:noProof/>
                <w:webHidden/>
              </w:rPr>
              <w:tab/>
            </w:r>
            <w:r w:rsidR="004D7FF2">
              <w:rPr>
                <w:noProof/>
                <w:webHidden/>
              </w:rPr>
              <w:fldChar w:fldCharType="begin"/>
            </w:r>
            <w:r w:rsidR="004D7FF2">
              <w:rPr>
                <w:noProof/>
                <w:webHidden/>
              </w:rPr>
              <w:instrText xml:space="preserve"> PAGEREF _Toc227875542 \h </w:instrText>
            </w:r>
            <w:r w:rsidR="004D7FF2">
              <w:rPr>
                <w:noProof/>
                <w:webHidden/>
              </w:rPr>
            </w:r>
            <w:r w:rsidR="004D7FF2">
              <w:rPr>
                <w:noProof/>
                <w:webHidden/>
              </w:rPr>
              <w:fldChar w:fldCharType="separate"/>
            </w:r>
            <w:r w:rsidR="00A53458">
              <w:rPr>
                <w:noProof/>
                <w:webHidden/>
              </w:rPr>
              <w:t>12</w:t>
            </w:r>
            <w:r w:rsidR="004D7FF2">
              <w:rPr>
                <w:noProof/>
                <w:webHidden/>
              </w:rPr>
              <w:fldChar w:fldCharType="end"/>
            </w:r>
          </w:hyperlink>
        </w:p>
        <w:p w14:paraId="3A35A60B" w14:textId="39586D67" w:rsidR="004D7FF2" w:rsidRDefault="003D3DB3">
          <w:pPr>
            <w:pStyle w:val="TOC2"/>
            <w:tabs>
              <w:tab w:val="right" w:leader="dot" w:pos="9016"/>
            </w:tabs>
            <w:rPr>
              <w:rFonts w:eastAsiaTheme="minorEastAsia"/>
              <w:i w:val="0"/>
              <w:iCs w:val="0"/>
              <w:noProof/>
              <w:sz w:val="24"/>
              <w:szCs w:val="24"/>
              <w:lang w:eastAsia="en-GB"/>
            </w:rPr>
          </w:pPr>
          <w:hyperlink w:anchor="_Toc227875543" w:history="1">
            <w:r w:rsidR="004D7FF2" w:rsidRPr="006845C0">
              <w:rPr>
                <w:rStyle w:val="Hyperlink"/>
                <w:rFonts w:ascii="Times New Roman" w:hAnsi="Times New Roman" w:cs="Times New Roman"/>
                <w:b/>
                <w:bCs/>
                <w:noProof/>
                <w:lang w:val="en-US"/>
              </w:rPr>
              <w:t>2.1 Assessing Cash Operating Cycle</w:t>
            </w:r>
            <w:r w:rsidR="004D7FF2">
              <w:rPr>
                <w:noProof/>
                <w:webHidden/>
              </w:rPr>
              <w:tab/>
            </w:r>
            <w:r w:rsidR="004D7FF2">
              <w:rPr>
                <w:noProof/>
                <w:webHidden/>
              </w:rPr>
              <w:fldChar w:fldCharType="begin"/>
            </w:r>
            <w:r w:rsidR="004D7FF2">
              <w:rPr>
                <w:noProof/>
                <w:webHidden/>
              </w:rPr>
              <w:instrText xml:space="preserve"> PAGEREF _Toc227875543 \h </w:instrText>
            </w:r>
            <w:r w:rsidR="004D7FF2">
              <w:rPr>
                <w:noProof/>
                <w:webHidden/>
              </w:rPr>
            </w:r>
            <w:r w:rsidR="004D7FF2">
              <w:rPr>
                <w:noProof/>
                <w:webHidden/>
              </w:rPr>
              <w:fldChar w:fldCharType="separate"/>
            </w:r>
            <w:r w:rsidR="00A53458">
              <w:rPr>
                <w:noProof/>
                <w:webHidden/>
              </w:rPr>
              <w:t>12</w:t>
            </w:r>
            <w:r w:rsidR="004D7FF2">
              <w:rPr>
                <w:noProof/>
                <w:webHidden/>
              </w:rPr>
              <w:fldChar w:fldCharType="end"/>
            </w:r>
          </w:hyperlink>
        </w:p>
        <w:p w14:paraId="372FBF00" w14:textId="6322FF5F" w:rsidR="004D7FF2" w:rsidRDefault="003D3DB3">
          <w:pPr>
            <w:pStyle w:val="TOC2"/>
            <w:tabs>
              <w:tab w:val="right" w:leader="dot" w:pos="9016"/>
            </w:tabs>
            <w:rPr>
              <w:rFonts w:eastAsiaTheme="minorEastAsia"/>
              <w:i w:val="0"/>
              <w:iCs w:val="0"/>
              <w:noProof/>
              <w:sz w:val="24"/>
              <w:szCs w:val="24"/>
              <w:lang w:eastAsia="en-GB"/>
            </w:rPr>
          </w:pPr>
          <w:hyperlink w:anchor="_Toc227875544" w:history="1">
            <w:r w:rsidR="004D7FF2" w:rsidRPr="006845C0">
              <w:rPr>
                <w:rStyle w:val="Hyperlink"/>
                <w:rFonts w:ascii="Times New Roman" w:hAnsi="Times New Roman" w:cs="Times New Roman"/>
                <w:b/>
                <w:bCs/>
                <w:noProof/>
                <w:lang w:val="en-US"/>
              </w:rPr>
              <w:t>2.2 Recommendations to improve liquidity through working capital reforms</w:t>
            </w:r>
            <w:r w:rsidR="004D7FF2">
              <w:rPr>
                <w:noProof/>
                <w:webHidden/>
              </w:rPr>
              <w:tab/>
            </w:r>
            <w:r w:rsidR="004D7FF2">
              <w:rPr>
                <w:noProof/>
                <w:webHidden/>
              </w:rPr>
              <w:fldChar w:fldCharType="begin"/>
            </w:r>
            <w:r w:rsidR="004D7FF2">
              <w:rPr>
                <w:noProof/>
                <w:webHidden/>
              </w:rPr>
              <w:instrText xml:space="preserve"> PAGEREF _Toc227875544 \h </w:instrText>
            </w:r>
            <w:r w:rsidR="004D7FF2">
              <w:rPr>
                <w:noProof/>
                <w:webHidden/>
              </w:rPr>
            </w:r>
            <w:r w:rsidR="004D7FF2">
              <w:rPr>
                <w:noProof/>
                <w:webHidden/>
              </w:rPr>
              <w:fldChar w:fldCharType="separate"/>
            </w:r>
            <w:r w:rsidR="00A53458">
              <w:rPr>
                <w:noProof/>
                <w:webHidden/>
              </w:rPr>
              <w:t>13</w:t>
            </w:r>
            <w:r w:rsidR="004D7FF2">
              <w:rPr>
                <w:noProof/>
                <w:webHidden/>
              </w:rPr>
              <w:fldChar w:fldCharType="end"/>
            </w:r>
          </w:hyperlink>
        </w:p>
        <w:p w14:paraId="3DBF3605" w14:textId="5AEF1EEF" w:rsidR="004D7FF2" w:rsidRDefault="003D3DB3">
          <w:pPr>
            <w:pStyle w:val="TOC2"/>
            <w:tabs>
              <w:tab w:val="right" w:leader="dot" w:pos="9016"/>
            </w:tabs>
            <w:rPr>
              <w:rFonts w:eastAsiaTheme="minorEastAsia"/>
              <w:i w:val="0"/>
              <w:iCs w:val="0"/>
              <w:noProof/>
              <w:sz w:val="24"/>
              <w:szCs w:val="24"/>
              <w:lang w:eastAsia="en-GB"/>
            </w:rPr>
          </w:pPr>
          <w:hyperlink w:anchor="_Toc227875545" w:history="1">
            <w:r w:rsidR="004D7FF2" w:rsidRPr="006845C0">
              <w:rPr>
                <w:rStyle w:val="Hyperlink"/>
                <w:rFonts w:ascii="Times New Roman" w:hAnsi="Times New Roman" w:cs="Times New Roman"/>
                <w:b/>
                <w:bCs/>
                <w:noProof/>
                <w:lang w:val="en-US"/>
              </w:rPr>
              <w:t>2.3 Short Vs Long-Term Financing Options</w:t>
            </w:r>
            <w:r w:rsidR="004D7FF2">
              <w:rPr>
                <w:noProof/>
                <w:webHidden/>
              </w:rPr>
              <w:tab/>
            </w:r>
            <w:r w:rsidR="004D7FF2">
              <w:rPr>
                <w:noProof/>
                <w:webHidden/>
              </w:rPr>
              <w:fldChar w:fldCharType="begin"/>
            </w:r>
            <w:r w:rsidR="004D7FF2">
              <w:rPr>
                <w:noProof/>
                <w:webHidden/>
              </w:rPr>
              <w:instrText xml:space="preserve"> PAGEREF _Toc227875545 \h </w:instrText>
            </w:r>
            <w:r w:rsidR="004D7FF2">
              <w:rPr>
                <w:noProof/>
                <w:webHidden/>
              </w:rPr>
            </w:r>
            <w:r w:rsidR="004D7FF2">
              <w:rPr>
                <w:noProof/>
                <w:webHidden/>
              </w:rPr>
              <w:fldChar w:fldCharType="separate"/>
            </w:r>
            <w:r w:rsidR="00A53458">
              <w:rPr>
                <w:noProof/>
                <w:webHidden/>
              </w:rPr>
              <w:t>14</w:t>
            </w:r>
            <w:r w:rsidR="004D7FF2">
              <w:rPr>
                <w:noProof/>
                <w:webHidden/>
              </w:rPr>
              <w:fldChar w:fldCharType="end"/>
            </w:r>
          </w:hyperlink>
        </w:p>
        <w:p w14:paraId="6B88418B" w14:textId="05F0B944" w:rsidR="004D7FF2" w:rsidRDefault="003D3DB3">
          <w:pPr>
            <w:pStyle w:val="TOC1"/>
            <w:tabs>
              <w:tab w:val="right" w:leader="dot" w:pos="9016"/>
            </w:tabs>
            <w:rPr>
              <w:rFonts w:eastAsiaTheme="minorEastAsia"/>
              <w:b w:val="0"/>
              <w:bCs w:val="0"/>
              <w:noProof/>
              <w:sz w:val="24"/>
              <w:szCs w:val="24"/>
              <w:lang w:eastAsia="en-GB"/>
            </w:rPr>
          </w:pPr>
          <w:hyperlink w:anchor="_Toc227875546" w:history="1">
            <w:r w:rsidR="004D7FF2" w:rsidRPr="006845C0">
              <w:rPr>
                <w:rStyle w:val="Hyperlink"/>
                <w:rFonts w:ascii="Times New Roman" w:hAnsi="Times New Roman" w:cs="Times New Roman"/>
                <w:noProof/>
                <w:lang w:val="en-US"/>
              </w:rPr>
              <w:t>3. Strategic Financial Restructuring Plan</w:t>
            </w:r>
            <w:r w:rsidR="004D7FF2">
              <w:rPr>
                <w:noProof/>
                <w:webHidden/>
              </w:rPr>
              <w:tab/>
            </w:r>
            <w:r w:rsidR="004D7FF2">
              <w:rPr>
                <w:noProof/>
                <w:webHidden/>
              </w:rPr>
              <w:fldChar w:fldCharType="begin"/>
            </w:r>
            <w:r w:rsidR="004D7FF2">
              <w:rPr>
                <w:noProof/>
                <w:webHidden/>
              </w:rPr>
              <w:instrText xml:space="preserve"> PAGEREF _Toc227875546 \h </w:instrText>
            </w:r>
            <w:r w:rsidR="004D7FF2">
              <w:rPr>
                <w:noProof/>
                <w:webHidden/>
              </w:rPr>
            </w:r>
            <w:r w:rsidR="004D7FF2">
              <w:rPr>
                <w:noProof/>
                <w:webHidden/>
              </w:rPr>
              <w:fldChar w:fldCharType="separate"/>
            </w:r>
            <w:r w:rsidR="00A53458">
              <w:rPr>
                <w:noProof/>
                <w:webHidden/>
              </w:rPr>
              <w:t>15</w:t>
            </w:r>
            <w:r w:rsidR="004D7FF2">
              <w:rPr>
                <w:noProof/>
                <w:webHidden/>
              </w:rPr>
              <w:fldChar w:fldCharType="end"/>
            </w:r>
          </w:hyperlink>
        </w:p>
        <w:p w14:paraId="654768A1" w14:textId="3724CB8D" w:rsidR="004D7FF2" w:rsidRDefault="003D3DB3">
          <w:pPr>
            <w:pStyle w:val="TOC2"/>
            <w:tabs>
              <w:tab w:val="right" w:leader="dot" w:pos="9016"/>
            </w:tabs>
            <w:rPr>
              <w:rFonts w:eastAsiaTheme="minorEastAsia"/>
              <w:i w:val="0"/>
              <w:iCs w:val="0"/>
              <w:noProof/>
              <w:sz w:val="24"/>
              <w:szCs w:val="24"/>
              <w:lang w:eastAsia="en-GB"/>
            </w:rPr>
          </w:pPr>
          <w:hyperlink w:anchor="_Toc227875547" w:history="1">
            <w:r w:rsidR="004D7FF2" w:rsidRPr="006845C0">
              <w:rPr>
                <w:rStyle w:val="Hyperlink"/>
                <w:rFonts w:ascii="Times New Roman" w:hAnsi="Times New Roman" w:cs="Times New Roman"/>
                <w:b/>
                <w:bCs/>
                <w:noProof/>
                <w:lang w:val="en-US"/>
              </w:rPr>
              <w:t>3.1 Recommended options</w:t>
            </w:r>
            <w:r w:rsidR="004D7FF2">
              <w:rPr>
                <w:noProof/>
                <w:webHidden/>
              </w:rPr>
              <w:tab/>
            </w:r>
            <w:r w:rsidR="004D7FF2">
              <w:rPr>
                <w:noProof/>
                <w:webHidden/>
              </w:rPr>
              <w:fldChar w:fldCharType="begin"/>
            </w:r>
            <w:r w:rsidR="004D7FF2">
              <w:rPr>
                <w:noProof/>
                <w:webHidden/>
              </w:rPr>
              <w:instrText xml:space="preserve"> PAGEREF _Toc227875547 \h </w:instrText>
            </w:r>
            <w:r w:rsidR="004D7FF2">
              <w:rPr>
                <w:noProof/>
                <w:webHidden/>
              </w:rPr>
            </w:r>
            <w:r w:rsidR="004D7FF2">
              <w:rPr>
                <w:noProof/>
                <w:webHidden/>
              </w:rPr>
              <w:fldChar w:fldCharType="separate"/>
            </w:r>
            <w:r w:rsidR="00A53458">
              <w:rPr>
                <w:noProof/>
                <w:webHidden/>
              </w:rPr>
              <w:t>15</w:t>
            </w:r>
            <w:r w:rsidR="004D7FF2">
              <w:rPr>
                <w:noProof/>
                <w:webHidden/>
              </w:rPr>
              <w:fldChar w:fldCharType="end"/>
            </w:r>
          </w:hyperlink>
        </w:p>
        <w:p w14:paraId="7F85E158" w14:textId="52B15FA4" w:rsidR="004D7FF2" w:rsidRDefault="003D3DB3">
          <w:pPr>
            <w:pStyle w:val="TOC2"/>
            <w:tabs>
              <w:tab w:val="right" w:leader="dot" w:pos="9016"/>
            </w:tabs>
            <w:rPr>
              <w:rFonts w:eastAsiaTheme="minorEastAsia"/>
              <w:i w:val="0"/>
              <w:iCs w:val="0"/>
              <w:noProof/>
              <w:sz w:val="24"/>
              <w:szCs w:val="24"/>
              <w:lang w:eastAsia="en-GB"/>
            </w:rPr>
          </w:pPr>
          <w:hyperlink w:anchor="_Toc227875548" w:history="1">
            <w:r w:rsidR="004D7FF2" w:rsidRPr="006845C0">
              <w:rPr>
                <w:rStyle w:val="Hyperlink"/>
                <w:rFonts w:ascii="Times New Roman" w:hAnsi="Times New Roman" w:cs="Times New Roman"/>
                <w:b/>
                <w:bCs/>
                <w:noProof/>
                <w:lang w:val="en-US"/>
              </w:rPr>
              <w:t>3.2 Impact on Shareholder Value, Debt Structure and Operational Flexibility</w:t>
            </w:r>
            <w:r w:rsidR="004D7FF2">
              <w:rPr>
                <w:noProof/>
                <w:webHidden/>
              </w:rPr>
              <w:tab/>
            </w:r>
            <w:r w:rsidR="004D7FF2">
              <w:rPr>
                <w:noProof/>
                <w:webHidden/>
              </w:rPr>
              <w:fldChar w:fldCharType="begin"/>
            </w:r>
            <w:r w:rsidR="004D7FF2">
              <w:rPr>
                <w:noProof/>
                <w:webHidden/>
              </w:rPr>
              <w:instrText xml:space="preserve"> PAGEREF _Toc227875548 \h </w:instrText>
            </w:r>
            <w:r w:rsidR="004D7FF2">
              <w:rPr>
                <w:noProof/>
                <w:webHidden/>
              </w:rPr>
            </w:r>
            <w:r w:rsidR="004D7FF2">
              <w:rPr>
                <w:noProof/>
                <w:webHidden/>
              </w:rPr>
              <w:fldChar w:fldCharType="separate"/>
            </w:r>
            <w:r w:rsidR="00A53458">
              <w:rPr>
                <w:noProof/>
                <w:webHidden/>
              </w:rPr>
              <w:t>16</w:t>
            </w:r>
            <w:r w:rsidR="004D7FF2">
              <w:rPr>
                <w:noProof/>
                <w:webHidden/>
              </w:rPr>
              <w:fldChar w:fldCharType="end"/>
            </w:r>
          </w:hyperlink>
        </w:p>
        <w:p w14:paraId="4E22ECA5" w14:textId="3D51A3CA" w:rsidR="004D7FF2" w:rsidRDefault="003D3DB3">
          <w:pPr>
            <w:pStyle w:val="TOC2"/>
            <w:tabs>
              <w:tab w:val="right" w:leader="dot" w:pos="9016"/>
            </w:tabs>
            <w:rPr>
              <w:rFonts w:eastAsiaTheme="minorEastAsia"/>
              <w:i w:val="0"/>
              <w:iCs w:val="0"/>
              <w:noProof/>
              <w:sz w:val="24"/>
              <w:szCs w:val="24"/>
              <w:lang w:eastAsia="en-GB"/>
            </w:rPr>
          </w:pPr>
          <w:hyperlink w:anchor="_Toc227875549" w:history="1">
            <w:r w:rsidR="004D7FF2" w:rsidRPr="006845C0">
              <w:rPr>
                <w:rStyle w:val="Hyperlink"/>
                <w:rFonts w:ascii="Times New Roman" w:hAnsi="Times New Roman" w:cs="Times New Roman"/>
                <w:b/>
                <w:bCs/>
                <w:noProof/>
              </w:rPr>
              <w:t>3.3 International and Ethical Considerations</w:t>
            </w:r>
            <w:r w:rsidR="004D7FF2">
              <w:rPr>
                <w:noProof/>
                <w:webHidden/>
              </w:rPr>
              <w:tab/>
            </w:r>
            <w:r w:rsidR="004D7FF2">
              <w:rPr>
                <w:noProof/>
                <w:webHidden/>
              </w:rPr>
              <w:fldChar w:fldCharType="begin"/>
            </w:r>
            <w:r w:rsidR="004D7FF2">
              <w:rPr>
                <w:noProof/>
                <w:webHidden/>
              </w:rPr>
              <w:instrText xml:space="preserve"> PAGEREF _Toc227875549 \h </w:instrText>
            </w:r>
            <w:r w:rsidR="004D7FF2">
              <w:rPr>
                <w:noProof/>
                <w:webHidden/>
              </w:rPr>
            </w:r>
            <w:r w:rsidR="004D7FF2">
              <w:rPr>
                <w:noProof/>
                <w:webHidden/>
              </w:rPr>
              <w:fldChar w:fldCharType="separate"/>
            </w:r>
            <w:r w:rsidR="00A53458">
              <w:rPr>
                <w:noProof/>
                <w:webHidden/>
              </w:rPr>
              <w:t>17</w:t>
            </w:r>
            <w:r w:rsidR="004D7FF2">
              <w:rPr>
                <w:noProof/>
                <w:webHidden/>
              </w:rPr>
              <w:fldChar w:fldCharType="end"/>
            </w:r>
          </w:hyperlink>
        </w:p>
        <w:p w14:paraId="2CDD6390" w14:textId="43EF01FE" w:rsidR="004D7FF2" w:rsidRDefault="003D3DB3">
          <w:pPr>
            <w:pStyle w:val="TOC1"/>
            <w:tabs>
              <w:tab w:val="right" w:leader="dot" w:pos="9016"/>
            </w:tabs>
            <w:rPr>
              <w:rFonts w:eastAsiaTheme="minorEastAsia"/>
              <w:b w:val="0"/>
              <w:bCs w:val="0"/>
              <w:noProof/>
              <w:sz w:val="24"/>
              <w:szCs w:val="24"/>
              <w:lang w:eastAsia="en-GB"/>
            </w:rPr>
          </w:pPr>
          <w:hyperlink w:anchor="_Toc227875550" w:history="1">
            <w:r w:rsidR="004D7FF2" w:rsidRPr="006845C0">
              <w:rPr>
                <w:rStyle w:val="Hyperlink"/>
                <w:rFonts w:ascii="Times New Roman" w:hAnsi="Times New Roman" w:cs="Times New Roman"/>
                <w:noProof/>
              </w:rPr>
              <w:t>4. Investment Appraisal and Capital Budgeting</w:t>
            </w:r>
            <w:r w:rsidR="004D7FF2">
              <w:rPr>
                <w:noProof/>
                <w:webHidden/>
              </w:rPr>
              <w:tab/>
            </w:r>
            <w:r w:rsidR="004D7FF2">
              <w:rPr>
                <w:noProof/>
                <w:webHidden/>
              </w:rPr>
              <w:fldChar w:fldCharType="begin"/>
            </w:r>
            <w:r w:rsidR="004D7FF2">
              <w:rPr>
                <w:noProof/>
                <w:webHidden/>
              </w:rPr>
              <w:instrText xml:space="preserve"> PAGEREF _Toc227875550 \h </w:instrText>
            </w:r>
            <w:r w:rsidR="004D7FF2">
              <w:rPr>
                <w:noProof/>
                <w:webHidden/>
              </w:rPr>
            </w:r>
            <w:r w:rsidR="004D7FF2">
              <w:rPr>
                <w:noProof/>
                <w:webHidden/>
              </w:rPr>
              <w:fldChar w:fldCharType="separate"/>
            </w:r>
            <w:r w:rsidR="00A53458">
              <w:rPr>
                <w:noProof/>
                <w:webHidden/>
              </w:rPr>
              <w:t>18</w:t>
            </w:r>
            <w:r w:rsidR="004D7FF2">
              <w:rPr>
                <w:noProof/>
                <w:webHidden/>
              </w:rPr>
              <w:fldChar w:fldCharType="end"/>
            </w:r>
          </w:hyperlink>
        </w:p>
        <w:p w14:paraId="44415B30" w14:textId="69CDCF27" w:rsidR="004D7FF2" w:rsidRDefault="003D3DB3">
          <w:pPr>
            <w:pStyle w:val="TOC2"/>
            <w:tabs>
              <w:tab w:val="right" w:leader="dot" w:pos="9016"/>
            </w:tabs>
            <w:rPr>
              <w:rFonts w:eastAsiaTheme="minorEastAsia"/>
              <w:i w:val="0"/>
              <w:iCs w:val="0"/>
              <w:noProof/>
              <w:sz w:val="24"/>
              <w:szCs w:val="24"/>
              <w:lang w:eastAsia="en-GB"/>
            </w:rPr>
          </w:pPr>
          <w:hyperlink w:anchor="_Toc227875551" w:history="1">
            <w:r w:rsidR="004D7FF2" w:rsidRPr="006845C0">
              <w:rPr>
                <w:rStyle w:val="Hyperlink"/>
                <w:rFonts w:ascii="Times New Roman" w:hAnsi="Times New Roman" w:cs="Times New Roman"/>
                <w:b/>
                <w:bCs/>
                <w:noProof/>
              </w:rPr>
              <w:t>4.1 Project Cash Flow Details</w:t>
            </w:r>
            <w:r w:rsidR="004D7FF2">
              <w:rPr>
                <w:noProof/>
                <w:webHidden/>
              </w:rPr>
              <w:tab/>
            </w:r>
            <w:r w:rsidR="004D7FF2">
              <w:rPr>
                <w:noProof/>
                <w:webHidden/>
              </w:rPr>
              <w:fldChar w:fldCharType="begin"/>
            </w:r>
            <w:r w:rsidR="004D7FF2">
              <w:rPr>
                <w:noProof/>
                <w:webHidden/>
              </w:rPr>
              <w:instrText xml:space="preserve"> PAGEREF _Toc227875551 \h </w:instrText>
            </w:r>
            <w:r w:rsidR="004D7FF2">
              <w:rPr>
                <w:noProof/>
                <w:webHidden/>
              </w:rPr>
            </w:r>
            <w:r w:rsidR="004D7FF2">
              <w:rPr>
                <w:noProof/>
                <w:webHidden/>
              </w:rPr>
              <w:fldChar w:fldCharType="separate"/>
            </w:r>
            <w:r w:rsidR="00A53458">
              <w:rPr>
                <w:noProof/>
                <w:webHidden/>
              </w:rPr>
              <w:t>19</w:t>
            </w:r>
            <w:r w:rsidR="004D7FF2">
              <w:rPr>
                <w:noProof/>
                <w:webHidden/>
              </w:rPr>
              <w:fldChar w:fldCharType="end"/>
            </w:r>
          </w:hyperlink>
        </w:p>
        <w:p w14:paraId="1A540C0B" w14:textId="298859FE" w:rsidR="004D7FF2" w:rsidRDefault="003D3DB3">
          <w:pPr>
            <w:pStyle w:val="TOC2"/>
            <w:tabs>
              <w:tab w:val="right" w:leader="dot" w:pos="9016"/>
            </w:tabs>
            <w:rPr>
              <w:rFonts w:eastAsiaTheme="minorEastAsia"/>
              <w:i w:val="0"/>
              <w:iCs w:val="0"/>
              <w:noProof/>
              <w:sz w:val="24"/>
              <w:szCs w:val="24"/>
              <w:lang w:eastAsia="en-GB"/>
            </w:rPr>
          </w:pPr>
          <w:hyperlink w:anchor="_Toc227875552" w:history="1">
            <w:r w:rsidR="004D7FF2" w:rsidRPr="006845C0">
              <w:rPr>
                <w:rStyle w:val="Hyperlink"/>
                <w:rFonts w:ascii="Times New Roman" w:hAnsi="Times New Roman" w:cs="Times New Roman"/>
                <w:b/>
                <w:bCs/>
                <w:noProof/>
              </w:rPr>
              <w:t>4.2 Detailed Appraisal Using Capital Budgeting Techniques</w:t>
            </w:r>
            <w:r w:rsidR="004D7FF2">
              <w:rPr>
                <w:noProof/>
                <w:webHidden/>
              </w:rPr>
              <w:tab/>
            </w:r>
            <w:r w:rsidR="004D7FF2">
              <w:rPr>
                <w:noProof/>
                <w:webHidden/>
              </w:rPr>
              <w:fldChar w:fldCharType="begin"/>
            </w:r>
            <w:r w:rsidR="004D7FF2">
              <w:rPr>
                <w:noProof/>
                <w:webHidden/>
              </w:rPr>
              <w:instrText xml:space="preserve"> PAGEREF _Toc227875552 \h </w:instrText>
            </w:r>
            <w:r w:rsidR="004D7FF2">
              <w:rPr>
                <w:noProof/>
                <w:webHidden/>
              </w:rPr>
            </w:r>
            <w:r w:rsidR="004D7FF2">
              <w:rPr>
                <w:noProof/>
                <w:webHidden/>
              </w:rPr>
              <w:fldChar w:fldCharType="separate"/>
            </w:r>
            <w:r w:rsidR="00A53458">
              <w:rPr>
                <w:noProof/>
                <w:webHidden/>
              </w:rPr>
              <w:t>19</w:t>
            </w:r>
            <w:r w:rsidR="004D7FF2">
              <w:rPr>
                <w:noProof/>
                <w:webHidden/>
              </w:rPr>
              <w:fldChar w:fldCharType="end"/>
            </w:r>
          </w:hyperlink>
        </w:p>
        <w:p w14:paraId="255EC00A" w14:textId="7D66DD53" w:rsidR="004D7FF2" w:rsidRDefault="003D3DB3">
          <w:pPr>
            <w:pStyle w:val="TOC2"/>
            <w:tabs>
              <w:tab w:val="right" w:leader="dot" w:pos="9016"/>
            </w:tabs>
            <w:rPr>
              <w:rFonts w:eastAsiaTheme="minorEastAsia"/>
              <w:i w:val="0"/>
              <w:iCs w:val="0"/>
              <w:noProof/>
              <w:sz w:val="24"/>
              <w:szCs w:val="24"/>
              <w:lang w:eastAsia="en-GB"/>
            </w:rPr>
          </w:pPr>
          <w:hyperlink w:anchor="_Toc227875553" w:history="1">
            <w:r w:rsidR="004D7FF2" w:rsidRPr="006845C0">
              <w:rPr>
                <w:rStyle w:val="Hyperlink"/>
                <w:rFonts w:ascii="Times New Roman" w:hAnsi="Times New Roman" w:cs="Times New Roman"/>
                <w:b/>
                <w:bCs/>
                <w:noProof/>
              </w:rPr>
              <w:t>4.3 Recommended project and justification</w:t>
            </w:r>
            <w:r w:rsidR="004D7FF2">
              <w:rPr>
                <w:noProof/>
                <w:webHidden/>
              </w:rPr>
              <w:tab/>
            </w:r>
            <w:r w:rsidR="004D7FF2">
              <w:rPr>
                <w:noProof/>
                <w:webHidden/>
              </w:rPr>
              <w:fldChar w:fldCharType="begin"/>
            </w:r>
            <w:r w:rsidR="004D7FF2">
              <w:rPr>
                <w:noProof/>
                <w:webHidden/>
              </w:rPr>
              <w:instrText xml:space="preserve"> PAGEREF _Toc227875553 \h </w:instrText>
            </w:r>
            <w:r w:rsidR="004D7FF2">
              <w:rPr>
                <w:noProof/>
                <w:webHidden/>
              </w:rPr>
            </w:r>
            <w:r w:rsidR="004D7FF2">
              <w:rPr>
                <w:noProof/>
                <w:webHidden/>
              </w:rPr>
              <w:fldChar w:fldCharType="separate"/>
            </w:r>
            <w:r w:rsidR="00A53458">
              <w:rPr>
                <w:noProof/>
                <w:webHidden/>
              </w:rPr>
              <w:t>20</w:t>
            </w:r>
            <w:r w:rsidR="004D7FF2">
              <w:rPr>
                <w:noProof/>
                <w:webHidden/>
              </w:rPr>
              <w:fldChar w:fldCharType="end"/>
            </w:r>
          </w:hyperlink>
        </w:p>
        <w:p w14:paraId="3EFA0265" w14:textId="2DE05F38" w:rsidR="004D7FF2" w:rsidRDefault="003D3DB3">
          <w:pPr>
            <w:pStyle w:val="TOC2"/>
            <w:tabs>
              <w:tab w:val="right" w:leader="dot" w:pos="9016"/>
            </w:tabs>
            <w:rPr>
              <w:rFonts w:eastAsiaTheme="minorEastAsia"/>
              <w:i w:val="0"/>
              <w:iCs w:val="0"/>
              <w:noProof/>
              <w:sz w:val="24"/>
              <w:szCs w:val="24"/>
              <w:lang w:eastAsia="en-GB"/>
            </w:rPr>
          </w:pPr>
          <w:hyperlink w:anchor="_Toc227875554" w:history="1">
            <w:r w:rsidR="004D7FF2" w:rsidRPr="006845C0">
              <w:rPr>
                <w:rStyle w:val="Hyperlink"/>
                <w:rFonts w:ascii="Times New Roman" w:hAnsi="Times New Roman" w:cs="Times New Roman"/>
                <w:b/>
                <w:bCs/>
                <w:noProof/>
              </w:rPr>
              <w:t>4.4 Capital Rationing</w:t>
            </w:r>
            <w:r w:rsidR="004D7FF2">
              <w:rPr>
                <w:noProof/>
                <w:webHidden/>
              </w:rPr>
              <w:tab/>
            </w:r>
            <w:r w:rsidR="004D7FF2">
              <w:rPr>
                <w:noProof/>
                <w:webHidden/>
              </w:rPr>
              <w:fldChar w:fldCharType="begin"/>
            </w:r>
            <w:r w:rsidR="004D7FF2">
              <w:rPr>
                <w:noProof/>
                <w:webHidden/>
              </w:rPr>
              <w:instrText xml:space="preserve"> PAGEREF _Toc227875554 \h </w:instrText>
            </w:r>
            <w:r w:rsidR="004D7FF2">
              <w:rPr>
                <w:noProof/>
                <w:webHidden/>
              </w:rPr>
            </w:r>
            <w:r w:rsidR="004D7FF2">
              <w:rPr>
                <w:noProof/>
                <w:webHidden/>
              </w:rPr>
              <w:fldChar w:fldCharType="separate"/>
            </w:r>
            <w:r w:rsidR="00A53458">
              <w:rPr>
                <w:noProof/>
                <w:webHidden/>
              </w:rPr>
              <w:t>21</w:t>
            </w:r>
            <w:r w:rsidR="004D7FF2">
              <w:rPr>
                <w:noProof/>
                <w:webHidden/>
              </w:rPr>
              <w:fldChar w:fldCharType="end"/>
            </w:r>
          </w:hyperlink>
        </w:p>
        <w:p w14:paraId="183AB077" w14:textId="11399AD8" w:rsidR="004D7FF2" w:rsidRDefault="003D3DB3">
          <w:pPr>
            <w:pStyle w:val="TOC2"/>
            <w:tabs>
              <w:tab w:val="right" w:leader="dot" w:pos="9016"/>
            </w:tabs>
            <w:rPr>
              <w:rFonts w:eastAsiaTheme="minorEastAsia"/>
              <w:i w:val="0"/>
              <w:iCs w:val="0"/>
              <w:noProof/>
              <w:sz w:val="24"/>
              <w:szCs w:val="24"/>
              <w:lang w:eastAsia="en-GB"/>
            </w:rPr>
          </w:pPr>
          <w:hyperlink w:anchor="_Toc227875555" w:history="1">
            <w:r w:rsidR="004D7FF2" w:rsidRPr="006845C0">
              <w:rPr>
                <w:rStyle w:val="Hyperlink"/>
                <w:rFonts w:ascii="Times New Roman" w:hAnsi="Times New Roman" w:cs="Times New Roman"/>
                <w:b/>
                <w:bCs/>
                <w:noProof/>
              </w:rPr>
              <w:t>4.5 Implementation considerations and risks</w:t>
            </w:r>
            <w:r w:rsidR="004D7FF2">
              <w:rPr>
                <w:noProof/>
                <w:webHidden/>
              </w:rPr>
              <w:tab/>
            </w:r>
            <w:r w:rsidR="004D7FF2">
              <w:rPr>
                <w:noProof/>
                <w:webHidden/>
              </w:rPr>
              <w:fldChar w:fldCharType="begin"/>
            </w:r>
            <w:r w:rsidR="004D7FF2">
              <w:rPr>
                <w:noProof/>
                <w:webHidden/>
              </w:rPr>
              <w:instrText xml:space="preserve"> PAGEREF _Toc227875555 \h </w:instrText>
            </w:r>
            <w:r w:rsidR="004D7FF2">
              <w:rPr>
                <w:noProof/>
                <w:webHidden/>
              </w:rPr>
            </w:r>
            <w:r w:rsidR="004D7FF2">
              <w:rPr>
                <w:noProof/>
                <w:webHidden/>
              </w:rPr>
              <w:fldChar w:fldCharType="separate"/>
            </w:r>
            <w:r w:rsidR="00A53458">
              <w:rPr>
                <w:noProof/>
                <w:webHidden/>
              </w:rPr>
              <w:t>22</w:t>
            </w:r>
            <w:r w:rsidR="004D7FF2">
              <w:rPr>
                <w:noProof/>
                <w:webHidden/>
              </w:rPr>
              <w:fldChar w:fldCharType="end"/>
            </w:r>
          </w:hyperlink>
        </w:p>
        <w:p w14:paraId="1E907B8E" w14:textId="6C123DCE" w:rsidR="004D7FF2" w:rsidRDefault="003D3DB3">
          <w:pPr>
            <w:pStyle w:val="TOC2"/>
            <w:tabs>
              <w:tab w:val="right" w:leader="dot" w:pos="9016"/>
            </w:tabs>
            <w:rPr>
              <w:rFonts w:eastAsiaTheme="minorEastAsia"/>
              <w:i w:val="0"/>
              <w:iCs w:val="0"/>
              <w:noProof/>
              <w:sz w:val="24"/>
              <w:szCs w:val="24"/>
              <w:lang w:eastAsia="en-GB"/>
            </w:rPr>
          </w:pPr>
          <w:hyperlink w:anchor="_Toc227875556" w:history="1">
            <w:r w:rsidR="004D7FF2" w:rsidRPr="006845C0">
              <w:rPr>
                <w:rStyle w:val="Hyperlink"/>
                <w:rFonts w:ascii="Times New Roman" w:hAnsi="Times New Roman" w:cs="Times New Roman"/>
                <w:b/>
                <w:bCs/>
                <w:noProof/>
              </w:rPr>
              <w:t>4.6 Conclusion</w:t>
            </w:r>
            <w:r w:rsidR="004D7FF2">
              <w:rPr>
                <w:noProof/>
                <w:webHidden/>
              </w:rPr>
              <w:tab/>
            </w:r>
            <w:r w:rsidR="004D7FF2">
              <w:rPr>
                <w:noProof/>
                <w:webHidden/>
              </w:rPr>
              <w:fldChar w:fldCharType="begin"/>
            </w:r>
            <w:r w:rsidR="004D7FF2">
              <w:rPr>
                <w:noProof/>
                <w:webHidden/>
              </w:rPr>
              <w:instrText xml:space="preserve"> PAGEREF _Toc227875556 \h </w:instrText>
            </w:r>
            <w:r w:rsidR="004D7FF2">
              <w:rPr>
                <w:noProof/>
                <w:webHidden/>
              </w:rPr>
            </w:r>
            <w:r w:rsidR="004D7FF2">
              <w:rPr>
                <w:noProof/>
                <w:webHidden/>
              </w:rPr>
              <w:fldChar w:fldCharType="separate"/>
            </w:r>
            <w:r w:rsidR="00A53458">
              <w:rPr>
                <w:noProof/>
                <w:webHidden/>
              </w:rPr>
              <w:t>22</w:t>
            </w:r>
            <w:r w:rsidR="004D7FF2">
              <w:rPr>
                <w:noProof/>
                <w:webHidden/>
              </w:rPr>
              <w:fldChar w:fldCharType="end"/>
            </w:r>
          </w:hyperlink>
        </w:p>
        <w:p w14:paraId="27E0C483" w14:textId="2FA7876D" w:rsidR="004D7FF2" w:rsidRDefault="003D3DB3">
          <w:pPr>
            <w:pStyle w:val="TOC1"/>
            <w:tabs>
              <w:tab w:val="right" w:leader="dot" w:pos="9016"/>
            </w:tabs>
            <w:rPr>
              <w:rFonts w:eastAsiaTheme="minorEastAsia"/>
              <w:b w:val="0"/>
              <w:bCs w:val="0"/>
              <w:noProof/>
              <w:sz w:val="24"/>
              <w:szCs w:val="24"/>
              <w:lang w:eastAsia="en-GB"/>
            </w:rPr>
          </w:pPr>
          <w:hyperlink w:anchor="_Toc227875557" w:history="1">
            <w:r w:rsidR="004D7FF2" w:rsidRPr="006845C0">
              <w:rPr>
                <w:rStyle w:val="Hyperlink"/>
                <w:rFonts w:ascii="Times New Roman" w:hAnsi="Times New Roman" w:cs="Times New Roman"/>
                <w:noProof/>
              </w:rPr>
              <w:t>References</w:t>
            </w:r>
            <w:r w:rsidR="004D7FF2">
              <w:rPr>
                <w:noProof/>
                <w:webHidden/>
              </w:rPr>
              <w:tab/>
            </w:r>
            <w:r w:rsidR="004D7FF2">
              <w:rPr>
                <w:noProof/>
                <w:webHidden/>
              </w:rPr>
              <w:fldChar w:fldCharType="begin"/>
            </w:r>
            <w:r w:rsidR="004D7FF2">
              <w:rPr>
                <w:noProof/>
                <w:webHidden/>
              </w:rPr>
              <w:instrText xml:space="preserve"> PAGEREF _Toc227875557 \h </w:instrText>
            </w:r>
            <w:r w:rsidR="004D7FF2">
              <w:rPr>
                <w:noProof/>
                <w:webHidden/>
              </w:rPr>
            </w:r>
            <w:r w:rsidR="004D7FF2">
              <w:rPr>
                <w:noProof/>
                <w:webHidden/>
              </w:rPr>
              <w:fldChar w:fldCharType="separate"/>
            </w:r>
            <w:r w:rsidR="00A53458">
              <w:rPr>
                <w:noProof/>
                <w:webHidden/>
              </w:rPr>
              <w:t>24</w:t>
            </w:r>
            <w:r w:rsidR="004D7FF2">
              <w:rPr>
                <w:noProof/>
                <w:webHidden/>
              </w:rPr>
              <w:fldChar w:fldCharType="end"/>
            </w:r>
          </w:hyperlink>
        </w:p>
        <w:p w14:paraId="74DFABD4" w14:textId="02C26DFF" w:rsidR="004D7FF2" w:rsidRDefault="003D3DB3">
          <w:pPr>
            <w:pStyle w:val="TOC1"/>
            <w:tabs>
              <w:tab w:val="right" w:leader="dot" w:pos="9016"/>
            </w:tabs>
            <w:rPr>
              <w:rFonts w:eastAsiaTheme="minorEastAsia"/>
              <w:b w:val="0"/>
              <w:bCs w:val="0"/>
              <w:noProof/>
              <w:sz w:val="24"/>
              <w:szCs w:val="24"/>
              <w:lang w:eastAsia="en-GB"/>
            </w:rPr>
          </w:pPr>
          <w:hyperlink w:anchor="_Toc227875558" w:history="1">
            <w:r w:rsidR="004D7FF2" w:rsidRPr="006845C0">
              <w:rPr>
                <w:rStyle w:val="Hyperlink"/>
                <w:rFonts w:ascii="Times New Roman" w:hAnsi="Times New Roman" w:cs="Times New Roman"/>
                <w:noProof/>
              </w:rPr>
              <w:t>Appendices</w:t>
            </w:r>
            <w:r w:rsidR="004D7FF2">
              <w:rPr>
                <w:noProof/>
                <w:webHidden/>
              </w:rPr>
              <w:tab/>
            </w:r>
            <w:r w:rsidR="004D7FF2">
              <w:rPr>
                <w:noProof/>
                <w:webHidden/>
              </w:rPr>
              <w:fldChar w:fldCharType="begin"/>
            </w:r>
            <w:r w:rsidR="004D7FF2">
              <w:rPr>
                <w:noProof/>
                <w:webHidden/>
              </w:rPr>
              <w:instrText xml:space="preserve"> PAGEREF _Toc227875558 \h </w:instrText>
            </w:r>
            <w:r w:rsidR="004D7FF2">
              <w:rPr>
                <w:noProof/>
                <w:webHidden/>
              </w:rPr>
            </w:r>
            <w:r w:rsidR="004D7FF2">
              <w:rPr>
                <w:noProof/>
                <w:webHidden/>
              </w:rPr>
              <w:fldChar w:fldCharType="separate"/>
            </w:r>
            <w:r w:rsidR="00A53458">
              <w:rPr>
                <w:noProof/>
                <w:webHidden/>
              </w:rPr>
              <w:t>29</w:t>
            </w:r>
            <w:r w:rsidR="004D7FF2">
              <w:rPr>
                <w:noProof/>
                <w:webHidden/>
              </w:rPr>
              <w:fldChar w:fldCharType="end"/>
            </w:r>
          </w:hyperlink>
        </w:p>
        <w:p w14:paraId="43CFE6D7" w14:textId="07B3FD89" w:rsidR="004D7FF2" w:rsidRDefault="003D3DB3">
          <w:pPr>
            <w:pStyle w:val="TOC2"/>
            <w:tabs>
              <w:tab w:val="right" w:leader="dot" w:pos="9016"/>
            </w:tabs>
            <w:rPr>
              <w:rFonts w:eastAsiaTheme="minorEastAsia"/>
              <w:i w:val="0"/>
              <w:iCs w:val="0"/>
              <w:noProof/>
              <w:sz w:val="24"/>
              <w:szCs w:val="24"/>
              <w:lang w:eastAsia="en-GB"/>
            </w:rPr>
          </w:pPr>
          <w:hyperlink w:anchor="_Toc227875559" w:history="1">
            <w:r w:rsidR="004D7FF2" w:rsidRPr="006845C0">
              <w:rPr>
                <w:rStyle w:val="Hyperlink"/>
                <w:rFonts w:ascii="Times New Roman" w:hAnsi="Times New Roman" w:cs="Times New Roman"/>
                <w:b/>
                <w:bCs/>
                <w:noProof/>
              </w:rPr>
              <w:t>1. Kia Income Statement 2024</w:t>
            </w:r>
            <w:r w:rsidR="004D7FF2">
              <w:rPr>
                <w:noProof/>
                <w:webHidden/>
              </w:rPr>
              <w:tab/>
            </w:r>
            <w:r w:rsidR="004D7FF2">
              <w:rPr>
                <w:noProof/>
                <w:webHidden/>
              </w:rPr>
              <w:fldChar w:fldCharType="begin"/>
            </w:r>
            <w:r w:rsidR="004D7FF2">
              <w:rPr>
                <w:noProof/>
                <w:webHidden/>
              </w:rPr>
              <w:instrText xml:space="preserve"> PAGEREF _Toc227875559 \h </w:instrText>
            </w:r>
            <w:r w:rsidR="004D7FF2">
              <w:rPr>
                <w:noProof/>
                <w:webHidden/>
              </w:rPr>
            </w:r>
            <w:r w:rsidR="004D7FF2">
              <w:rPr>
                <w:noProof/>
                <w:webHidden/>
              </w:rPr>
              <w:fldChar w:fldCharType="separate"/>
            </w:r>
            <w:r w:rsidR="00A53458">
              <w:rPr>
                <w:noProof/>
                <w:webHidden/>
              </w:rPr>
              <w:t>29</w:t>
            </w:r>
            <w:r w:rsidR="004D7FF2">
              <w:rPr>
                <w:noProof/>
                <w:webHidden/>
              </w:rPr>
              <w:fldChar w:fldCharType="end"/>
            </w:r>
          </w:hyperlink>
        </w:p>
        <w:p w14:paraId="19D7A57E" w14:textId="3AE6E5F9" w:rsidR="004D7FF2" w:rsidRDefault="003D3DB3">
          <w:pPr>
            <w:pStyle w:val="TOC2"/>
            <w:tabs>
              <w:tab w:val="right" w:leader="dot" w:pos="9016"/>
            </w:tabs>
            <w:rPr>
              <w:rFonts w:eastAsiaTheme="minorEastAsia"/>
              <w:i w:val="0"/>
              <w:iCs w:val="0"/>
              <w:noProof/>
              <w:sz w:val="24"/>
              <w:szCs w:val="24"/>
              <w:lang w:eastAsia="en-GB"/>
            </w:rPr>
          </w:pPr>
          <w:hyperlink w:anchor="_Toc227875560" w:history="1">
            <w:r w:rsidR="004D7FF2" w:rsidRPr="006845C0">
              <w:rPr>
                <w:rStyle w:val="Hyperlink"/>
                <w:rFonts w:ascii="Times New Roman" w:hAnsi="Times New Roman" w:cs="Times New Roman"/>
                <w:b/>
                <w:bCs/>
                <w:noProof/>
              </w:rPr>
              <w:t>2. Kia Annual Financials Statement 2023</w:t>
            </w:r>
            <w:r w:rsidR="004D7FF2">
              <w:rPr>
                <w:noProof/>
                <w:webHidden/>
              </w:rPr>
              <w:tab/>
            </w:r>
            <w:r w:rsidR="004D7FF2">
              <w:rPr>
                <w:noProof/>
                <w:webHidden/>
              </w:rPr>
              <w:fldChar w:fldCharType="begin"/>
            </w:r>
            <w:r w:rsidR="004D7FF2">
              <w:rPr>
                <w:noProof/>
                <w:webHidden/>
              </w:rPr>
              <w:instrText xml:space="preserve"> PAGEREF _Toc227875560 \h </w:instrText>
            </w:r>
            <w:r w:rsidR="004D7FF2">
              <w:rPr>
                <w:noProof/>
                <w:webHidden/>
              </w:rPr>
            </w:r>
            <w:r w:rsidR="004D7FF2">
              <w:rPr>
                <w:noProof/>
                <w:webHidden/>
              </w:rPr>
              <w:fldChar w:fldCharType="separate"/>
            </w:r>
            <w:r w:rsidR="00A53458">
              <w:rPr>
                <w:noProof/>
                <w:webHidden/>
              </w:rPr>
              <w:t>29</w:t>
            </w:r>
            <w:r w:rsidR="004D7FF2">
              <w:rPr>
                <w:noProof/>
                <w:webHidden/>
              </w:rPr>
              <w:fldChar w:fldCharType="end"/>
            </w:r>
          </w:hyperlink>
        </w:p>
        <w:p w14:paraId="00F48F05" w14:textId="0AE7ADB3" w:rsidR="004D7FF2" w:rsidRDefault="003D3DB3">
          <w:pPr>
            <w:pStyle w:val="TOC2"/>
            <w:tabs>
              <w:tab w:val="right" w:leader="dot" w:pos="9016"/>
            </w:tabs>
            <w:rPr>
              <w:rFonts w:eastAsiaTheme="minorEastAsia"/>
              <w:i w:val="0"/>
              <w:iCs w:val="0"/>
              <w:noProof/>
              <w:sz w:val="24"/>
              <w:szCs w:val="24"/>
              <w:lang w:eastAsia="en-GB"/>
            </w:rPr>
          </w:pPr>
          <w:hyperlink w:anchor="_Toc227875561" w:history="1">
            <w:r w:rsidR="004D7FF2" w:rsidRPr="006845C0">
              <w:rPr>
                <w:rStyle w:val="Hyperlink"/>
                <w:rFonts w:ascii="Times New Roman" w:hAnsi="Times New Roman" w:cs="Times New Roman"/>
                <w:b/>
                <w:bCs/>
                <w:noProof/>
              </w:rPr>
              <w:t>3. Kia Financial Statements 2022</w:t>
            </w:r>
            <w:r w:rsidR="004D7FF2">
              <w:rPr>
                <w:noProof/>
                <w:webHidden/>
              </w:rPr>
              <w:tab/>
            </w:r>
            <w:r w:rsidR="004D7FF2">
              <w:rPr>
                <w:noProof/>
                <w:webHidden/>
              </w:rPr>
              <w:fldChar w:fldCharType="begin"/>
            </w:r>
            <w:r w:rsidR="004D7FF2">
              <w:rPr>
                <w:noProof/>
                <w:webHidden/>
              </w:rPr>
              <w:instrText xml:space="preserve"> PAGEREF _Toc227875561 \h </w:instrText>
            </w:r>
            <w:r w:rsidR="004D7FF2">
              <w:rPr>
                <w:noProof/>
                <w:webHidden/>
              </w:rPr>
            </w:r>
            <w:r w:rsidR="004D7FF2">
              <w:rPr>
                <w:noProof/>
                <w:webHidden/>
              </w:rPr>
              <w:fldChar w:fldCharType="separate"/>
            </w:r>
            <w:r w:rsidR="00A53458">
              <w:rPr>
                <w:noProof/>
                <w:webHidden/>
              </w:rPr>
              <w:t>30</w:t>
            </w:r>
            <w:r w:rsidR="004D7FF2">
              <w:rPr>
                <w:noProof/>
                <w:webHidden/>
              </w:rPr>
              <w:fldChar w:fldCharType="end"/>
            </w:r>
          </w:hyperlink>
        </w:p>
        <w:p w14:paraId="411F67CA" w14:textId="3D1851F0" w:rsidR="004D7FF2" w:rsidRDefault="003D3DB3">
          <w:pPr>
            <w:pStyle w:val="TOC2"/>
            <w:tabs>
              <w:tab w:val="right" w:leader="dot" w:pos="9016"/>
            </w:tabs>
            <w:rPr>
              <w:rFonts w:eastAsiaTheme="minorEastAsia"/>
              <w:i w:val="0"/>
              <w:iCs w:val="0"/>
              <w:noProof/>
              <w:sz w:val="24"/>
              <w:szCs w:val="24"/>
              <w:lang w:eastAsia="en-GB"/>
            </w:rPr>
          </w:pPr>
          <w:hyperlink w:anchor="_Toc227875562" w:history="1">
            <w:r w:rsidR="004D7FF2" w:rsidRPr="006845C0">
              <w:rPr>
                <w:rStyle w:val="Hyperlink"/>
                <w:rFonts w:ascii="Times New Roman" w:hAnsi="Times New Roman" w:cs="Times New Roman"/>
                <w:b/>
                <w:bCs/>
                <w:noProof/>
              </w:rPr>
              <w:t>4. Kia Income Statement 2021</w:t>
            </w:r>
            <w:r w:rsidR="004D7FF2">
              <w:rPr>
                <w:noProof/>
                <w:webHidden/>
              </w:rPr>
              <w:tab/>
            </w:r>
            <w:r w:rsidR="004D7FF2">
              <w:rPr>
                <w:noProof/>
                <w:webHidden/>
              </w:rPr>
              <w:fldChar w:fldCharType="begin"/>
            </w:r>
            <w:r w:rsidR="004D7FF2">
              <w:rPr>
                <w:noProof/>
                <w:webHidden/>
              </w:rPr>
              <w:instrText xml:space="preserve"> PAGEREF _Toc227875562 \h </w:instrText>
            </w:r>
            <w:r w:rsidR="004D7FF2">
              <w:rPr>
                <w:noProof/>
                <w:webHidden/>
              </w:rPr>
            </w:r>
            <w:r w:rsidR="004D7FF2">
              <w:rPr>
                <w:noProof/>
                <w:webHidden/>
              </w:rPr>
              <w:fldChar w:fldCharType="separate"/>
            </w:r>
            <w:r w:rsidR="00A53458">
              <w:rPr>
                <w:noProof/>
                <w:webHidden/>
              </w:rPr>
              <w:t>31</w:t>
            </w:r>
            <w:r w:rsidR="004D7FF2">
              <w:rPr>
                <w:noProof/>
                <w:webHidden/>
              </w:rPr>
              <w:fldChar w:fldCharType="end"/>
            </w:r>
          </w:hyperlink>
        </w:p>
        <w:p w14:paraId="6CDD9A55" w14:textId="392B3018" w:rsidR="004D7FF2" w:rsidRDefault="003D3DB3">
          <w:pPr>
            <w:pStyle w:val="TOC2"/>
            <w:tabs>
              <w:tab w:val="right" w:leader="dot" w:pos="9016"/>
            </w:tabs>
            <w:rPr>
              <w:rFonts w:eastAsiaTheme="minorEastAsia"/>
              <w:i w:val="0"/>
              <w:iCs w:val="0"/>
              <w:noProof/>
              <w:sz w:val="24"/>
              <w:szCs w:val="24"/>
              <w:lang w:eastAsia="en-GB"/>
            </w:rPr>
          </w:pPr>
          <w:hyperlink w:anchor="_Toc227875563" w:history="1">
            <w:r w:rsidR="004D7FF2" w:rsidRPr="006845C0">
              <w:rPr>
                <w:rStyle w:val="Hyperlink"/>
                <w:rFonts w:ascii="Times New Roman" w:hAnsi="Times New Roman" w:cs="Times New Roman"/>
                <w:b/>
                <w:bCs/>
                <w:noProof/>
              </w:rPr>
              <w:t>5. Consolidated Income Statement Highlights</w:t>
            </w:r>
            <w:r w:rsidR="004D7FF2">
              <w:rPr>
                <w:noProof/>
                <w:webHidden/>
              </w:rPr>
              <w:tab/>
            </w:r>
            <w:r w:rsidR="004D7FF2">
              <w:rPr>
                <w:noProof/>
                <w:webHidden/>
              </w:rPr>
              <w:fldChar w:fldCharType="begin"/>
            </w:r>
            <w:r w:rsidR="004D7FF2">
              <w:rPr>
                <w:noProof/>
                <w:webHidden/>
              </w:rPr>
              <w:instrText xml:space="preserve"> PAGEREF _Toc227875563 \h </w:instrText>
            </w:r>
            <w:r w:rsidR="004D7FF2">
              <w:rPr>
                <w:noProof/>
                <w:webHidden/>
              </w:rPr>
            </w:r>
            <w:r w:rsidR="004D7FF2">
              <w:rPr>
                <w:noProof/>
                <w:webHidden/>
              </w:rPr>
              <w:fldChar w:fldCharType="separate"/>
            </w:r>
            <w:r w:rsidR="00A53458">
              <w:rPr>
                <w:noProof/>
                <w:webHidden/>
              </w:rPr>
              <w:t>31</w:t>
            </w:r>
            <w:r w:rsidR="004D7FF2">
              <w:rPr>
                <w:noProof/>
                <w:webHidden/>
              </w:rPr>
              <w:fldChar w:fldCharType="end"/>
            </w:r>
          </w:hyperlink>
        </w:p>
        <w:p w14:paraId="0C768E0B" w14:textId="12C114C7" w:rsidR="004D7FF2" w:rsidRDefault="003D3DB3">
          <w:pPr>
            <w:pStyle w:val="TOC2"/>
            <w:tabs>
              <w:tab w:val="right" w:leader="dot" w:pos="9016"/>
            </w:tabs>
            <w:rPr>
              <w:rFonts w:eastAsiaTheme="minorEastAsia"/>
              <w:i w:val="0"/>
              <w:iCs w:val="0"/>
              <w:noProof/>
              <w:sz w:val="24"/>
              <w:szCs w:val="24"/>
              <w:lang w:eastAsia="en-GB"/>
            </w:rPr>
          </w:pPr>
          <w:hyperlink w:anchor="_Toc227875564" w:history="1">
            <w:r w:rsidR="004D7FF2" w:rsidRPr="006845C0">
              <w:rPr>
                <w:rStyle w:val="Hyperlink"/>
                <w:rFonts w:ascii="Times New Roman" w:hAnsi="Times New Roman" w:cs="Times New Roman"/>
                <w:b/>
                <w:bCs/>
                <w:noProof/>
              </w:rPr>
              <w:t>6. Consolidated Balance Sheet Excerpts</w:t>
            </w:r>
            <w:r w:rsidR="004D7FF2">
              <w:rPr>
                <w:noProof/>
                <w:webHidden/>
              </w:rPr>
              <w:tab/>
            </w:r>
            <w:r w:rsidR="004D7FF2">
              <w:rPr>
                <w:noProof/>
                <w:webHidden/>
              </w:rPr>
              <w:fldChar w:fldCharType="begin"/>
            </w:r>
            <w:r w:rsidR="004D7FF2">
              <w:rPr>
                <w:noProof/>
                <w:webHidden/>
              </w:rPr>
              <w:instrText xml:space="preserve"> PAGEREF _Toc227875564 \h </w:instrText>
            </w:r>
            <w:r w:rsidR="004D7FF2">
              <w:rPr>
                <w:noProof/>
                <w:webHidden/>
              </w:rPr>
            </w:r>
            <w:r w:rsidR="004D7FF2">
              <w:rPr>
                <w:noProof/>
                <w:webHidden/>
              </w:rPr>
              <w:fldChar w:fldCharType="separate"/>
            </w:r>
            <w:r w:rsidR="00A53458">
              <w:rPr>
                <w:noProof/>
                <w:webHidden/>
              </w:rPr>
              <w:t>32</w:t>
            </w:r>
            <w:r w:rsidR="004D7FF2">
              <w:rPr>
                <w:noProof/>
                <w:webHidden/>
              </w:rPr>
              <w:fldChar w:fldCharType="end"/>
            </w:r>
          </w:hyperlink>
        </w:p>
        <w:p w14:paraId="3B33E356" w14:textId="6CD0DB86" w:rsidR="004D7FF2" w:rsidRDefault="003D3DB3">
          <w:pPr>
            <w:pStyle w:val="TOC2"/>
            <w:tabs>
              <w:tab w:val="right" w:leader="dot" w:pos="9016"/>
            </w:tabs>
            <w:rPr>
              <w:rFonts w:eastAsiaTheme="minorEastAsia"/>
              <w:i w:val="0"/>
              <w:iCs w:val="0"/>
              <w:noProof/>
              <w:sz w:val="24"/>
              <w:szCs w:val="24"/>
              <w:lang w:eastAsia="en-GB"/>
            </w:rPr>
          </w:pPr>
          <w:hyperlink w:anchor="_Toc227875565" w:history="1">
            <w:r w:rsidR="004D7FF2" w:rsidRPr="006845C0">
              <w:rPr>
                <w:rStyle w:val="Hyperlink"/>
                <w:rFonts w:ascii="Times New Roman" w:hAnsi="Times New Roman" w:cs="Times New Roman"/>
                <w:b/>
                <w:bCs/>
                <w:noProof/>
              </w:rPr>
              <w:t>7. Profitability Ratios</w:t>
            </w:r>
            <w:r w:rsidR="004D7FF2">
              <w:rPr>
                <w:noProof/>
                <w:webHidden/>
              </w:rPr>
              <w:tab/>
            </w:r>
            <w:r w:rsidR="004D7FF2">
              <w:rPr>
                <w:noProof/>
                <w:webHidden/>
              </w:rPr>
              <w:fldChar w:fldCharType="begin"/>
            </w:r>
            <w:r w:rsidR="004D7FF2">
              <w:rPr>
                <w:noProof/>
                <w:webHidden/>
              </w:rPr>
              <w:instrText xml:space="preserve"> PAGEREF _Toc227875565 \h </w:instrText>
            </w:r>
            <w:r w:rsidR="004D7FF2">
              <w:rPr>
                <w:noProof/>
                <w:webHidden/>
              </w:rPr>
            </w:r>
            <w:r w:rsidR="004D7FF2">
              <w:rPr>
                <w:noProof/>
                <w:webHidden/>
              </w:rPr>
              <w:fldChar w:fldCharType="separate"/>
            </w:r>
            <w:r w:rsidR="00A53458">
              <w:rPr>
                <w:noProof/>
                <w:webHidden/>
              </w:rPr>
              <w:t>32</w:t>
            </w:r>
            <w:r w:rsidR="004D7FF2">
              <w:rPr>
                <w:noProof/>
                <w:webHidden/>
              </w:rPr>
              <w:fldChar w:fldCharType="end"/>
            </w:r>
          </w:hyperlink>
        </w:p>
        <w:p w14:paraId="50A51B94" w14:textId="0552E9E2" w:rsidR="004D7FF2" w:rsidRDefault="003D3DB3">
          <w:pPr>
            <w:pStyle w:val="TOC2"/>
            <w:tabs>
              <w:tab w:val="right" w:leader="dot" w:pos="9016"/>
            </w:tabs>
            <w:rPr>
              <w:rFonts w:eastAsiaTheme="minorEastAsia"/>
              <w:i w:val="0"/>
              <w:iCs w:val="0"/>
              <w:noProof/>
              <w:sz w:val="24"/>
              <w:szCs w:val="24"/>
              <w:lang w:eastAsia="en-GB"/>
            </w:rPr>
          </w:pPr>
          <w:hyperlink w:anchor="_Toc227875566" w:history="1">
            <w:r w:rsidR="004D7FF2" w:rsidRPr="006845C0">
              <w:rPr>
                <w:rStyle w:val="Hyperlink"/>
                <w:rFonts w:ascii="Times New Roman" w:hAnsi="Times New Roman" w:cs="Times New Roman"/>
                <w:b/>
                <w:bCs/>
                <w:noProof/>
              </w:rPr>
              <w:t>8. Liquidity Ratios</w:t>
            </w:r>
            <w:r w:rsidR="004D7FF2">
              <w:rPr>
                <w:noProof/>
                <w:webHidden/>
              </w:rPr>
              <w:tab/>
            </w:r>
            <w:r w:rsidR="004D7FF2">
              <w:rPr>
                <w:noProof/>
                <w:webHidden/>
              </w:rPr>
              <w:fldChar w:fldCharType="begin"/>
            </w:r>
            <w:r w:rsidR="004D7FF2">
              <w:rPr>
                <w:noProof/>
                <w:webHidden/>
              </w:rPr>
              <w:instrText xml:space="preserve"> PAGEREF _Toc227875566 \h </w:instrText>
            </w:r>
            <w:r w:rsidR="004D7FF2">
              <w:rPr>
                <w:noProof/>
                <w:webHidden/>
              </w:rPr>
            </w:r>
            <w:r w:rsidR="004D7FF2">
              <w:rPr>
                <w:noProof/>
                <w:webHidden/>
              </w:rPr>
              <w:fldChar w:fldCharType="separate"/>
            </w:r>
            <w:r w:rsidR="00A53458">
              <w:rPr>
                <w:noProof/>
                <w:webHidden/>
              </w:rPr>
              <w:t>33</w:t>
            </w:r>
            <w:r w:rsidR="004D7FF2">
              <w:rPr>
                <w:noProof/>
                <w:webHidden/>
              </w:rPr>
              <w:fldChar w:fldCharType="end"/>
            </w:r>
          </w:hyperlink>
        </w:p>
        <w:p w14:paraId="691FE597" w14:textId="5EAF9F7A" w:rsidR="004D7FF2" w:rsidRDefault="003D3DB3">
          <w:pPr>
            <w:pStyle w:val="TOC2"/>
            <w:tabs>
              <w:tab w:val="right" w:leader="dot" w:pos="9016"/>
            </w:tabs>
            <w:rPr>
              <w:rFonts w:eastAsiaTheme="minorEastAsia"/>
              <w:i w:val="0"/>
              <w:iCs w:val="0"/>
              <w:noProof/>
              <w:sz w:val="24"/>
              <w:szCs w:val="24"/>
              <w:lang w:eastAsia="en-GB"/>
            </w:rPr>
          </w:pPr>
          <w:hyperlink w:anchor="_Toc227875567" w:history="1">
            <w:r w:rsidR="004D7FF2" w:rsidRPr="006845C0">
              <w:rPr>
                <w:rStyle w:val="Hyperlink"/>
                <w:rFonts w:ascii="Times New Roman" w:hAnsi="Times New Roman" w:cs="Times New Roman"/>
                <w:b/>
                <w:bCs/>
                <w:noProof/>
              </w:rPr>
              <w:t>9. Efficiency Ratios</w:t>
            </w:r>
            <w:r w:rsidR="004D7FF2">
              <w:rPr>
                <w:noProof/>
                <w:webHidden/>
              </w:rPr>
              <w:tab/>
            </w:r>
            <w:r w:rsidR="004D7FF2">
              <w:rPr>
                <w:noProof/>
                <w:webHidden/>
              </w:rPr>
              <w:fldChar w:fldCharType="begin"/>
            </w:r>
            <w:r w:rsidR="004D7FF2">
              <w:rPr>
                <w:noProof/>
                <w:webHidden/>
              </w:rPr>
              <w:instrText xml:space="preserve"> PAGEREF _Toc227875567 \h </w:instrText>
            </w:r>
            <w:r w:rsidR="004D7FF2">
              <w:rPr>
                <w:noProof/>
                <w:webHidden/>
              </w:rPr>
            </w:r>
            <w:r w:rsidR="004D7FF2">
              <w:rPr>
                <w:noProof/>
                <w:webHidden/>
              </w:rPr>
              <w:fldChar w:fldCharType="separate"/>
            </w:r>
            <w:r w:rsidR="00A53458">
              <w:rPr>
                <w:noProof/>
                <w:webHidden/>
              </w:rPr>
              <w:t>33</w:t>
            </w:r>
            <w:r w:rsidR="004D7FF2">
              <w:rPr>
                <w:noProof/>
                <w:webHidden/>
              </w:rPr>
              <w:fldChar w:fldCharType="end"/>
            </w:r>
          </w:hyperlink>
        </w:p>
        <w:p w14:paraId="07B7B01E" w14:textId="4476F80E" w:rsidR="004D7FF2" w:rsidRDefault="003D3DB3">
          <w:pPr>
            <w:pStyle w:val="TOC2"/>
            <w:tabs>
              <w:tab w:val="right" w:leader="dot" w:pos="9016"/>
            </w:tabs>
            <w:rPr>
              <w:rFonts w:eastAsiaTheme="minorEastAsia"/>
              <w:i w:val="0"/>
              <w:iCs w:val="0"/>
              <w:noProof/>
              <w:sz w:val="24"/>
              <w:szCs w:val="24"/>
              <w:lang w:eastAsia="en-GB"/>
            </w:rPr>
          </w:pPr>
          <w:hyperlink w:anchor="_Toc227875568" w:history="1">
            <w:r w:rsidR="004D7FF2" w:rsidRPr="006845C0">
              <w:rPr>
                <w:rStyle w:val="Hyperlink"/>
                <w:rFonts w:ascii="Times New Roman" w:hAnsi="Times New Roman" w:cs="Times New Roman"/>
                <w:b/>
                <w:bCs/>
                <w:noProof/>
              </w:rPr>
              <w:t>10. Gearing (Leverage) Ratios</w:t>
            </w:r>
            <w:r w:rsidR="004D7FF2">
              <w:rPr>
                <w:noProof/>
                <w:webHidden/>
              </w:rPr>
              <w:tab/>
            </w:r>
            <w:r w:rsidR="004D7FF2">
              <w:rPr>
                <w:noProof/>
                <w:webHidden/>
              </w:rPr>
              <w:fldChar w:fldCharType="begin"/>
            </w:r>
            <w:r w:rsidR="004D7FF2">
              <w:rPr>
                <w:noProof/>
                <w:webHidden/>
              </w:rPr>
              <w:instrText xml:space="preserve"> PAGEREF _Toc227875568 \h </w:instrText>
            </w:r>
            <w:r w:rsidR="004D7FF2">
              <w:rPr>
                <w:noProof/>
                <w:webHidden/>
              </w:rPr>
            </w:r>
            <w:r w:rsidR="004D7FF2">
              <w:rPr>
                <w:noProof/>
                <w:webHidden/>
              </w:rPr>
              <w:fldChar w:fldCharType="separate"/>
            </w:r>
            <w:r w:rsidR="00A53458">
              <w:rPr>
                <w:noProof/>
                <w:webHidden/>
              </w:rPr>
              <w:t>33</w:t>
            </w:r>
            <w:r w:rsidR="004D7FF2">
              <w:rPr>
                <w:noProof/>
                <w:webHidden/>
              </w:rPr>
              <w:fldChar w:fldCharType="end"/>
            </w:r>
          </w:hyperlink>
        </w:p>
        <w:p w14:paraId="2CEC35B5" w14:textId="2A0251D4" w:rsidR="004D7FF2" w:rsidRDefault="003D3DB3">
          <w:pPr>
            <w:pStyle w:val="TOC2"/>
            <w:tabs>
              <w:tab w:val="right" w:leader="dot" w:pos="9016"/>
            </w:tabs>
            <w:rPr>
              <w:rFonts w:eastAsiaTheme="minorEastAsia"/>
              <w:i w:val="0"/>
              <w:iCs w:val="0"/>
              <w:noProof/>
              <w:sz w:val="24"/>
              <w:szCs w:val="24"/>
              <w:lang w:eastAsia="en-GB"/>
            </w:rPr>
          </w:pPr>
          <w:hyperlink w:anchor="_Toc227875569" w:history="1">
            <w:r w:rsidR="004D7FF2" w:rsidRPr="006845C0">
              <w:rPr>
                <w:rStyle w:val="Hyperlink"/>
                <w:rFonts w:ascii="Times New Roman" w:hAnsi="Times New Roman" w:cs="Times New Roman"/>
                <w:b/>
                <w:bCs/>
                <w:noProof/>
              </w:rPr>
              <w:t>11. Cash Operating Cycle</w:t>
            </w:r>
            <w:r w:rsidR="004D7FF2">
              <w:rPr>
                <w:noProof/>
                <w:webHidden/>
              </w:rPr>
              <w:tab/>
            </w:r>
            <w:r w:rsidR="004D7FF2">
              <w:rPr>
                <w:noProof/>
                <w:webHidden/>
              </w:rPr>
              <w:fldChar w:fldCharType="begin"/>
            </w:r>
            <w:r w:rsidR="004D7FF2">
              <w:rPr>
                <w:noProof/>
                <w:webHidden/>
              </w:rPr>
              <w:instrText xml:space="preserve"> PAGEREF _Toc227875569 \h </w:instrText>
            </w:r>
            <w:r w:rsidR="004D7FF2">
              <w:rPr>
                <w:noProof/>
                <w:webHidden/>
              </w:rPr>
            </w:r>
            <w:r w:rsidR="004D7FF2">
              <w:rPr>
                <w:noProof/>
                <w:webHidden/>
              </w:rPr>
              <w:fldChar w:fldCharType="separate"/>
            </w:r>
            <w:r w:rsidR="00A53458">
              <w:rPr>
                <w:noProof/>
                <w:webHidden/>
              </w:rPr>
              <w:t>34</w:t>
            </w:r>
            <w:r w:rsidR="004D7FF2">
              <w:rPr>
                <w:noProof/>
                <w:webHidden/>
              </w:rPr>
              <w:fldChar w:fldCharType="end"/>
            </w:r>
          </w:hyperlink>
        </w:p>
        <w:p w14:paraId="7CD52D2D" w14:textId="030A4D28" w:rsidR="004D7FF2" w:rsidRDefault="003D3DB3">
          <w:pPr>
            <w:pStyle w:val="TOC2"/>
            <w:tabs>
              <w:tab w:val="right" w:leader="dot" w:pos="9016"/>
            </w:tabs>
            <w:rPr>
              <w:rFonts w:eastAsiaTheme="minorEastAsia"/>
              <w:i w:val="0"/>
              <w:iCs w:val="0"/>
              <w:noProof/>
              <w:sz w:val="24"/>
              <w:szCs w:val="24"/>
              <w:lang w:eastAsia="en-GB"/>
            </w:rPr>
          </w:pPr>
          <w:hyperlink w:anchor="_Toc227875570" w:history="1">
            <w:r w:rsidR="004D7FF2" w:rsidRPr="006845C0">
              <w:rPr>
                <w:rStyle w:val="Hyperlink"/>
                <w:rFonts w:ascii="Times New Roman" w:hAnsi="Times New Roman" w:cs="Times New Roman"/>
                <w:b/>
                <w:bCs/>
                <w:noProof/>
              </w:rPr>
              <w:t>12. Project Appraisal using Capital Budgeting Techniques</w:t>
            </w:r>
            <w:r w:rsidR="004D7FF2">
              <w:rPr>
                <w:noProof/>
                <w:webHidden/>
              </w:rPr>
              <w:tab/>
            </w:r>
            <w:r w:rsidR="004D7FF2">
              <w:rPr>
                <w:noProof/>
                <w:webHidden/>
              </w:rPr>
              <w:fldChar w:fldCharType="begin"/>
            </w:r>
            <w:r w:rsidR="004D7FF2">
              <w:rPr>
                <w:noProof/>
                <w:webHidden/>
              </w:rPr>
              <w:instrText xml:space="preserve"> PAGEREF _Toc227875570 \h </w:instrText>
            </w:r>
            <w:r w:rsidR="004D7FF2">
              <w:rPr>
                <w:noProof/>
                <w:webHidden/>
              </w:rPr>
            </w:r>
            <w:r w:rsidR="004D7FF2">
              <w:rPr>
                <w:noProof/>
                <w:webHidden/>
              </w:rPr>
              <w:fldChar w:fldCharType="separate"/>
            </w:r>
            <w:r w:rsidR="00A53458">
              <w:rPr>
                <w:noProof/>
                <w:webHidden/>
              </w:rPr>
              <w:t>34</w:t>
            </w:r>
            <w:r w:rsidR="004D7FF2">
              <w:rPr>
                <w:noProof/>
                <w:webHidden/>
              </w:rPr>
              <w:fldChar w:fldCharType="end"/>
            </w:r>
          </w:hyperlink>
        </w:p>
        <w:p w14:paraId="1933220B" w14:textId="1605110A" w:rsidR="004D7FF2" w:rsidRDefault="003D3DB3">
          <w:pPr>
            <w:pStyle w:val="TOC2"/>
            <w:tabs>
              <w:tab w:val="right" w:leader="dot" w:pos="9016"/>
            </w:tabs>
            <w:rPr>
              <w:rFonts w:eastAsiaTheme="minorEastAsia"/>
              <w:i w:val="0"/>
              <w:iCs w:val="0"/>
              <w:noProof/>
              <w:sz w:val="24"/>
              <w:szCs w:val="24"/>
              <w:lang w:eastAsia="en-GB"/>
            </w:rPr>
          </w:pPr>
          <w:hyperlink w:anchor="_Toc227875571" w:history="1">
            <w:r w:rsidR="004D7FF2" w:rsidRPr="006845C0">
              <w:rPr>
                <w:rStyle w:val="Hyperlink"/>
                <w:rFonts w:ascii="Times New Roman" w:hAnsi="Times New Roman" w:cs="Times New Roman"/>
                <w:b/>
                <w:bCs/>
                <w:noProof/>
              </w:rPr>
              <w:t>13. Kia balance sheet excerpts</w:t>
            </w:r>
            <w:r w:rsidR="004D7FF2">
              <w:rPr>
                <w:noProof/>
                <w:webHidden/>
              </w:rPr>
              <w:tab/>
            </w:r>
            <w:r w:rsidR="004D7FF2">
              <w:rPr>
                <w:noProof/>
                <w:webHidden/>
              </w:rPr>
              <w:fldChar w:fldCharType="begin"/>
            </w:r>
            <w:r w:rsidR="004D7FF2">
              <w:rPr>
                <w:noProof/>
                <w:webHidden/>
              </w:rPr>
              <w:instrText xml:space="preserve"> PAGEREF _Toc227875571 \h </w:instrText>
            </w:r>
            <w:r w:rsidR="004D7FF2">
              <w:rPr>
                <w:noProof/>
                <w:webHidden/>
              </w:rPr>
            </w:r>
            <w:r w:rsidR="004D7FF2">
              <w:rPr>
                <w:noProof/>
                <w:webHidden/>
              </w:rPr>
              <w:fldChar w:fldCharType="separate"/>
            </w:r>
            <w:r w:rsidR="00A53458">
              <w:rPr>
                <w:noProof/>
                <w:webHidden/>
              </w:rPr>
              <w:t>35</w:t>
            </w:r>
            <w:r w:rsidR="004D7FF2">
              <w:rPr>
                <w:noProof/>
                <w:webHidden/>
              </w:rPr>
              <w:fldChar w:fldCharType="end"/>
            </w:r>
          </w:hyperlink>
        </w:p>
        <w:p w14:paraId="1F7C0843" w14:textId="59ADBBDD" w:rsidR="00DB61B2" w:rsidRPr="00B706D3" w:rsidRDefault="00DB61B2"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noProof/>
              <w:color w:val="000000" w:themeColor="text1"/>
            </w:rPr>
            <w:fldChar w:fldCharType="end"/>
          </w:r>
        </w:p>
      </w:sdtContent>
    </w:sdt>
    <w:p w14:paraId="5DFA1F1A" w14:textId="77777777" w:rsidR="007435F1" w:rsidRPr="00B706D3" w:rsidRDefault="007435F1"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br w:type="page"/>
      </w:r>
      <w:bookmarkStart w:id="0" w:name="_GoBack"/>
      <w:bookmarkEnd w:id="0"/>
    </w:p>
    <w:p w14:paraId="4760335D" w14:textId="736DFFC5" w:rsidR="00263DAE" w:rsidRPr="00B706D3" w:rsidRDefault="00263DAE" w:rsidP="00B706D3">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 w:name="_Toc227875538"/>
      <w:r w:rsidRPr="00B706D3">
        <w:rPr>
          <w:rFonts w:ascii="Times New Roman" w:hAnsi="Times New Roman" w:cs="Times New Roman"/>
          <w:b/>
          <w:bCs/>
          <w:color w:val="000000" w:themeColor="text1"/>
          <w:sz w:val="24"/>
          <w:szCs w:val="24"/>
          <w:lang w:val="en-US"/>
        </w:rPr>
        <w:lastRenderedPageBreak/>
        <w:t>1. Financial Health Check</w:t>
      </w:r>
      <w:bookmarkEnd w:id="1"/>
      <w:r w:rsidRPr="00B706D3">
        <w:rPr>
          <w:rFonts w:ascii="Times New Roman" w:hAnsi="Times New Roman" w:cs="Times New Roman"/>
          <w:b/>
          <w:bCs/>
          <w:color w:val="000000" w:themeColor="text1"/>
          <w:sz w:val="24"/>
          <w:szCs w:val="24"/>
          <w:lang w:val="en-US"/>
        </w:rPr>
        <w:t xml:space="preserve"> </w:t>
      </w:r>
    </w:p>
    <w:p w14:paraId="2D52D736" w14:textId="2E7B2ED4"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Kia Corporation is a South Korean multinational company that makes automobiles. The company has seen major changes in the past five years by shifting toward premium SUVs and electrified vehicles. It has been through many challenges including the post-pandemic environment, supply chain disruptions and rising EV competition</w:t>
      </w:r>
      <w:r w:rsidR="007435F1" w:rsidRPr="00B706D3">
        <w:rPr>
          <w:rFonts w:ascii="Times New Roman" w:hAnsi="Times New Roman" w:cs="Times New Roman"/>
          <w:color w:val="000000" w:themeColor="text1"/>
          <w:lang w:val="en-US"/>
        </w:rPr>
        <w:t xml:space="preserve"> (Vigar, 2024)</w:t>
      </w:r>
      <w:r w:rsidRPr="00B706D3">
        <w:rPr>
          <w:rFonts w:ascii="Times New Roman" w:hAnsi="Times New Roman" w:cs="Times New Roman"/>
          <w:color w:val="000000" w:themeColor="text1"/>
          <w:lang w:val="en-US"/>
        </w:rPr>
        <w:t xml:space="preserve">. The report will analyze the company's financial statements for the last five years. </w:t>
      </w:r>
    </w:p>
    <w:p w14:paraId="6E671E70" w14:textId="7B908343" w:rsidR="00263DAE"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2" w:name="_Toc227875539"/>
      <w:r w:rsidRPr="00B706D3">
        <w:rPr>
          <w:rFonts w:ascii="Times New Roman" w:hAnsi="Times New Roman" w:cs="Times New Roman"/>
          <w:b/>
          <w:bCs/>
          <w:color w:val="000000" w:themeColor="text1"/>
          <w:sz w:val="24"/>
          <w:szCs w:val="24"/>
          <w:lang w:val="en-US"/>
        </w:rPr>
        <w:t xml:space="preserve">1.1 </w:t>
      </w:r>
      <w:r w:rsidR="00263DAE" w:rsidRPr="00B706D3">
        <w:rPr>
          <w:rFonts w:ascii="Times New Roman" w:hAnsi="Times New Roman" w:cs="Times New Roman"/>
          <w:b/>
          <w:bCs/>
          <w:color w:val="000000" w:themeColor="text1"/>
          <w:sz w:val="24"/>
          <w:szCs w:val="24"/>
          <w:lang w:val="en-US"/>
        </w:rPr>
        <w:t>Consolidated Income Statement Highlights</w:t>
      </w:r>
      <w:bookmarkEnd w:id="2"/>
      <w:r w:rsidR="00263DAE" w:rsidRPr="00B706D3">
        <w:rPr>
          <w:rFonts w:ascii="Times New Roman" w:hAnsi="Times New Roman" w:cs="Times New Roman"/>
          <w:b/>
          <w:bCs/>
          <w:color w:val="000000" w:themeColor="text1"/>
          <w:sz w:val="24"/>
          <w:szCs w:val="24"/>
          <w:lang w:val="en-US"/>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6"/>
        <w:gridCol w:w="1140"/>
        <w:gridCol w:w="1140"/>
        <w:gridCol w:w="1140"/>
        <w:gridCol w:w="1260"/>
        <w:gridCol w:w="1252"/>
        <w:gridCol w:w="1208"/>
      </w:tblGrid>
      <w:tr w:rsidR="00263DAE" w:rsidRPr="00B706D3" w14:paraId="1E7444CB" w14:textId="77777777">
        <w:trPr>
          <w:tblHeader/>
          <w:tblCellSpacing w:w="15" w:type="dxa"/>
        </w:trPr>
        <w:tc>
          <w:tcPr>
            <w:tcW w:w="0" w:type="auto"/>
            <w:vAlign w:val="center"/>
            <w:hideMark/>
          </w:tcPr>
          <w:p w14:paraId="3161722B"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Item</w:t>
            </w:r>
          </w:p>
        </w:tc>
        <w:tc>
          <w:tcPr>
            <w:tcW w:w="0" w:type="auto"/>
            <w:vAlign w:val="center"/>
            <w:hideMark/>
          </w:tcPr>
          <w:p w14:paraId="0265B012"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12204ADB"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7BE45C65"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02B97F50"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2155D3D7"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c>
          <w:tcPr>
            <w:tcW w:w="0" w:type="auto"/>
            <w:vAlign w:val="center"/>
            <w:hideMark/>
          </w:tcPr>
          <w:p w14:paraId="74ACA649"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CAGR (2021–2025)</w:t>
            </w:r>
          </w:p>
        </w:tc>
      </w:tr>
      <w:tr w:rsidR="00263DAE" w:rsidRPr="00B706D3" w14:paraId="14C80466" w14:textId="77777777">
        <w:trPr>
          <w:tblCellSpacing w:w="15" w:type="dxa"/>
        </w:trPr>
        <w:tc>
          <w:tcPr>
            <w:tcW w:w="0" w:type="auto"/>
            <w:vAlign w:val="center"/>
            <w:hideMark/>
          </w:tcPr>
          <w:p w14:paraId="6D7FE66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Revenue</w:t>
            </w:r>
          </w:p>
        </w:tc>
        <w:tc>
          <w:tcPr>
            <w:tcW w:w="0" w:type="auto"/>
            <w:vAlign w:val="center"/>
            <w:hideMark/>
          </w:tcPr>
          <w:p w14:paraId="5EB6E24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69,862,366</w:t>
            </w:r>
          </w:p>
        </w:tc>
        <w:tc>
          <w:tcPr>
            <w:tcW w:w="0" w:type="auto"/>
            <w:vAlign w:val="center"/>
            <w:hideMark/>
          </w:tcPr>
          <w:p w14:paraId="29135DA4"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86,559,029</w:t>
            </w:r>
          </w:p>
        </w:tc>
        <w:tc>
          <w:tcPr>
            <w:tcW w:w="0" w:type="auto"/>
            <w:vAlign w:val="center"/>
            <w:hideMark/>
          </w:tcPr>
          <w:p w14:paraId="66FC179F"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99,808,420</w:t>
            </w:r>
          </w:p>
        </w:tc>
        <w:tc>
          <w:tcPr>
            <w:tcW w:w="0" w:type="auto"/>
            <w:vAlign w:val="center"/>
            <w:hideMark/>
          </w:tcPr>
          <w:p w14:paraId="70230DB1"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107,448,752</w:t>
            </w:r>
          </w:p>
        </w:tc>
        <w:tc>
          <w:tcPr>
            <w:tcW w:w="0" w:type="auto"/>
            <w:vAlign w:val="center"/>
            <w:hideMark/>
          </w:tcPr>
          <w:p w14:paraId="0BD144D4"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114,140,919</w:t>
            </w:r>
          </w:p>
        </w:tc>
        <w:tc>
          <w:tcPr>
            <w:tcW w:w="0" w:type="auto"/>
            <w:vAlign w:val="center"/>
            <w:hideMark/>
          </w:tcPr>
          <w:p w14:paraId="764A205A"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~13.0%</w:t>
            </w:r>
          </w:p>
        </w:tc>
      </w:tr>
      <w:tr w:rsidR="00263DAE" w:rsidRPr="00B706D3" w14:paraId="1F93792F" w14:textId="77777777">
        <w:trPr>
          <w:tblCellSpacing w:w="15" w:type="dxa"/>
        </w:trPr>
        <w:tc>
          <w:tcPr>
            <w:tcW w:w="0" w:type="auto"/>
            <w:vAlign w:val="center"/>
            <w:hideMark/>
          </w:tcPr>
          <w:p w14:paraId="585D7F84"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Gross Profit</w:t>
            </w:r>
          </w:p>
        </w:tc>
        <w:tc>
          <w:tcPr>
            <w:tcW w:w="0" w:type="auto"/>
            <w:vAlign w:val="center"/>
            <w:hideMark/>
          </w:tcPr>
          <w:p w14:paraId="15F1C93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12,925,201</w:t>
            </w:r>
          </w:p>
        </w:tc>
        <w:tc>
          <w:tcPr>
            <w:tcW w:w="0" w:type="auto"/>
            <w:vAlign w:val="center"/>
            <w:hideMark/>
          </w:tcPr>
          <w:p w14:paraId="77C109C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18,023,019</w:t>
            </w:r>
          </w:p>
        </w:tc>
        <w:tc>
          <w:tcPr>
            <w:tcW w:w="0" w:type="auto"/>
            <w:vAlign w:val="center"/>
            <w:hideMark/>
          </w:tcPr>
          <w:p w14:paraId="43A156CF"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22,628,847</w:t>
            </w:r>
          </w:p>
        </w:tc>
        <w:tc>
          <w:tcPr>
            <w:tcW w:w="0" w:type="auto"/>
            <w:vAlign w:val="center"/>
            <w:hideMark/>
          </w:tcPr>
          <w:p w14:paraId="1F8C278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24,770,771</w:t>
            </w:r>
          </w:p>
        </w:tc>
        <w:tc>
          <w:tcPr>
            <w:tcW w:w="0" w:type="auto"/>
            <w:vAlign w:val="center"/>
            <w:hideMark/>
          </w:tcPr>
          <w:p w14:paraId="5ED5483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22,508,077</w:t>
            </w:r>
          </w:p>
        </w:tc>
        <w:tc>
          <w:tcPr>
            <w:tcW w:w="0" w:type="auto"/>
            <w:vAlign w:val="center"/>
            <w:hideMark/>
          </w:tcPr>
          <w:p w14:paraId="373FA46B"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~14.9%</w:t>
            </w:r>
          </w:p>
        </w:tc>
      </w:tr>
      <w:tr w:rsidR="00263DAE" w:rsidRPr="00B706D3" w14:paraId="29319C37" w14:textId="77777777">
        <w:trPr>
          <w:tblCellSpacing w:w="15" w:type="dxa"/>
        </w:trPr>
        <w:tc>
          <w:tcPr>
            <w:tcW w:w="0" w:type="auto"/>
            <w:vAlign w:val="center"/>
            <w:hideMark/>
          </w:tcPr>
          <w:p w14:paraId="779CD18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Operating Profit</w:t>
            </w:r>
          </w:p>
        </w:tc>
        <w:tc>
          <w:tcPr>
            <w:tcW w:w="0" w:type="auto"/>
            <w:vAlign w:val="center"/>
            <w:hideMark/>
          </w:tcPr>
          <w:p w14:paraId="561EC62A"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5,066,166</w:t>
            </w:r>
          </w:p>
        </w:tc>
        <w:tc>
          <w:tcPr>
            <w:tcW w:w="0" w:type="auto"/>
            <w:vAlign w:val="center"/>
            <w:hideMark/>
          </w:tcPr>
          <w:p w14:paraId="75A513D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7,233,328</w:t>
            </w:r>
          </w:p>
        </w:tc>
        <w:tc>
          <w:tcPr>
            <w:tcW w:w="0" w:type="auto"/>
            <w:vAlign w:val="center"/>
            <w:hideMark/>
          </w:tcPr>
          <w:p w14:paraId="58F7367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11,610,599</w:t>
            </w:r>
          </w:p>
        </w:tc>
        <w:tc>
          <w:tcPr>
            <w:tcW w:w="0" w:type="auto"/>
            <w:vAlign w:val="center"/>
            <w:hideMark/>
          </w:tcPr>
          <w:p w14:paraId="1EF1236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12,667,139</w:t>
            </w:r>
          </w:p>
        </w:tc>
        <w:tc>
          <w:tcPr>
            <w:tcW w:w="0" w:type="auto"/>
            <w:vAlign w:val="center"/>
            <w:hideMark/>
          </w:tcPr>
          <w:p w14:paraId="23E8451E"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9,078,148</w:t>
            </w:r>
          </w:p>
        </w:tc>
        <w:tc>
          <w:tcPr>
            <w:tcW w:w="0" w:type="auto"/>
            <w:vAlign w:val="center"/>
            <w:hideMark/>
          </w:tcPr>
          <w:p w14:paraId="20B05EC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~15.7%</w:t>
            </w:r>
          </w:p>
        </w:tc>
      </w:tr>
      <w:tr w:rsidR="00263DAE" w:rsidRPr="00B706D3" w14:paraId="642F67EB" w14:textId="77777777">
        <w:trPr>
          <w:tblCellSpacing w:w="15" w:type="dxa"/>
        </w:trPr>
        <w:tc>
          <w:tcPr>
            <w:tcW w:w="0" w:type="auto"/>
            <w:vAlign w:val="center"/>
            <w:hideMark/>
          </w:tcPr>
          <w:p w14:paraId="6F42B73B"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Net Profit (attributable to owners)</w:t>
            </w:r>
          </w:p>
        </w:tc>
        <w:tc>
          <w:tcPr>
            <w:tcW w:w="0" w:type="auto"/>
            <w:vAlign w:val="center"/>
            <w:hideMark/>
          </w:tcPr>
          <w:p w14:paraId="6D7C36AF"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4,760,450</w:t>
            </w:r>
          </w:p>
        </w:tc>
        <w:tc>
          <w:tcPr>
            <w:tcW w:w="0" w:type="auto"/>
            <w:vAlign w:val="center"/>
            <w:hideMark/>
          </w:tcPr>
          <w:p w14:paraId="514AD920"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5,409,429</w:t>
            </w:r>
          </w:p>
        </w:tc>
        <w:tc>
          <w:tcPr>
            <w:tcW w:w="0" w:type="auto"/>
            <w:vAlign w:val="center"/>
            <w:hideMark/>
          </w:tcPr>
          <w:p w14:paraId="3F787CB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8,776,970</w:t>
            </w:r>
          </w:p>
        </w:tc>
        <w:tc>
          <w:tcPr>
            <w:tcW w:w="0" w:type="auto"/>
            <w:vAlign w:val="center"/>
            <w:hideMark/>
          </w:tcPr>
          <w:p w14:paraId="0C55350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9,772,957</w:t>
            </w:r>
          </w:p>
        </w:tc>
        <w:tc>
          <w:tcPr>
            <w:tcW w:w="0" w:type="auto"/>
            <w:vAlign w:val="center"/>
            <w:hideMark/>
          </w:tcPr>
          <w:p w14:paraId="3BDFF80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7,560,983</w:t>
            </w:r>
          </w:p>
        </w:tc>
        <w:tc>
          <w:tcPr>
            <w:tcW w:w="0" w:type="auto"/>
            <w:vAlign w:val="center"/>
            <w:hideMark/>
          </w:tcPr>
          <w:p w14:paraId="1A3AFE0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~12.3%</w:t>
            </w:r>
          </w:p>
        </w:tc>
      </w:tr>
    </w:tbl>
    <w:p w14:paraId="711213E4"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p>
    <w:p w14:paraId="3F1C8173" w14:textId="77777777" w:rsidR="00B706D3" w:rsidRDefault="00B706D3">
      <w:pPr>
        <w:rPr>
          <w:rFonts w:ascii="Times New Roman" w:hAnsi="Times New Roman" w:cs="Times New Roman"/>
          <w:color w:val="000000" w:themeColor="text1"/>
          <w:lang w:val="en-US"/>
        </w:rPr>
      </w:pPr>
      <w:r>
        <w:rPr>
          <w:rFonts w:ascii="Times New Roman" w:hAnsi="Times New Roman" w:cs="Times New Roman"/>
          <w:color w:val="000000" w:themeColor="text1"/>
          <w:lang w:val="en-US"/>
        </w:rPr>
        <w:br w:type="page"/>
      </w:r>
    </w:p>
    <w:p w14:paraId="1C572A3D" w14:textId="68131514"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lastRenderedPageBreak/>
        <w:t xml:space="preserve">Consolidated Balance Sheet </w:t>
      </w:r>
      <w:r w:rsidR="007435F1" w:rsidRPr="00B706D3">
        <w:rPr>
          <w:rFonts w:ascii="Times New Roman" w:hAnsi="Times New Roman" w:cs="Times New Roman"/>
          <w:b/>
          <w:bCs/>
          <w:color w:val="000000" w:themeColor="text1"/>
          <w:lang w:val="en-US"/>
        </w:rPr>
        <w:t>Excerpts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6"/>
        <w:gridCol w:w="1140"/>
        <w:gridCol w:w="1140"/>
        <w:gridCol w:w="1140"/>
        <w:gridCol w:w="1140"/>
        <w:gridCol w:w="1340"/>
        <w:gridCol w:w="1900"/>
      </w:tblGrid>
      <w:tr w:rsidR="00263DAE" w:rsidRPr="00B706D3" w14:paraId="33734A73" w14:textId="77777777">
        <w:trPr>
          <w:tblHeader/>
          <w:tblCellSpacing w:w="15" w:type="dxa"/>
        </w:trPr>
        <w:tc>
          <w:tcPr>
            <w:tcW w:w="0" w:type="auto"/>
            <w:vAlign w:val="center"/>
            <w:hideMark/>
          </w:tcPr>
          <w:p w14:paraId="7FD2F0B4"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Item</w:t>
            </w:r>
          </w:p>
        </w:tc>
        <w:tc>
          <w:tcPr>
            <w:tcW w:w="0" w:type="auto"/>
            <w:vAlign w:val="center"/>
            <w:hideMark/>
          </w:tcPr>
          <w:p w14:paraId="5A692C4A"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0FD4F950"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786D3126"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10037CC3"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70D6055A"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c>
          <w:tcPr>
            <w:tcW w:w="0" w:type="auto"/>
            <w:vAlign w:val="center"/>
            <w:hideMark/>
          </w:tcPr>
          <w:p w14:paraId="5D983698"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Trend Insight</w:t>
            </w:r>
          </w:p>
        </w:tc>
      </w:tr>
      <w:tr w:rsidR="00263DAE" w:rsidRPr="00B706D3" w14:paraId="3B198621" w14:textId="77777777">
        <w:trPr>
          <w:tblCellSpacing w:w="15" w:type="dxa"/>
        </w:trPr>
        <w:tc>
          <w:tcPr>
            <w:tcW w:w="0" w:type="auto"/>
            <w:vAlign w:val="center"/>
            <w:hideMark/>
          </w:tcPr>
          <w:p w14:paraId="68FBE07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Total Assets</w:t>
            </w:r>
          </w:p>
        </w:tc>
        <w:tc>
          <w:tcPr>
            <w:tcW w:w="0" w:type="auto"/>
            <w:vAlign w:val="center"/>
            <w:hideMark/>
          </w:tcPr>
          <w:p w14:paraId="21DF020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66,849,997</w:t>
            </w:r>
          </w:p>
        </w:tc>
        <w:tc>
          <w:tcPr>
            <w:tcW w:w="0" w:type="auto"/>
            <w:vAlign w:val="center"/>
            <w:hideMark/>
          </w:tcPr>
          <w:p w14:paraId="035DCDB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73,710,965</w:t>
            </w:r>
          </w:p>
        </w:tc>
        <w:tc>
          <w:tcPr>
            <w:tcW w:w="0" w:type="auto"/>
            <w:vAlign w:val="center"/>
            <w:hideMark/>
          </w:tcPr>
          <w:p w14:paraId="40A9B30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80,627,826</w:t>
            </w:r>
          </w:p>
        </w:tc>
        <w:tc>
          <w:tcPr>
            <w:tcW w:w="0" w:type="auto"/>
            <w:vAlign w:val="center"/>
            <w:hideMark/>
          </w:tcPr>
          <w:p w14:paraId="494613A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92,755,874</w:t>
            </w:r>
          </w:p>
        </w:tc>
        <w:tc>
          <w:tcPr>
            <w:tcW w:w="0" w:type="auto"/>
            <w:vAlign w:val="center"/>
            <w:hideMark/>
          </w:tcPr>
          <w:p w14:paraId="206D7831"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98,979,055</w:t>
            </w:r>
          </w:p>
        </w:tc>
        <w:tc>
          <w:tcPr>
            <w:tcW w:w="0" w:type="auto"/>
            <w:vAlign w:val="center"/>
            <w:hideMark/>
          </w:tcPr>
          <w:p w14:paraId="22A8A6F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Steady growth (CAGR ~10.3%)</w:t>
            </w:r>
          </w:p>
        </w:tc>
      </w:tr>
      <w:tr w:rsidR="00263DAE" w:rsidRPr="00B706D3" w14:paraId="60C759A3" w14:textId="77777777">
        <w:trPr>
          <w:tblCellSpacing w:w="15" w:type="dxa"/>
        </w:trPr>
        <w:tc>
          <w:tcPr>
            <w:tcW w:w="0" w:type="auto"/>
            <w:vAlign w:val="center"/>
            <w:hideMark/>
          </w:tcPr>
          <w:p w14:paraId="5D3B6F4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Total Equity</w:t>
            </w:r>
          </w:p>
        </w:tc>
        <w:tc>
          <w:tcPr>
            <w:tcW w:w="0" w:type="auto"/>
            <w:vAlign w:val="center"/>
            <w:hideMark/>
          </w:tcPr>
          <w:p w14:paraId="4C283DE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34,912,556</w:t>
            </w:r>
          </w:p>
        </w:tc>
        <w:tc>
          <w:tcPr>
            <w:tcW w:w="0" w:type="auto"/>
            <w:vAlign w:val="center"/>
            <w:hideMark/>
          </w:tcPr>
          <w:p w14:paraId="3EDC65BE"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39,343,081</w:t>
            </w:r>
          </w:p>
        </w:tc>
        <w:tc>
          <w:tcPr>
            <w:tcW w:w="0" w:type="auto"/>
            <w:vAlign w:val="center"/>
            <w:hideMark/>
          </w:tcPr>
          <w:p w14:paraId="2838102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46,558,235</w:t>
            </w:r>
          </w:p>
        </w:tc>
        <w:tc>
          <w:tcPr>
            <w:tcW w:w="0" w:type="auto"/>
            <w:vAlign w:val="center"/>
            <w:hideMark/>
          </w:tcPr>
          <w:p w14:paraId="09D071C0"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55,840,309</w:t>
            </w:r>
          </w:p>
        </w:tc>
        <w:tc>
          <w:tcPr>
            <w:tcW w:w="0" w:type="auto"/>
            <w:vAlign w:val="center"/>
            <w:hideMark/>
          </w:tcPr>
          <w:p w14:paraId="1CA8947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61,190,464</w:t>
            </w:r>
          </w:p>
        </w:tc>
        <w:tc>
          <w:tcPr>
            <w:tcW w:w="0" w:type="auto"/>
            <w:vAlign w:val="center"/>
            <w:hideMark/>
          </w:tcPr>
          <w:p w14:paraId="0A54582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Strong equity buildup via retained earnings</w:t>
            </w:r>
          </w:p>
        </w:tc>
      </w:tr>
      <w:tr w:rsidR="00263DAE" w:rsidRPr="00B706D3" w14:paraId="55B775CB" w14:textId="77777777">
        <w:trPr>
          <w:tblCellSpacing w:w="15" w:type="dxa"/>
        </w:trPr>
        <w:tc>
          <w:tcPr>
            <w:tcW w:w="0" w:type="auto"/>
            <w:vAlign w:val="center"/>
            <w:hideMark/>
          </w:tcPr>
          <w:p w14:paraId="5AC6B142"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Current Assets</w:t>
            </w:r>
          </w:p>
        </w:tc>
        <w:tc>
          <w:tcPr>
            <w:tcW w:w="0" w:type="auto"/>
            <w:vAlign w:val="center"/>
            <w:hideMark/>
          </w:tcPr>
          <w:p w14:paraId="138B122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29,205,483</w:t>
            </w:r>
          </w:p>
        </w:tc>
        <w:tc>
          <w:tcPr>
            <w:tcW w:w="0" w:type="auto"/>
            <w:vAlign w:val="center"/>
            <w:hideMark/>
          </w:tcPr>
          <w:p w14:paraId="594478E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34,147,147</w:t>
            </w:r>
          </w:p>
        </w:tc>
        <w:tc>
          <w:tcPr>
            <w:tcW w:w="0" w:type="auto"/>
            <w:vAlign w:val="center"/>
            <w:hideMark/>
          </w:tcPr>
          <w:p w14:paraId="32DFE142"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37,466,302</w:t>
            </w:r>
          </w:p>
        </w:tc>
        <w:tc>
          <w:tcPr>
            <w:tcW w:w="0" w:type="auto"/>
            <w:vAlign w:val="center"/>
            <w:hideMark/>
          </w:tcPr>
          <w:p w14:paraId="51D16D8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41,797,457</w:t>
            </w:r>
          </w:p>
        </w:tc>
        <w:tc>
          <w:tcPr>
            <w:tcW w:w="0" w:type="auto"/>
            <w:vAlign w:val="center"/>
            <w:hideMark/>
          </w:tcPr>
          <w:p w14:paraId="6A64AC7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44,425,929</w:t>
            </w:r>
          </w:p>
        </w:tc>
        <w:tc>
          <w:tcPr>
            <w:tcW w:w="0" w:type="auto"/>
            <w:vAlign w:val="center"/>
            <w:hideMark/>
          </w:tcPr>
          <w:p w14:paraId="333A115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Improved liquidity base</w:t>
            </w:r>
          </w:p>
        </w:tc>
      </w:tr>
      <w:tr w:rsidR="00263DAE" w:rsidRPr="00B706D3" w14:paraId="0C59A7AE" w14:textId="77777777">
        <w:trPr>
          <w:tblCellSpacing w:w="15" w:type="dxa"/>
        </w:trPr>
        <w:tc>
          <w:tcPr>
            <w:tcW w:w="0" w:type="auto"/>
            <w:vAlign w:val="center"/>
            <w:hideMark/>
          </w:tcPr>
          <w:p w14:paraId="7A2EC20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Interest-Bearing Debt</w:t>
            </w:r>
          </w:p>
        </w:tc>
        <w:tc>
          <w:tcPr>
            <w:tcW w:w="0" w:type="auto"/>
            <w:vAlign w:val="center"/>
            <w:hideMark/>
          </w:tcPr>
          <w:p w14:paraId="6ED5E20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9,343,877</w:t>
            </w:r>
          </w:p>
        </w:tc>
        <w:tc>
          <w:tcPr>
            <w:tcW w:w="0" w:type="auto"/>
            <w:vAlign w:val="center"/>
            <w:hideMark/>
          </w:tcPr>
          <w:p w14:paraId="1E4DFB6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7,472,524</w:t>
            </w:r>
          </w:p>
        </w:tc>
        <w:tc>
          <w:tcPr>
            <w:tcW w:w="0" w:type="auto"/>
            <w:vAlign w:val="center"/>
            <w:hideMark/>
          </w:tcPr>
          <w:p w14:paraId="30B2101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3,799,839</w:t>
            </w:r>
          </w:p>
        </w:tc>
        <w:tc>
          <w:tcPr>
            <w:tcW w:w="0" w:type="auto"/>
            <w:vAlign w:val="center"/>
            <w:hideMark/>
          </w:tcPr>
          <w:p w14:paraId="3A20C16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3,234,244</w:t>
            </w:r>
          </w:p>
        </w:tc>
        <w:tc>
          <w:tcPr>
            <w:tcW w:w="0" w:type="auto"/>
            <w:vAlign w:val="center"/>
            <w:hideMark/>
          </w:tcPr>
          <w:p w14:paraId="15A8BEA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~2,729,000 (approx.)</w:t>
            </w:r>
          </w:p>
        </w:tc>
        <w:tc>
          <w:tcPr>
            <w:tcW w:w="0" w:type="auto"/>
            <w:vAlign w:val="center"/>
            <w:hideMark/>
          </w:tcPr>
          <w:p w14:paraId="05A7AB0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Aggressive deleveraging</w:t>
            </w:r>
          </w:p>
        </w:tc>
      </w:tr>
    </w:tbl>
    <w:p w14:paraId="744FCABA"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p>
    <w:p w14:paraId="4BC85C06" w14:textId="00078F1F"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Global vehicle sales reached a record 3.14 million units in 2025, increasing revenue despite pressures. The CAGR was 13% over the period, showing strong volume recovery and a favorable product mix. The company also enjoyed pricing power in premium segments</w:t>
      </w:r>
      <w:r w:rsidR="007435F1" w:rsidRPr="00B706D3">
        <w:rPr>
          <w:rFonts w:ascii="Times New Roman" w:hAnsi="Times New Roman" w:cs="Times New Roman"/>
          <w:color w:val="000000" w:themeColor="text1"/>
          <w:lang w:val="en-US"/>
        </w:rPr>
        <w:t xml:space="preserve"> (</w:t>
      </w:r>
      <w:proofErr w:type="spellStart"/>
      <w:r w:rsidR="007435F1" w:rsidRPr="00B706D3">
        <w:rPr>
          <w:rFonts w:ascii="Times New Roman" w:hAnsi="Times New Roman" w:cs="Times New Roman"/>
          <w:color w:val="000000" w:themeColor="text1"/>
          <w:lang w:val="en-US"/>
        </w:rPr>
        <w:t>Automotiveworld</w:t>
      </w:r>
      <w:proofErr w:type="spellEnd"/>
      <w:r w:rsidR="007435F1" w:rsidRPr="00B706D3">
        <w:rPr>
          <w:rFonts w:ascii="Times New Roman" w:hAnsi="Times New Roman" w:cs="Times New Roman"/>
          <w:color w:val="000000" w:themeColor="text1"/>
          <w:lang w:val="en-US"/>
        </w:rPr>
        <w:t>, 2025)</w:t>
      </w:r>
      <w:r w:rsidRPr="00B706D3">
        <w:rPr>
          <w:rFonts w:ascii="Times New Roman" w:hAnsi="Times New Roman" w:cs="Times New Roman"/>
          <w:color w:val="000000" w:themeColor="text1"/>
          <w:lang w:val="en-US"/>
        </w:rPr>
        <w:t>. The year 2025 marked normalization, with profit contraction due to U.S. tariffs and cost pressure in the EV transition.</w:t>
      </w:r>
    </w:p>
    <w:p w14:paraId="416FE45C" w14:textId="77777777" w:rsidR="00B706D3" w:rsidRDefault="00B706D3">
      <w:pPr>
        <w:rPr>
          <w:rFonts w:ascii="Times New Roman" w:eastAsiaTheme="majorEastAsia"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414D1739" w14:textId="439EE2CE" w:rsidR="00DB61B2"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3" w:name="_Toc227875540"/>
      <w:r w:rsidRPr="00B706D3">
        <w:rPr>
          <w:rFonts w:ascii="Times New Roman" w:hAnsi="Times New Roman" w:cs="Times New Roman"/>
          <w:b/>
          <w:bCs/>
          <w:color w:val="000000" w:themeColor="text1"/>
          <w:sz w:val="24"/>
          <w:szCs w:val="24"/>
          <w:lang w:val="en-US"/>
        </w:rPr>
        <w:lastRenderedPageBreak/>
        <w:t>1.2 Ratio Analysis</w:t>
      </w:r>
      <w:bookmarkEnd w:id="3"/>
      <w:r w:rsidRPr="00B706D3">
        <w:rPr>
          <w:rFonts w:ascii="Times New Roman" w:hAnsi="Times New Roman" w:cs="Times New Roman"/>
          <w:b/>
          <w:bCs/>
          <w:color w:val="000000" w:themeColor="text1"/>
          <w:sz w:val="24"/>
          <w:szCs w:val="24"/>
          <w:lang w:val="en-US"/>
        </w:rPr>
        <w:t xml:space="preserve"> </w:t>
      </w:r>
    </w:p>
    <w:p w14:paraId="113BB2F5" w14:textId="6BA97BF4"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 xml:space="preserve">1. Profitability Ratios </w:t>
      </w:r>
    </w:p>
    <w:p w14:paraId="5C67D856" w14:textId="2E73844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The profits of the company expanded significantly from 2021 to 2024 due to the rise of high-margin SUVs and electrified models. </w:t>
      </w:r>
    </w:p>
    <w:p w14:paraId="35062D75" w14:textId="30B11B91"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Key Margin Trends from Income Statement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7"/>
        <w:gridCol w:w="610"/>
        <w:gridCol w:w="610"/>
        <w:gridCol w:w="610"/>
        <w:gridCol w:w="610"/>
        <w:gridCol w:w="625"/>
      </w:tblGrid>
      <w:tr w:rsidR="00263DAE" w:rsidRPr="00B706D3" w14:paraId="735B502A" w14:textId="77777777">
        <w:trPr>
          <w:tblHeader/>
          <w:tblCellSpacing w:w="15" w:type="dxa"/>
        </w:trPr>
        <w:tc>
          <w:tcPr>
            <w:tcW w:w="0" w:type="auto"/>
            <w:vAlign w:val="center"/>
            <w:hideMark/>
          </w:tcPr>
          <w:p w14:paraId="4DD8F2C3" w14:textId="77777777" w:rsidR="00263DAE" w:rsidRPr="00B706D3" w:rsidRDefault="00263DAE" w:rsidP="00667E58">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Margin</w:t>
            </w:r>
          </w:p>
        </w:tc>
        <w:tc>
          <w:tcPr>
            <w:tcW w:w="0" w:type="auto"/>
            <w:vAlign w:val="center"/>
            <w:hideMark/>
          </w:tcPr>
          <w:p w14:paraId="16E5F56A" w14:textId="77777777" w:rsidR="00263DAE" w:rsidRPr="00B706D3" w:rsidRDefault="00263DAE" w:rsidP="00667E58">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0F049D6E" w14:textId="77777777" w:rsidR="00263DAE" w:rsidRPr="00B706D3" w:rsidRDefault="00263DAE" w:rsidP="00667E58">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3F184819" w14:textId="77777777" w:rsidR="00263DAE" w:rsidRPr="00B706D3" w:rsidRDefault="00263DAE" w:rsidP="00667E58">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2192B755" w14:textId="77777777" w:rsidR="00263DAE" w:rsidRPr="00B706D3" w:rsidRDefault="00263DAE" w:rsidP="00667E58">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148FFFF7" w14:textId="77777777" w:rsidR="00263DAE" w:rsidRPr="00B706D3" w:rsidRDefault="00263DAE" w:rsidP="00667E58">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r>
      <w:tr w:rsidR="00263DAE" w:rsidRPr="00B706D3" w14:paraId="4E906B0F" w14:textId="77777777">
        <w:trPr>
          <w:tblCellSpacing w:w="15" w:type="dxa"/>
        </w:trPr>
        <w:tc>
          <w:tcPr>
            <w:tcW w:w="0" w:type="auto"/>
            <w:vAlign w:val="center"/>
            <w:hideMark/>
          </w:tcPr>
          <w:p w14:paraId="111F4642"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Gross Margin</w:t>
            </w:r>
          </w:p>
        </w:tc>
        <w:tc>
          <w:tcPr>
            <w:tcW w:w="0" w:type="auto"/>
            <w:vAlign w:val="center"/>
            <w:hideMark/>
          </w:tcPr>
          <w:p w14:paraId="77D71423"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~18.5</w:t>
            </w:r>
          </w:p>
        </w:tc>
        <w:tc>
          <w:tcPr>
            <w:tcW w:w="0" w:type="auto"/>
            <w:vAlign w:val="center"/>
            <w:hideMark/>
          </w:tcPr>
          <w:p w14:paraId="112C6B78"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~20.8</w:t>
            </w:r>
          </w:p>
        </w:tc>
        <w:tc>
          <w:tcPr>
            <w:tcW w:w="0" w:type="auto"/>
            <w:vAlign w:val="center"/>
            <w:hideMark/>
          </w:tcPr>
          <w:p w14:paraId="70238B85"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~22.7</w:t>
            </w:r>
          </w:p>
        </w:tc>
        <w:tc>
          <w:tcPr>
            <w:tcW w:w="0" w:type="auto"/>
            <w:vAlign w:val="center"/>
            <w:hideMark/>
          </w:tcPr>
          <w:p w14:paraId="1EAC5E9C"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~23.1</w:t>
            </w:r>
          </w:p>
        </w:tc>
        <w:tc>
          <w:tcPr>
            <w:tcW w:w="0" w:type="auto"/>
            <w:vAlign w:val="center"/>
            <w:hideMark/>
          </w:tcPr>
          <w:p w14:paraId="55B652B9"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~19.7</w:t>
            </w:r>
          </w:p>
        </w:tc>
      </w:tr>
      <w:tr w:rsidR="00263DAE" w:rsidRPr="00B706D3" w14:paraId="1EF4B3E2" w14:textId="77777777">
        <w:trPr>
          <w:tblCellSpacing w:w="15" w:type="dxa"/>
        </w:trPr>
        <w:tc>
          <w:tcPr>
            <w:tcW w:w="0" w:type="auto"/>
            <w:vAlign w:val="center"/>
            <w:hideMark/>
          </w:tcPr>
          <w:p w14:paraId="1567EEDA"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Operating Margin</w:t>
            </w:r>
          </w:p>
        </w:tc>
        <w:tc>
          <w:tcPr>
            <w:tcW w:w="0" w:type="auto"/>
            <w:vAlign w:val="center"/>
            <w:hideMark/>
          </w:tcPr>
          <w:p w14:paraId="4F42D0D9"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7.3</w:t>
            </w:r>
          </w:p>
        </w:tc>
        <w:tc>
          <w:tcPr>
            <w:tcW w:w="0" w:type="auto"/>
            <w:vAlign w:val="center"/>
            <w:hideMark/>
          </w:tcPr>
          <w:p w14:paraId="515302C0"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8.4</w:t>
            </w:r>
          </w:p>
        </w:tc>
        <w:tc>
          <w:tcPr>
            <w:tcW w:w="0" w:type="auto"/>
            <w:vAlign w:val="center"/>
            <w:hideMark/>
          </w:tcPr>
          <w:p w14:paraId="789D6B7E"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11.6</w:t>
            </w:r>
          </w:p>
        </w:tc>
        <w:tc>
          <w:tcPr>
            <w:tcW w:w="0" w:type="auto"/>
            <w:vAlign w:val="center"/>
            <w:hideMark/>
          </w:tcPr>
          <w:p w14:paraId="4A31C89E"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11.8</w:t>
            </w:r>
          </w:p>
        </w:tc>
        <w:tc>
          <w:tcPr>
            <w:tcW w:w="0" w:type="auto"/>
            <w:vAlign w:val="center"/>
            <w:hideMark/>
          </w:tcPr>
          <w:p w14:paraId="72EA3B60"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8.0</w:t>
            </w:r>
          </w:p>
        </w:tc>
      </w:tr>
      <w:tr w:rsidR="00263DAE" w:rsidRPr="00B706D3" w14:paraId="0878AD3E" w14:textId="77777777">
        <w:trPr>
          <w:tblCellSpacing w:w="15" w:type="dxa"/>
        </w:trPr>
        <w:tc>
          <w:tcPr>
            <w:tcW w:w="0" w:type="auto"/>
            <w:vAlign w:val="center"/>
            <w:hideMark/>
          </w:tcPr>
          <w:p w14:paraId="2CA5AF0F"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Net Profit Margin</w:t>
            </w:r>
          </w:p>
        </w:tc>
        <w:tc>
          <w:tcPr>
            <w:tcW w:w="0" w:type="auto"/>
            <w:vAlign w:val="center"/>
            <w:hideMark/>
          </w:tcPr>
          <w:p w14:paraId="6B3990A3"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6.8</w:t>
            </w:r>
          </w:p>
        </w:tc>
        <w:tc>
          <w:tcPr>
            <w:tcW w:w="0" w:type="auto"/>
            <w:vAlign w:val="center"/>
            <w:hideMark/>
          </w:tcPr>
          <w:p w14:paraId="1A6EB447"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6.2</w:t>
            </w:r>
          </w:p>
        </w:tc>
        <w:tc>
          <w:tcPr>
            <w:tcW w:w="0" w:type="auto"/>
            <w:vAlign w:val="center"/>
            <w:hideMark/>
          </w:tcPr>
          <w:p w14:paraId="2406D366"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8.8</w:t>
            </w:r>
          </w:p>
        </w:tc>
        <w:tc>
          <w:tcPr>
            <w:tcW w:w="0" w:type="auto"/>
            <w:vAlign w:val="center"/>
            <w:hideMark/>
          </w:tcPr>
          <w:p w14:paraId="34E8AE19"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9.1</w:t>
            </w:r>
          </w:p>
        </w:tc>
        <w:tc>
          <w:tcPr>
            <w:tcW w:w="0" w:type="auto"/>
            <w:vAlign w:val="center"/>
            <w:hideMark/>
          </w:tcPr>
          <w:p w14:paraId="5D6BB7D7" w14:textId="77777777" w:rsidR="00263DAE" w:rsidRPr="00B706D3" w:rsidRDefault="00263DAE" w:rsidP="00667E58">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6.6</w:t>
            </w:r>
          </w:p>
        </w:tc>
      </w:tr>
    </w:tbl>
    <w:p w14:paraId="296EC463" w14:textId="6CE933B2" w:rsidR="00263DAE"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The gross margin seen </w:t>
      </w:r>
      <w:proofErr w:type="gramStart"/>
      <w:r w:rsidRPr="00B706D3">
        <w:rPr>
          <w:rFonts w:ascii="Times New Roman" w:hAnsi="Times New Roman" w:cs="Times New Roman"/>
          <w:color w:val="000000" w:themeColor="text1"/>
          <w:lang w:val="en-US"/>
        </w:rPr>
        <w:t>a</w:t>
      </w:r>
      <w:proofErr w:type="gramEnd"/>
      <w:r w:rsidRPr="00B706D3">
        <w:rPr>
          <w:rFonts w:ascii="Times New Roman" w:hAnsi="Times New Roman" w:cs="Times New Roman"/>
          <w:color w:val="000000" w:themeColor="text1"/>
          <w:lang w:val="en-US"/>
        </w:rPr>
        <w:t xml:space="preserve"> improvement through 2024, where they provided cost efficiency with better pricing. Their Carnival Hybrid Sportage and other high-margin vehicles helped them make better margins</w:t>
      </w:r>
      <w:r w:rsidR="007435F1" w:rsidRPr="00B706D3">
        <w:rPr>
          <w:rFonts w:ascii="Times New Roman" w:hAnsi="Times New Roman" w:cs="Times New Roman"/>
          <w:color w:val="000000" w:themeColor="text1"/>
          <w:lang w:val="en-US"/>
        </w:rPr>
        <w:t xml:space="preserve"> (Furlong, 2025)</w:t>
      </w:r>
      <w:r w:rsidRPr="00B706D3">
        <w:rPr>
          <w:rFonts w:ascii="Times New Roman" w:hAnsi="Times New Roman" w:cs="Times New Roman"/>
          <w:color w:val="000000" w:themeColor="text1"/>
          <w:lang w:val="en-US"/>
        </w:rPr>
        <w:t>. Their operating margin nearly doubled by 2024 due to operational leverage and premiumization. The decline to an 8% operating margin in 2025 came from tariff-related incentives. The ROA and ROE peaked mid-period when earnings growth outpaced asset and equity expansion.</w:t>
      </w:r>
    </w:p>
    <w:p w14:paraId="11619F01" w14:textId="19A5EE5F" w:rsidR="00667E58" w:rsidRPr="00667E58" w:rsidRDefault="00667E58" w:rsidP="00667E58">
      <w:pPr>
        <w:adjustRightInd w:val="0"/>
        <w:snapToGrid w:val="0"/>
        <w:spacing w:before="240" w:after="240" w:line="360" w:lineRule="auto"/>
        <w:jc w:val="center"/>
        <w:rPr>
          <w:rFonts w:ascii="Times New Roman" w:hAnsi="Times New Roman" w:cs="Times New Roman"/>
        </w:rPr>
      </w:pPr>
      <w:r w:rsidRPr="00667E58">
        <w:rPr>
          <w:rFonts w:ascii="Times New Roman" w:hAnsi="Times New Roman" w:cs="Times New Roman"/>
        </w:rPr>
        <w:fldChar w:fldCharType="begin"/>
      </w:r>
      <w:r w:rsidRPr="00667E58">
        <w:rPr>
          <w:rFonts w:ascii="Times New Roman" w:hAnsi="Times New Roman" w:cs="Times New Roman"/>
        </w:rPr>
        <w:instrText xml:space="preserve"> INCLUDEPICTURE "https://cdn.educba.com/academy/wp-content/uploads/2019/02/Profitability-Ratios-Formula-1.jpg" \* MERGEFORMATINET </w:instrText>
      </w:r>
      <w:r w:rsidRPr="00667E58">
        <w:rPr>
          <w:rFonts w:ascii="Times New Roman" w:hAnsi="Times New Roman" w:cs="Times New Roman"/>
        </w:rPr>
        <w:fldChar w:fldCharType="separate"/>
      </w:r>
      <w:r w:rsidRPr="00667E58">
        <w:rPr>
          <w:rFonts w:ascii="Times New Roman" w:hAnsi="Times New Roman" w:cs="Times New Roman"/>
          <w:noProof/>
          <w:lang w:val="en-GB" w:eastAsia="en-GB"/>
        </w:rPr>
        <w:drawing>
          <wp:inline distT="0" distB="0" distL="0" distR="0" wp14:anchorId="1D58DE9D" wp14:editId="452739E8">
            <wp:extent cx="4018743" cy="2063691"/>
            <wp:effectExtent l="0" t="0" r="0" b="0"/>
            <wp:docPr id="1990067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7221" cy="2093720"/>
                    </a:xfrm>
                    <a:prstGeom prst="rect">
                      <a:avLst/>
                    </a:prstGeom>
                    <a:noFill/>
                    <a:ln>
                      <a:noFill/>
                    </a:ln>
                  </pic:spPr>
                </pic:pic>
              </a:graphicData>
            </a:graphic>
          </wp:inline>
        </w:drawing>
      </w:r>
      <w:r w:rsidRPr="00667E58">
        <w:rPr>
          <w:rFonts w:ascii="Times New Roman" w:hAnsi="Times New Roman" w:cs="Times New Roman"/>
        </w:rPr>
        <w:fldChar w:fldCharType="end"/>
      </w:r>
    </w:p>
    <w:p w14:paraId="640C11AF" w14:textId="68EC6D19" w:rsidR="00667E58" w:rsidRPr="00667E58" w:rsidRDefault="00667E58" w:rsidP="00667E58">
      <w:pPr>
        <w:adjustRightInd w:val="0"/>
        <w:snapToGrid w:val="0"/>
        <w:spacing w:before="240" w:after="240" w:line="360" w:lineRule="auto"/>
        <w:jc w:val="center"/>
        <w:rPr>
          <w:rFonts w:ascii="Times New Roman" w:hAnsi="Times New Roman" w:cs="Times New Roman"/>
        </w:rPr>
      </w:pPr>
      <w:r w:rsidRPr="00667E58">
        <w:rPr>
          <w:rFonts w:ascii="Times New Roman" w:hAnsi="Times New Roman" w:cs="Times New Roman"/>
        </w:rPr>
        <w:t>Profitability Ratios Formulas</w:t>
      </w:r>
    </w:p>
    <w:p w14:paraId="7FE78F2D" w14:textId="6E2DAA55" w:rsidR="00667E58" w:rsidRPr="00667E58" w:rsidRDefault="00667E58" w:rsidP="00667E58">
      <w:pPr>
        <w:adjustRightInd w:val="0"/>
        <w:snapToGrid w:val="0"/>
        <w:spacing w:before="240" w:after="240" w:line="360" w:lineRule="auto"/>
        <w:jc w:val="center"/>
        <w:rPr>
          <w:rFonts w:ascii="Times New Roman" w:hAnsi="Times New Roman" w:cs="Times New Roman"/>
          <w:color w:val="000000" w:themeColor="text1"/>
          <w:lang w:val="en-US"/>
        </w:rPr>
      </w:pPr>
      <w:r w:rsidRPr="00667E58">
        <w:rPr>
          <w:rFonts w:ascii="Times New Roman" w:hAnsi="Times New Roman" w:cs="Times New Roman"/>
        </w:rPr>
        <w:t>Source: [Thakur, 2023]</w:t>
      </w:r>
    </w:p>
    <w:p w14:paraId="36CC3CA5" w14:textId="426B9A83" w:rsidR="00263DAE"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lastRenderedPageBreak/>
        <w:t>The profit trends are highlighting successful strategic repositioning. The diversified global sales were strong in North America and Europe for hybrids despite the industry challenges. However, the competition has intensified in the EV segment from Chinese manufacturers and geopolitical trade barriers are major threats</w:t>
      </w:r>
      <w:r w:rsidR="00360D0C">
        <w:rPr>
          <w:rFonts w:ascii="Times New Roman" w:hAnsi="Times New Roman" w:cs="Times New Roman"/>
          <w:color w:val="000000" w:themeColor="text1"/>
          <w:lang w:val="en-US"/>
        </w:rPr>
        <w:t xml:space="preserve"> (Jin, 2025)</w:t>
      </w:r>
      <w:r w:rsidRPr="00B706D3">
        <w:rPr>
          <w:rFonts w:ascii="Times New Roman" w:hAnsi="Times New Roman" w:cs="Times New Roman"/>
          <w:color w:val="000000" w:themeColor="text1"/>
          <w:lang w:val="en-US"/>
        </w:rPr>
        <w:t>. Kia still maintains above-average profits and good control over costs that uplift their brand value</w:t>
      </w:r>
      <w:r w:rsidR="007435F1" w:rsidRPr="00B706D3">
        <w:rPr>
          <w:rFonts w:ascii="Times New Roman" w:hAnsi="Times New Roman" w:cs="Times New Roman"/>
          <w:color w:val="000000" w:themeColor="text1"/>
          <w:lang w:val="en-US"/>
        </w:rPr>
        <w:t xml:space="preserve"> (Lincoln, 2025)</w:t>
      </w:r>
      <w:r w:rsidRPr="00B706D3">
        <w:rPr>
          <w:rFonts w:ascii="Times New Roman" w:hAnsi="Times New Roman" w:cs="Times New Roman"/>
          <w:color w:val="000000" w:themeColor="text1"/>
          <w:lang w:val="en-US"/>
        </w:rPr>
        <w:t>.</w:t>
      </w:r>
    </w:p>
    <w:p w14:paraId="04189841" w14:textId="7C9869FF"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 xml:space="preserve">2. Liquidity Ratios </w:t>
      </w:r>
    </w:p>
    <w:p w14:paraId="1A6B9032" w14:textId="788ABAD3" w:rsidR="00263DAE"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Kia shows a solid short-term financial stability to give it a buffer against cyclical downturns in the auto sector.</w:t>
      </w:r>
    </w:p>
    <w:p w14:paraId="44A6913B" w14:textId="76119D1E" w:rsidR="00667E58" w:rsidRDefault="00667E58"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Current Ratio = Current Assets / Current Liabilities </w:t>
      </w:r>
    </w:p>
    <w:p w14:paraId="5DFB021C" w14:textId="5FF9A7B3" w:rsidR="00667E58" w:rsidRPr="00B706D3" w:rsidRDefault="00667E58"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Quick Ratio = (Current Assets – Inventory) / Current Liabilities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5"/>
        <w:gridCol w:w="540"/>
        <w:gridCol w:w="540"/>
        <w:gridCol w:w="540"/>
        <w:gridCol w:w="540"/>
        <w:gridCol w:w="540"/>
        <w:gridCol w:w="2235"/>
      </w:tblGrid>
      <w:tr w:rsidR="00263DAE" w:rsidRPr="00B706D3" w14:paraId="1D5C181A" w14:textId="77777777">
        <w:trPr>
          <w:tblHeader/>
          <w:tblCellSpacing w:w="15" w:type="dxa"/>
        </w:trPr>
        <w:tc>
          <w:tcPr>
            <w:tcW w:w="0" w:type="auto"/>
            <w:vAlign w:val="center"/>
            <w:hideMark/>
          </w:tcPr>
          <w:p w14:paraId="1A1AF2FC"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Ratio</w:t>
            </w:r>
          </w:p>
        </w:tc>
        <w:tc>
          <w:tcPr>
            <w:tcW w:w="0" w:type="auto"/>
            <w:vAlign w:val="center"/>
            <w:hideMark/>
          </w:tcPr>
          <w:p w14:paraId="16E85C4E"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6B29DCFF"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40101979"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44AE13F1"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653FEE59"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c>
          <w:tcPr>
            <w:tcW w:w="0" w:type="auto"/>
            <w:vAlign w:val="center"/>
            <w:hideMark/>
          </w:tcPr>
          <w:p w14:paraId="60A7B874" w14:textId="77777777" w:rsidR="00263DAE" w:rsidRPr="00B706D3" w:rsidRDefault="00263DAE" w:rsidP="00C10339">
            <w:pPr>
              <w:adjustRightInd w:val="0"/>
              <w:snapToGrid w:val="0"/>
              <w:spacing w:before="240" w:after="240" w:line="48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Comment</w:t>
            </w:r>
          </w:p>
        </w:tc>
      </w:tr>
      <w:tr w:rsidR="00263DAE" w:rsidRPr="00B706D3" w14:paraId="29077C29" w14:textId="77777777">
        <w:trPr>
          <w:tblCellSpacing w:w="15" w:type="dxa"/>
        </w:trPr>
        <w:tc>
          <w:tcPr>
            <w:tcW w:w="0" w:type="auto"/>
            <w:vAlign w:val="center"/>
            <w:hideMark/>
          </w:tcPr>
          <w:p w14:paraId="71156EBD"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Current Ratio</w:t>
            </w:r>
          </w:p>
        </w:tc>
        <w:tc>
          <w:tcPr>
            <w:tcW w:w="0" w:type="auto"/>
            <w:vAlign w:val="center"/>
            <w:hideMark/>
          </w:tcPr>
          <w:p w14:paraId="5E464BEF"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1.35</w:t>
            </w:r>
          </w:p>
        </w:tc>
        <w:tc>
          <w:tcPr>
            <w:tcW w:w="0" w:type="auto"/>
            <w:vAlign w:val="center"/>
            <w:hideMark/>
          </w:tcPr>
          <w:p w14:paraId="49DBF2A8"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1.35</w:t>
            </w:r>
          </w:p>
        </w:tc>
        <w:tc>
          <w:tcPr>
            <w:tcW w:w="0" w:type="auto"/>
            <w:vAlign w:val="center"/>
            <w:hideMark/>
          </w:tcPr>
          <w:p w14:paraId="15F8E0EA"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1.46</w:t>
            </w:r>
          </w:p>
        </w:tc>
        <w:tc>
          <w:tcPr>
            <w:tcW w:w="0" w:type="auto"/>
            <w:vAlign w:val="center"/>
            <w:hideMark/>
          </w:tcPr>
          <w:p w14:paraId="07D9283C"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1.55</w:t>
            </w:r>
          </w:p>
        </w:tc>
        <w:tc>
          <w:tcPr>
            <w:tcW w:w="0" w:type="auto"/>
            <w:vAlign w:val="center"/>
            <w:hideMark/>
          </w:tcPr>
          <w:p w14:paraId="30E93441"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1.57</w:t>
            </w:r>
          </w:p>
        </w:tc>
        <w:tc>
          <w:tcPr>
            <w:tcW w:w="0" w:type="auto"/>
            <w:vAlign w:val="center"/>
            <w:hideMark/>
          </w:tcPr>
          <w:p w14:paraId="7D866CC3"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Steady improvement</w:t>
            </w:r>
          </w:p>
        </w:tc>
      </w:tr>
      <w:tr w:rsidR="00263DAE" w:rsidRPr="00B706D3" w14:paraId="16C8EF37" w14:textId="77777777">
        <w:trPr>
          <w:tblCellSpacing w:w="15" w:type="dxa"/>
        </w:trPr>
        <w:tc>
          <w:tcPr>
            <w:tcW w:w="0" w:type="auto"/>
            <w:vAlign w:val="center"/>
            <w:hideMark/>
          </w:tcPr>
          <w:p w14:paraId="1F330C62"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Quick Ratio (Acid-Test)</w:t>
            </w:r>
          </w:p>
        </w:tc>
        <w:tc>
          <w:tcPr>
            <w:tcW w:w="0" w:type="auto"/>
            <w:vAlign w:val="center"/>
            <w:hideMark/>
          </w:tcPr>
          <w:p w14:paraId="046EDD21"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0.99</w:t>
            </w:r>
          </w:p>
        </w:tc>
        <w:tc>
          <w:tcPr>
            <w:tcW w:w="0" w:type="auto"/>
            <w:vAlign w:val="center"/>
            <w:hideMark/>
          </w:tcPr>
          <w:p w14:paraId="2C25E014"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0.96</w:t>
            </w:r>
          </w:p>
        </w:tc>
        <w:tc>
          <w:tcPr>
            <w:tcW w:w="0" w:type="auto"/>
            <w:vAlign w:val="center"/>
            <w:hideMark/>
          </w:tcPr>
          <w:p w14:paraId="441235BC"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1.00</w:t>
            </w:r>
          </w:p>
        </w:tc>
        <w:tc>
          <w:tcPr>
            <w:tcW w:w="0" w:type="auto"/>
            <w:vAlign w:val="center"/>
            <w:hideMark/>
          </w:tcPr>
          <w:p w14:paraId="09A4384E"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1.07</w:t>
            </w:r>
          </w:p>
        </w:tc>
        <w:tc>
          <w:tcPr>
            <w:tcW w:w="0" w:type="auto"/>
            <w:vAlign w:val="center"/>
            <w:hideMark/>
          </w:tcPr>
          <w:p w14:paraId="7C10B4FD"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1.02</w:t>
            </w:r>
          </w:p>
        </w:tc>
        <w:tc>
          <w:tcPr>
            <w:tcW w:w="0" w:type="auto"/>
            <w:vAlign w:val="center"/>
            <w:hideMark/>
          </w:tcPr>
          <w:p w14:paraId="27FC5801" w14:textId="77777777" w:rsidR="00263DAE" w:rsidRPr="00B706D3" w:rsidRDefault="00263DAE" w:rsidP="00C10339">
            <w:pPr>
              <w:adjustRightInd w:val="0"/>
              <w:snapToGrid w:val="0"/>
              <w:spacing w:before="240" w:after="240" w:line="48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Adequate liquid assets</w:t>
            </w:r>
          </w:p>
        </w:tc>
      </w:tr>
    </w:tbl>
    <w:p w14:paraId="645B150B" w14:textId="77777777" w:rsidR="00C10339" w:rsidRDefault="00C10339"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current ratio is increasing from 2021 to 2025 as the current assets grew ahead of liabilities. </w:t>
      </w:r>
      <w:r w:rsidR="00263DAE" w:rsidRPr="00B706D3">
        <w:rPr>
          <w:rFonts w:ascii="Times New Roman" w:hAnsi="Times New Roman" w:cs="Times New Roman"/>
          <w:color w:val="000000" w:themeColor="text1"/>
          <w:lang w:val="en-US"/>
        </w:rPr>
        <w:t xml:space="preserve">The quick ratio around 1.0 indicates good coverage even excluding inventory. </w:t>
      </w:r>
      <w:r>
        <w:rPr>
          <w:rFonts w:ascii="Times New Roman" w:hAnsi="Times New Roman" w:cs="Times New Roman"/>
          <w:color w:val="000000" w:themeColor="text1"/>
          <w:lang w:val="en-US"/>
        </w:rPr>
        <w:t>A</w:t>
      </w:r>
      <w:r w:rsidR="00263DAE" w:rsidRPr="00B706D3">
        <w:rPr>
          <w:rFonts w:ascii="Times New Roman" w:hAnsi="Times New Roman" w:cs="Times New Roman"/>
          <w:color w:val="000000" w:themeColor="text1"/>
          <w:lang w:val="en-US"/>
        </w:rPr>
        <w:t>uto makers</w:t>
      </w:r>
      <w:r>
        <w:rPr>
          <w:rFonts w:ascii="Times New Roman" w:hAnsi="Times New Roman" w:cs="Times New Roman"/>
          <w:color w:val="000000" w:themeColor="text1"/>
          <w:lang w:val="en-US"/>
        </w:rPr>
        <w:t xml:space="preserve"> need to have sufficient liquid asset</w:t>
      </w:r>
      <w:r w:rsidR="00263DAE" w:rsidRPr="00B706D3">
        <w:rPr>
          <w:rFonts w:ascii="Times New Roman" w:hAnsi="Times New Roman" w:cs="Times New Roman"/>
          <w:color w:val="000000" w:themeColor="text1"/>
          <w:lang w:val="en-US"/>
        </w:rPr>
        <w:t xml:space="preserve"> to manage global supply chains </w:t>
      </w:r>
      <w:r w:rsidR="007435F1" w:rsidRPr="00B706D3">
        <w:rPr>
          <w:rFonts w:ascii="Times New Roman" w:hAnsi="Times New Roman" w:cs="Times New Roman"/>
          <w:color w:val="000000" w:themeColor="text1"/>
          <w:lang w:val="en-US"/>
        </w:rPr>
        <w:t>(Rejab, et. al., 2025)</w:t>
      </w:r>
      <w:r w:rsidR="00263DAE" w:rsidRPr="00B706D3">
        <w:rPr>
          <w:rFonts w:ascii="Times New Roman" w:hAnsi="Times New Roman" w:cs="Times New Roman"/>
          <w:color w:val="000000" w:themeColor="text1"/>
          <w:lang w:val="en-US"/>
        </w:rPr>
        <w:t xml:space="preserve">. </w:t>
      </w:r>
    </w:p>
    <w:p w14:paraId="7E9D5015" w14:textId="3B7721DE" w:rsidR="00263DAE" w:rsidRDefault="00C10339"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Kia</w:t>
      </w:r>
      <w:r w:rsidR="00263DAE" w:rsidRPr="00B706D3">
        <w:rPr>
          <w:rFonts w:ascii="Times New Roman" w:hAnsi="Times New Roman" w:cs="Times New Roman"/>
          <w:color w:val="000000" w:themeColor="text1"/>
          <w:lang w:val="en-US"/>
        </w:rPr>
        <w:t xml:space="preserve"> maintained a healthy cash balance with its robust operating cash flows.</w:t>
      </w:r>
      <w:r>
        <w:rPr>
          <w:rFonts w:ascii="Times New Roman" w:hAnsi="Times New Roman" w:cs="Times New Roman"/>
          <w:color w:val="000000" w:themeColor="text1"/>
          <w:lang w:val="en-US"/>
        </w:rPr>
        <w:t xml:space="preserve"> A disciplined working capital management was critical element behind the improved liquidity. The decision to invest in EVs reduced the risk of refinancing with ample short-term solvency. However, t</w:t>
      </w:r>
      <w:r w:rsidR="00263DAE" w:rsidRPr="00B706D3">
        <w:rPr>
          <w:rFonts w:ascii="Times New Roman" w:hAnsi="Times New Roman" w:cs="Times New Roman"/>
          <w:color w:val="000000" w:themeColor="text1"/>
          <w:lang w:val="en-US"/>
        </w:rPr>
        <w:t>he inventory buildup in EVs might strain their ratios if demand reduces or battery costs rise unexpectedly</w:t>
      </w:r>
      <w:r w:rsidR="007435F1" w:rsidRPr="00B706D3">
        <w:rPr>
          <w:rFonts w:ascii="Times New Roman" w:hAnsi="Times New Roman" w:cs="Times New Roman"/>
          <w:color w:val="000000" w:themeColor="text1"/>
          <w:lang w:val="en-US"/>
        </w:rPr>
        <w:t xml:space="preserve"> (Goldstein, 2023)</w:t>
      </w:r>
      <w:r w:rsidR="00263DAE" w:rsidRPr="00B706D3">
        <w:rPr>
          <w:rFonts w:ascii="Times New Roman" w:hAnsi="Times New Roman" w:cs="Times New Roman"/>
          <w:color w:val="000000" w:themeColor="text1"/>
          <w:lang w:val="en-US"/>
        </w:rPr>
        <w:t xml:space="preserve">. </w:t>
      </w:r>
    </w:p>
    <w:p w14:paraId="5C9B0C6E" w14:textId="77777777" w:rsidR="00C10339" w:rsidRPr="00B706D3" w:rsidRDefault="00C10339" w:rsidP="00B706D3">
      <w:pPr>
        <w:adjustRightInd w:val="0"/>
        <w:snapToGrid w:val="0"/>
        <w:spacing w:before="240" w:after="240" w:line="360" w:lineRule="auto"/>
        <w:jc w:val="both"/>
        <w:rPr>
          <w:rFonts w:ascii="Times New Roman" w:hAnsi="Times New Roman" w:cs="Times New Roman"/>
          <w:color w:val="000000" w:themeColor="text1"/>
          <w:lang w:val="en-US"/>
        </w:rPr>
      </w:pPr>
    </w:p>
    <w:p w14:paraId="0ACC53F8" w14:textId="77777777" w:rsidR="00B706D3" w:rsidRDefault="00B706D3">
      <w:pP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59A98493" w14:textId="018977A7" w:rsidR="00263DAE" w:rsidRPr="00C10339"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lastRenderedPageBreak/>
        <w:t xml:space="preserve">3. Efficiency Ratios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0"/>
        <w:gridCol w:w="660"/>
        <w:gridCol w:w="660"/>
        <w:gridCol w:w="1074"/>
        <w:gridCol w:w="1074"/>
        <w:gridCol w:w="660"/>
        <w:gridCol w:w="2848"/>
      </w:tblGrid>
      <w:tr w:rsidR="00263DAE" w:rsidRPr="00B706D3" w14:paraId="19B3A812" w14:textId="77777777">
        <w:trPr>
          <w:tblHeader/>
          <w:tblCellSpacing w:w="15" w:type="dxa"/>
        </w:trPr>
        <w:tc>
          <w:tcPr>
            <w:tcW w:w="0" w:type="auto"/>
            <w:vAlign w:val="center"/>
            <w:hideMark/>
          </w:tcPr>
          <w:p w14:paraId="250D3C88"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Ratio</w:t>
            </w:r>
          </w:p>
        </w:tc>
        <w:tc>
          <w:tcPr>
            <w:tcW w:w="0" w:type="auto"/>
            <w:vAlign w:val="center"/>
            <w:hideMark/>
          </w:tcPr>
          <w:p w14:paraId="07D804A0"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05363217"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0B2C462B"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3C8CA0BC"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79FF2037"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c>
          <w:tcPr>
            <w:tcW w:w="0" w:type="auto"/>
            <w:vAlign w:val="center"/>
            <w:hideMark/>
          </w:tcPr>
          <w:p w14:paraId="4B83C89A"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Insight</w:t>
            </w:r>
          </w:p>
        </w:tc>
      </w:tr>
      <w:tr w:rsidR="00263DAE" w:rsidRPr="00B706D3" w14:paraId="40C99681" w14:textId="77777777">
        <w:trPr>
          <w:tblCellSpacing w:w="15" w:type="dxa"/>
        </w:trPr>
        <w:tc>
          <w:tcPr>
            <w:tcW w:w="0" w:type="auto"/>
            <w:vAlign w:val="center"/>
            <w:hideMark/>
          </w:tcPr>
          <w:p w14:paraId="1C43722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Asset Turnover (x)</w:t>
            </w:r>
          </w:p>
        </w:tc>
        <w:tc>
          <w:tcPr>
            <w:tcW w:w="0" w:type="auto"/>
            <w:vAlign w:val="center"/>
            <w:hideMark/>
          </w:tcPr>
          <w:p w14:paraId="627E7A0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~1.10</w:t>
            </w:r>
          </w:p>
        </w:tc>
        <w:tc>
          <w:tcPr>
            <w:tcW w:w="0" w:type="auto"/>
            <w:vAlign w:val="center"/>
            <w:hideMark/>
          </w:tcPr>
          <w:p w14:paraId="291BA201"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~1.20</w:t>
            </w:r>
          </w:p>
        </w:tc>
        <w:tc>
          <w:tcPr>
            <w:tcW w:w="0" w:type="auto"/>
            <w:vAlign w:val="center"/>
            <w:hideMark/>
          </w:tcPr>
          <w:p w14:paraId="2422BCD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~1.29</w:t>
            </w:r>
          </w:p>
        </w:tc>
        <w:tc>
          <w:tcPr>
            <w:tcW w:w="0" w:type="auto"/>
            <w:vAlign w:val="center"/>
            <w:hideMark/>
          </w:tcPr>
          <w:p w14:paraId="63B30142"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~1.25</w:t>
            </w:r>
          </w:p>
        </w:tc>
        <w:tc>
          <w:tcPr>
            <w:tcW w:w="0" w:type="auto"/>
            <w:vAlign w:val="center"/>
            <w:hideMark/>
          </w:tcPr>
          <w:p w14:paraId="65441E8F"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~1.19</w:t>
            </w:r>
          </w:p>
        </w:tc>
        <w:tc>
          <w:tcPr>
            <w:tcW w:w="0" w:type="auto"/>
            <w:vAlign w:val="center"/>
            <w:hideMark/>
          </w:tcPr>
          <w:p w14:paraId="01554F2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Revenue growth outpaced assets</w:t>
            </w:r>
          </w:p>
        </w:tc>
      </w:tr>
      <w:tr w:rsidR="00263DAE" w:rsidRPr="00B706D3" w14:paraId="158CE793" w14:textId="77777777">
        <w:trPr>
          <w:tblCellSpacing w:w="15" w:type="dxa"/>
        </w:trPr>
        <w:tc>
          <w:tcPr>
            <w:tcW w:w="0" w:type="auto"/>
            <w:vAlign w:val="center"/>
            <w:hideMark/>
          </w:tcPr>
          <w:p w14:paraId="109FB3D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Inventory Turnover (x)</w:t>
            </w:r>
          </w:p>
        </w:tc>
        <w:tc>
          <w:tcPr>
            <w:tcW w:w="0" w:type="auto"/>
            <w:vAlign w:val="center"/>
            <w:hideMark/>
          </w:tcPr>
          <w:p w14:paraId="59C2663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~8.5</w:t>
            </w:r>
          </w:p>
        </w:tc>
        <w:tc>
          <w:tcPr>
            <w:tcW w:w="0" w:type="auto"/>
            <w:vAlign w:val="center"/>
            <w:hideMark/>
          </w:tcPr>
          <w:p w14:paraId="11D9220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~8.0</w:t>
            </w:r>
          </w:p>
        </w:tc>
        <w:tc>
          <w:tcPr>
            <w:tcW w:w="0" w:type="auto"/>
            <w:vAlign w:val="center"/>
            <w:hideMark/>
          </w:tcPr>
          <w:p w14:paraId="51FB47A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~7.6</w:t>
            </w:r>
          </w:p>
        </w:tc>
        <w:tc>
          <w:tcPr>
            <w:tcW w:w="0" w:type="auto"/>
            <w:vAlign w:val="center"/>
            <w:hideMark/>
          </w:tcPr>
          <w:p w14:paraId="2FF894BB"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~7.0</w:t>
            </w:r>
          </w:p>
        </w:tc>
        <w:tc>
          <w:tcPr>
            <w:tcW w:w="0" w:type="auto"/>
            <w:vAlign w:val="center"/>
            <w:hideMark/>
          </w:tcPr>
          <w:p w14:paraId="6E6E933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~6.8</w:t>
            </w:r>
          </w:p>
        </w:tc>
        <w:tc>
          <w:tcPr>
            <w:tcW w:w="0" w:type="auto"/>
            <w:vAlign w:val="center"/>
            <w:hideMark/>
          </w:tcPr>
          <w:p w14:paraId="2312712F"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Modest slowdown typical in expansion</w:t>
            </w:r>
          </w:p>
        </w:tc>
      </w:tr>
      <w:tr w:rsidR="00263DAE" w:rsidRPr="00B706D3" w14:paraId="27A53295" w14:textId="77777777">
        <w:trPr>
          <w:tblCellSpacing w:w="15" w:type="dxa"/>
        </w:trPr>
        <w:tc>
          <w:tcPr>
            <w:tcW w:w="0" w:type="auto"/>
            <w:vAlign w:val="center"/>
            <w:hideMark/>
          </w:tcPr>
          <w:p w14:paraId="599CC18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Receivables Turnover (x)</w:t>
            </w:r>
          </w:p>
        </w:tc>
        <w:tc>
          <w:tcPr>
            <w:tcW w:w="0" w:type="auto"/>
            <w:vAlign w:val="center"/>
            <w:hideMark/>
          </w:tcPr>
          <w:p w14:paraId="6DB92AB0"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Stable</w:t>
            </w:r>
          </w:p>
        </w:tc>
        <w:tc>
          <w:tcPr>
            <w:tcW w:w="0" w:type="auto"/>
            <w:vAlign w:val="center"/>
            <w:hideMark/>
          </w:tcPr>
          <w:p w14:paraId="73A78930"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Stable</w:t>
            </w:r>
          </w:p>
        </w:tc>
        <w:tc>
          <w:tcPr>
            <w:tcW w:w="0" w:type="auto"/>
            <w:vAlign w:val="center"/>
            <w:hideMark/>
          </w:tcPr>
          <w:p w14:paraId="7D46DBD0"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Improving</w:t>
            </w:r>
          </w:p>
        </w:tc>
        <w:tc>
          <w:tcPr>
            <w:tcW w:w="0" w:type="auto"/>
            <w:vAlign w:val="center"/>
            <w:hideMark/>
          </w:tcPr>
          <w:p w14:paraId="226BB1A0"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Improving</w:t>
            </w:r>
          </w:p>
        </w:tc>
        <w:tc>
          <w:tcPr>
            <w:tcW w:w="0" w:type="auto"/>
            <w:vAlign w:val="center"/>
            <w:hideMark/>
          </w:tcPr>
          <w:p w14:paraId="188A12BB"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Stable</w:t>
            </w:r>
          </w:p>
        </w:tc>
        <w:tc>
          <w:tcPr>
            <w:tcW w:w="0" w:type="auto"/>
            <w:vAlign w:val="center"/>
            <w:hideMark/>
          </w:tcPr>
          <w:p w14:paraId="03FD4DFA"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Strong collections</w:t>
            </w:r>
          </w:p>
        </w:tc>
      </w:tr>
    </w:tbl>
    <w:p w14:paraId="1FFE965E" w14:textId="77777777" w:rsidR="00667E58" w:rsidRDefault="00C10339" w:rsidP="000E55DE">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scale of Kia helped it operational efficiency but some metrics normalized during expansion into new platforms.</w:t>
      </w:r>
      <w:r>
        <w:rPr>
          <w:rFonts w:ascii="Times New Roman" w:hAnsi="Times New Roman" w:cs="Times New Roman"/>
          <w:color w:val="000000" w:themeColor="text1"/>
          <w:lang w:val="en-US"/>
        </w:rPr>
        <w:t xml:space="preserve"> </w:t>
      </w:r>
      <w:r w:rsidR="000E55DE">
        <w:rPr>
          <w:rFonts w:ascii="Times New Roman" w:hAnsi="Times New Roman" w:cs="Times New Roman"/>
          <w:color w:val="000000" w:themeColor="text1"/>
          <w:lang w:val="en-US"/>
        </w:rPr>
        <w:t>It is shown in the above able that asset turnover was at the top in 2023 with fast revenues. The inventory turnover got reduced when they made high stocks of EV model</w:t>
      </w:r>
      <w:r w:rsidR="00360D0C">
        <w:rPr>
          <w:rFonts w:ascii="Times New Roman" w:hAnsi="Times New Roman" w:cs="Times New Roman"/>
          <w:color w:val="000000" w:themeColor="text1"/>
          <w:lang w:val="en-US"/>
        </w:rPr>
        <w:t xml:space="preserve"> (Szabo, et. al., 2025)</w:t>
      </w:r>
      <w:r w:rsidR="00263DAE" w:rsidRPr="00B706D3">
        <w:rPr>
          <w:rFonts w:ascii="Times New Roman" w:hAnsi="Times New Roman" w:cs="Times New Roman"/>
          <w:color w:val="000000" w:themeColor="text1"/>
          <w:lang w:val="en-US"/>
        </w:rPr>
        <w:t xml:space="preserve">. </w:t>
      </w:r>
      <w:r w:rsidR="000E55DE">
        <w:rPr>
          <w:rFonts w:ascii="Times New Roman" w:hAnsi="Times New Roman" w:cs="Times New Roman"/>
          <w:color w:val="000000" w:themeColor="text1"/>
          <w:lang w:val="en-US"/>
        </w:rPr>
        <w:t>A</w:t>
      </w:r>
      <w:r w:rsidR="000E55DE" w:rsidRPr="00B706D3">
        <w:rPr>
          <w:rFonts w:ascii="Times New Roman" w:hAnsi="Times New Roman" w:cs="Times New Roman"/>
          <w:color w:val="000000" w:themeColor="text1"/>
          <w:lang w:val="en-US"/>
        </w:rPr>
        <w:t xml:space="preserve"> sustained low inventory turns might increase carrying costs if global demand gets low</w:t>
      </w:r>
      <w:r w:rsidR="000E55DE">
        <w:rPr>
          <w:rFonts w:ascii="Times New Roman" w:hAnsi="Times New Roman" w:cs="Times New Roman"/>
          <w:color w:val="000000" w:themeColor="text1"/>
          <w:lang w:val="en-US"/>
        </w:rPr>
        <w:t xml:space="preserve"> </w:t>
      </w:r>
      <w:r w:rsidR="000E55DE" w:rsidRPr="00B706D3">
        <w:rPr>
          <w:rFonts w:ascii="Times New Roman" w:hAnsi="Times New Roman" w:cs="Times New Roman"/>
          <w:color w:val="000000" w:themeColor="text1"/>
          <w:lang w:val="en-US"/>
        </w:rPr>
        <w:t>(Davies, 2025).</w:t>
      </w:r>
    </w:p>
    <w:p w14:paraId="0C87F05D" w14:textId="77777777" w:rsidR="00667E58" w:rsidRDefault="00667E58" w:rsidP="00667E58">
      <w:pPr>
        <w:adjustRightInd w:val="0"/>
        <w:snapToGrid w:val="0"/>
        <w:spacing w:before="240" w:after="240" w:line="360" w:lineRule="auto"/>
        <w:jc w:val="center"/>
        <w:rPr>
          <w:rFonts w:ascii="Times New Roman" w:hAnsi="Times New Roman" w:cs="Times New Roman"/>
          <w:b/>
          <w:bCs/>
          <w:color w:val="000000" w:themeColor="text1"/>
          <w:lang w:val="en-US"/>
        </w:rPr>
      </w:pPr>
      <w:r w:rsidRPr="00667E58">
        <w:rPr>
          <w:rFonts w:ascii="Times New Roman" w:hAnsi="Times New Roman" w:cs="Times New Roman"/>
          <w:b/>
          <w:bCs/>
          <w:noProof/>
          <w:color w:val="000000" w:themeColor="text1"/>
          <w:lang w:val="en-GB" w:eastAsia="en-GB"/>
        </w:rPr>
        <w:drawing>
          <wp:inline distT="0" distB="0" distL="0" distR="0" wp14:anchorId="5E50C969" wp14:editId="0FDEE7AC">
            <wp:extent cx="3447875" cy="2118537"/>
            <wp:effectExtent l="0" t="0" r="0" b="2540"/>
            <wp:docPr id="64091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1855" name=""/>
                    <pic:cNvPicPr/>
                  </pic:nvPicPr>
                  <pic:blipFill>
                    <a:blip r:embed="rId10"/>
                    <a:stretch>
                      <a:fillRect/>
                    </a:stretch>
                  </pic:blipFill>
                  <pic:spPr>
                    <a:xfrm>
                      <a:off x="0" y="0"/>
                      <a:ext cx="3465786" cy="2129543"/>
                    </a:xfrm>
                    <a:prstGeom prst="rect">
                      <a:avLst/>
                    </a:prstGeom>
                  </pic:spPr>
                </pic:pic>
              </a:graphicData>
            </a:graphic>
          </wp:inline>
        </w:drawing>
      </w:r>
    </w:p>
    <w:p w14:paraId="127E64F9" w14:textId="7D4A9C83" w:rsidR="00667E58" w:rsidRDefault="00667E58" w:rsidP="00667E58">
      <w:pPr>
        <w:adjustRightInd w:val="0"/>
        <w:snapToGrid w:val="0"/>
        <w:spacing w:before="240" w:after="240" w:line="360" w:lineRule="auto"/>
        <w:jc w:val="cente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t>Efficiency Ratios Formula</w:t>
      </w:r>
    </w:p>
    <w:p w14:paraId="238009B0" w14:textId="181F213B" w:rsidR="00B706D3" w:rsidRPr="000E55DE" w:rsidRDefault="00667E58" w:rsidP="00667E58">
      <w:pPr>
        <w:adjustRightInd w:val="0"/>
        <w:snapToGrid w:val="0"/>
        <w:spacing w:before="240" w:after="240" w:line="360" w:lineRule="auto"/>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Source: [Keni, et. al., 2019]</w:t>
      </w:r>
      <w:r w:rsidR="00B706D3">
        <w:rPr>
          <w:rFonts w:ascii="Times New Roman" w:hAnsi="Times New Roman" w:cs="Times New Roman"/>
          <w:b/>
          <w:bCs/>
          <w:color w:val="000000" w:themeColor="text1"/>
          <w:lang w:val="en-US"/>
        </w:rPr>
        <w:br w:type="page"/>
      </w:r>
    </w:p>
    <w:p w14:paraId="0077E6D8" w14:textId="40AF5B03" w:rsidR="00263DAE"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lastRenderedPageBreak/>
        <w:t xml:space="preserve">4. Gearing (Leverage) Ratios </w:t>
      </w:r>
    </w:p>
    <w:p w14:paraId="74307892" w14:textId="28EC6E8B" w:rsidR="00667E58" w:rsidRDefault="00667E58" w:rsidP="00667E58">
      <w:pPr>
        <w:adjustRightInd w:val="0"/>
        <w:snapToGrid w:val="0"/>
        <w:spacing w:before="240" w:after="240" w:line="360" w:lineRule="auto"/>
        <w:jc w:val="center"/>
        <w:rPr>
          <w:rFonts w:ascii="Times New Roman" w:hAnsi="Times New Roman" w:cs="Times New Roman"/>
          <w:b/>
          <w:bCs/>
          <w:color w:val="000000" w:themeColor="text1"/>
          <w:lang w:val="en-US"/>
        </w:rPr>
      </w:pPr>
      <w:r w:rsidRPr="00667E58">
        <w:rPr>
          <w:rFonts w:ascii="Times New Roman" w:hAnsi="Times New Roman" w:cs="Times New Roman"/>
          <w:b/>
          <w:bCs/>
          <w:noProof/>
          <w:color w:val="000000" w:themeColor="text1"/>
          <w:lang w:val="en-GB" w:eastAsia="en-GB"/>
        </w:rPr>
        <w:drawing>
          <wp:inline distT="0" distB="0" distL="0" distR="0" wp14:anchorId="1159949A" wp14:editId="183811E2">
            <wp:extent cx="4441371" cy="2296955"/>
            <wp:effectExtent l="0" t="0" r="3810" b="1905"/>
            <wp:docPr id="411357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57696" name=""/>
                    <pic:cNvPicPr/>
                  </pic:nvPicPr>
                  <pic:blipFill>
                    <a:blip r:embed="rId11"/>
                    <a:stretch>
                      <a:fillRect/>
                    </a:stretch>
                  </pic:blipFill>
                  <pic:spPr>
                    <a:xfrm>
                      <a:off x="0" y="0"/>
                      <a:ext cx="4483466" cy="2318726"/>
                    </a:xfrm>
                    <a:prstGeom prst="rect">
                      <a:avLst/>
                    </a:prstGeom>
                  </pic:spPr>
                </pic:pic>
              </a:graphicData>
            </a:graphic>
          </wp:inline>
        </w:drawing>
      </w:r>
    </w:p>
    <w:p w14:paraId="3C6BC280" w14:textId="02688827" w:rsidR="00667E58" w:rsidRDefault="00667E58" w:rsidP="00667E58">
      <w:pPr>
        <w:adjustRightInd w:val="0"/>
        <w:snapToGrid w:val="0"/>
        <w:spacing w:before="240" w:after="240" w:line="360" w:lineRule="auto"/>
        <w:jc w:val="cente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t>Leverage Ratios</w:t>
      </w:r>
    </w:p>
    <w:p w14:paraId="7442BD39" w14:textId="56E3F631" w:rsidR="00667E58" w:rsidRPr="0055574F" w:rsidRDefault="00667E58" w:rsidP="00667E58">
      <w:pPr>
        <w:adjustRightInd w:val="0"/>
        <w:snapToGrid w:val="0"/>
        <w:spacing w:before="240" w:after="240" w:line="360" w:lineRule="auto"/>
        <w:jc w:val="cente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t>Source: [Srivastav, 2019]</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4"/>
        <w:gridCol w:w="540"/>
        <w:gridCol w:w="769"/>
        <w:gridCol w:w="1300"/>
        <w:gridCol w:w="1300"/>
        <w:gridCol w:w="1300"/>
        <w:gridCol w:w="1853"/>
      </w:tblGrid>
      <w:tr w:rsidR="00263DAE" w:rsidRPr="00B706D3" w14:paraId="686738DF" w14:textId="77777777">
        <w:trPr>
          <w:tblHeader/>
          <w:tblCellSpacing w:w="15" w:type="dxa"/>
        </w:trPr>
        <w:tc>
          <w:tcPr>
            <w:tcW w:w="0" w:type="auto"/>
            <w:vAlign w:val="center"/>
            <w:hideMark/>
          </w:tcPr>
          <w:p w14:paraId="49EB26CB"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Ratio</w:t>
            </w:r>
          </w:p>
        </w:tc>
        <w:tc>
          <w:tcPr>
            <w:tcW w:w="0" w:type="auto"/>
            <w:vAlign w:val="center"/>
            <w:hideMark/>
          </w:tcPr>
          <w:p w14:paraId="5D3C0772"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62F6881D"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26D0A95D"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2DFE0CAF"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06395C63"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c>
          <w:tcPr>
            <w:tcW w:w="0" w:type="auto"/>
            <w:vAlign w:val="center"/>
            <w:hideMark/>
          </w:tcPr>
          <w:p w14:paraId="6199E807"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Trend</w:t>
            </w:r>
          </w:p>
        </w:tc>
      </w:tr>
      <w:tr w:rsidR="00263DAE" w:rsidRPr="00B706D3" w14:paraId="76F14BC0" w14:textId="77777777">
        <w:trPr>
          <w:tblCellSpacing w:w="15" w:type="dxa"/>
        </w:trPr>
        <w:tc>
          <w:tcPr>
            <w:tcW w:w="0" w:type="auto"/>
            <w:vAlign w:val="center"/>
            <w:hideMark/>
          </w:tcPr>
          <w:p w14:paraId="5AFDA52B"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Debt-to-Equity (%)</w:t>
            </w:r>
          </w:p>
        </w:tc>
        <w:tc>
          <w:tcPr>
            <w:tcW w:w="0" w:type="auto"/>
            <w:vAlign w:val="center"/>
            <w:hideMark/>
          </w:tcPr>
          <w:p w14:paraId="4FB63A8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26.8</w:t>
            </w:r>
          </w:p>
        </w:tc>
        <w:tc>
          <w:tcPr>
            <w:tcW w:w="0" w:type="auto"/>
            <w:vAlign w:val="center"/>
            <w:hideMark/>
          </w:tcPr>
          <w:p w14:paraId="1CEF8FE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19.0</w:t>
            </w:r>
          </w:p>
        </w:tc>
        <w:tc>
          <w:tcPr>
            <w:tcW w:w="0" w:type="auto"/>
            <w:vAlign w:val="center"/>
            <w:hideMark/>
          </w:tcPr>
          <w:p w14:paraId="2D70625E"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8.2</w:t>
            </w:r>
          </w:p>
        </w:tc>
        <w:tc>
          <w:tcPr>
            <w:tcW w:w="0" w:type="auto"/>
            <w:vAlign w:val="center"/>
            <w:hideMark/>
          </w:tcPr>
          <w:p w14:paraId="4B7A74A2"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5.8</w:t>
            </w:r>
          </w:p>
        </w:tc>
        <w:tc>
          <w:tcPr>
            <w:tcW w:w="0" w:type="auto"/>
            <w:vAlign w:val="center"/>
            <w:hideMark/>
          </w:tcPr>
          <w:p w14:paraId="33D94571"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~4.5</w:t>
            </w:r>
          </w:p>
        </w:tc>
        <w:tc>
          <w:tcPr>
            <w:tcW w:w="0" w:type="auto"/>
            <w:vAlign w:val="center"/>
            <w:hideMark/>
          </w:tcPr>
          <w:p w14:paraId="3149CAAE"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Sharp decline</w:t>
            </w:r>
          </w:p>
        </w:tc>
      </w:tr>
      <w:tr w:rsidR="00263DAE" w:rsidRPr="00B706D3" w14:paraId="350DF47F" w14:textId="77777777">
        <w:trPr>
          <w:tblCellSpacing w:w="15" w:type="dxa"/>
        </w:trPr>
        <w:tc>
          <w:tcPr>
            <w:tcW w:w="0" w:type="auto"/>
            <w:vAlign w:val="center"/>
            <w:hideMark/>
          </w:tcPr>
          <w:p w14:paraId="21F3FD1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Total Liabilities-to-Equity (%)</w:t>
            </w:r>
          </w:p>
        </w:tc>
        <w:tc>
          <w:tcPr>
            <w:tcW w:w="0" w:type="auto"/>
            <w:vAlign w:val="center"/>
            <w:hideMark/>
          </w:tcPr>
          <w:p w14:paraId="284103E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91.5</w:t>
            </w:r>
          </w:p>
        </w:tc>
        <w:tc>
          <w:tcPr>
            <w:tcW w:w="0" w:type="auto"/>
            <w:vAlign w:val="center"/>
            <w:hideMark/>
          </w:tcPr>
          <w:p w14:paraId="613F25EE"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87.4</w:t>
            </w:r>
          </w:p>
        </w:tc>
        <w:tc>
          <w:tcPr>
            <w:tcW w:w="0" w:type="auto"/>
            <w:vAlign w:val="center"/>
            <w:hideMark/>
          </w:tcPr>
          <w:p w14:paraId="4E9F0F1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73.2</w:t>
            </w:r>
          </w:p>
        </w:tc>
        <w:tc>
          <w:tcPr>
            <w:tcW w:w="0" w:type="auto"/>
            <w:vAlign w:val="center"/>
            <w:hideMark/>
          </w:tcPr>
          <w:p w14:paraId="4712302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66.1</w:t>
            </w:r>
          </w:p>
        </w:tc>
        <w:tc>
          <w:tcPr>
            <w:tcW w:w="0" w:type="auto"/>
            <w:vAlign w:val="center"/>
            <w:hideMark/>
          </w:tcPr>
          <w:p w14:paraId="1FCE49B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~62</w:t>
            </w:r>
          </w:p>
        </w:tc>
        <w:tc>
          <w:tcPr>
            <w:tcW w:w="0" w:type="auto"/>
            <w:vAlign w:val="center"/>
            <w:hideMark/>
          </w:tcPr>
          <w:p w14:paraId="47EEF3DB"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Continued strengthening</w:t>
            </w:r>
          </w:p>
        </w:tc>
      </w:tr>
      <w:tr w:rsidR="00263DAE" w:rsidRPr="00B706D3" w14:paraId="225BABD2" w14:textId="77777777">
        <w:trPr>
          <w:tblCellSpacing w:w="15" w:type="dxa"/>
        </w:trPr>
        <w:tc>
          <w:tcPr>
            <w:tcW w:w="0" w:type="auto"/>
            <w:vAlign w:val="center"/>
            <w:hideMark/>
          </w:tcPr>
          <w:p w14:paraId="7369811A"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Interest Coverage (x, approx.)</w:t>
            </w:r>
          </w:p>
        </w:tc>
        <w:tc>
          <w:tcPr>
            <w:tcW w:w="0" w:type="auto"/>
            <w:vAlign w:val="center"/>
            <w:hideMark/>
          </w:tcPr>
          <w:p w14:paraId="318AC1E6"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High</w:t>
            </w:r>
          </w:p>
        </w:tc>
        <w:tc>
          <w:tcPr>
            <w:tcW w:w="0" w:type="auto"/>
            <w:vAlign w:val="center"/>
            <w:hideMark/>
          </w:tcPr>
          <w:p w14:paraId="333D6D59"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Very High</w:t>
            </w:r>
          </w:p>
        </w:tc>
        <w:tc>
          <w:tcPr>
            <w:tcW w:w="0" w:type="auto"/>
            <w:vAlign w:val="center"/>
            <w:hideMark/>
          </w:tcPr>
          <w:p w14:paraId="5698AC2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Extremely High</w:t>
            </w:r>
          </w:p>
        </w:tc>
        <w:tc>
          <w:tcPr>
            <w:tcW w:w="0" w:type="auto"/>
            <w:vAlign w:val="center"/>
            <w:hideMark/>
          </w:tcPr>
          <w:p w14:paraId="3A1200B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Extremely High</w:t>
            </w:r>
          </w:p>
        </w:tc>
        <w:tc>
          <w:tcPr>
            <w:tcW w:w="0" w:type="auto"/>
            <w:vAlign w:val="center"/>
            <w:hideMark/>
          </w:tcPr>
          <w:p w14:paraId="5FB1E8B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Extremely High</w:t>
            </w:r>
          </w:p>
        </w:tc>
        <w:tc>
          <w:tcPr>
            <w:tcW w:w="0" w:type="auto"/>
            <w:vAlign w:val="center"/>
            <w:hideMark/>
          </w:tcPr>
          <w:p w14:paraId="473A4AFD"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Low debt + solid profits</w:t>
            </w:r>
          </w:p>
        </w:tc>
      </w:tr>
    </w:tbl>
    <w:p w14:paraId="0EE53738" w14:textId="0A8423E8" w:rsidR="0055574F" w:rsidRDefault="0055574F"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aggressive deleveraging was one of the stand-out achievements of Kia, which created a strong low-risk balance sheet (Kenton, et. al., 2026).</w:t>
      </w:r>
    </w:p>
    <w:p w14:paraId="64F02DC9" w14:textId="3A12CE03" w:rsidR="00B706D3" w:rsidRPr="00667E58" w:rsidRDefault="000E55DE" w:rsidP="00667E58">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The interest-bearing debt is decreasing heavily throughout the last five years. It was KRW 9.3 trillion in 2021 which got reduced to 2.73 trillion in 2025. They made repayments quickly with the strong cash flows</w:t>
      </w:r>
      <w:r w:rsidR="00360D0C">
        <w:rPr>
          <w:rFonts w:ascii="Times New Roman" w:hAnsi="Times New Roman" w:cs="Times New Roman"/>
          <w:color w:val="000000" w:themeColor="text1"/>
          <w:lang w:val="en-US"/>
        </w:rPr>
        <w:t xml:space="preserve"> (Badar, et. al., 2025)</w:t>
      </w:r>
      <w:r w:rsidR="00263DAE" w:rsidRPr="00B706D3">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A company with high interest coverage usually have minimal financial risks. As a result, Kia got the flexibility to make EV investment without the pressure of interest rate hikes </w:t>
      </w:r>
      <w:r w:rsidR="007435F1" w:rsidRPr="00B706D3">
        <w:rPr>
          <w:rFonts w:ascii="Times New Roman" w:hAnsi="Times New Roman" w:cs="Times New Roman"/>
          <w:color w:val="000000" w:themeColor="text1"/>
          <w:lang w:val="en-US"/>
        </w:rPr>
        <w:t>(Thakore, 2026)</w:t>
      </w:r>
      <w:r w:rsidR="00263DAE" w:rsidRPr="00B706D3">
        <w:rPr>
          <w:rFonts w:ascii="Times New Roman" w:hAnsi="Times New Roman" w:cs="Times New Roman"/>
          <w:color w:val="000000" w:themeColor="text1"/>
          <w:lang w:val="en-US"/>
        </w:rPr>
        <w:t>.</w:t>
      </w:r>
      <w:r w:rsidR="00B706D3">
        <w:rPr>
          <w:rFonts w:ascii="Times New Roman" w:hAnsi="Times New Roman" w:cs="Times New Roman"/>
          <w:b/>
          <w:bCs/>
          <w:color w:val="000000" w:themeColor="text1"/>
          <w:lang w:val="en-US"/>
        </w:rPr>
        <w:br w:type="page"/>
      </w:r>
    </w:p>
    <w:p w14:paraId="1479295C" w14:textId="02006A0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lastRenderedPageBreak/>
        <w:t xml:space="preserve">5. Investment Ratios </w:t>
      </w:r>
    </w:p>
    <w:p w14:paraId="2918912C" w14:textId="5C087989"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Shareholder value creation was consistent, supported by earnings growth and prudent capital returns.</w:t>
      </w:r>
      <w:r w:rsidR="0055574F">
        <w:rPr>
          <w:rFonts w:ascii="Times New Roman" w:hAnsi="Times New Roman" w:cs="Times New Roman"/>
          <w:color w:val="000000" w:themeColor="text1"/>
          <w:lang w:val="en-US"/>
        </w:rPr>
        <w:t xml:space="preserve"> The company maintained a shareholder friendly policy with a double EPS value in year 2024. A free cash flow was used to fund the rising dividends</w:t>
      </w:r>
      <w:r w:rsidR="0055574F" w:rsidRPr="00B706D3">
        <w:rPr>
          <w:rFonts w:ascii="Times New Roman" w:hAnsi="Times New Roman" w:cs="Times New Roman"/>
          <w:color w:val="000000" w:themeColor="text1"/>
          <w:lang w:val="en-US"/>
        </w:rPr>
        <w:t xml:space="preserve"> (Wilkins, et. al., 2025). </w:t>
      </w:r>
      <w:r w:rsidR="0055574F">
        <w:rPr>
          <w:rFonts w:ascii="Times New Roman" w:hAnsi="Times New Roman" w:cs="Times New Roman"/>
          <w:color w:val="000000" w:themeColor="text1"/>
          <w:lang w:val="en-US"/>
        </w:rPr>
        <w:t xml:space="preserve">It gets easy to make reinvestment and distributions when a firm is enjoying paced growth. The only challenge is to manage profit pressure as it might </w:t>
      </w:r>
      <w:r w:rsidR="0055574F" w:rsidRPr="00B706D3">
        <w:rPr>
          <w:rFonts w:ascii="Times New Roman" w:hAnsi="Times New Roman" w:cs="Times New Roman"/>
          <w:color w:val="000000" w:themeColor="text1"/>
          <w:lang w:val="en-US"/>
        </w:rPr>
        <w:t xml:space="preserve">force payout adjustments.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4"/>
        <w:gridCol w:w="914"/>
        <w:gridCol w:w="914"/>
        <w:gridCol w:w="914"/>
        <w:gridCol w:w="866"/>
        <w:gridCol w:w="736"/>
        <w:gridCol w:w="1958"/>
      </w:tblGrid>
      <w:tr w:rsidR="00263DAE" w:rsidRPr="00B706D3" w14:paraId="71D769C1" w14:textId="77777777">
        <w:trPr>
          <w:tblHeader/>
          <w:tblCellSpacing w:w="15" w:type="dxa"/>
        </w:trPr>
        <w:tc>
          <w:tcPr>
            <w:tcW w:w="0" w:type="auto"/>
            <w:vAlign w:val="center"/>
            <w:hideMark/>
          </w:tcPr>
          <w:p w14:paraId="5C4551B3"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Ratio / Metric</w:t>
            </w:r>
          </w:p>
        </w:tc>
        <w:tc>
          <w:tcPr>
            <w:tcW w:w="0" w:type="auto"/>
            <w:vAlign w:val="center"/>
            <w:hideMark/>
          </w:tcPr>
          <w:p w14:paraId="6A5C2E8B"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6D7287A0"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5DC9EC00"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266FA4FA"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2418D0A8"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c>
          <w:tcPr>
            <w:tcW w:w="0" w:type="auto"/>
            <w:vAlign w:val="center"/>
            <w:hideMark/>
          </w:tcPr>
          <w:p w14:paraId="67097B98" w14:textId="77777777" w:rsidR="00263DAE" w:rsidRPr="00B706D3" w:rsidRDefault="00263DAE"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Note</w:t>
            </w:r>
          </w:p>
        </w:tc>
      </w:tr>
      <w:tr w:rsidR="00263DAE" w:rsidRPr="00B706D3" w14:paraId="46CB84F1" w14:textId="77777777">
        <w:trPr>
          <w:tblCellSpacing w:w="15" w:type="dxa"/>
        </w:trPr>
        <w:tc>
          <w:tcPr>
            <w:tcW w:w="0" w:type="auto"/>
            <w:vAlign w:val="center"/>
            <w:hideMark/>
          </w:tcPr>
          <w:p w14:paraId="700114C2"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EPS (Basic, KRW)</w:t>
            </w:r>
          </w:p>
        </w:tc>
        <w:tc>
          <w:tcPr>
            <w:tcW w:w="0" w:type="auto"/>
            <w:vAlign w:val="center"/>
            <w:hideMark/>
          </w:tcPr>
          <w:p w14:paraId="74865C3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11,874</w:t>
            </w:r>
          </w:p>
        </w:tc>
        <w:tc>
          <w:tcPr>
            <w:tcW w:w="0" w:type="auto"/>
            <w:vAlign w:val="center"/>
            <w:hideMark/>
          </w:tcPr>
          <w:p w14:paraId="618CD96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13,495</w:t>
            </w:r>
          </w:p>
        </w:tc>
        <w:tc>
          <w:tcPr>
            <w:tcW w:w="0" w:type="auto"/>
            <w:vAlign w:val="center"/>
            <w:hideMark/>
          </w:tcPr>
          <w:p w14:paraId="737C8D5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22,168</w:t>
            </w:r>
          </w:p>
        </w:tc>
        <w:tc>
          <w:tcPr>
            <w:tcW w:w="0" w:type="auto"/>
            <w:vAlign w:val="center"/>
            <w:hideMark/>
          </w:tcPr>
          <w:p w14:paraId="0C4755C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24,893</w:t>
            </w:r>
          </w:p>
        </w:tc>
        <w:tc>
          <w:tcPr>
            <w:tcW w:w="0" w:type="auto"/>
            <w:vAlign w:val="center"/>
            <w:hideMark/>
          </w:tcPr>
          <w:p w14:paraId="27B21027"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19,382</w:t>
            </w:r>
          </w:p>
        </w:tc>
        <w:tc>
          <w:tcPr>
            <w:tcW w:w="0" w:type="auto"/>
            <w:vAlign w:val="center"/>
            <w:hideMark/>
          </w:tcPr>
          <w:p w14:paraId="75227ABC"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Peaked then moderated</w:t>
            </w:r>
          </w:p>
        </w:tc>
      </w:tr>
      <w:tr w:rsidR="00263DAE" w:rsidRPr="00B706D3" w14:paraId="34C4BAF7" w14:textId="77777777">
        <w:trPr>
          <w:tblCellSpacing w:w="15" w:type="dxa"/>
        </w:trPr>
        <w:tc>
          <w:tcPr>
            <w:tcW w:w="0" w:type="auto"/>
            <w:vAlign w:val="center"/>
            <w:hideMark/>
          </w:tcPr>
          <w:p w14:paraId="08B7FB21"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Dividend per Share (KRW, approx.)</w:t>
            </w:r>
          </w:p>
        </w:tc>
        <w:tc>
          <w:tcPr>
            <w:tcW w:w="0" w:type="auto"/>
            <w:vAlign w:val="center"/>
            <w:hideMark/>
          </w:tcPr>
          <w:p w14:paraId="1529D1D8"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Growing</w:t>
            </w:r>
          </w:p>
        </w:tc>
        <w:tc>
          <w:tcPr>
            <w:tcW w:w="0" w:type="auto"/>
            <w:vAlign w:val="center"/>
            <w:hideMark/>
          </w:tcPr>
          <w:p w14:paraId="00640F6F"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Growing</w:t>
            </w:r>
          </w:p>
        </w:tc>
        <w:tc>
          <w:tcPr>
            <w:tcW w:w="0" w:type="auto"/>
            <w:vAlign w:val="center"/>
            <w:hideMark/>
          </w:tcPr>
          <w:p w14:paraId="19B0BF23"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Growing</w:t>
            </w:r>
          </w:p>
        </w:tc>
        <w:tc>
          <w:tcPr>
            <w:tcW w:w="0" w:type="auto"/>
            <w:vAlign w:val="center"/>
            <w:hideMark/>
          </w:tcPr>
          <w:p w14:paraId="2CA162D5"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~6,000+</w:t>
            </w:r>
          </w:p>
        </w:tc>
        <w:tc>
          <w:tcPr>
            <w:tcW w:w="0" w:type="auto"/>
            <w:vAlign w:val="center"/>
            <w:hideMark/>
          </w:tcPr>
          <w:p w14:paraId="4659414E"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6,800+</w:t>
            </w:r>
          </w:p>
        </w:tc>
        <w:tc>
          <w:tcPr>
            <w:tcW w:w="0" w:type="auto"/>
            <w:vAlign w:val="center"/>
            <w:hideMark/>
          </w:tcPr>
          <w:p w14:paraId="692B14AA"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Sustainable payout</w:t>
            </w:r>
          </w:p>
        </w:tc>
      </w:tr>
    </w:tbl>
    <w:p w14:paraId="79B66DE1" w14:textId="77777777" w:rsidR="00263DAE" w:rsidRPr="00B706D3" w:rsidRDefault="00263DAE" w:rsidP="00B706D3">
      <w:pPr>
        <w:adjustRightInd w:val="0"/>
        <w:snapToGrid w:val="0"/>
        <w:spacing w:before="240" w:after="240" w:line="360" w:lineRule="auto"/>
        <w:jc w:val="both"/>
        <w:rPr>
          <w:rFonts w:ascii="Times New Roman" w:hAnsi="Times New Roman" w:cs="Times New Roman"/>
          <w:color w:val="000000" w:themeColor="text1"/>
          <w:lang w:val="en-US"/>
        </w:rPr>
      </w:pPr>
    </w:p>
    <w:p w14:paraId="03AD7C54" w14:textId="77777777" w:rsidR="00B706D3" w:rsidRDefault="00B706D3">
      <w:pP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58AB5C97" w14:textId="3439FA46" w:rsidR="00A66EDA" w:rsidRPr="0055574F" w:rsidRDefault="00263DAE"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lastRenderedPageBreak/>
        <w:t xml:space="preserve">6. Cash Flow Analysis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5"/>
        <w:gridCol w:w="834"/>
        <w:gridCol w:w="834"/>
        <w:gridCol w:w="834"/>
        <w:gridCol w:w="1114"/>
        <w:gridCol w:w="1129"/>
      </w:tblGrid>
      <w:tr w:rsidR="00A66EDA" w:rsidRPr="00B706D3" w14:paraId="641811CE" w14:textId="77777777">
        <w:trPr>
          <w:tblHeader/>
          <w:tblCellSpacing w:w="15" w:type="dxa"/>
        </w:trPr>
        <w:tc>
          <w:tcPr>
            <w:tcW w:w="0" w:type="auto"/>
            <w:vAlign w:val="center"/>
            <w:hideMark/>
          </w:tcPr>
          <w:p w14:paraId="763DAFF5" w14:textId="77777777" w:rsidR="00A66EDA" w:rsidRPr="00B706D3" w:rsidRDefault="00A66EDA"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Metric</w:t>
            </w:r>
          </w:p>
        </w:tc>
        <w:tc>
          <w:tcPr>
            <w:tcW w:w="0" w:type="auto"/>
            <w:vAlign w:val="center"/>
            <w:hideMark/>
          </w:tcPr>
          <w:p w14:paraId="37943800" w14:textId="77777777" w:rsidR="00A66EDA" w:rsidRPr="00B706D3" w:rsidRDefault="00A66EDA"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2021</w:t>
            </w:r>
          </w:p>
        </w:tc>
        <w:tc>
          <w:tcPr>
            <w:tcW w:w="0" w:type="auto"/>
            <w:vAlign w:val="center"/>
            <w:hideMark/>
          </w:tcPr>
          <w:p w14:paraId="4C35245A" w14:textId="77777777" w:rsidR="00A66EDA" w:rsidRPr="00B706D3" w:rsidRDefault="00A66EDA"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2022</w:t>
            </w:r>
          </w:p>
        </w:tc>
        <w:tc>
          <w:tcPr>
            <w:tcW w:w="0" w:type="auto"/>
            <w:vAlign w:val="center"/>
            <w:hideMark/>
          </w:tcPr>
          <w:p w14:paraId="2DC06E0F" w14:textId="77777777" w:rsidR="00A66EDA" w:rsidRPr="00B706D3" w:rsidRDefault="00A66EDA"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2023</w:t>
            </w:r>
          </w:p>
        </w:tc>
        <w:tc>
          <w:tcPr>
            <w:tcW w:w="0" w:type="auto"/>
            <w:vAlign w:val="center"/>
            <w:hideMark/>
          </w:tcPr>
          <w:p w14:paraId="4A4AF55D" w14:textId="77777777" w:rsidR="00A66EDA" w:rsidRPr="00B706D3" w:rsidRDefault="00A66EDA"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2024</w:t>
            </w:r>
          </w:p>
        </w:tc>
        <w:tc>
          <w:tcPr>
            <w:tcW w:w="0" w:type="auto"/>
            <w:vAlign w:val="center"/>
            <w:hideMark/>
          </w:tcPr>
          <w:p w14:paraId="38B3C84D" w14:textId="77777777" w:rsidR="00A66EDA" w:rsidRPr="00B706D3" w:rsidRDefault="00A66EDA"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2025</w:t>
            </w:r>
          </w:p>
        </w:tc>
      </w:tr>
      <w:tr w:rsidR="00A66EDA" w:rsidRPr="00B706D3" w14:paraId="28745F52" w14:textId="77777777">
        <w:trPr>
          <w:tblCellSpacing w:w="15" w:type="dxa"/>
        </w:trPr>
        <w:tc>
          <w:tcPr>
            <w:tcW w:w="0" w:type="auto"/>
            <w:vAlign w:val="center"/>
            <w:hideMark/>
          </w:tcPr>
          <w:p w14:paraId="0A6FF1E4"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Operating Cash Flow</w:t>
            </w:r>
          </w:p>
        </w:tc>
        <w:tc>
          <w:tcPr>
            <w:tcW w:w="0" w:type="auto"/>
            <w:vAlign w:val="center"/>
            <w:hideMark/>
          </w:tcPr>
          <w:p w14:paraId="039F7A72"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~7,360</w:t>
            </w:r>
          </w:p>
        </w:tc>
        <w:tc>
          <w:tcPr>
            <w:tcW w:w="0" w:type="auto"/>
            <w:vAlign w:val="center"/>
            <w:hideMark/>
          </w:tcPr>
          <w:p w14:paraId="182906E3"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9,333</w:t>
            </w:r>
          </w:p>
        </w:tc>
        <w:tc>
          <w:tcPr>
            <w:tcW w:w="0" w:type="auto"/>
            <w:vAlign w:val="center"/>
            <w:hideMark/>
          </w:tcPr>
          <w:p w14:paraId="78F9F107"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11,297</w:t>
            </w:r>
          </w:p>
        </w:tc>
        <w:tc>
          <w:tcPr>
            <w:tcW w:w="0" w:type="auto"/>
            <w:vAlign w:val="center"/>
            <w:hideMark/>
          </w:tcPr>
          <w:p w14:paraId="27A08D16"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12,564</w:t>
            </w:r>
          </w:p>
        </w:tc>
        <w:tc>
          <w:tcPr>
            <w:tcW w:w="0" w:type="auto"/>
            <w:vAlign w:val="center"/>
            <w:hideMark/>
          </w:tcPr>
          <w:p w14:paraId="55513BEA"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9,054</w:t>
            </w:r>
          </w:p>
        </w:tc>
      </w:tr>
      <w:tr w:rsidR="00A66EDA" w:rsidRPr="00B706D3" w14:paraId="282DD298" w14:textId="77777777">
        <w:trPr>
          <w:tblCellSpacing w:w="15" w:type="dxa"/>
        </w:trPr>
        <w:tc>
          <w:tcPr>
            <w:tcW w:w="0" w:type="auto"/>
            <w:vAlign w:val="center"/>
            <w:hideMark/>
          </w:tcPr>
          <w:p w14:paraId="13798211"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Free Cash Flow (OCF – Capex)</w:t>
            </w:r>
          </w:p>
        </w:tc>
        <w:tc>
          <w:tcPr>
            <w:tcW w:w="0" w:type="auto"/>
            <w:vAlign w:val="center"/>
            <w:hideMark/>
          </w:tcPr>
          <w:p w14:paraId="377F7F46"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Positive</w:t>
            </w:r>
          </w:p>
        </w:tc>
        <w:tc>
          <w:tcPr>
            <w:tcW w:w="0" w:type="auto"/>
            <w:vAlign w:val="center"/>
            <w:hideMark/>
          </w:tcPr>
          <w:p w14:paraId="314263A4"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Positive</w:t>
            </w:r>
          </w:p>
        </w:tc>
        <w:tc>
          <w:tcPr>
            <w:tcW w:w="0" w:type="auto"/>
            <w:vAlign w:val="center"/>
            <w:hideMark/>
          </w:tcPr>
          <w:p w14:paraId="5AF561CB"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Positive</w:t>
            </w:r>
          </w:p>
        </w:tc>
        <w:tc>
          <w:tcPr>
            <w:tcW w:w="0" w:type="auto"/>
            <w:vAlign w:val="center"/>
            <w:hideMark/>
          </w:tcPr>
          <w:p w14:paraId="12B59313"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Positive</w:t>
            </w:r>
          </w:p>
        </w:tc>
        <w:tc>
          <w:tcPr>
            <w:tcW w:w="0" w:type="auto"/>
            <w:vAlign w:val="center"/>
            <w:hideMark/>
          </w:tcPr>
          <w:p w14:paraId="5AD7E9B6"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Positive</w:t>
            </w:r>
          </w:p>
        </w:tc>
      </w:tr>
      <w:tr w:rsidR="00A66EDA" w:rsidRPr="00B706D3" w14:paraId="52B9CF88" w14:textId="77777777">
        <w:trPr>
          <w:tblCellSpacing w:w="15" w:type="dxa"/>
        </w:trPr>
        <w:tc>
          <w:tcPr>
            <w:tcW w:w="0" w:type="auto"/>
            <w:vAlign w:val="center"/>
            <w:hideMark/>
          </w:tcPr>
          <w:p w14:paraId="00F4E525"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Capex (Investing Outflows)</w:t>
            </w:r>
          </w:p>
        </w:tc>
        <w:tc>
          <w:tcPr>
            <w:tcW w:w="0" w:type="auto"/>
            <w:vAlign w:val="center"/>
            <w:hideMark/>
          </w:tcPr>
          <w:p w14:paraId="4E075A56"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Rising</w:t>
            </w:r>
          </w:p>
        </w:tc>
        <w:tc>
          <w:tcPr>
            <w:tcW w:w="0" w:type="auto"/>
            <w:vAlign w:val="center"/>
            <w:hideMark/>
          </w:tcPr>
          <w:p w14:paraId="0B21814B"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Rising</w:t>
            </w:r>
          </w:p>
        </w:tc>
        <w:tc>
          <w:tcPr>
            <w:tcW w:w="0" w:type="auto"/>
            <w:vAlign w:val="center"/>
            <w:hideMark/>
          </w:tcPr>
          <w:p w14:paraId="1F69D657"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Rising</w:t>
            </w:r>
          </w:p>
        </w:tc>
        <w:tc>
          <w:tcPr>
            <w:tcW w:w="0" w:type="auto"/>
            <w:vAlign w:val="center"/>
            <w:hideMark/>
          </w:tcPr>
          <w:p w14:paraId="3A509502"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Significant</w:t>
            </w:r>
          </w:p>
        </w:tc>
        <w:tc>
          <w:tcPr>
            <w:tcW w:w="0" w:type="auto"/>
            <w:vAlign w:val="center"/>
            <w:hideMark/>
          </w:tcPr>
          <w:p w14:paraId="4071398E" w14:textId="77777777" w:rsidR="00A66EDA" w:rsidRPr="00B706D3" w:rsidRDefault="00A66ED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Significant</w:t>
            </w:r>
          </w:p>
        </w:tc>
      </w:tr>
    </w:tbl>
    <w:p w14:paraId="3F98A1F8" w14:textId="18F540FB" w:rsidR="0055574F" w:rsidRDefault="0055574F"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cash generation was one of the main highlights as compared to their financial dimensions.</w:t>
      </w:r>
    </w:p>
    <w:p w14:paraId="6D8B0B3D" w14:textId="6CD92110" w:rsidR="00263DAE" w:rsidRPr="00B706D3" w:rsidRDefault="00190A48"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new EV platforms have consumed significant capital expenditure but the free cash flow stayed positive. The increasing capex for battery tech and EV models can pressure ECF if marketing </w:t>
      </w:r>
      <w:proofErr w:type="gramStart"/>
      <w:r>
        <w:rPr>
          <w:rFonts w:ascii="Times New Roman" w:hAnsi="Times New Roman" w:cs="Times New Roman"/>
          <w:color w:val="000000" w:themeColor="text1"/>
          <w:lang w:val="en-US"/>
        </w:rPr>
        <w:t>remain</w:t>
      </w:r>
      <w:proofErr w:type="gramEnd"/>
      <w:r>
        <w:rPr>
          <w:rFonts w:ascii="Times New Roman" w:hAnsi="Times New Roman" w:cs="Times New Roman"/>
          <w:color w:val="000000" w:themeColor="text1"/>
          <w:lang w:val="en-US"/>
        </w:rPr>
        <w:t xml:space="preserve"> compressed</w:t>
      </w:r>
      <w:r w:rsidR="00360D0C">
        <w:rPr>
          <w:rFonts w:ascii="Times New Roman" w:hAnsi="Times New Roman" w:cs="Times New Roman"/>
          <w:color w:val="000000" w:themeColor="text1"/>
          <w:lang w:val="en-US"/>
        </w:rPr>
        <w:t xml:space="preserve"> (</w:t>
      </w:r>
      <w:proofErr w:type="spellStart"/>
      <w:r w:rsidR="00360D0C">
        <w:rPr>
          <w:rFonts w:ascii="Times New Roman" w:hAnsi="Times New Roman" w:cs="Times New Roman"/>
          <w:color w:val="000000" w:themeColor="text1"/>
          <w:lang w:val="en-US"/>
        </w:rPr>
        <w:t>Seretidou</w:t>
      </w:r>
      <w:proofErr w:type="spellEnd"/>
      <w:r w:rsidR="00360D0C">
        <w:rPr>
          <w:rFonts w:ascii="Times New Roman" w:hAnsi="Times New Roman" w:cs="Times New Roman"/>
          <w:color w:val="000000" w:themeColor="text1"/>
          <w:lang w:val="en-US"/>
        </w:rPr>
        <w:t>, et. al., 2025)</w:t>
      </w:r>
      <w:r w:rsidR="00A66EDA" w:rsidRPr="00B706D3">
        <w:rPr>
          <w:rFonts w:ascii="Times New Roman" w:hAnsi="Times New Roman" w:cs="Times New Roman"/>
          <w:color w:val="000000" w:themeColor="text1"/>
          <w:lang w:val="en-US"/>
        </w:rPr>
        <w:t>.</w:t>
      </w:r>
      <w:r w:rsidR="00263DAE" w:rsidRPr="00B706D3">
        <w:rPr>
          <w:rFonts w:ascii="Times New Roman" w:hAnsi="Times New Roman" w:cs="Times New Roman"/>
          <w:color w:val="000000" w:themeColor="text1"/>
          <w:lang w:val="en-US"/>
        </w:rPr>
        <w:t xml:space="preserve"> </w:t>
      </w:r>
    </w:p>
    <w:p w14:paraId="342B477D" w14:textId="02F187EB" w:rsidR="00A66EDA"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4" w:name="_Toc227875541"/>
      <w:r w:rsidRPr="00B706D3">
        <w:rPr>
          <w:rFonts w:ascii="Times New Roman" w:hAnsi="Times New Roman" w:cs="Times New Roman"/>
          <w:b/>
          <w:bCs/>
          <w:color w:val="000000" w:themeColor="text1"/>
          <w:sz w:val="24"/>
          <w:szCs w:val="24"/>
          <w:lang w:val="en-US"/>
        </w:rPr>
        <w:t xml:space="preserve">1.3 </w:t>
      </w:r>
      <w:r w:rsidR="0060752F" w:rsidRPr="00B706D3">
        <w:rPr>
          <w:rFonts w:ascii="Times New Roman" w:hAnsi="Times New Roman" w:cs="Times New Roman"/>
          <w:b/>
          <w:bCs/>
          <w:color w:val="000000" w:themeColor="text1"/>
          <w:sz w:val="24"/>
          <w:szCs w:val="24"/>
          <w:lang w:val="en-US"/>
        </w:rPr>
        <w:t>Key strengths and weaknesses</w:t>
      </w:r>
      <w:bookmarkEnd w:id="4"/>
      <w:r w:rsidR="0060752F" w:rsidRPr="00B706D3">
        <w:rPr>
          <w:rFonts w:ascii="Times New Roman" w:hAnsi="Times New Roman" w:cs="Times New Roman"/>
          <w:b/>
          <w:bCs/>
          <w:color w:val="000000" w:themeColor="text1"/>
          <w:sz w:val="24"/>
          <w:szCs w:val="24"/>
          <w:lang w:val="en-US"/>
        </w:rPr>
        <w:t xml:space="preserve"> </w:t>
      </w:r>
    </w:p>
    <w:tbl>
      <w:tblPr>
        <w:tblStyle w:val="TableGrid"/>
        <w:tblW w:w="0" w:type="auto"/>
        <w:tblLook w:val="04A0" w:firstRow="1" w:lastRow="0" w:firstColumn="1" w:lastColumn="0" w:noHBand="0" w:noVBand="1"/>
      </w:tblPr>
      <w:tblGrid>
        <w:gridCol w:w="4815"/>
        <w:gridCol w:w="4201"/>
      </w:tblGrid>
      <w:tr w:rsidR="0060752F" w:rsidRPr="00B706D3" w14:paraId="2CC053A4" w14:textId="77777777" w:rsidTr="00360D0C">
        <w:tc>
          <w:tcPr>
            <w:tcW w:w="4815" w:type="dxa"/>
          </w:tcPr>
          <w:p w14:paraId="7507F5A8" w14:textId="09F73EC1" w:rsidR="0060752F" w:rsidRPr="00B706D3" w:rsidRDefault="0060752F" w:rsidP="00B706D3">
            <w:pPr>
              <w:adjustRightInd w:val="0"/>
              <w:snapToGrid w:val="0"/>
              <w:spacing w:before="240" w:after="240"/>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Strengths </w:t>
            </w:r>
          </w:p>
        </w:tc>
        <w:tc>
          <w:tcPr>
            <w:tcW w:w="4201" w:type="dxa"/>
          </w:tcPr>
          <w:p w14:paraId="4D68137C" w14:textId="50E0B1A2" w:rsidR="0060752F" w:rsidRPr="00B706D3" w:rsidRDefault="0060752F" w:rsidP="00B706D3">
            <w:pPr>
              <w:adjustRightInd w:val="0"/>
              <w:snapToGrid w:val="0"/>
              <w:spacing w:before="240" w:after="240"/>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Weaknesses</w:t>
            </w:r>
          </w:p>
        </w:tc>
      </w:tr>
      <w:tr w:rsidR="0060752F" w:rsidRPr="00B706D3" w14:paraId="042FDAF4" w14:textId="77777777" w:rsidTr="00360D0C">
        <w:tc>
          <w:tcPr>
            <w:tcW w:w="4815" w:type="dxa"/>
          </w:tcPr>
          <w:p w14:paraId="054CD3F6" w14:textId="77777777" w:rsidR="0060752F" w:rsidRPr="00360D0C" w:rsidRDefault="0060752F"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sidRPr="00360D0C">
              <w:rPr>
                <w:rFonts w:ascii="Times New Roman" w:hAnsi="Times New Roman" w:cs="Times New Roman"/>
                <w:color w:val="000000" w:themeColor="text1"/>
                <w:lang w:val="en-US"/>
              </w:rPr>
              <w:t>Resilient and improving profitability/margins above historical averages.</w:t>
            </w:r>
          </w:p>
          <w:p w14:paraId="6F6C4A6D" w14:textId="0D75D759" w:rsidR="0060752F" w:rsidRPr="00360D0C" w:rsidRDefault="0060752F"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sidRPr="00360D0C">
              <w:rPr>
                <w:rFonts w:ascii="Times New Roman" w:hAnsi="Times New Roman" w:cs="Times New Roman"/>
                <w:color w:val="000000" w:themeColor="text1"/>
                <w:lang w:val="en-US"/>
              </w:rPr>
              <w:t>Fortress-like balance sheet with low gearing, high liquidity and strong equity</w:t>
            </w:r>
            <w:r w:rsidR="00190A48">
              <w:rPr>
                <w:rFonts w:ascii="Times New Roman" w:hAnsi="Times New Roman" w:cs="Times New Roman"/>
                <w:color w:val="000000" w:themeColor="text1"/>
                <w:lang w:val="en-US"/>
              </w:rPr>
              <w:t xml:space="preserve"> </w:t>
            </w:r>
            <w:r w:rsidR="00190A48" w:rsidRPr="00B706D3">
              <w:rPr>
                <w:rFonts w:ascii="Times New Roman" w:hAnsi="Times New Roman" w:cs="Times New Roman"/>
                <w:color w:val="000000" w:themeColor="text1"/>
                <w:lang w:val="en-US"/>
              </w:rPr>
              <w:t>(Morris, 2026</w:t>
            </w:r>
            <w:proofErr w:type="gramStart"/>
            <w:r w:rsidR="00190A48" w:rsidRPr="00B706D3">
              <w:rPr>
                <w:rFonts w:ascii="Times New Roman" w:hAnsi="Times New Roman" w:cs="Times New Roman"/>
                <w:color w:val="000000" w:themeColor="text1"/>
                <w:lang w:val="en-US"/>
              </w:rPr>
              <w:t>).</w:t>
            </w:r>
            <w:r w:rsidRPr="00360D0C">
              <w:rPr>
                <w:rFonts w:ascii="Times New Roman" w:hAnsi="Times New Roman" w:cs="Times New Roman"/>
                <w:color w:val="000000" w:themeColor="text1"/>
                <w:lang w:val="en-US"/>
              </w:rPr>
              <w:t>.</w:t>
            </w:r>
            <w:proofErr w:type="gramEnd"/>
          </w:p>
          <w:p w14:paraId="28702211" w14:textId="37A53A76" w:rsidR="0060752F" w:rsidRPr="00360D0C" w:rsidRDefault="00190A48"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Consistent</w:t>
            </w:r>
            <w:r w:rsidR="0060752F" w:rsidRPr="00360D0C">
              <w:rPr>
                <w:rFonts w:ascii="Times New Roman" w:hAnsi="Times New Roman" w:cs="Times New Roman"/>
                <w:color w:val="000000" w:themeColor="text1"/>
                <w:lang w:val="en-US"/>
              </w:rPr>
              <w:t xml:space="preserve"> cash generation funding growth, dividends and innovation.</w:t>
            </w:r>
          </w:p>
          <w:p w14:paraId="70D7BCB7" w14:textId="77777777" w:rsidR="0060752F" w:rsidRPr="00360D0C" w:rsidRDefault="0060752F"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sidRPr="00360D0C">
              <w:rPr>
                <w:rFonts w:ascii="Times New Roman" w:hAnsi="Times New Roman" w:cs="Times New Roman"/>
                <w:color w:val="000000" w:themeColor="text1"/>
                <w:lang w:val="en-US"/>
              </w:rPr>
              <w:t>Successful premiumization and electrification strategy with global diversification.</w:t>
            </w:r>
          </w:p>
          <w:p w14:paraId="69557B04" w14:textId="7C8B3F55" w:rsidR="0060752F" w:rsidRPr="00B706D3" w:rsidRDefault="0060752F" w:rsidP="00360D0C">
            <w:pPr>
              <w:adjustRightInd w:val="0"/>
              <w:snapToGrid w:val="0"/>
              <w:spacing w:before="240" w:after="240"/>
              <w:ind w:left="720"/>
              <w:jc w:val="both"/>
              <w:rPr>
                <w:rFonts w:ascii="Times New Roman" w:hAnsi="Times New Roman" w:cs="Times New Roman"/>
                <w:color w:val="000000" w:themeColor="text1"/>
                <w:lang w:val="en-US"/>
              </w:rPr>
            </w:pPr>
          </w:p>
        </w:tc>
        <w:tc>
          <w:tcPr>
            <w:tcW w:w="4201" w:type="dxa"/>
          </w:tcPr>
          <w:p w14:paraId="301D6A8A" w14:textId="58C0A0A0" w:rsidR="0060752F" w:rsidRPr="00360D0C" w:rsidRDefault="0060752F"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sidRPr="00360D0C">
              <w:rPr>
                <w:rFonts w:ascii="Times New Roman" w:hAnsi="Times New Roman" w:cs="Times New Roman"/>
                <w:color w:val="000000" w:themeColor="text1"/>
                <w:lang w:val="en-US"/>
              </w:rPr>
              <w:t>External factors such as trade tariffs, currency volatility and raw-material costs (evident in 2025).</w:t>
            </w:r>
          </w:p>
          <w:p w14:paraId="738CF4C4" w14:textId="6B63507B" w:rsidR="0060752F" w:rsidRPr="00360D0C" w:rsidRDefault="00190A48"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High</w:t>
            </w:r>
            <w:r w:rsidR="0060752F" w:rsidRPr="00360D0C">
              <w:rPr>
                <w:rFonts w:ascii="Times New Roman" w:hAnsi="Times New Roman" w:cs="Times New Roman"/>
                <w:color w:val="000000" w:themeColor="text1"/>
                <w:lang w:val="en-US"/>
              </w:rPr>
              <w:t xml:space="preserve"> competition in EVs</w:t>
            </w:r>
            <w:r>
              <w:rPr>
                <w:rFonts w:ascii="Times New Roman" w:hAnsi="Times New Roman" w:cs="Times New Roman"/>
                <w:color w:val="000000" w:themeColor="text1"/>
                <w:lang w:val="en-US"/>
              </w:rPr>
              <w:t xml:space="preserve"> </w:t>
            </w:r>
            <w:r w:rsidR="0060752F" w:rsidRPr="00360D0C">
              <w:rPr>
                <w:rFonts w:ascii="Times New Roman" w:hAnsi="Times New Roman" w:cs="Times New Roman"/>
                <w:color w:val="000000" w:themeColor="text1"/>
                <w:lang w:val="en-US"/>
              </w:rPr>
              <w:t>from low-cost Chinese players and legacy automakers accelerating battery tech</w:t>
            </w:r>
            <w:r w:rsidR="007435F1" w:rsidRPr="00360D0C">
              <w:rPr>
                <w:rFonts w:ascii="Times New Roman" w:hAnsi="Times New Roman" w:cs="Times New Roman"/>
                <w:color w:val="000000" w:themeColor="text1"/>
                <w:lang w:val="en-US"/>
              </w:rPr>
              <w:t xml:space="preserve"> (Hao and Hao, 2026)</w:t>
            </w:r>
            <w:r w:rsidR="0060752F" w:rsidRPr="00360D0C">
              <w:rPr>
                <w:rFonts w:ascii="Times New Roman" w:hAnsi="Times New Roman" w:cs="Times New Roman"/>
                <w:color w:val="000000" w:themeColor="text1"/>
                <w:lang w:val="en-US"/>
              </w:rPr>
              <w:t>.</w:t>
            </w:r>
          </w:p>
          <w:p w14:paraId="0F5D2A63" w14:textId="07266D1C" w:rsidR="0060752F" w:rsidRPr="00360D0C" w:rsidRDefault="0060752F" w:rsidP="00360D0C">
            <w:pPr>
              <w:pStyle w:val="ListParagraph"/>
              <w:numPr>
                <w:ilvl w:val="0"/>
                <w:numId w:val="4"/>
              </w:numPr>
              <w:adjustRightInd w:val="0"/>
              <w:snapToGrid w:val="0"/>
              <w:spacing w:before="240" w:after="240"/>
              <w:jc w:val="both"/>
              <w:rPr>
                <w:rFonts w:ascii="Times New Roman" w:hAnsi="Times New Roman" w:cs="Times New Roman"/>
                <w:color w:val="000000" w:themeColor="text1"/>
                <w:lang w:val="en-US"/>
              </w:rPr>
            </w:pPr>
            <w:r w:rsidRPr="00360D0C">
              <w:rPr>
                <w:rFonts w:ascii="Times New Roman" w:hAnsi="Times New Roman" w:cs="Times New Roman"/>
                <w:color w:val="000000" w:themeColor="text1"/>
                <w:lang w:val="en-US"/>
              </w:rPr>
              <w:t>Rising capital expenditure needs for new platforms, supply-chain localization and R&amp;D amid industry disruption.</w:t>
            </w:r>
          </w:p>
        </w:tc>
      </w:tr>
    </w:tbl>
    <w:p w14:paraId="6FF33383" w14:textId="4CA93D06" w:rsidR="00263DAE" w:rsidRPr="00B706D3" w:rsidRDefault="00DA456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This analysis</w:t>
      </w:r>
      <w:r w:rsidR="004B186A" w:rsidRPr="00B706D3">
        <w:rPr>
          <w:rFonts w:ascii="Times New Roman" w:hAnsi="Times New Roman" w:cs="Times New Roman"/>
          <w:color w:val="000000" w:themeColor="text1"/>
          <w:lang w:val="en-US"/>
        </w:rPr>
        <w:t xml:space="preserve"> highlight </w:t>
      </w:r>
      <w:r w:rsidRPr="00B706D3">
        <w:rPr>
          <w:rFonts w:ascii="Times New Roman" w:hAnsi="Times New Roman" w:cs="Times New Roman"/>
          <w:color w:val="000000" w:themeColor="text1"/>
          <w:lang w:val="en-US"/>
        </w:rPr>
        <w:t>Kia’s transformation into a financially healthier</w:t>
      </w:r>
      <w:r w:rsidR="004B186A" w:rsidRPr="00B706D3">
        <w:rPr>
          <w:rFonts w:ascii="Times New Roman" w:hAnsi="Times New Roman" w:cs="Times New Roman"/>
          <w:color w:val="000000" w:themeColor="text1"/>
          <w:lang w:val="en-US"/>
        </w:rPr>
        <w:t xml:space="preserve"> and</w:t>
      </w:r>
      <w:r w:rsidRPr="00B706D3">
        <w:rPr>
          <w:rFonts w:ascii="Times New Roman" w:hAnsi="Times New Roman" w:cs="Times New Roman"/>
          <w:color w:val="000000" w:themeColor="text1"/>
          <w:lang w:val="en-US"/>
        </w:rPr>
        <w:t xml:space="preserve"> competitive global player. </w:t>
      </w:r>
      <w:r w:rsidR="004B186A" w:rsidRPr="00B706D3">
        <w:rPr>
          <w:rFonts w:ascii="Times New Roman" w:hAnsi="Times New Roman" w:cs="Times New Roman"/>
          <w:color w:val="000000" w:themeColor="text1"/>
          <w:lang w:val="en-US"/>
        </w:rPr>
        <w:t>The f</w:t>
      </w:r>
      <w:r w:rsidRPr="00B706D3">
        <w:rPr>
          <w:rFonts w:ascii="Times New Roman" w:hAnsi="Times New Roman" w:cs="Times New Roman"/>
          <w:color w:val="000000" w:themeColor="text1"/>
          <w:lang w:val="en-US"/>
        </w:rPr>
        <w:t>uture success hinges on balancing growth investments with margin protection</w:t>
      </w:r>
      <w:r w:rsidR="00190A48">
        <w:rPr>
          <w:rFonts w:ascii="Times New Roman" w:hAnsi="Times New Roman" w:cs="Times New Roman"/>
          <w:color w:val="000000" w:themeColor="text1"/>
          <w:lang w:val="en-US"/>
        </w:rPr>
        <w:t xml:space="preserve"> (</w:t>
      </w:r>
      <w:proofErr w:type="spellStart"/>
      <w:r w:rsidR="00190A48">
        <w:rPr>
          <w:rFonts w:ascii="Times New Roman" w:hAnsi="Times New Roman" w:cs="Times New Roman"/>
          <w:color w:val="000000" w:themeColor="text1"/>
          <w:lang w:val="en-US"/>
        </w:rPr>
        <w:t>Jerab</w:t>
      </w:r>
      <w:proofErr w:type="spellEnd"/>
      <w:r w:rsidR="00190A48">
        <w:rPr>
          <w:rFonts w:ascii="Times New Roman" w:hAnsi="Times New Roman" w:cs="Times New Roman"/>
          <w:color w:val="000000" w:themeColor="text1"/>
          <w:lang w:val="en-US"/>
        </w:rPr>
        <w:t>, 2023)</w:t>
      </w:r>
      <w:r w:rsidRPr="00B706D3">
        <w:rPr>
          <w:rFonts w:ascii="Times New Roman" w:hAnsi="Times New Roman" w:cs="Times New Roman"/>
          <w:color w:val="000000" w:themeColor="text1"/>
          <w:lang w:val="en-US"/>
        </w:rPr>
        <w:t>.</w:t>
      </w:r>
      <w:r w:rsidR="004B186A" w:rsidRPr="00B706D3">
        <w:rPr>
          <w:rFonts w:ascii="Times New Roman" w:hAnsi="Times New Roman" w:cs="Times New Roman"/>
          <w:color w:val="000000" w:themeColor="text1"/>
          <w:lang w:val="en-US"/>
        </w:rPr>
        <w:t xml:space="preserve"> </w:t>
      </w:r>
    </w:p>
    <w:p w14:paraId="60DC9355" w14:textId="090D1D0B" w:rsidR="00121F59" w:rsidRPr="00B706D3" w:rsidRDefault="00121F59" w:rsidP="00B706D3">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5" w:name="_Toc227875542"/>
      <w:r w:rsidRPr="00B706D3">
        <w:rPr>
          <w:rFonts w:ascii="Times New Roman" w:hAnsi="Times New Roman" w:cs="Times New Roman"/>
          <w:b/>
          <w:bCs/>
          <w:color w:val="000000" w:themeColor="text1"/>
          <w:sz w:val="24"/>
          <w:szCs w:val="24"/>
          <w:lang w:val="en-US"/>
        </w:rPr>
        <w:lastRenderedPageBreak/>
        <w:t>2. Working Capital Management Analysis</w:t>
      </w:r>
      <w:bookmarkEnd w:id="5"/>
    </w:p>
    <w:p w14:paraId="6C305EDE" w14:textId="2CFDE896" w:rsidR="00121F59" w:rsidRPr="00B706D3" w:rsidRDefault="00121F59"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6" w:name="_Toc227875543"/>
      <w:r w:rsidRPr="00B706D3">
        <w:rPr>
          <w:rFonts w:ascii="Times New Roman" w:hAnsi="Times New Roman" w:cs="Times New Roman"/>
          <w:b/>
          <w:bCs/>
          <w:color w:val="000000" w:themeColor="text1"/>
          <w:sz w:val="24"/>
          <w:szCs w:val="24"/>
          <w:lang w:val="en-US"/>
        </w:rPr>
        <w:t>2.1 Assessing Cash Operating Cycle</w:t>
      </w:r>
      <w:bookmarkEnd w:id="6"/>
      <w:r w:rsidRPr="00B706D3">
        <w:rPr>
          <w:rFonts w:ascii="Times New Roman" w:hAnsi="Times New Roman" w:cs="Times New Roman"/>
          <w:b/>
          <w:bCs/>
          <w:color w:val="000000" w:themeColor="text1"/>
          <w:sz w:val="24"/>
          <w:szCs w:val="24"/>
          <w:lang w:val="en-US"/>
        </w:rPr>
        <w:t xml:space="preserve"> </w:t>
      </w:r>
    </w:p>
    <w:p w14:paraId="50BDC89D" w14:textId="483ADF81"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cash operating cycle (or cash conversion cycle, CCC) measures the time (in days) between cash outflows for raw materials and inflows from customer sales</w:t>
      </w:r>
      <w:r w:rsidR="007435F1" w:rsidRPr="00B706D3">
        <w:rPr>
          <w:rFonts w:ascii="Times New Roman" w:hAnsi="Times New Roman" w:cs="Times New Roman"/>
          <w:color w:val="000000" w:themeColor="text1"/>
          <w:lang w:val="en-US"/>
        </w:rPr>
        <w:t xml:space="preserve"> (CFI, 2019)</w:t>
      </w:r>
      <w:r w:rsidRPr="00B706D3">
        <w:rPr>
          <w:rFonts w:ascii="Times New Roman" w:hAnsi="Times New Roman" w:cs="Times New Roman"/>
          <w:color w:val="000000" w:themeColor="text1"/>
          <w:lang w:val="en-US"/>
        </w:rPr>
        <w:t>. It is calculated as:</w:t>
      </w:r>
    </w:p>
    <w:p w14:paraId="1BC610BF" w14:textId="77777777" w:rsidR="00121F59" w:rsidRPr="00B706D3" w:rsidRDefault="00121F59"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CCC = DIO + DSO – DPO</w:t>
      </w:r>
    </w:p>
    <w:p w14:paraId="12E05346" w14:textId="76455450"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where</w:t>
      </w:r>
    </w:p>
    <w:p w14:paraId="42E74D44" w14:textId="77777777"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DIO (Days Inventory Outstanding) = (Average Inventory ÷ COGS) × 365</w:t>
      </w:r>
    </w:p>
    <w:p w14:paraId="3E8C0351" w14:textId="77777777"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DSO (Days Sales Outstanding) = (Average Trade Receivables ÷ Revenue) × 365</w:t>
      </w:r>
    </w:p>
    <w:p w14:paraId="1C681D8F" w14:textId="77777777"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DPO (Days Payables Outstanding) = (Average Trade Payables ÷ COGS) × 365</w:t>
      </w:r>
    </w:p>
    <w:p w14:paraId="7B9980A3" w14:textId="55A763F9"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A shorter or negative CCC indicates efficient cash generation whereas a lengthening cycle signals potential liquidity strain</w:t>
      </w:r>
      <w:r w:rsidR="007435F1" w:rsidRPr="00B706D3">
        <w:rPr>
          <w:rFonts w:ascii="Times New Roman" w:hAnsi="Times New Roman" w:cs="Times New Roman"/>
          <w:color w:val="000000" w:themeColor="text1"/>
          <w:lang w:val="en-US"/>
        </w:rPr>
        <w:t xml:space="preserve"> (Gilliam, 2025)</w:t>
      </w:r>
      <w:r w:rsidRPr="00B706D3">
        <w:rPr>
          <w:rFonts w:ascii="Times New Roman" w:hAnsi="Times New Roman" w:cs="Times New Roman"/>
          <w:color w:val="000000" w:themeColor="text1"/>
          <w:lang w:val="en-U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1201"/>
        <w:gridCol w:w="1241"/>
        <w:gridCol w:w="1254"/>
        <w:gridCol w:w="1267"/>
        <w:gridCol w:w="3417"/>
      </w:tblGrid>
      <w:tr w:rsidR="00121F59" w:rsidRPr="00B706D3" w14:paraId="49DE979B" w14:textId="77777777">
        <w:trPr>
          <w:tblHeader/>
          <w:tblCellSpacing w:w="15" w:type="dxa"/>
        </w:trPr>
        <w:tc>
          <w:tcPr>
            <w:tcW w:w="0" w:type="auto"/>
            <w:vAlign w:val="center"/>
            <w:hideMark/>
          </w:tcPr>
          <w:p w14:paraId="2C19B680" w14:textId="77777777" w:rsidR="00121F59" w:rsidRPr="00B706D3" w:rsidRDefault="00121F59" w:rsidP="006763C1">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Year</w:t>
            </w:r>
          </w:p>
        </w:tc>
        <w:tc>
          <w:tcPr>
            <w:tcW w:w="0" w:type="auto"/>
            <w:vAlign w:val="center"/>
            <w:hideMark/>
          </w:tcPr>
          <w:p w14:paraId="717B24B0" w14:textId="77777777" w:rsidR="00121F59" w:rsidRPr="00B706D3" w:rsidRDefault="00121F59" w:rsidP="006763C1">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DIO (days)</w:t>
            </w:r>
          </w:p>
        </w:tc>
        <w:tc>
          <w:tcPr>
            <w:tcW w:w="0" w:type="auto"/>
            <w:vAlign w:val="center"/>
            <w:hideMark/>
          </w:tcPr>
          <w:p w14:paraId="1C3B6C20" w14:textId="77777777" w:rsidR="00121F59" w:rsidRPr="00B706D3" w:rsidRDefault="00121F59" w:rsidP="006763C1">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DSO (days)</w:t>
            </w:r>
          </w:p>
        </w:tc>
        <w:tc>
          <w:tcPr>
            <w:tcW w:w="0" w:type="auto"/>
            <w:vAlign w:val="center"/>
            <w:hideMark/>
          </w:tcPr>
          <w:p w14:paraId="2EAFC897" w14:textId="77777777" w:rsidR="00121F59" w:rsidRPr="00B706D3" w:rsidRDefault="00121F59" w:rsidP="006763C1">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DPO (days)</w:t>
            </w:r>
          </w:p>
        </w:tc>
        <w:tc>
          <w:tcPr>
            <w:tcW w:w="0" w:type="auto"/>
            <w:vAlign w:val="center"/>
            <w:hideMark/>
          </w:tcPr>
          <w:p w14:paraId="28AF0ED7" w14:textId="77777777" w:rsidR="00121F59" w:rsidRPr="00B706D3" w:rsidRDefault="00121F59" w:rsidP="006763C1">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CCC (days)</w:t>
            </w:r>
          </w:p>
        </w:tc>
        <w:tc>
          <w:tcPr>
            <w:tcW w:w="0" w:type="auto"/>
            <w:vAlign w:val="center"/>
            <w:hideMark/>
          </w:tcPr>
          <w:p w14:paraId="5ED91A9B" w14:textId="77777777" w:rsidR="00121F59" w:rsidRPr="00B706D3" w:rsidRDefault="00121F59" w:rsidP="006763C1">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Key Driver</w:t>
            </w:r>
          </w:p>
        </w:tc>
      </w:tr>
      <w:tr w:rsidR="00121F59" w:rsidRPr="00B706D3" w14:paraId="0EDB4B9C" w14:textId="77777777">
        <w:trPr>
          <w:tblCellSpacing w:w="15" w:type="dxa"/>
        </w:trPr>
        <w:tc>
          <w:tcPr>
            <w:tcW w:w="0" w:type="auto"/>
            <w:vAlign w:val="center"/>
            <w:hideMark/>
          </w:tcPr>
          <w:p w14:paraId="7B6AF357"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2021</w:t>
            </w:r>
          </w:p>
        </w:tc>
        <w:tc>
          <w:tcPr>
            <w:tcW w:w="0" w:type="auto"/>
            <w:vAlign w:val="center"/>
            <w:hideMark/>
          </w:tcPr>
          <w:p w14:paraId="51064F3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~45</w:t>
            </w:r>
          </w:p>
        </w:tc>
        <w:tc>
          <w:tcPr>
            <w:tcW w:w="0" w:type="auto"/>
            <w:vAlign w:val="center"/>
            <w:hideMark/>
          </w:tcPr>
          <w:p w14:paraId="7A1A8995"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~38</w:t>
            </w:r>
          </w:p>
        </w:tc>
        <w:tc>
          <w:tcPr>
            <w:tcW w:w="0" w:type="auto"/>
            <w:vAlign w:val="center"/>
            <w:hideMark/>
          </w:tcPr>
          <w:p w14:paraId="671D22B2"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~79</w:t>
            </w:r>
          </w:p>
        </w:tc>
        <w:tc>
          <w:tcPr>
            <w:tcW w:w="0" w:type="auto"/>
            <w:vAlign w:val="center"/>
            <w:hideMark/>
          </w:tcPr>
          <w:p w14:paraId="63C8F362"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w:t>
            </w:r>
          </w:p>
        </w:tc>
        <w:tc>
          <w:tcPr>
            <w:tcW w:w="0" w:type="auto"/>
            <w:vAlign w:val="center"/>
            <w:hideMark/>
          </w:tcPr>
          <w:p w14:paraId="2F2DE5F2"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Post-pandemic recovery</w:t>
            </w:r>
          </w:p>
        </w:tc>
      </w:tr>
      <w:tr w:rsidR="00121F59" w:rsidRPr="00B706D3" w14:paraId="3828D378" w14:textId="77777777">
        <w:trPr>
          <w:tblCellSpacing w:w="15" w:type="dxa"/>
        </w:trPr>
        <w:tc>
          <w:tcPr>
            <w:tcW w:w="0" w:type="auto"/>
            <w:vAlign w:val="center"/>
            <w:hideMark/>
          </w:tcPr>
          <w:p w14:paraId="0DF05938"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2022</w:t>
            </w:r>
          </w:p>
        </w:tc>
        <w:tc>
          <w:tcPr>
            <w:tcW w:w="0" w:type="auto"/>
            <w:vAlign w:val="center"/>
            <w:hideMark/>
          </w:tcPr>
          <w:p w14:paraId="589B8000"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~48</w:t>
            </w:r>
          </w:p>
        </w:tc>
        <w:tc>
          <w:tcPr>
            <w:tcW w:w="0" w:type="auto"/>
            <w:vAlign w:val="center"/>
            <w:hideMark/>
          </w:tcPr>
          <w:p w14:paraId="608A64DA"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~37</w:t>
            </w:r>
          </w:p>
        </w:tc>
        <w:tc>
          <w:tcPr>
            <w:tcW w:w="0" w:type="auto"/>
            <w:vAlign w:val="center"/>
            <w:hideMark/>
          </w:tcPr>
          <w:p w14:paraId="384BEBC4"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~80</w:t>
            </w:r>
          </w:p>
        </w:tc>
        <w:tc>
          <w:tcPr>
            <w:tcW w:w="0" w:type="auto"/>
            <w:vAlign w:val="center"/>
            <w:hideMark/>
          </w:tcPr>
          <w:p w14:paraId="53A09F9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w:t>
            </w:r>
          </w:p>
        </w:tc>
        <w:tc>
          <w:tcPr>
            <w:tcW w:w="0" w:type="auto"/>
            <w:vAlign w:val="center"/>
            <w:hideMark/>
          </w:tcPr>
          <w:p w14:paraId="5418029B"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Supply-chain normalization</w:t>
            </w:r>
          </w:p>
        </w:tc>
      </w:tr>
      <w:tr w:rsidR="00121F59" w:rsidRPr="00B706D3" w14:paraId="073FC611" w14:textId="77777777">
        <w:trPr>
          <w:tblCellSpacing w:w="15" w:type="dxa"/>
        </w:trPr>
        <w:tc>
          <w:tcPr>
            <w:tcW w:w="0" w:type="auto"/>
            <w:vAlign w:val="center"/>
            <w:hideMark/>
          </w:tcPr>
          <w:p w14:paraId="1145704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2023</w:t>
            </w:r>
          </w:p>
        </w:tc>
        <w:tc>
          <w:tcPr>
            <w:tcW w:w="0" w:type="auto"/>
            <w:vAlign w:val="center"/>
            <w:hideMark/>
          </w:tcPr>
          <w:p w14:paraId="2FF1D4F3"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~52</w:t>
            </w:r>
          </w:p>
        </w:tc>
        <w:tc>
          <w:tcPr>
            <w:tcW w:w="0" w:type="auto"/>
            <w:vAlign w:val="center"/>
            <w:hideMark/>
          </w:tcPr>
          <w:p w14:paraId="6B8330BD"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~35</w:t>
            </w:r>
          </w:p>
        </w:tc>
        <w:tc>
          <w:tcPr>
            <w:tcW w:w="0" w:type="auto"/>
            <w:vAlign w:val="center"/>
            <w:hideMark/>
          </w:tcPr>
          <w:p w14:paraId="22F1A0E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~82</w:t>
            </w:r>
          </w:p>
        </w:tc>
        <w:tc>
          <w:tcPr>
            <w:tcW w:w="0" w:type="auto"/>
            <w:vAlign w:val="center"/>
            <w:hideMark/>
          </w:tcPr>
          <w:p w14:paraId="2AB7448B"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w:t>
            </w:r>
          </w:p>
        </w:tc>
        <w:tc>
          <w:tcPr>
            <w:tcW w:w="0" w:type="auto"/>
            <w:vAlign w:val="center"/>
            <w:hideMark/>
          </w:tcPr>
          <w:p w14:paraId="53CD54E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EV platform ramp-up</w:t>
            </w:r>
          </w:p>
        </w:tc>
      </w:tr>
      <w:tr w:rsidR="00121F59" w:rsidRPr="00B706D3" w14:paraId="7E1F7EB2" w14:textId="77777777">
        <w:trPr>
          <w:tblCellSpacing w:w="15" w:type="dxa"/>
        </w:trPr>
        <w:tc>
          <w:tcPr>
            <w:tcW w:w="0" w:type="auto"/>
            <w:vAlign w:val="center"/>
            <w:hideMark/>
          </w:tcPr>
          <w:p w14:paraId="349E35F8"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2024</w:t>
            </w:r>
          </w:p>
        </w:tc>
        <w:tc>
          <w:tcPr>
            <w:tcW w:w="0" w:type="auto"/>
            <w:vAlign w:val="center"/>
            <w:hideMark/>
          </w:tcPr>
          <w:p w14:paraId="348942F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~55</w:t>
            </w:r>
          </w:p>
        </w:tc>
        <w:tc>
          <w:tcPr>
            <w:tcW w:w="0" w:type="auto"/>
            <w:vAlign w:val="center"/>
            <w:hideMark/>
          </w:tcPr>
          <w:p w14:paraId="10DB99DD"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~36</w:t>
            </w:r>
          </w:p>
        </w:tc>
        <w:tc>
          <w:tcPr>
            <w:tcW w:w="0" w:type="auto"/>
            <w:vAlign w:val="center"/>
            <w:hideMark/>
          </w:tcPr>
          <w:p w14:paraId="53AA5E5E"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~81</w:t>
            </w:r>
          </w:p>
        </w:tc>
        <w:tc>
          <w:tcPr>
            <w:tcW w:w="0" w:type="auto"/>
            <w:vAlign w:val="center"/>
            <w:hideMark/>
          </w:tcPr>
          <w:p w14:paraId="49F326FF"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w:t>
            </w:r>
          </w:p>
        </w:tc>
        <w:tc>
          <w:tcPr>
            <w:tcW w:w="0" w:type="auto"/>
            <w:vAlign w:val="center"/>
            <w:hideMark/>
          </w:tcPr>
          <w:p w14:paraId="102BDF3A"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Global inventory build</w:t>
            </w:r>
          </w:p>
        </w:tc>
      </w:tr>
      <w:tr w:rsidR="00121F59" w:rsidRPr="00B706D3" w14:paraId="77C9E789" w14:textId="77777777">
        <w:trPr>
          <w:tblCellSpacing w:w="15" w:type="dxa"/>
        </w:trPr>
        <w:tc>
          <w:tcPr>
            <w:tcW w:w="0" w:type="auto"/>
            <w:vAlign w:val="center"/>
            <w:hideMark/>
          </w:tcPr>
          <w:p w14:paraId="194C6F92"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2025</w:t>
            </w:r>
          </w:p>
        </w:tc>
        <w:tc>
          <w:tcPr>
            <w:tcW w:w="0" w:type="auto"/>
            <w:vAlign w:val="center"/>
            <w:hideMark/>
          </w:tcPr>
          <w:p w14:paraId="24610616"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~58</w:t>
            </w:r>
          </w:p>
        </w:tc>
        <w:tc>
          <w:tcPr>
            <w:tcW w:w="0" w:type="auto"/>
            <w:vAlign w:val="center"/>
            <w:hideMark/>
          </w:tcPr>
          <w:p w14:paraId="39334FDC"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~35</w:t>
            </w:r>
          </w:p>
        </w:tc>
        <w:tc>
          <w:tcPr>
            <w:tcW w:w="0" w:type="auto"/>
            <w:vAlign w:val="center"/>
            <w:hideMark/>
          </w:tcPr>
          <w:p w14:paraId="008B8AE9"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~83</w:t>
            </w:r>
          </w:p>
        </w:tc>
        <w:tc>
          <w:tcPr>
            <w:tcW w:w="0" w:type="auto"/>
            <w:vAlign w:val="center"/>
            <w:hideMark/>
          </w:tcPr>
          <w:p w14:paraId="045CB3E9"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~10–27*</w:t>
            </w:r>
          </w:p>
        </w:tc>
        <w:tc>
          <w:tcPr>
            <w:tcW w:w="0" w:type="auto"/>
            <w:vAlign w:val="center"/>
            <w:hideMark/>
          </w:tcPr>
          <w:p w14:paraId="736EAC03" w14:textId="77777777" w:rsidR="00121F59" w:rsidRPr="00B706D3" w:rsidRDefault="00121F59" w:rsidP="006763C1">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EV battery &amp; finished-goods stock</w:t>
            </w:r>
          </w:p>
        </w:tc>
      </w:tr>
    </w:tbl>
    <w:p w14:paraId="4211FFF1" w14:textId="4A941DBF"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range of CCC shows conservative DPO estimates, which might be low considering the strong supplier leverage</w:t>
      </w:r>
      <w:r w:rsidR="007435F1" w:rsidRPr="00B706D3">
        <w:rPr>
          <w:rFonts w:ascii="Times New Roman" w:hAnsi="Times New Roman" w:cs="Times New Roman"/>
          <w:color w:val="000000" w:themeColor="text1"/>
          <w:lang w:val="en-US"/>
        </w:rPr>
        <w:t xml:space="preserve"> (McKay, 2025)</w:t>
      </w:r>
      <w:r w:rsidRPr="00B706D3">
        <w:rPr>
          <w:rFonts w:ascii="Times New Roman" w:hAnsi="Times New Roman" w:cs="Times New Roman"/>
          <w:color w:val="000000" w:themeColor="text1"/>
          <w:lang w:val="en-US"/>
        </w:rPr>
        <w:t>. The DIO increased steadily from 45 days in 2021 to 58 days in 2025. It means the inventory accumulation was done intentionally for new EV platforms. It resulted in record sales but increased holding costs.</w:t>
      </w:r>
    </w:p>
    <w:p w14:paraId="5E3BFCC7" w14:textId="6AE31831" w:rsidR="00121F59" w:rsidRPr="00B706D3" w:rsidRDefault="00121F5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lastRenderedPageBreak/>
        <w:t>DSO remained low and stable through excellent receivables management and disciplined dealer credit terms. The DPO also stayed strong by effectively negotiating extended supplier payment terms</w:t>
      </w:r>
      <w:r w:rsidR="00190A48">
        <w:rPr>
          <w:rFonts w:ascii="Times New Roman" w:hAnsi="Times New Roman" w:cs="Times New Roman"/>
          <w:color w:val="000000" w:themeColor="text1"/>
          <w:lang w:val="en-US"/>
        </w:rPr>
        <w:t xml:space="preserve"> </w:t>
      </w:r>
      <w:r w:rsidR="00190A48" w:rsidRPr="00B706D3">
        <w:rPr>
          <w:rFonts w:ascii="Times New Roman" w:hAnsi="Times New Roman" w:cs="Times New Roman"/>
          <w:color w:val="000000" w:themeColor="text1"/>
          <w:lang w:val="en-US"/>
        </w:rPr>
        <w:t>(</w:t>
      </w:r>
      <w:proofErr w:type="spellStart"/>
      <w:r w:rsidR="00190A48" w:rsidRPr="00B706D3">
        <w:rPr>
          <w:rFonts w:ascii="Times New Roman" w:hAnsi="Times New Roman" w:cs="Times New Roman"/>
          <w:color w:val="000000" w:themeColor="text1"/>
          <w:lang w:val="en-US"/>
        </w:rPr>
        <w:t>Weavegrid</w:t>
      </w:r>
      <w:proofErr w:type="spellEnd"/>
      <w:r w:rsidR="00190A48" w:rsidRPr="00B706D3">
        <w:rPr>
          <w:rFonts w:ascii="Times New Roman" w:hAnsi="Times New Roman" w:cs="Times New Roman"/>
          <w:color w:val="000000" w:themeColor="text1"/>
          <w:lang w:val="en-US"/>
        </w:rPr>
        <w:t>, 2025)</w:t>
      </w:r>
      <w:r w:rsidRPr="00B706D3">
        <w:rPr>
          <w:rFonts w:ascii="Times New Roman" w:hAnsi="Times New Roman" w:cs="Times New Roman"/>
          <w:color w:val="000000" w:themeColor="text1"/>
          <w:lang w:val="en-US"/>
        </w:rPr>
        <w:t>.</w:t>
      </w:r>
    </w:p>
    <w:p w14:paraId="17D13725" w14:textId="2E6560F0" w:rsidR="00121F59" w:rsidRPr="00B706D3" w:rsidRDefault="00121F59"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7" w:name="_Toc227875544"/>
      <w:r w:rsidRPr="00B706D3">
        <w:rPr>
          <w:rFonts w:ascii="Times New Roman" w:hAnsi="Times New Roman" w:cs="Times New Roman"/>
          <w:b/>
          <w:bCs/>
          <w:color w:val="000000" w:themeColor="text1"/>
          <w:sz w:val="24"/>
          <w:szCs w:val="24"/>
          <w:lang w:val="en-US"/>
        </w:rPr>
        <w:t>2.2 Recommendations to improve liquidity through working capital reforms</w:t>
      </w:r>
      <w:bookmarkEnd w:id="7"/>
    </w:p>
    <w:p w14:paraId="1BE15DEA" w14:textId="472B5610" w:rsidR="00D72A9F" w:rsidRPr="00B706D3" w:rsidRDefault="00D72A9F"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company has solid liquidity, which can be further improved through debt reduction and WCM reforms. The main levers of these reforms include inventory, receivables, and payables.</w:t>
      </w:r>
    </w:p>
    <w:p w14:paraId="3DBEF3A2" w14:textId="4845D8F3" w:rsidR="00D72A9F" w:rsidRPr="00B706D3" w:rsidRDefault="00D72A9F"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 xml:space="preserve">Inventory Optimization </w:t>
      </w:r>
    </w:p>
    <w:p w14:paraId="411616D3" w14:textId="583AA71C" w:rsidR="00D72A9F" w:rsidRDefault="00D72A9F"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adoption of just-in-time (JIT) manufacturing and AI-based demand forecasting are the best to produce automobiles with real-time orders</w:t>
      </w:r>
      <w:r w:rsidR="007435F1" w:rsidRPr="00B706D3">
        <w:rPr>
          <w:rFonts w:ascii="Times New Roman" w:hAnsi="Times New Roman" w:cs="Times New Roman"/>
          <w:color w:val="000000" w:themeColor="text1"/>
          <w:lang w:val="en-US"/>
        </w:rPr>
        <w:t xml:space="preserve"> (Jenkins, 2024)</w:t>
      </w:r>
      <w:r w:rsidRPr="00B706D3">
        <w:rPr>
          <w:rFonts w:ascii="Times New Roman" w:hAnsi="Times New Roman" w:cs="Times New Roman"/>
          <w:color w:val="000000" w:themeColor="text1"/>
          <w:lang w:val="en-US"/>
        </w:rPr>
        <w:t>. This works best for high-value EV components. They can also implement consignment inventory with major battery suppliers and warehousing in North America and Europe. It will help them cut safety stock while optimizing their existing inventories. It will help them release a significant cash flow in tied-up capital, which can directly mitigate obsolescence risks from rapid model refreshes.</w:t>
      </w:r>
    </w:p>
    <w:p w14:paraId="088D08BC" w14:textId="00EB9E8A" w:rsidR="00D72A9F" w:rsidRPr="00B706D3" w:rsidRDefault="00D72A9F"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 xml:space="preserve">Acceleration of Receivables </w:t>
      </w:r>
    </w:p>
    <w:p w14:paraId="7C8CB92C" w14:textId="45D2AF0B" w:rsidR="00D72A9F" w:rsidRPr="00B706D3" w:rsidRDefault="00801D15"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dealers who make early payments must be provided with dynamic discounts of 1-2% for 10-day settlement. The supply chain finance platform should also be expanded for securitization of receivables. Another strategy is digital invoicing to make collections fast in emerging markets. They can also go for factoring programs for select overseas receivables to achieve immediate liquidity without balance sheet impact</w:t>
      </w:r>
      <w:r w:rsidR="007435F1" w:rsidRPr="00B706D3">
        <w:rPr>
          <w:rFonts w:ascii="Times New Roman" w:hAnsi="Times New Roman" w:cs="Times New Roman"/>
          <w:color w:val="000000" w:themeColor="text1"/>
          <w:lang w:val="en-US"/>
        </w:rPr>
        <w:t xml:space="preserve"> (Walter, 2025)</w:t>
      </w:r>
      <w:r w:rsidRPr="00B706D3">
        <w:rPr>
          <w:rFonts w:ascii="Times New Roman" w:hAnsi="Times New Roman" w:cs="Times New Roman"/>
          <w:color w:val="000000" w:themeColor="text1"/>
          <w:lang w:val="en-US"/>
        </w:rPr>
        <w:t>.</w:t>
      </w:r>
    </w:p>
    <w:p w14:paraId="3898069C" w14:textId="6569B340" w:rsidR="00801D15" w:rsidRPr="00B706D3" w:rsidRDefault="00801D15"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Payables extension</w:t>
      </w:r>
    </w:p>
    <w:p w14:paraId="01F8C44B" w14:textId="2EE444B2" w:rsidR="00801D15" w:rsidRPr="00B706D3" w:rsidRDefault="003F2EA4"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All non-critical suppliers must be negotiated for longer terms. On the other </w:t>
      </w:r>
      <w:proofErr w:type="gramStart"/>
      <w:r w:rsidRPr="00B706D3">
        <w:rPr>
          <w:rFonts w:ascii="Times New Roman" w:hAnsi="Times New Roman" w:cs="Times New Roman"/>
          <w:color w:val="000000" w:themeColor="text1"/>
          <w:lang w:val="en-US"/>
        </w:rPr>
        <w:t>hand</w:t>
      </w:r>
      <w:proofErr w:type="gramEnd"/>
      <w:r w:rsidRPr="00B706D3">
        <w:rPr>
          <w:rFonts w:ascii="Times New Roman" w:hAnsi="Times New Roman" w:cs="Times New Roman"/>
          <w:color w:val="000000" w:themeColor="text1"/>
          <w:lang w:val="en-US"/>
        </w:rPr>
        <w:t xml:space="preserve"> the relation with strategic partners should be preserved by volume commitments and joint R&amp;D. Another option is the rollout of supplier financing programs using reverse factoring. This is where the strong credit rating of Kia gives suppliers access to low-cost funding. It will preserve supplier health and extend DPO without increasing costs</w:t>
      </w:r>
      <w:r w:rsidR="007435F1" w:rsidRPr="00B706D3">
        <w:rPr>
          <w:rFonts w:ascii="Times New Roman" w:hAnsi="Times New Roman" w:cs="Times New Roman"/>
          <w:color w:val="000000" w:themeColor="text1"/>
          <w:lang w:val="en-US"/>
        </w:rPr>
        <w:t xml:space="preserve"> (Snyder and Williams, 2026)</w:t>
      </w:r>
      <w:r w:rsidRPr="00B706D3">
        <w:rPr>
          <w:rFonts w:ascii="Times New Roman" w:hAnsi="Times New Roman" w:cs="Times New Roman"/>
          <w:color w:val="000000" w:themeColor="text1"/>
          <w:lang w:val="en-US"/>
        </w:rPr>
        <w:t>.</w:t>
      </w:r>
    </w:p>
    <w:p w14:paraId="7227B3F8" w14:textId="77777777" w:rsidR="00190A48" w:rsidRDefault="00190A48" w:rsidP="00B706D3">
      <w:pPr>
        <w:adjustRightInd w:val="0"/>
        <w:snapToGrid w:val="0"/>
        <w:spacing w:before="240" w:after="240" w:line="360" w:lineRule="auto"/>
        <w:jc w:val="both"/>
        <w:rPr>
          <w:rFonts w:ascii="Times New Roman" w:hAnsi="Times New Roman" w:cs="Times New Roman"/>
          <w:b/>
          <w:bCs/>
          <w:color w:val="000000" w:themeColor="text1"/>
          <w:lang w:val="en-US"/>
        </w:rPr>
      </w:pPr>
    </w:p>
    <w:p w14:paraId="3F8546BB" w14:textId="77777777" w:rsidR="006763C1" w:rsidRDefault="006763C1" w:rsidP="00B706D3">
      <w:pPr>
        <w:adjustRightInd w:val="0"/>
        <w:snapToGrid w:val="0"/>
        <w:spacing w:before="240" w:after="240" w:line="360" w:lineRule="auto"/>
        <w:jc w:val="both"/>
        <w:rPr>
          <w:rFonts w:ascii="Times New Roman" w:hAnsi="Times New Roman" w:cs="Times New Roman"/>
          <w:b/>
          <w:bCs/>
          <w:color w:val="000000" w:themeColor="text1"/>
          <w:lang w:val="en-US"/>
        </w:rPr>
      </w:pPr>
    </w:p>
    <w:p w14:paraId="0074F48D" w14:textId="766944E7" w:rsidR="003F2EA4" w:rsidRPr="00B706D3" w:rsidRDefault="003F2EA4"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lastRenderedPageBreak/>
        <w:t xml:space="preserve">Holistic implementation and monitoring </w:t>
      </w:r>
    </w:p>
    <w:p w14:paraId="64D9B6F2" w14:textId="66FAA0E0" w:rsidR="003F2EA4" w:rsidRPr="00B706D3" w:rsidRDefault="003F2EA4"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A company-wide WCM dashboard must be integrated to track the key performance indicators of CCC with executive incentives. The cross-functional teams in areas of procurement and sales should conduct audits of suppliers and dealers. It can provide liquidity uplift while reducing interest expense from low borrowing needs. This is a reform that aligns with the new targets of Kia by converting working capital efficiency into competitive advantage</w:t>
      </w:r>
      <w:r w:rsidR="007435F1" w:rsidRPr="00B706D3">
        <w:rPr>
          <w:rFonts w:ascii="Times New Roman" w:hAnsi="Times New Roman" w:cs="Times New Roman"/>
          <w:color w:val="000000" w:themeColor="text1"/>
          <w:lang w:val="en-US"/>
        </w:rPr>
        <w:t xml:space="preserve"> (Hayes and </w:t>
      </w:r>
      <w:proofErr w:type="spellStart"/>
      <w:r w:rsidR="007435F1" w:rsidRPr="00B706D3">
        <w:rPr>
          <w:rFonts w:ascii="Times New Roman" w:hAnsi="Times New Roman" w:cs="Times New Roman"/>
          <w:color w:val="000000" w:themeColor="text1"/>
          <w:lang w:val="en-US"/>
        </w:rPr>
        <w:t>Rosenston</w:t>
      </w:r>
      <w:proofErr w:type="spellEnd"/>
      <w:r w:rsidR="007435F1" w:rsidRPr="00B706D3">
        <w:rPr>
          <w:rFonts w:ascii="Times New Roman" w:hAnsi="Times New Roman" w:cs="Times New Roman"/>
          <w:color w:val="000000" w:themeColor="text1"/>
          <w:lang w:val="en-US"/>
        </w:rPr>
        <w:t>, 2026)</w:t>
      </w:r>
      <w:r w:rsidRPr="00B706D3">
        <w:rPr>
          <w:rFonts w:ascii="Times New Roman" w:hAnsi="Times New Roman" w:cs="Times New Roman"/>
          <w:color w:val="000000" w:themeColor="text1"/>
          <w:lang w:val="en-US"/>
        </w:rPr>
        <w:t>.</w:t>
      </w:r>
    </w:p>
    <w:p w14:paraId="543C85A5" w14:textId="562EF444" w:rsidR="003F2EA4" w:rsidRPr="00B706D3" w:rsidRDefault="003F2EA4"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8" w:name="_Toc227875545"/>
      <w:r w:rsidRPr="00B706D3">
        <w:rPr>
          <w:rFonts w:ascii="Times New Roman" w:hAnsi="Times New Roman" w:cs="Times New Roman"/>
          <w:b/>
          <w:bCs/>
          <w:color w:val="000000" w:themeColor="text1"/>
          <w:sz w:val="24"/>
          <w:szCs w:val="24"/>
          <w:lang w:val="en-US"/>
        </w:rPr>
        <w:t>2.3 Short Vs Long-Term Financing Options</w:t>
      </w:r>
      <w:bookmarkEnd w:id="8"/>
      <w:r w:rsidRPr="00B706D3">
        <w:rPr>
          <w:rFonts w:ascii="Times New Roman" w:hAnsi="Times New Roman" w:cs="Times New Roman"/>
          <w:b/>
          <w:bCs/>
          <w:color w:val="000000" w:themeColor="text1"/>
          <w:sz w:val="24"/>
          <w:szCs w:val="24"/>
          <w:lang w:val="en-US"/>
        </w:rPr>
        <w:t xml:space="preserve"> </w:t>
      </w:r>
    </w:p>
    <w:p w14:paraId="410904A2" w14:textId="394543A7" w:rsidR="003F2EA4" w:rsidRPr="00B706D3" w:rsidRDefault="00337F6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Kia's Fortress balance sheet gives flexibility in funding working capital gaps; </w:t>
      </w:r>
      <w:proofErr w:type="gramStart"/>
      <w:r w:rsidRPr="00B706D3">
        <w:rPr>
          <w:rFonts w:ascii="Times New Roman" w:hAnsi="Times New Roman" w:cs="Times New Roman"/>
          <w:color w:val="000000" w:themeColor="text1"/>
          <w:lang w:val="en-US"/>
        </w:rPr>
        <w:t>however</w:t>
      </w:r>
      <w:proofErr w:type="gramEnd"/>
      <w:r w:rsidRPr="00B706D3">
        <w:rPr>
          <w:rFonts w:ascii="Times New Roman" w:hAnsi="Times New Roman" w:cs="Times New Roman"/>
          <w:color w:val="000000" w:themeColor="text1"/>
          <w:lang w:val="en-US"/>
        </w:rPr>
        <w:t xml:space="preserve"> the choice between short- and long-term options should balance the costs, risk, and strategic fit.</w:t>
      </w:r>
    </w:p>
    <w:p w14:paraId="2FAA7480" w14:textId="3924441D" w:rsidR="00337F69" w:rsidRPr="00B706D3" w:rsidRDefault="00337F69"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 xml:space="preserve">Short-term financing </w:t>
      </w:r>
    </w:p>
    <w:p w14:paraId="5E1D5AEA" w14:textId="49D0F1CE" w:rsidR="00337F69" w:rsidRDefault="00337F6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It has low interest rates, typically 1-3% above the benchmark in Korea. The flexibility is also high for seasonal or temporary requirements, with minimal covenant restrictions. It is ideal for bridging short CCC fluctuations or inventory spikes. However, there is a risk of tight credit environments or liquidity crunches during auto downturns</w:t>
      </w:r>
      <w:r w:rsidR="007435F1" w:rsidRPr="00B706D3">
        <w:rPr>
          <w:rFonts w:ascii="Times New Roman" w:hAnsi="Times New Roman" w:cs="Times New Roman"/>
          <w:color w:val="000000" w:themeColor="text1"/>
          <w:lang w:val="en-US"/>
        </w:rPr>
        <w:t xml:space="preserve"> (Ram, 2026)</w:t>
      </w:r>
      <w:r w:rsidRPr="00B706D3">
        <w:rPr>
          <w:rFonts w:ascii="Times New Roman" w:hAnsi="Times New Roman" w:cs="Times New Roman"/>
          <w:color w:val="000000" w:themeColor="text1"/>
          <w:lang w:val="en-US"/>
        </w:rPr>
        <w:t>.</w:t>
      </w:r>
    </w:p>
    <w:p w14:paraId="52616B93" w14:textId="5C6DEFC7" w:rsidR="00337F69" w:rsidRPr="00B706D3" w:rsidRDefault="00337F69"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Long-term Financing</w:t>
      </w:r>
    </w:p>
    <w:p w14:paraId="1BA41ECD" w14:textId="42624343" w:rsidR="00337F69" w:rsidRPr="00B706D3" w:rsidRDefault="00337F69"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The rates and certainty are one of the main advantages of this kind of financing, which is over 5 to 10 years. It also matches long-horizon EV KPIs as well as platform investments. Kia can use this to support credit rating stability. Moreover, it has low refinancing frequency that reduces administrative burden. The company should make sure that it does not overly rely on this financing as it can reduce agility.</w:t>
      </w:r>
    </w:p>
    <w:p w14:paraId="356A11D2" w14:textId="6A6DD144" w:rsidR="00337F69" w:rsidRPr="00B706D3" w:rsidRDefault="00337F69" w:rsidP="00B706D3">
      <w:pPr>
        <w:adjustRightInd w:val="0"/>
        <w:snapToGrid w:val="0"/>
        <w:spacing w:before="240" w:after="240" w:line="360" w:lineRule="auto"/>
        <w:jc w:val="both"/>
        <w:rPr>
          <w:rFonts w:ascii="Times New Roman" w:hAnsi="Times New Roman" w:cs="Times New Roman"/>
          <w:b/>
          <w:bCs/>
          <w:color w:val="000000" w:themeColor="text1"/>
          <w:lang w:val="en-US"/>
        </w:rPr>
      </w:pPr>
      <w:r w:rsidRPr="00B706D3">
        <w:rPr>
          <w:rFonts w:ascii="Times New Roman" w:hAnsi="Times New Roman" w:cs="Times New Roman"/>
          <w:b/>
          <w:bCs/>
          <w:color w:val="000000" w:themeColor="text1"/>
          <w:lang w:val="en-US"/>
        </w:rPr>
        <w:t xml:space="preserve">Kia’s optimal approach </w:t>
      </w:r>
    </w:p>
    <w:p w14:paraId="74E64E99" w14:textId="0A777364" w:rsidR="00337F69" w:rsidRPr="00B706D3"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Kia must prioritize long-term instruments for capex needs, considering its strong internal cash generation. It can reserve short-term facilities as liquidity backstop. It can minimize interest rate and rollover risks as well.</w:t>
      </w:r>
    </w:p>
    <w:p w14:paraId="7D4F6284" w14:textId="77777777" w:rsidR="006763C1" w:rsidRDefault="006763C1">
      <w:pPr>
        <w:rPr>
          <w:rFonts w:ascii="Times New Roman" w:hAnsi="Times New Roman" w:cs="Times New Roman"/>
          <w:color w:val="000000" w:themeColor="text1"/>
          <w:lang w:val="en-US"/>
        </w:rPr>
      </w:pPr>
      <w:r>
        <w:rPr>
          <w:rFonts w:ascii="Times New Roman" w:hAnsi="Times New Roman" w:cs="Times New Roman"/>
          <w:color w:val="000000" w:themeColor="text1"/>
          <w:lang w:val="en-US"/>
        </w:rPr>
        <w:br w:type="page"/>
      </w:r>
    </w:p>
    <w:p w14:paraId="0FA20445" w14:textId="46AD3176" w:rsidR="00870538" w:rsidRPr="00B706D3"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lastRenderedPageBreak/>
        <w:t>Overall, the companies' WCM remains a major strength, with control CCC that supports cash flows and liquidity. They need to implement the recommended reforms, such as JIT inventory, strategic payable extension and receivables digitization</w:t>
      </w:r>
      <w:r w:rsidR="007435F1" w:rsidRPr="00B706D3">
        <w:rPr>
          <w:rFonts w:ascii="Times New Roman" w:hAnsi="Times New Roman" w:cs="Times New Roman"/>
          <w:color w:val="000000" w:themeColor="text1"/>
          <w:lang w:val="en-US"/>
        </w:rPr>
        <w:t xml:space="preserve"> </w:t>
      </w:r>
      <w:r w:rsidRPr="00B706D3">
        <w:rPr>
          <w:rFonts w:ascii="Times New Roman" w:hAnsi="Times New Roman" w:cs="Times New Roman"/>
          <w:color w:val="000000" w:themeColor="text1"/>
          <w:lang w:val="en-US"/>
        </w:rPr>
        <w:t>to unlock significant cash. The long-term financing is favored when needed so Kia can maintain its low-risk profile while funding growth</w:t>
      </w:r>
      <w:r w:rsidR="007435F1" w:rsidRPr="00B706D3">
        <w:rPr>
          <w:rFonts w:ascii="Times New Roman" w:hAnsi="Times New Roman" w:cs="Times New Roman"/>
          <w:color w:val="000000" w:themeColor="text1"/>
          <w:lang w:val="en-US"/>
        </w:rPr>
        <w:t xml:space="preserve"> (Ram, 2026)</w:t>
      </w:r>
      <w:r w:rsidRPr="00B706D3">
        <w:rPr>
          <w:rFonts w:ascii="Times New Roman" w:hAnsi="Times New Roman" w:cs="Times New Roman"/>
          <w:color w:val="000000" w:themeColor="text1"/>
          <w:lang w:val="en-US"/>
        </w:rPr>
        <w:t>. A continuous WCM discipline is crucial to sustain long-term shareholder value.</w:t>
      </w:r>
    </w:p>
    <w:p w14:paraId="24855382" w14:textId="3050DB2C" w:rsidR="00870538" w:rsidRPr="00B706D3" w:rsidRDefault="00870538" w:rsidP="00B706D3">
      <w:pPr>
        <w:pStyle w:val="Heading1"/>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9" w:name="_Toc227875546"/>
      <w:r w:rsidRPr="00B706D3">
        <w:rPr>
          <w:rFonts w:ascii="Times New Roman" w:hAnsi="Times New Roman" w:cs="Times New Roman"/>
          <w:b/>
          <w:bCs/>
          <w:color w:val="000000" w:themeColor="text1"/>
          <w:sz w:val="24"/>
          <w:szCs w:val="24"/>
          <w:lang w:val="en-US"/>
        </w:rPr>
        <w:t>3. Strategic Financial Restructuring Plan</w:t>
      </w:r>
      <w:bookmarkEnd w:id="9"/>
      <w:r w:rsidRPr="00B706D3">
        <w:rPr>
          <w:rFonts w:ascii="Times New Roman" w:hAnsi="Times New Roman" w:cs="Times New Roman"/>
          <w:b/>
          <w:bCs/>
          <w:color w:val="000000" w:themeColor="text1"/>
          <w:sz w:val="24"/>
          <w:szCs w:val="24"/>
          <w:lang w:val="en-US"/>
        </w:rPr>
        <w:t xml:space="preserve"> </w:t>
      </w:r>
    </w:p>
    <w:p w14:paraId="5678DB00" w14:textId="61842A83" w:rsidR="00870538" w:rsidRPr="00B706D3"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Kia has created a strong financial position after five years of growth. Their balance sheet has low debt and healthy cash flows. </w:t>
      </w:r>
      <w:r w:rsidR="00DD6CE9">
        <w:rPr>
          <w:rFonts w:ascii="Times New Roman" w:hAnsi="Times New Roman" w:cs="Times New Roman"/>
          <w:color w:val="000000" w:themeColor="text1"/>
          <w:lang w:val="en-US"/>
        </w:rPr>
        <w:t>The</w:t>
      </w:r>
      <w:r w:rsidRPr="00B706D3">
        <w:rPr>
          <w:rFonts w:ascii="Times New Roman" w:hAnsi="Times New Roman" w:cs="Times New Roman"/>
          <w:color w:val="000000" w:themeColor="text1"/>
          <w:lang w:val="en-US"/>
        </w:rPr>
        <w:t xml:space="preserve"> only pressures faced were from tariffs and the costly shift towards hybrid vehicles. </w:t>
      </w:r>
      <w:r w:rsidR="00DD6CE9">
        <w:rPr>
          <w:rFonts w:ascii="Times New Roman" w:hAnsi="Times New Roman" w:cs="Times New Roman"/>
          <w:color w:val="000000" w:themeColor="text1"/>
          <w:lang w:val="en-US"/>
        </w:rPr>
        <w:t>They have</w:t>
      </w:r>
      <w:r w:rsidRPr="00B706D3">
        <w:rPr>
          <w:rFonts w:ascii="Times New Roman" w:hAnsi="Times New Roman" w:cs="Times New Roman"/>
          <w:color w:val="000000" w:themeColor="text1"/>
          <w:lang w:val="en-US"/>
        </w:rPr>
        <w:t xml:space="preserve"> new plans are around big investments of 49 KRW trillion over the next five years to expand in EVs</w:t>
      </w:r>
      <w:r w:rsidR="007435F1" w:rsidRPr="00B706D3">
        <w:rPr>
          <w:rFonts w:ascii="Times New Roman" w:hAnsi="Times New Roman" w:cs="Times New Roman"/>
          <w:color w:val="000000" w:themeColor="text1"/>
          <w:lang w:val="en-US"/>
        </w:rPr>
        <w:t xml:space="preserve"> (Do-won, 2026)</w:t>
      </w:r>
      <w:r w:rsidRPr="00B706D3">
        <w:rPr>
          <w:rFonts w:ascii="Times New Roman" w:hAnsi="Times New Roman" w:cs="Times New Roman"/>
          <w:color w:val="000000" w:themeColor="text1"/>
          <w:lang w:val="en-US"/>
        </w:rPr>
        <w:t>. This plan provides an outline for a simple financial restructuring to support the goals. It will provide long-term value without affecting their day-to-day operations.</w:t>
      </w:r>
    </w:p>
    <w:p w14:paraId="6EB650F5" w14:textId="1FFC8BC8" w:rsidR="00337F69"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0" w:name="_Toc227875547"/>
      <w:r w:rsidRPr="00B706D3">
        <w:rPr>
          <w:rFonts w:ascii="Times New Roman" w:hAnsi="Times New Roman" w:cs="Times New Roman"/>
          <w:b/>
          <w:bCs/>
          <w:color w:val="000000" w:themeColor="text1"/>
          <w:sz w:val="24"/>
          <w:szCs w:val="24"/>
          <w:lang w:val="en-US"/>
        </w:rPr>
        <w:t xml:space="preserve">3.1 </w:t>
      </w:r>
      <w:r w:rsidR="00870538" w:rsidRPr="00B706D3">
        <w:rPr>
          <w:rFonts w:ascii="Times New Roman" w:hAnsi="Times New Roman" w:cs="Times New Roman"/>
          <w:b/>
          <w:bCs/>
          <w:color w:val="000000" w:themeColor="text1"/>
          <w:sz w:val="24"/>
          <w:szCs w:val="24"/>
          <w:lang w:val="en-US"/>
        </w:rPr>
        <w:t>Recommended options</w:t>
      </w:r>
      <w:bookmarkEnd w:id="10"/>
      <w:r w:rsidR="00870538" w:rsidRPr="00B706D3">
        <w:rPr>
          <w:rFonts w:ascii="Times New Roman" w:hAnsi="Times New Roman" w:cs="Times New Roman"/>
          <w:b/>
          <w:bCs/>
          <w:color w:val="000000" w:themeColor="text1"/>
          <w:sz w:val="24"/>
          <w:szCs w:val="24"/>
          <w:lang w:val="en-US"/>
        </w:rPr>
        <w:t xml:space="preserve"> </w:t>
      </w:r>
    </w:p>
    <w:p w14:paraId="4285900A" w14:textId="7CEB2224" w:rsidR="00DD6CE9" w:rsidRPr="006763C1"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There is no need for an emergency fix in the company but it can make smart changes to free up the cash and bring in new resources. </w:t>
      </w:r>
      <w:r w:rsidR="009779C3">
        <w:rPr>
          <w:rFonts w:ascii="Times New Roman" w:hAnsi="Times New Roman" w:cs="Times New Roman"/>
          <w:color w:val="000000" w:themeColor="text1"/>
          <w:lang w:val="en-US"/>
        </w:rPr>
        <w:t xml:space="preserve">These changes will help to prevent any market adversities that can impact the company’s profits in future. </w:t>
      </w:r>
      <w:r w:rsidRPr="00B706D3">
        <w:rPr>
          <w:rFonts w:ascii="Times New Roman" w:hAnsi="Times New Roman" w:cs="Times New Roman"/>
          <w:color w:val="000000" w:themeColor="text1"/>
          <w:lang w:val="en-US"/>
        </w:rPr>
        <w:t>Following are some practical options with supporting ideas:</w:t>
      </w:r>
    </w:p>
    <w:p w14:paraId="5C128891" w14:textId="265FC141" w:rsidR="00DD6CE9"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b/>
          <w:bCs/>
          <w:color w:val="000000" w:themeColor="text1"/>
          <w:lang w:val="en-US"/>
        </w:rPr>
        <w:t>Selective divestiture</w:t>
      </w:r>
      <w:r w:rsidRPr="00B706D3">
        <w:rPr>
          <w:rFonts w:ascii="Times New Roman" w:hAnsi="Times New Roman" w:cs="Times New Roman"/>
          <w:color w:val="000000" w:themeColor="text1"/>
          <w:lang w:val="en-US"/>
        </w:rPr>
        <w:t xml:space="preserve"> </w:t>
      </w:r>
    </w:p>
    <w:p w14:paraId="2911A0CC" w14:textId="14CEB266" w:rsidR="00870538" w:rsidRPr="00B706D3" w:rsidRDefault="00CC3EA2"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A divestiture is a partial or full disposal of a firm’s assets through sales or exchange. Most organizations use it during closure or bankruptcy. It is the decision of management to stop operating a business unit because it is not part of their core competence</w:t>
      </w:r>
      <w:r w:rsidR="00703B62">
        <w:rPr>
          <w:rFonts w:ascii="Times New Roman" w:hAnsi="Times New Roman" w:cs="Times New Roman"/>
          <w:color w:val="000000" w:themeColor="text1"/>
          <w:lang w:val="en-US"/>
        </w:rPr>
        <w:t xml:space="preserve"> </w:t>
      </w:r>
      <w:r w:rsidR="00703B62" w:rsidRPr="00B706D3">
        <w:rPr>
          <w:rFonts w:ascii="Times New Roman" w:hAnsi="Times New Roman" w:cs="Times New Roman"/>
          <w:color w:val="000000" w:themeColor="text1"/>
          <w:lang w:val="en-US"/>
        </w:rPr>
        <w:t>(Chen, et. al., 2025)</w:t>
      </w:r>
      <w:r>
        <w:rPr>
          <w:rFonts w:ascii="Times New Roman" w:hAnsi="Times New Roman" w:cs="Times New Roman"/>
          <w:color w:val="000000" w:themeColor="text1"/>
          <w:lang w:val="en-US"/>
        </w:rPr>
        <w:t xml:space="preserve">. </w:t>
      </w:r>
      <w:r w:rsidR="00DD6CE9">
        <w:rPr>
          <w:rFonts w:ascii="Times New Roman" w:hAnsi="Times New Roman" w:cs="Times New Roman"/>
          <w:color w:val="000000" w:themeColor="text1"/>
          <w:lang w:val="en-US"/>
        </w:rPr>
        <w:t>Kia has its</w:t>
      </w:r>
      <w:r w:rsidR="00870538" w:rsidRPr="00B706D3">
        <w:rPr>
          <w:rFonts w:ascii="Times New Roman" w:hAnsi="Times New Roman" w:cs="Times New Roman"/>
          <w:color w:val="000000" w:themeColor="text1"/>
          <w:lang w:val="en-US"/>
        </w:rPr>
        <w:t xml:space="preserve"> </w:t>
      </w:r>
      <w:r w:rsidR="00DD6CE9">
        <w:rPr>
          <w:rFonts w:ascii="Times New Roman" w:hAnsi="Times New Roman" w:cs="Times New Roman"/>
          <w:color w:val="000000" w:themeColor="text1"/>
          <w:lang w:val="en-US"/>
        </w:rPr>
        <w:t>old</w:t>
      </w:r>
      <w:r w:rsidR="00870538" w:rsidRPr="00B706D3">
        <w:rPr>
          <w:rFonts w:ascii="Times New Roman" w:hAnsi="Times New Roman" w:cs="Times New Roman"/>
          <w:color w:val="000000" w:themeColor="text1"/>
          <w:lang w:val="en-US"/>
        </w:rPr>
        <w:t xml:space="preserve"> internal combustion engine production lines and underused plants in less strategic locations. </w:t>
      </w:r>
      <w:r w:rsidR="009779C3">
        <w:rPr>
          <w:rFonts w:ascii="Times New Roman" w:hAnsi="Times New Roman" w:cs="Times New Roman"/>
          <w:color w:val="000000" w:themeColor="text1"/>
          <w:lang w:val="en-US"/>
        </w:rPr>
        <w:t xml:space="preserve">They can either be rented to other manufacturers or completely sold. </w:t>
      </w:r>
      <w:r w:rsidR="00DD6CE9">
        <w:rPr>
          <w:rFonts w:ascii="Times New Roman" w:hAnsi="Times New Roman" w:cs="Times New Roman"/>
          <w:color w:val="000000" w:themeColor="text1"/>
          <w:lang w:val="en-US"/>
        </w:rPr>
        <w:t>The money obtained from the sale can</w:t>
      </w:r>
      <w:r w:rsidR="00870538" w:rsidRPr="00B706D3">
        <w:rPr>
          <w:rFonts w:ascii="Times New Roman" w:hAnsi="Times New Roman" w:cs="Times New Roman"/>
          <w:color w:val="000000" w:themeColor="text1"/>
          <w:lang w:val="en-US"/>
        </w:rPr>
        <w:t xml:space="preserve"> </w:t>
      </w:r>
      <w:r w:rsidR="00DD6CE9">
        <w:rPr>
          <w:rFonts w:ascii="Times New Roman" w:hAnsi="Times New Roman" w:cs="Times New Roman"/>
          <w:color w:val="000000" w:themeColor="text1"/>
          <w:lang w:val="en-US"/>
        </w:rPr>
        <w:t xml:space="preserve">be used in </w:t>
      </w:r>
      <w:r w:rsidR="00870538" w:rsidRPr="00B706D3">
        <w:rPr>
          <w:rFonts w:ascii="Times New Roman" w:hAnsi="Times New Roman" w:cs="Times New Roman"/>
          <w:color w:val="000000" w:themeColor="text1"/>
          <w:lang w:val="en-US"/>
        </w:rPr>
        <w:t xml:space="preserve">car-making operations. The money </w:t>
      </w:r>
      <w:r w:rsidR="00DD6CE9">
        <w:rPr>
          <w:rFonts w:ascii="Times New Roman" w:hAnsi="Times New Roman" w:cs="Times New Roman"/>
          <w:color w:val="000000" w:themeColor="text1"/>
          <w:lang w:val="en-US"/>
        </w:rPr>
        <w:t xml:space="preserve">is </w:t>
      </w:r>
      <w:r w:rsidR="009779C3">
        <w:rPr>
          <w:rFonts w:ascii="Times New Roman" w:hAnsi="Times New Roman" w:cs="Times New Roman"/>
          <w:color w:val="000000" w:themeColor="text1"/>
          <w:lang w:val="en-US"/>
        </w:rPr>
        <w:t xml:space="preserve">also </w:t>
      </w:r>
      <w:r w:rsidR="00DD6CE9">
        <w:rPr>
          <w:rFonts w:ascii="Times New Roman" w:hAnsi="Times New Roman" w:cs="Times New Roman"/>
          <w:color w:val="000000" w:themeColor="text1"/>
          <w:lang w:val="en-US"/>
        </w:rPr>
        <w:t>useful for</w:t>
      </w:r>
      <w:r w:rsidR="00870538" w:rsidRPr="00B706D3">
        <w:rPr>
          <w:rFonts w:ascii="Times New Roman" w:hAnsi="Times New Roman" w:cs="Times New Roman"/>
          <w:color w:val="000000" w:themeColor="text1"/>
          <w:lang w:val="en-US"/>
        </w:rPr>
        <w:t xml:space="preserve"> new EV factories and technologies</w:t>
      </w:r>
      <w:r w:rsidR="00703B62">
        <w:rPr>
          <w:rFonts w:ascii="Times New Roman" w:hAnsi="Times New Roman" w:cs="Times New Roman"/>
          <w:color w:val="000000" w:themeColor="text1"/>
          <w:lang w:val="en-US"/>
        </w:rPr>
        <w:t xml:space="preserve">. </w:t>
      </w:r>
      <w:r w:rsidR="00870538" w:rsidRPr="00B706D3">
        <w:rPr>
          <w:rFonts w:ascii="Times New Roman" w:hAnsi="Times New Roman" w:cs="Times New Roman"/>
          <w:color w:val="000000" w:themeColor="text1"/>
          <w:lang w:val="en-US"/>
        </w:rPr>
        <w:t xml:space="preserve">It will help them to focus on premium SUVs and hybrids while keeping them </w:t>
      </w:r>
      <w:r w:rsidR="00DD6CE9">
        <w:rPr>
          <w:rFonts w:ascii="Times New Roman" w:hAnsi="Times New Roman" w:cs="Times New Roman"/>
          <w:color w:val="000000" w:themeColor="text1"/>
          <w:lang w:val="en-US"/>
        </w:rPr>
        <w:t>modern</w:t>
      </w:r>
      <w:r w:rsidR="009779C3">
        <w:rPr>
          <w:rFonts w:ascii="Times New Roman" w:hAnsi="Times New Roman" w:cs="Times New Roman"/>
          <w:color w:val="000000" w:themeColor="text1"/>
          <w:lang w:val="en-US"/>
        </w:rPr>
        <w:t xml:space="preserve"> in this rapid market</w:t>
      </w:r>
      <w:r w:rsidR="00870538" w:rsidRPr="00B706D3">
        <w:rPr>
          <w:rFonts w:ascii="Times New Roman" w:hAnsi="Times New Roman" w:cs="Times New Roman"/>
          <w:color w:val="000000" w:themeColor="text1"/>
          <w:lang w:val="en-US"/>
        </w:rPr>
        <w:t>.</w:t>
      </w:r>
      <w:r w:rsidR="009779C3">
        <w:rPr>
          <w:rFonts w:ascii="Times New Roman" w:hAnsi="Times New Roman" w:cs="Times New Roman"/>
          <w:color w:val="000000" w:themeColor="text1"/>
          <w:lang w:val="en-US"/>
        </w:rPr>
        <w:t xml:space="preserve"> </w:t>
      </w:r>
    </w:p>
    <w:p w14:paraId="17DAC2AF" w14:textId="77777777" w:rsidR="006763C1" w:rsidRDefault="006763C1">
      <w:pPr>
        <w:rPr>
          <w:rFonts w:ascii="Times New Roman" w:hAnsi="Times New Roman" w:cs="Times New Roman"/>
          <w:b/>
          <w:bCs/>
          <w:color w:val="000000" w:themeColor="text1"/>
          <w:lang w:val="en-US"/>
        </w:rPr>
      </w:pPr>
      <w:r>
        <w:rPr>
          <w:rFonts w:ascii="Times New Roman" w:hAnsi="Times New Roman" w:cs="Times New Roman"/>
          <w:b/>
          <w:bCs/>
          <w:color w:val="000000" w:themeColor="text1"/>
          <w:lang w:val="en-US"/>
        </w:rPr>
        <w:br w:type="page"/>
      </w:r>
    </w:p>
    <w:p w14:paraId="55325F19" w14:textId="6F79345D" w:rsidR="00DD6CE9"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b/>
          <w:bCs/>
          <w:color w:val="000000" w:themeColor="text1"/>
          <w:lang w:val="en-US"/>
        </w:rPr>
        <w:lastRenderedPageBreak/>
        <w:t>Joint ventures</w:t>
      </w:r>
    </w:p>
    <w:p w14:paraId="3765BB99" w14:textId="1CF3570E" w:rsidR="00870538" w:rsidRPr="00B706D3" w:rsidRDefault="00190A48"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Kia cannot perform a full merger being a major part of Hyundai Motor Group. However, they can collaborate with battery companies and tech giants for electrification components. </w:t>
      </w:r>
      <w:r w:rsidR="00703B62">
        <w:rPr>
          <w:rFonts w:ascii="Times New Roman" w:hAnsi="Times New Roman" w:cs="Times New Roman"/>
          <w:color w:val="000000" w:themeColor="text1"/>
          <w:lang w:val="en-US"/>
        </w:rPr>
        <w:t>The firm signs an agreement to maintain a certain independence. It is mainly used to generate economies of scale and synergy by a combined facility</w:t>
      </w:r>
      <w:r>
        <w:rPr>
          <w:rFonts w:ascii="Times New Roman" w:hAnsi="Times New Roman" w:cs="Times New Roman"/>
          <w:color w:val="000000" w:themeColor="text1"/>
          <w:lang w:val="en-US"/>
        </w:rPr>
        <w:t xml:space="preserve"> </w:t>
      </w:r>
      <w:r w:rsidR="007435F1" w:rsidRPr="00B706D3">
        <w:rPr>
          <w:rFonts w:ascii="Times New Roman" w:hAnsi="Times New Roman" w:cs="Times New Roman"/>
          <w:color w:val="000000" w:themeColor="text1"/>
          <w:lang w:val="en-US"/>
        </w:rPr>
        <w:t>(Navi, 2022)</w:t>
      </w:r>
      <w:r w:rsidR="00870538" w:rsidRPr="00B706D3">
        <w:rPr>
          <w:rFonts w:ascii="Times New Roman" w:hAnsi="Times New Roman" w:cs="Times New Roman"/>
          <w:color w:val="000000" w:themeColor="text1"/>
          <w:lang w:val="en-US"/>
        </w:rPr>
        <w:t>.</w:t>
      </w:r>
    </w:p>
    <w:p w14:paraId="78CDEE74" w14:textId="77777777" w:rsidR="00DD6CE9" w:rsidRDefault="00870538"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b/>
          <w:bCs/>
          <w:color w:val="000000" w:themeColor="text1"/>
          <w:lang w:val="en-US"/>
        </w:rPr>
        <w:t>Equity injection</w:t>
      </w:r>
    </w:p>
    <w:p w14:paraId="72CC53F9" w14:textId="6CD2B3F5" w:rsidR="00870538" w:rsidRDefault="00694F2F"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Companies usually raise new capital </w:t>
      </w:r>
      <w:r w:rsidR="00151D40" w:rsidRPr="00B706D3">
        <w:rPr>
          <w:rFonts w:ascii="Times New Roman" w:hAnsi="Times New Roman" w:cs="Times New Roman"/>
          <w:color w:val="000000" w:themeColor="text1"/>
          <w:lang w:val="en-US"/>
        </w:rPr>
        <w:t>by issuing shares through a rights issue to existing shareholders</w:t>
      </w:r>
      <w:r>
        <w:rPr>
          <w:rFonts w:ascii="Times New Roman" w:hAnsi="Times New Roman" w:cs="Times New Roman"/>
          <w:color w:val="000000" w:themeColor="text1"/>
          <w:lang w:val="en-US"/>
        </w:rPr>
        <w:t xml:space="preserve">. The strategy </w:t>
      </w:r>
      <w:r w:rsidR="00151D40" w:rsidRPr="00B706D3">
        <w:rPr>
          <w:rFonts w:ascii="Times New Roman" w:hAnsi="Times New Roman" w:cs="Times New Roman"/>
          <w:color w:val="000000" w:themeColor="text1"/>
          <w:lang w:val="en-US"/>
        </w:rPr>
        <w:t>provide</w:t>
      </w:r>
      <w:r>
        <w:rPr>
          <w:rFonts w:ascii="Times New Roman" w:hAnsi="Times New Roman" w:cs="Times New Roman"/>
          <w:color w:val="000000" w:themeColor="text1"/>
          <w:lang w:val="en-US"/>
        </w:rPr>
        <w:t>s</w:t>
      </w:r>
      <w:r w:rsidR="00151D40" w:rsidRPr="00B706D3">
        <w:rPr>
          <w:rFonts w:ascii="Times New Roman" w:hAnsi="Times New Roman" w:cs="Times New Roman"/>
          <w:color w:val="000000" w:themeColor="text1"/>
          <w:lang w:val="en-US"/>
        </w:rPr>
        <w:t xml:space="preserve"> a large cash boost for investments without adding debt</w:t>
      </w:r>
      <w:r w:rsidR="007435F1" w:rsidRPr="00B706D3">
        <w:rPr>
          <w:rFonts w:ascii="Times New Roman" w:hAnsi="Times New Roman" w:cs="Times New Roman"/>
          <w:color w:val="000000" w:themeColor="text1"/>
          <w:lang w:val="en-US"/>
        </w:rPr>
        <w:t xml:space="preserve"> (</w:t>
      </w:r>
      <w:proofErr w:type="spellStart"/>
      <w:r w:rsidR="007435F1" w:rsidRPr="00B706D3">
        <w:rPr>
          <w:rFonts w:ascii="Times New Roman" w:hAnsi="Times New Roman" w:cs="Times New Roman"/>
          <w:color w:val="000000" w:themeColor="text1"/>
          <w:lang w:val="en-US"/>
        </w:rPr>
        <w:t>Fastercapital</w:t>
      </w:r>
      <w:proofErr w:type="spellEnd"/>
      <w:r w:rsidR="007435F1" w:rsidRPr="00B706D3">
        <w:rPr>
          <w:rFonts w:ascii="Times New Roman" w:hAnsi="Times New Roman" w:cs="Times New Roman"/>
          <w:color w:val="000000" w:themeColor="text1"/>
          <w:lang w:val="en-US"/>
        </w:rPr>
        <w:t>, 2025)</w:t>
      </w:r>
      <w:r w:rsidR="00151D40" w:rsidRPr="00B706D3">
        <w:rPr>
          <w:rFonts w:ascii="Times New Roman" w:hAnsi="Times New Roman" w:cs="Times New Roman"/>
          <w:color w:val="000000" w:themeColor="text1"/>
          <w:lang w:val="en-US"/>
        </w:rPr>
        <w:t xml:space="preserve">. </w:t>
      </w:r>
    </w:p>
    <w:p w14:paraId="3EE62C4F" w14:textId="1E7B8A21" w:rsidR="00121F59" w:rsidRPr="00B706D3" w:rsidRDefault="00D6154F" w:rsidP="00B706D3">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borrower contributes his personal money within a business through a down payment or investor capital in exchange for partial ownership. The acceptable sources of the injection </w:t>
      </w:r>
      <w:proofErr w:type="gramStart"/>
      <w:r>
        <w:rPr>
          <w:rFonts w:ascii="Times New Roman" w:hAnsi="Times New Roman" w:cs="Times New Roman"/>
          <w:color w:val="000000" w:themeColor="text1"/>
          <w:lang w:val="en-US"/>
        </w:rPr>
        <w:t>includes</w:t>
      </w:r>
      <w:proofErr w:type="gramEnd"/>
      <w:r>
        <w:rPr>
          <w:rFonts w:ascii="Times New Roman" w:hAnsi="Times New Roman" w:cs="Times New Roman"/>
          <w:color w:val="000000" w:themeColor="text1"/>
          <w:lang w:val="en-US"/>
        </w:rPr>
        <w:t xml:space="preserve"> personal savings, liquid assets and documented gifts. Usually, 10-20% of the cost is required depending on the industry and cash flow. </w:t>
      </w:r>
      <w:r w:rsidR="00151D40" w:rsidRPr="00B706D3">
        <w:rPr>
          <w:rFonts w:ascii="Times New Roman" w:hAnsi="Times New Roman" w:cs="Times New Roman"/>
          <w:color w:val="000000" w:themeColor="text1"/>
          <w:lang w:val="en-US"/>
        </w:rPr>
        <w:t xml:space="preserve">Another supportive step is the use of prudent debt refinancing. </w:t>
      </w:r>
      <w:r w:rsidR="00390A71">
        <w:rPr>
          <w:rFonts w:ascii="Times New Roman" w:hAnsi="Times New Roman" w:cs="Times New Roman"/>
          <w:color w:val="000000" w:themeColor="text1"/>
          <w:lang w:val="en-US"/>
        </w:rPr>
        <w:t>The company has the option to</w:t>
      </w:r>
      <w:r w:rsidR="00151D40" w:rsidRPr="00B706D3">
        <w:rPr>
          <w:rFonts w:ascii="Times New Roman" w:hAnsi="Times New Roman" w:cs="Times New Roman"/>
          <w:color w:val="000000" w:themeColor="text1"/>
          <w:lang w:val="en-US"/>
        </w:rPr>
        <w:t xml:space="preserve"> borrow more at low interest rate for its growth projects. These options can be combined</w:t>
      </w:r>
      <w:r w:rsidR="00390A71">
        <w:rPr>
          <w:rFonts w:ascii="Times New Roman" w:hAnsi="Times New Roman" w:cs="Times New Roman"/>
          <w:color w:val="000000" w:themeColor="text1"/>
          <w:lang w:val="en-US"/>
        </w:rPr>
        <w:t xml:space="preserve"> by starting </w:t>
      </w:r>
      <w:r w:rsidR="00151D40" w:rsidRPr="00B706D3">
        <w:rPr>
          <w:rFonts w:ascii="Times New Roman" w:hAnsi="Times New Roman" w:cs="Times New Roman"/>
          <w:color w:val="000000" w:themeColor="text1"/>
          <w:lang w:val="en-US"/>
        </w:rPr>
        <w:t>with divestiture to free cas</w:t>
      </w:r>
      <w:r w:rsidR="00DD6CE9">
        <w:rPr>
          <w:rFonts w:ascii="Times New Roman" w:hAnsi="Times New Roman" w:cs="Times New Roman"/>
          <w:color w:val="000000" w:themeColor="text1"/>
          <w:lang w:val="en-US"/>
        </w:rPr>
        <w:t xml:space="preserve">h. </w:t>
      </w:r>
    </w:p>
    <w:p w14:paraId="7E9DD92F" w14:textId="573CC7BB" w:rsidR="00151D40"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lang w:val="en-US"/>
        </w:rPr>
      </w:pPr>
      <w:bookmarkStart w:id="11" w:name="_Toc227875548"/>
      <w:r w:rsidRPr="00B706D3">
        <w:rPr>
          <w:rFonts w:ascii="Times New Roman" w:hAnsi="Times New Roman" w:cs="Times New Roman"/>
          <w:b/>
          <w:bCs/>
          <w:color w:val="000000" w:themeColor="text1"/>
          <w:sz w:val="24"/>
          <w:szCs w:val="24"/>
          <w:lang w:val="en-US"/>
        </w:rPr>
        <w:t xml:space="preserve">3.2 </w:t>
      </w:r>
      <w:r w:rsidR="00151D40" w:rsidRPr="00B706D3">
        <w:rPr>
          <w:rFonts w:ascii="Times New Roman" w:hAnsi="Times New Roman" w:cs="Times New Roman"/>
          <w:b/>
          <w:bCs/>
          <w:color w:val="000000" w:themeColor="text1"/>
          <w:sz w:val="24"/>
          <w:szCs w:val="24"/>
          <w:lang w:val="en-US"/>
        </w:rPr>
        <w:t>Impact on Shareholder Value, Debt Structure and Operational Flexibility</w:t>
      </w:r>
      <w:bookmarkEnd w:id="11"/>
    </w:p>
    <w:p w14:paraId="277D5CAA" w14:textId="6BF91BE4" w:rsidR="00223B04" w:rsidRDefault="00151D40"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The divestiture </w:t>
      </w:r>
      <w:r w:rsidR="00893C96">
        <w:rPr>
          <w:rFonts w:ascii="Times New Roman" w:hAnsi="Times New Roman" w:cs="Times New Roman"/>
          <w:color w:val="000000" w:themeColor="text1"/>
          <w:lang w:val="en-US"/>
        </w:rPr>
        <w:t>provide</w:t>
      </w:r>
      <w:r w:rsidRPr="00B706D3">
        <w:rPr>
          <w:rFonts w:ascii="Times New Roman" w:hAnsi="Times New Roman" w:cs="Times New Roman"/>
          <w:color w:val="000000" w:themeColor="text1"/>
          <w:lang w:val="en-US"/>
        </w:rPr>
        <w:t xml:space="preserve"> cash that can be returned to shareholders through high dividends or share buybacks. It focuses the business on high-margin areas like hybrids</w:t>
      </w:r>
      <w:r w:rsidR="00DD6CE9">
        <w:rPr>
          <w:rFonts w:ascii="Times New Roman" w:hAnsi="Times New Roman" w:cs="Times New Roman"/>
          <w:color w:val="000000" w:themeColor="text1"/>
          <w:lang w:val="en-US"/>
        </w:rPr>
        <w:t xml:space="preserve"> to increase profits</w:t>
      </w:r>
      <w:r w:rsidRPr="00B706D3">
        <w:rPr>
          <w:rFonts w:ascii="Times New Roman" w:hAnsi="Times New Roman" w:cs="Times New Roman"/>
          <w:color w:val="000000" w:themeColor="text1"/>
          <w:lang w:val="en-US"/>
        </w:rPr>
        <w:t>. The injection of equity might slightly dilute ownership but funds growth for creating more value in the future. The strategic partnerships add new skills as well as markets</w:t>
      </w:r>
      <w:r w:rsidR="007435F1" w:rsidRPr="00B706D3">
        <w:rPr>
          <w:rFonts w:ascii="Times New Roman" w:hAnsi="Times New Roman" w:cs="Times New Roman"/>
          <w:color w:val="000000" w:themeColor="text1"/>
          <w:lang w:val="en-US"/>
        </w:rPr>
        <w:t xml:space="preserve"> (</w:t>
      </w:r>
      <w:proofErr w:type="spellStart"/>
      <w:r w:rsidR="007435F1" w:rsidRPr="00B706D3">
        <w:rPr>
          <w:rFonts w:ascii="Times New Roman" w:hAnsi="Times New Roman" w:cs="Times New Roman"/>
          <w:color w:val="000000" w:themeColor="text1"/>
          <w:lang w:val="en-US"/>
        </w:rPr>
        <w:t>Theautonomous</w:t>
      </w:r>
      <w:proofErr w:type="spellEnd"/>
      <w:r w:rsidR="007435F1" w:rsidRPr="00B706D3">
        <w:rPr>
          <w:rFonts w:ascii="Times New Roman" w:hAnsi="Times New Roman" w:cs="Times New Roman"/>
          <w:color w:val="000000" w:themeColor="text1"/>
          <w:lang w:val="en-US"/>
        </w:rPr>
        <w:t>, 2021)</w:t>
      </w:r>
      <w:r w:rsidRPr="00B706D3">
        <w:rPr>
          <w:rFonts w:ascii="Times New Roman" w:hAnsi="Times New Roman" w:cs="Times New Roman"/>
          <w:color w:val="000000" w:themeColor="text1"/>
          <w:lang w:val="en-US"/>
        </w:rPr>
        <w:t>.</w:t>
      </w:r>
      <w:r w:rsidR="00223B04">
        <w:rPr>
          <w:rFonts w:ascii="Times New Roman" w:hAnsi="Times New Roman" w:cs="Times New Roman"/>
          <w:color w:val="000000" w:themeColor="text1"/>
          <w:lang w:val="en-US"/>
        </w:rPr>
        <w:t xml:space="preserve"> Divestiture distribute the shares of divested unit to existing shareholders. It </w:t>
      </w:r>
      <w:proofErr w:type="gramStart"/>
      <w:r w:rsidR="00223B04">
        <w:rPr>
          <w:rFonts w:ascii="Times New Roman" w:hAnsi="Times New Roman" w:cs="Times New Roman"/>
          <w:color w:val="000000" w:themeColor="text1"/>
          <w:lang w:val="en-US"/>
        </w:rPr>
        <w:t>turn</w:t>
      </w:r>
      <w:proofErr w:type="gramEnd"/>
      <w:r w:rsidR="00223B04">
        <w:rPr>
          <w:rFonts w:ascii="Times New Roman" w:hAnsi="Times New Roman" w:cs="Times New Roman"/>
          <w:color w:val="000000" w:themeColor="text1"/>
          <w:lang w:val="en-US"/>
        </w:rPr>
        <w:t xml:space="preserve"> the unit into a different public company. Here, the shareholder value gets unlocked as the new firm develop independently. </w:t>
      </w:r>
    </w:p>
    <w:p w14:paraId="1A8433A0" w14:textId="51FFB78B" w:rsidR="00151D40" w:rsidRPr="00B706D3" w:rsidRDefault="00151D40" w:rsidP="00B706D3">
      <w:pPr>
        <w:adjustRightInd w:val="0"/>
        <w:snapToGrid w:val="0"/>
        <w:spacing w:before="240" w:after="240" w:line="360" w:lineRule="auto"/>
        <w:jc w:val="both"/>
        <w:rPr>
          <w:rFonts w:ascii="Times New Roman" w:hAnsi="Times New Roman" w:cs="Times New Roman"/>
          <w:color w:val="000000" w:themeColor="text1"/>
          <w:lang w:val="en-US"/>
        </w:rPr>
      </w:pPr>
      <w:r w:rsidRPr="00B706D3">
        <w:rPr>
          <w:rFonts w:ascii="Times New Roman" w:hAnsi="Times New Roman" w:cs="Times New Roman"/>
          <w:color w:val="000000" w:themeColor="text1"/>
          <w:lang w:val="en-US"/>
        </w:rPr>
        <w:t xml:space="preserve">The overall debt is low with the automaker compared to peers. There is no need to borrow money due to divestiture. </w:t>
      </w:r>
      <w:r w:rsidR="00223B04">
        <w:rPr>
          <w:rFonts w:ascii="Times New Roman" w:hAnsi="Times New Roman" w:cs="Times New Roman"/>
          <w:color w:val="000000" w:themeColor="text1"/>
          <w:lang w:val="en-US"/>
        </w:rPr>
        <w:t xml:space="preserve">If a firm is not meeting profit goals, the sale of non-essential segment can make the balance sheet strong. </w:t>
      </w:r>
      <w:r w:rsidR="005C70F2">
        <w:rPr>
          <w:rFonts w:ascii="Times New Roman" w:hAnsi="Times New Roman" w:cs="Times New Roman"/>
          <w:color w:val="000000" w:themeColor="text1"/>
          <w:lang w:val="en-US"/>
        </w:rPr>
        <w:t xml:space="preserve">Such transactions are used to pay down debts or maintain liquidity during downturns. </w:t>
      </w:r>
      <w:r w:rsidRPr="00B706D3">
        <w:rPr>
          <w:rFonts w:ascii="Times New Roman" w:hAnsi="Times New Roman" w:cs="Times New Roman"/>
          <w:color w:val="000000" w:themeColor="text1"/>
          <w:lang w:val="en-US"/>
        </w:rPr>
        <w:t>Even a modest new debt would be long-term and low-cost which matches investment projects. It maintains a flexible balance sheet while protecting against interest rate rises or economic slowdowns</w:t>
      </w:r>
      <w:r w:rsidR="007435F1" w:rsidRPr="00B706D3">
        <w:rPr>
          <w:rFonts w:ascii="Times New Roman" w:hAnsi="Times New Roman" w:cs="Times New Roman"/>
          <w:color w:val="000000" w:themeColor="text1"/>
          <w:lang w:val="en-US"/>
        </w:rPr>
        <w:t xml:space="preserve"> (Bernath, 2023)</w:t>
      </w:r>
      <w:r w:rsidRPr="00B706D3">
        <w:rPr>
          <w:rFonts w:ascii="Times New Roman" w:hAnsi="Times New Roman" w:cs="Times New Roman"/>
          <w:color w:val="000000" w:themeColor="text1"/>
          <w:lang w:val="en-US"/>
        </w:rPr>
        <w:t>.</w:t>
      </w:r>
      <w:r w:rsidR="00223B04">
        <w:rPr>
          <w:rFonts w:ascii="Times New Roman" w:hAnsi="Times New Roman" w:cs="Times New Roman"/>
          <w:color w:val="000000" w:themeColor="text1"/>
          <w:lang w:val="en-US"/>
        </w:rPr>
        <w:t xml:space="preserve"> </w:t>
      </w:r>
    </w:p>
    <w:p w14:paraId="4CB20752" w14:textId="4A6CAF9A" w:rsidR="00151D40"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2" w:name="_Toc227875549"/>
      <w:r w:rsidRPr="00B706D3">
        <w:rPr>
          <w:rFonts w:ascii="Times New Roman" w:hAnsi="Times New Roman" w:cs="Times New Roman"/>
          <w:b/>
          <w:bCs/>
          <w:color w:val="000000" w:themeColor="text1"/>
          <w:sz w:val="24"/>
          <w:szCs w:val="24"/>
        </w:rPr>
        <w:lastRenderedPageBreak/>
        <w:t xml:space="preserve">3.3 </w:t>
      </w:r>
      <w:r w:rsidR="00151D40" w:rsidRPr="00B706D3">
        <w:rPr>
          <w:rFonts w:ascii="Times New Roman" w:hAnsi="Times New Roman" w:cs="Times New Roman"/>
          <w:b/>
          <w:bCs/>
          <w:color w:val="000000" w:themeColor="text1"/>
          <w:sz w:val="24"/>
          <w:szCs w:val="24"/>
        </w:rPr>
        <w:t>International and Ethical Considerations</w:t>
      </w:r>
      <w:bookmarkEnd w:id="12"/>
    </w:p>
    <w:p w14:paraId="39792984" w14:textId="77777777" w:rsidR="00CC1C12" w:rsidRDefault="00151D40"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Taxation</w:t>
      </w:r>
    </w:p>
    <w:p w14:paraId="440A466B" w14:textId="36D96CB8" w:rsidR="00151D40" w:rsidRDefault="005C70F2"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Businesses need to follow a set of rules that govern how profits are taxed. </w:t>
      </w:r>
      <w:r w:rsidR="009401E7">
        <w:rPr>
          <w:rFonts w:ascii="Times New Roman" w:hAnsi="Times New Roman" w:cs="Times New Roman"/>
          <w:color w:val="000000" w:themeColor="text1"/>
        </w:rPr>
        <w:t>If they</w:t>
      </w:r>
      <w:r>
        <w:rPr>
          <w:rFonts w:ascii="Times New Roman" w:hAnsi="Times New Roman" w:cs="Times New Roman"/>
          <w:color w:val="000000" w:themeColor="text1"/>
        </w:rPr>
        <w:t xml:space="preserve"> ethically follows taxation laws smoothly</w:t>
      </w:r>
      <w:r w:rsidR="009401E7">
        <w:rPr>
          <w:rFonts w:ascii="Times New Roman" w:hAnsi="Times New Roman" w:cs="Times New Roman"/>
          <w:color w:val="000000" w:themeColor="text1"/>
        </w:rPr>
        <w:t>, they can</w:t>
      </w:r>
      <w:r>
        <w:rPr>
          <w:rFonts w:ascii="Times New Roman" w:hAnsi="Times New Roman" w:cs="Times New Roman"/>
          <w:color w:val="000000" w:themeColor="text1"/>
        </w:rPr>
        <w:t xml:space="preserve"> run their operations without affecting reputation. </w:t>
      </w:r>
      <w:r w:rsidR="00151D40" w:rsidRPr="00B706D3">
        <w:rPr>
          <w:rFonts w:ascii="Times New Roman" w:hAnsi="Times New Roman" w:cs="Times New Roman"/>
          <w:color w:val="000000" w:themeColor="text1"/>
        </w:rPr>
        <w:t>The sale of assets in the US or Europe might create tax bills</w:t>
      </w:r>
      <w:r>
        <w:rPr>
          <w:rFonts w:ascii="Times New Roman" w:hAnsi="Times New Roman" w:cs="Times New Roman"/>
          <w:color w:val="000000" w:themeColor="text1"/>
        </w:rPr>
        <w:t xml:space="preserve">. Here, </w:t>
      </w:r>
      <w:r w:rsidR="00151D40" w:rsidRPr="00B706D3">
        <w:rPr>
          <w:rFonts w:ascii="Times New Roman" w:hAnsi="Times New Roman" w:cs="Times New Roman"/>
          <w:color w:val="000000" w:themeColor="text1"/>
        </w:rPr>
        <w:t>tax-efficient structures can be used to reduce the burden</w:t>
      </w:r>
      <w:r w:rsidR="009401E7">
        <w:rPr>
          <w:rFonts w:ascii="Times New Roman" w:hAnsi="Times New Roman" w:cs="Times New Roman"/>
          <w:color w:val="000000" w:themeColor="text1"/>
        </w:rPr>
        <w:t>. Moreover, the</w:t>
      </w:r>
      <w:r w:rsidR="00151D40" w:rsidRPr="00B706D3">
        <w:rPr>
          <w:rFonts w:ascii="Times New Roman" w:hAnsi="Times New Roman" w:cs="Times New Roman"/>
          <w:color w:val="000000" w:themeColor="text1"/>
        </w:rPr>
        <w:t xml:space="preserve"> foreign investors can withhold the taxes</w:t>
      </w:r>
      <w:r w:rsidR="009401E7">
        <w:rPr>
          <w:rFonts w:ascii="Times New Roman" w:hAnsi="Times New Roman" w:cs="Times New Roman"/>
          <w:color w:val="000000" w:themeColor="text1"/>
        </w:rPr>
        <w:t xml:space="preserve"> </w:t>
      </w:r>
      <w:r w:rsidR="007435F1" w:rsidRPr="00B706D3">
        <w:rPr>
          <w:rFonts w:ascii="Times New Roman" w:hAnsi="Times New Roman" w:cs="Times New Roman"/>
          <w:color w:val="000000" w:themeColor="text1"/>
        </w:rPr>
        <w:t>(Doyle, et. al., 2022)</w:t>
      </w:r>
      <w:r w:rsidR="00151D40" w:rsidRPr="00B706D3">
        <w:rPr>
          <w:rFonts w:ascii="Times New Roman" w:hAnsi="Times New Roman" w:cs="Times New Roman"/>
          <w:color w:val="000000" w:themeColor="text1"/>
        </w:rPr>
        <w:t xml:space="preserve">. </w:t>
      </w:r>
    </w:p>
    <w:p w14:paraId="104F14BA" w14:textId="15CC635A" w:rsidR="00CC1C12" w:rsidRDefault="00151D40"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Currency risk</w:t>
      </w:r>
    </w:p>
    <w:p w14:paraId="329AA90D" w14:textId="1B4D448B" w:rsidR="00151D40" w:rsidRPr="00B706D3" w:rsidRDefault="009401E7"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Kia makes most of its revenues in dollars and euros but reports in KWR. </w:t>
      </w:r>
      <w:r w:rsidR="008E1F65" w:rsidRPr="00B706D3">
        <w:rPr>
          <w:rFonts w:ascii="Times New Roman" w:hAnsi="Times New Roman" w:cs="Times New Roman"/>
          <w:color w:val="000000" w:themeColor="text1"/>
        </w:rPr>
        <w:t xml:space="preserve">The major investments abroad could expose the company to exchange rate swings. This can be managed </w:t>
      </w:r>
      <w:r>
        <w:rPr>
          <w:rFonts w:ascii="Times New Roman" w:hAnsi="Times New Roman" w:cs="Times New Roman"/>
          <w:color w:val="000000" w:themeColor="text1"/>
        </w:rPr>
        <w:t>through</w:t>
      </w:r>
      <w:r w:rsidR="008E1F65" w:rsidRPr="00B706D3">
        <w:rPr>
          <w:rFonts w:ascii="Times New Roman" w:hAnsi="Times New Roman" w:cs="Times New Roman"/>
          <w:color w:val="000000" w:themeColor="text1"/>
        </w:rPr>
        <w:t xml:space="preserve"> simple hedging tools </w:t>
      </w:r>
      <w:r w:rsidR="007435F1" w:rsidRPr="00B706D3">
        <w:rPr>
          <w:rFonts w:ascii="Times New Roman" w:hAnsi="Times New Roman" w:cs="Times New Roman"/>
          <w:color w:val="000000" w:themeColor="text1"/>
        </w:rPr>
        <w:t>(Becker, 2024)</w:t>
      </w:r>
      <w:r w:rsidR="008E1F65" w:rsidRPr="00B706D3">
        <w:rPr>
          <w:rFonts w:ascii="Times New Roman" w:hAnsi="Times New Roman" w:cs="Times New Roman"/>
          <w:color w:val="000000" w:themeColor="text1"/>
        </w:rPr>
        <w:t>. This kind of restructuring should build in buffers and keep some cash in multiple currencies.</w:t>
      </w:r>
    </w:p>
    <w:p w14:paraId="6FDA80EA" w14:textId="77777777" w:rsidR="00CC1C12" w:rsidRDefault="008E1F65"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Inflation</w:t>
      </w:r>
    </w:p>
    <w:p w14:paraId="604EC02B" w14:textId="15583CCA" w:rsidR="009401E7" w:rsidRPr="006763C1" w:rsidRDefault="00202142"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pricing of cars is rising fast along with other consumer products. As per JD power, the cars are becoming 4.2% costly year over year in 2023 (</w:t>
      </w:r>
      <w:proofErr w:type="spellStart"/>
      <w:r>
        <w:rPr>
          <w:rFonts w:ascii="Times New Roman" w:hAnsi="Times New Roman" w:cs="Times New Roman"/>
          <w:color w:val="000000" w:themeColor="text1"/>
        </w:rPr>
        <w:t>JPmorgan</w:t>
      </w:r>
      <w:proofErr w:type="spellEnd"/>
      <w:r>
        <w:rPr>
          <w:rFonts w:ascii="Times New Roman" w:hAnsi="Times New Roman" w:cs="Times New Roman"/>
          <w:color w:val="000000" w:themeColor="text1"/>
        </w:rPr>
        <w:t xml:space="preserve">, 2023). </w:t>
      </w:r>
      <w:r w:rsidR="009401E7">
        <w:rPr>
          <w:rFonts w:ascii="Times New Roman" w:hAnsi="Times New Roman" w:cs="Times New Roman"/>
          <w:color w:val="000000" w:themeColor="text1"/>
        </w:rPr>
        <w:t>High costs of raw materials are major reason behind shrunk margins for automakers. The most impacted components are batteries and steel. The company always have the option to divest old assets for efficient cost control.</w:t>
      </w:r>
      <w:r w:rsidR="00213822">
        <w:rPr>
          <w:rFonts w:ascii="Times New Roman" w:hAnsi="Times New Roman" w:cs="Times New Roman"/>
          <w:color w:val="000000" w:themeColor="text1"/>
        </w:rPr>
        <w:t xml:space="preserve"> </w:t>
      </w:r>
      <w:r w:rsidR="00ED542F">
        <w:rPr>
          <w:rFonts w:ascii="Times New Roman" w:hAnsi="Times New Roman" w:cs="Times New Roman"/>
          <w:color w:val="000000" w:themeColor="text1"/>
        </w:rPr>
        <w:t xml:space="preserve">It is becoming unaffordable for people to buy cars and they might shift towards buying used cars. Hence, Kia needs to make sure it provide its vehicles on a low price to maintain the affordability. </w:t>
      </w:r>
      <w:r>
        <w:rPr>
          <w:rFonts w:ascii="Times New Roman" w:hAnsi="Times New Roman" w:cs="Times New Roman"/>
          <w:color w:val="000000" w:themeColor="text1"/>
        </w:rPr>
        <w:t xml:space="preserve"> </w:t>
      </w:r>
    </w:p>
    <w:p w14:paraId="5BFAE8BE" w14:textId="2BFB3C8D" w:rsidR="00CC1C12" w:rsidRDefault="008E1F65"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CSR and ethics</w:t>
      </w:r>
    </w:p>
    <w:p w14:paraId="6CC5EF55" w14:textId="7520C41B" w:rsidR="008E1F65" w:rsidRDefault="00CC1C12"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008E1F65" w:rsidRPr="00B706D3">
        <w:rPr>
          <w:rFonts w:ascii="Times New Roman" w:hAnsi="Times New Roman" w:cs="Times New Roman"/>
          <w:color w:val="000000" w:themeColor="text1"/>
        </w:rPr>
        <w:t xml:space="preserve">he company focuses on sustainable mobility and a new structure might protect jobs where possible. The retraining for EV work is better than sudden layoffs. Diverse teachers also need fair treatment of workers. </w:t>
      </w:r>
      <w:r>
        <w:rPr>
          <w:rFonts w:ascii="Times New Roman" w:hAnsi="Times New Roman" w:cs="Times New Roman"/>
          <w:color w:val="000000" w:themeColor="text1"/>
        </w:rPr>
        <w:t>Kia is suggested to</w:t>
      </w:r>
      <w:r w:rsidR="008E1F65" w:rsidRPr="00B706D3">
        <w:rPr>
          <w:rFonts w:ascii="Times New Roman" w:hAnsi="Times New Roman" w:cs="Times New Roman"/>
          <w:color w:val="000000" w:themeColor="text1"/>
        </w:rPr>
        <w:t xml:space="preserve"> partner with ethical suppliers who meet the human rights and environmental standards. It supports the carbon emissions reduction and diversity</w:t>
      </w:r>
      <w:r w:rsidR="007435F1" w:rsidRPr="00B706D3">
        <w:rPr>
          <w:rFonts w:ascii="Times New Roman" w:hAnsi="Times New Roman" w:cs="Times New Roman"/>
          <w:color w:val="000000" w:themeColor="text1"/>
        </w:rPr>
        <w:t xml:space="preserve"> (Chandrasekaran, 2022)</w:t>
      </w:r>
      <w:r w:rsidR="008E1F65" w:rsidRPr="00B706D3">
        <w:rPr>
          <w:rFonts w:ascii="Times New Roman" w:hAnsi="Times New Roman" w:cs="Times New Roman"/>
          <w:color w:val="000000" w:themeColor="text1"/>
        </w:rPr>
        <w:t>. The employees must be communicated clearly to avoid any reputational harm.</w:t>
      </w:r>
    </w:p>
    <w:p w14:paraId="5B4966B3" w14:textId="77777777" w:rsidR="00ED542F" w:rsidRDefault="00ED542F">
      <w:pPr>
        <w:rPr>
          <w:rFonts w:ascii="Times New Roman" w:hAnsi="Times New Roman" w:cs="Times New Roman"/>
          <w:b/>
          <w:bCs/>
          <w:color w:val="000000" w:themeColor="text1"/>
        </w:rPr>
      </w:pPr>
    </w:p>
    <w:p w14:paraId="3CD597AA" w14:textId="77777777" w:rsidR="00ED542F" w:rsidRDefault="00ED542F" w:rsidP="00ED542F">
      <w:pPr>
        <w:jc w:val="center"/>
        <w:rPr>
          <w:rFonts w:ascii="Times New Roman" w:hAnsi="Times New Roman" w:cs="Times New Roman"/>
          <w:b/>
          <w:bCs/>
          <w:color w:val="000000" w:themeColor="text1"/>
        </w:rPr>
      </w:pPr>
      <w:r w:rsidRPr="00ED542F">
        <w:rPr>
          <w:rFonts w:ascii="Times New Roman" w:hAnsi="Times New Roman" w:cs="Times New Roman"/>
          <w:b/>
          <w:bCs/>
          <w:noProof/>
          <w:color w:val="000000" w:themeColor="text1"/>
          <w:lang w:val="en-GB" w:eastAsia="en-GB"/>
        </w:rPr>
        <w:lastRenderedPageBreak/>
        <w:drawing>
          <wp:inline distT="0" distB="0" distL="0" distR="0" wp14:anchorId="37D62DFA" wp14:editId="62322DA0">
            <wp:extent cx="4745421" cy="3347451"/>
            <wp:effectExtent l="0" t="0" r="4445" b="5715"/>
            <wp:docPr id="1515307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07251" name=""/>
                    <pic:cNvPicPr/>
                  </pic:nvPicPr>
                  <pic:blipFill>
                    <a:blip r:embed="rId12"/>
                    <a:stretch>
                      <a:fillRect/>
                    </a:stretch>
                  </pic:blipFill>
                  <pic:spPr>
                    <a:xfrm>
                      <a:off x="0" y="0"/>
                      <a:ext cx="4772394" cy="3366478"/>
                    </a:xfrm>
                    <a:prstGeom prst="rect">
                      <a:avLst/>
                    </a:prstGeom>
                  </pic:spPr>
                </pic:pic>
              </a:graphicData>
            </a:graphic>
          </wp:inline>
        </w:drawing>
      </w:r>
    </w:p>
    <w:p w14:paraId="119D4079" w14:textId="579B6373" w:rsidR="00ED542F" w:rsidRDefault="00ED542F" w:rsidP="00ED542F">
      <w:pPr>
        <w:jc w:val="center"/>
        <w:rPr>
          <w:rFonts w:ascii="Times New Roman" w:hAnsi="Times New Roman" w:cs="Times New Roman"/>
          <w:b/>
          <w:bCs/>
          <w:color w:val="000000" w:themeColor="text1"/>
        </w:rPr>
      </w:pPr>
      <w:r>
        <w:rPr>
          <w:rFonts w:ascii="Times New Roman" w:hAnsi="Times New Roman" w:cs="Times New Roman"/>
          <w:b/>
          <w:bCs/>
          <w:color w:val="000000" w:themeColor="text1"/>
        </w:rPr>
        <w:t>CSR and Ethics at KIA</w:t>
      </w:r>
    </w:p>
    <w:p w14:paraId="5383FC85" w14:textId="77777777" w:rsidR="00400563" w:rsidRDefault="00ED542F" w:rsidP="00400563">
      <w:pPr>
        <w:jc w:val="center"/>
        <w:rPr>
          <w:rFonts w:ascii="Times New Roman" w:hAnsi="Times New Roman" w:cs="Times New Roman"/>
          <w:color w:val="000000" w:themeColor="text1"/>
        </w:rPr>
      </w:pPr>
      <w:r>
        <w:rPr>
          <w:rFonts w:ascii="Times New Roman" w:hAnsi="Times New Roman" w:cs="Times New Roman"/>
          <w:color w:val="000000" w:themeColor="text1"/>
        </w:rPr>
        <w:t>Source: [</w:t>
      </w:r>
      <w:proofErr w:type="spellStart"/>
      <w:r>
        <w:rPr>
          <w:rFonts w:ascii="Times New Roman" w:hAnsi="Times New Roman" w:cs="Times New Roman"/>
          <w:color w:val="000000" w:themeColor="text1"/>
        </w:rPr>
        <w:t>Worldwide.kia</w:t>
      </w:r>
      <w:proofErr w:type="spellEnd"/>
      <w:r>
        <w:rPr>
          <w:rFonts w:ascii="Times New Roman" w:hAnsi="Times New Roman" w:cs="Times New Roman"/>
          <w:color w:val="000000" w:themeColor="text1"/>
        </w:rPr>
        <w:t>, 2025]</w:t>
      </w:r>
    </w:p>
    <w:p w14:paraId="6C3E0995" w14:textId="38603AC7" w:rsidR="0084451C" w:rsidRPr="00B706D3" w:rsidRDefault="0084451C" w:rsidP="00B706D3">
      <w:pPr>
        <w:pStyle w:val="Heading1"/>
        <w:adjustRightInd w:val="0"/>
        <w:snapToGrid w:val="0"/>
        <w:spacing w:before="240" w:after="240" w:line="360" w:lineRule="auto"/>
        <w:jc w:val="both"/>
        <w:rPr>
          <w:rFonts w:ascii="Times New Roman" w:hAnsi="Times New Roman" w:cs="Times New Roman"/>
          <w:b/>
          <w:bCs/>
          <w:color w:val="000000" w:themeColor="text1"/>
          <w:sz w:val="24"/>
          <w:szCs w:val="24"/>
        </w:rPr>
      </w:pPr>
      <w:bookmarkStart w:id="13" w:name="_Toc227875550"/>
      <w:r w:rsidRPr="00B706D3">
        <w:rPr>
          <w:rFonts w:ascii="Times New Roman" w:hAnsi="Times New Roman" w:cs="Times New Roman"/>
          <w:b/>
          <w:bCs/>
          <w:color w:val="000000" w:themeColor="text1"/>
          <w:sz w:val="24"/>
          <w:szCs w:val="24"/>
        </w:rPr>
        <w:t>4. Investment Appraisal and Capital Budgeting</w:t>
      </w:r>
      <w:bookmarkEnd w:id="13"/>
      <w:r w:rsidRPr="00B706D3">
        <w:rPr>
          <w:rFonts w:ascii="Times New Roman" w:hAnsi="Times New Roman" w:cs="Times New Roman"/>
          <w:b/>
          <w:bCs/>
          <w:color w:val="000000" w:themeColor="text1"/>
          <w:sz w:val="24"/>
          <w:szCs w:val="24"/>
        </w:rPr>
        <w:t xml:space="preserve"> </w:t>
      </w:r>
    </w:p>
    <w:p w14:paraId="6732E382" w14:textId="6B4A8B75"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The performance of Kia has been positive, with high sales and a premium product mix. Their liquidity is strong, with positive operating cash flow generation. They are actively investing in new mobility solutions to be competitive. There are three mutually exclusive investment projects under consideration that require an initial outlay of £50 million. The projects are different in their net cash inflow patterns over five years. There are five standard techniques of capital budgeting used:</w:t>
      </w:r>
    </w:p>
    <w:p w14:paraId="5267785C" w14:textId="77777777"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Payback Period (PBP)</w:t>
      </w:r>
    </w:p>
    <w:p w14:paraId="038A3886" w14:textId="77777777"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Accounting Rate of Return (ARR)</w:t>
      </w:r>
    </w:p>
    <w:p w14:paraId="7AF0A639" w14:textId="77777777"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Net Present Value (NPV)</w:t>
      </w:r>
    </w:p>
    <w:p w14:paraId="6A277315" w14:textId="77777777"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Profitability Index (PI)</w:t>
      </w:r>
    </w:p>
    <w:p w14:paraId="745F8CEC" w14:textId="797A76AB"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Internal Rate of Return (IRR)</w:t>
      </w:r>
    </w:p>
    <w:p w14:paraId="18C7D751" w14:textId="543C7F37" w:rsidR="0084451C"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 xml:space="preserve">The discount rate is 10% with straight-line depreciation of £10 million per year to zero salvage value. </w:t>
      </w:r>
    </w:p>
    <w:p w14:paraId="7BDD0FA9" w14:textId="482F0E62" w:rsidR="0084451C"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4" w:name="_Toc227875551"/>
      <w:r w:rsidRPr="00B706D3">
        <w:rPr>
          <w:rFonts w:ascii="Times New Roman" w:hAnsi="Times New Roman" w:cs="Times New Roman"/>
          <w:b/>
          <w:bCs/>
          <w:color w:val="000000" w:themeColor="text1"/>
          <w:sz w:val="24"/>
          <w:szCs w:val="24"/>
        </w:rPr>
        <w:lastRenderedPageBreak/>
        <w:t xml:space="preserve">4.1 </w:t>
      </w:r>
      <w:r w:rsidR="0084451C" w:rsidRPr="00B706D3">
        <w:rPr>
          <w:rFonts w:ascii="Times New Roman" w:hAnsi="Times New Roman" w:cs="Times New Roman"/>
          <w:b/>
          <w:bCs/>
          <w:color w:val="000000" w:themeColor="text1"/>
          <w:sz w:val="24"/>
          <w:szCs w:val="24"/>
        </w:rPr>
        <w:t>Project Cash Flow Details</w:t>
      </w:r>
      <w:bookmarkEnd w:id="14"/>
      <w:r w:rsidR="0084451C" w:rsidRPr="00B706D3">
        <w:rPr>
          <w:rFonts w:ascii="Times New Roman" w:hAnsi="Times New Roman" w:cs="Times New Roman"/>
          <w:b/>
          <w:bCs/>
          <w:color w:val="000000" w:themeColor="text1"/>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1"/>
        <w:gridCol w:w="1549"/>
        <w:gridCol w:w="1562"/>
        <w:gridCol w:w="1590"/>
      </w:tblGrid>
      <w:tr w:rsidR="0084451C" w:rsidRPr="00B706D3" w14:paraId="4EFE60CE" w14:textId="77777777">
        <w:trPr>
          <w:tblHeader/>
          <w:tblCellSpacing w:w="15" w:type="dxa"/>
        </w:trPr>
        <w:tc>
          <w:tcPr>
            <w:tcW w:w="0" w:type="auto"/>
            <w:vAlign w:val="center"/>
            <w:hideMark/>
          </w:tcPr>
          <w:p w14:paraId="2B616F58"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Year</w:t>
            </w:r>
          </w:p>
        </w:tc>
        <w:tc>
          <w:tcPr>
            <w:tcW w:w="0" w:type="auto"/>
            <w:vAlign w:val="center"/>
            <w:hideMark/>
          </w:tcPr>
          <w:p w14:paraId="53F95BC2"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 A (£m)</w:t>
            </w:r>
          </w:p>
        </w:tc>
        <w:tc>
          <w:tcPr>
            <w:tcW w:w="0" w:type="auto"/>
            <w:vAlign w:val="center"/>
            <w:hideMark/>
          </w:tcPr>
          <w:p w14:paraId="204204AF"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 B (£m)</w:t>
            </w:r>
          </w:p>
        </w:tc>
        <w:tc>
          <w:tcPr>
            <w:tcW w:w="0" w:type="auto"/>
            <w:vAlign w:val="center"/>
            <w:hideMark/>
          </w:tcPr>
          <w:p w14:paraId="1FBA73EF"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 C (£m)</w:t>
            </w:r>
          </w:p>
        </w:tc>
      </w:tr>
      <w:tr w:rsidR="0084451C" w:rsidRPr="00B706D3" w14:paraId="240F3971" w14:textId="77777777">
        <w:trPr>
          <w:tblCellSpacing w:w="15" w:type="dxa"/>
        </w:trPr>
        <w:tc>
          <w:tcPr>
            <w:tcW w:w="0" w:type="auto"/>
            <w:vAlign w:val="center"/>
            <w:hideMark/>
          </w:tcPr>
          <w:p w14:paraId="0FD49588"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Year 1</w:t>
            </w:r>
          </w:p>
        </w:tc>
        <w:tc>
          <w:tcPr>
            <w:tcW w:w="0" w:type="auto"/>
            <w:vAlign w:val="center"/>
            <w:hideMark/>
          </w:tcPr>
          <w:p w14:paraId="69793BF3"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w:t>
            </w:r>
          </w:p>
        </w:tc>
        <w:tc>
          <w:tcPr>
            <w:tcW w:w="0" w:type="auto"/>
            <w:vAlign w:val="center"/>
            <w:hideMark/>
          </w:tcPr>
          <w:p w14:paraId="6AFDC64C"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w:t>
            </w:r>
          </w:p>
        </w:tc>
        <w:tc>
          <w:tcPr>
            <w:tcW w:w="0" w:type="auto"/>
            <w:vAlign w:val="center"/>
            <w:hideMark/>
          </w:tcPr>
          <w:p w14:paraId="24AD3677"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w:t>
            </w:r>
          </w:p>
        </w:tc>
      </w:tr>
      <w:tr w:rsidR="0084451C" w:rsidRPr="00B706D3" w14:paraId="45FC5704" w14:textId="77777777">
        <w:trPr>
          <w:tblCellSpacing w:w="15" w:type="dxa"/>
        </w:trPr>
        <w:tc>
          <w:tcPr>
            <w:tcW w:w="0" w:type="auto"/>
            <w:vAlign w:val="center"/>
            <w:hideMark/>
          </w:tcPr>
          <w:p w14:paraId="771B5F17"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Year 2</w:t>
            </w:r>
          </w:p>
        </w:tc>
        <w:tc>
          <w:tcPr>
            <w:tcW w:w="0" w:type="auto"/>
            <w:vAlign w:val="center"/>
            <w:hideMark/>
          </w:tcPr>
          <w:p w14:paraId="701BFAA6"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12</w:t>
            </w:r>
          </w:p>
        </w:tc>
        <w:tc>
          <w:tcPr>
            <w:tcW w:w="0" w:type="auto"/>
            <w:vAlign w:val="center"/>
            <w:hideMark/>
          </w:tcPr>
          <w:p w14:paraId="7C6BB7E6"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w:t>
            </w:r>
          </w:p>
        </w:tc>
        <w:tc>
          <w:tcPr>
            <w:tcW w:w="0" w:type="auto"/>
            <w:vAlign w:val="center"/>
            <w:hideMark/>
          </w:tcPr>
          <w:p w14:paraId="4B7AEDA9"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w:t>
            </w:r>
          </w:p>
        </w:tc>
      </w:tr>
      <w:tr w:rsidR="0084451C" w:rsidRPr="00B706D3" w14:paraId="2C05FF7D" w14:textId="77777777">
        <w:trPr>
          <w:tblCellSpacing w:w="15" w:type="dxa"/>
        </w:trPr>
        <w:tc>
          <w:tcPr>
            <w:tcW w:w="0" w:type="auto"/>
            <w:vAlign w:val="center"/>
            <w:hideMark/>
          </w:tcPr>
          <w:p w14:paraId="7CA3207F"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Year 3</w:t>
            </w:r>
          </w:p>
        </w:tc>
        <w:tc>
          <w:tcPr>
            <w:tcW w:w="0" w:type="auto"/>
            <w:vAlign w:val="center"/>
            <w:hideMark/>
          </w:tcPr>
          <w:p w14:paraId="1922A57F"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14</w:t>
            </w:r>
          </w:p>
        </w:tc>
        <w:tc>
          <w:tcPr>
            <w:tcW w:w="0" w:type="auto"/>
            <w:vAlign w:val="center"/>
            <w:hideMark/>
          </w:tcPr>
          <w:p w14:paraId="6133A844"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w:t>
            </w:r>
          </w:p>
        </w:tc>
        <w:tc>
          <w:tcPr>
            <w:tcW w:w="0" w:type="auto"/>
            <w:vAlign w:val="center"/>
            <w:hideMark/>
          </w:tcPr>
          <w:p w14:paraId="15CB1C36"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w:t>
            </w:r>
          </w:p>
        </w:tc>
      </w:tr>
      <w:tr w:rsidR="0084451C" w:rsidRPr="00B706D3" w14:paraId="25AB05A3" w14:textId="77777777">
        <w:trPr>
          <w:tblCellSpacing w:w="15" w:type="dxa"/>
        </w:trPr>
        <w:tc>
          <w:tcPr>
            <w:tcW w:w="0" w:type="auto"/>
            <w:vAlign w:val="center"/>
            <w:hideMark/>
          </w:tcPr>
          <w:p w14:paraId="7D2716E7"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Year 4</w:t>
            </w:r>
          </w:p>
        </w:tc>
        <w:tc>
          <w:tcPr>
            <w:tcW w:w="0" w:type="auto"/>
            <w:vAlign w:val="center"/>
            <w:hideMark/>
          </w:tcPr>
          <w:p w14:paraId="5FA69A78"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w:t>
            </w:r>
          </w:p>
        </w:tc>
        <w:tc>
          <w:tcPr>
            <w:tcW w:w="0" w:type="auto"/>
            <w:vAlign w:val="center"/>
            <w:hideMark/>
          </w:tcPr>
          <w:p w14:paraId="1580E5DB"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w:t>
            </w:r>
          </w:p>
        </w:tc>
        <w:tc>
          <w:tcPr>
            <w:tcW w:w="0" w:type="auto"/>
            <w:vAlign w:val="center"/>
            <w:hideMark/>
          </w:tcPr>
          <w:p w14:paraId="0CFECA7E"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25</w:t>
            </w:r>
          </w:p>
        </w:tc>
      </w:tr>
      <w:tr w:rsidR="0084451C" w:rsidRPr="00B706D3" w14:paraId="6468094A" w14:textId="77777777">
        <w:trPr>
          <w:tblCellSpacing w:w="15" w:type="dxa"/>
        </w:trPr>
        <w:tc>
          <w:tcPr>
            <w:tcW w:w="0" w:type="auto"/>
            <w:vAlign w:val="center"/>
            <w:hideMark/>
          </w:tcPr>
          <w:p w14:paraId="2D040B18"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Year 5</w:t>
            </w:r>
          </w:p>
        </w:tc>
        <w:tc>
          <w:tcPr>
            <w:tcW w:w="0" w:type="auto"/>
            <w:vAlign w:val="center"/>
            <w:hideMark/>
          </w:tcPr>
          <w:p w14:paraId="0F2A5922"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8</w:t>
            </w:r>
          </w:p>
        </w:tc>
        <w:tc>
          <w:tcPr>
            <w:tcW w:w="0" w:type="auto"/>
            <w:vAlign w:val="center"/>
            <w:hideMark/>
          </w:tcPr>
          <w:p w14:paraId="66AA36C7"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w:t>
            </w:r>
          </w:p>
        </w:tc>
        <w:tc>
          <w:tcPr>
            <w:tcW w:w="0" w:type="auto"/>
            <w:vAlign w:val="center"/>
            <w:hideMark/>
          </w:tcPr>
          <w:p w14:paraId="2B0470CC"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5</w:t>
            </w:r>
          </w:p>
        </w:tc>
      </w:tr>
    </w:tbl>
    <w:p w14:paraId="5FEA5754" w14:textId="68AA06B5"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Project A: Steady but moderate growth early, then decline.</w:t>
      </w:r>
    </w:p>
    <w:p w14:paraId="3C250D87" w14:textId="77777777"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Project B: Uniform annual cash flows.</w:t>
      </w:r>
    </w:p>
    <w:p w14:paraId="73F964D4" w14:textId="3EC6306C"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Project C: Back-loaded with low early inflows but strong middle years.</w:t>
      </w:r>
    </w:p>
    <w:p w14:paraId="65ADF3F5" w14:textId="193D7958" w:rsidR="0084451C"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5" w:name="_Toc227875552"/>
      <w:r w:rsidRPr="00B706D3">
        <w:rPr>
          <w:rFonts w:ascii="Times New Roman" w:hAnsi="Times New Roman" w:cs="Times New Roman"/>
          <w:b/>
          <w:bCs/>
          <w:color w:val="000000" w:themeColor="text1"/>
          <w:sz w:val="24"/>
          <w:szCs w:val="24"/>
        </w:rPr>
        <w:t xml:space="preserve">4.2 </w:t>
      </w:r>
      <w:r w:rsidR="0084451C" w:rsidRPr="00B706D3">
        <w:rPr>
          <w:rFonts w:ascii="Times New Roman" w:hAnsi="Times New Roman" w:cs="Times New Roman"/>
          <w:b/>
          <w:bCs/>
          <w:color w:val="000000" w:themeColor="text1"/>
          <w:sz w:val="24"/>
          <w:szCs w:val="24"/>
        </w:rPr>
        <w:t>Detailed Appraisal Using Capital Budgeting Techniques</w:t>
      </w:r>
      <w:bookmarkEnd w:id="1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8"/>
        <w:gridCol w:w="1057"/>
        <w:gridCol w:w="1057"/>
        <w:gridCol w:w="1303"/>
        <w:gridCol w:w="1317"/>
      </w:tblGrid>
      <w:tr w:rsidR="0084451C" w:rsidRPr="00B706D3" w14:paraId="1FB32EC3" w14:textId="77777777">
        <w:trPr>
          <w:tblHeader/>
          <w:tblCellSpacing w:w="15" w:type="dxa"/>
        </w:trPr>
        <w:tc>
          <w:tcPr>
            <w:tcW w:w="0" w:type="auto"/>
            <w:vAlign w:val="center"/>
            <w:hideMark/>
          </w:tcPr>
          <w:p w14:paraId="3A487C2D"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Technique</w:t>
            </w:r>
          </w:p>
        </w:tc>
        <w:tc>
          <w:tcPr>
            <w:tcW w:w="0" w:type="auto"/>
            <w:vAlign w:val="center"/>
            <w:hideMark/>
          </w:tcPr>
          <w:p w14:paraId="09D08CD0"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 A</w:t>
            </w:r>
          </w:p>
        </w:tc>
        <w:tc>
          <w:tcPr>
            <w:tcW w:w="0" w:type="auto"/>
            <w:vAlign w:val="center"/>
            <w:hideMark/>
          </w:tcPr>
          <w:p w14:paraId="20B6BF76"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 B</w:t>
            </w:r>
          </w:p>
        </w:tc>
        <w:tc>
          <w:tcPr>
            <w:tcW w:w="0" w:type="auto"/>
            <w:vAlign w:val="center"/>
            <w:hideMark/>
          </w:tcPr>
          <w:p w14:paraId="1DDBD8AD"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 C</w:t>
            </w:r>
          </w:p>
        </w:tc>
        <w:tc>
          <w:tcPr>
            <w:tcW w:w="0" w:type="auto"/>
            <w:vAlign w:val="center"/>
            <w:hideMark/>
          </w:tcPr>
          <w:p w14:paraId="16143147" w14:textId="77777777" w:rsidR="0084451C" w:rsidRPr="00B706D3" w:rsidRDefault="0084451C"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Best Project</w:t>
            </w:r>
          </w:p>
        </w:tc>
      </w:tr>
      <w:tr w:rsidR="0084451C" w:rsidRPr="00B706D3" w14:paraId="74FBB89B" w14:textId="77777777">
        <w:trPr>
          <w:tblCellSpacing w:w="15" w:type="dxa"/>
        </w:trPr>
        <w:tc>
          <w:tcPr>
            <w:tcW w:w="0" w:type="auto"/>
            <w:vAlign w:val="center"/>
            <w:hideMark/>
          </w:tcPr>
          <w:p w14:paraId="3815AAA2"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Payback Period (years)</w:t>
            </w:r>
          </w:p>
        </w:tc>
        <w:tc>
          <w:tcPr>
            <w:tcW w:w="0" w:type="auto"/>
            <w:vAlign w:val="center"/>
            <w:hideMark/>
          </w:tcPr>
          <w:p w14:paraId="323FE0BE"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4.50</w:t>
            </w:r>
          </w:p>
        </w:tc>
        <w:tc>
          <w:tcPr>
            <w:tcW w:w="0" w:type="auto"/>
            <w:vAlign w:val="center"/>
            <w:hideMark/>
          </w:tcPr>
          <w:p w14:paraId="579DB555"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4.55</w:t>
            </w:r>
          </w:p>
        </w:tc>
        <w:tc>
          <w:tcPr>
            <w:tcW w:w="0" w:type="auto"/>
            <w:vAlign w:val="center"/>
            <w:hideMark/>
          </w:tcPr>
          <w:p w14:paraId="584275B0"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3.60</w:t>
            </w:r>
          </w:p>
        </w:tc>
        <w:tc>
          <w:tcPr>
            <w:tcW w:w="0" w:type="auto"/>
            <w:vAlign w:val="center"/>
            <w:hideMark/>
          </w:tcPr>
          <w:p w14:paraId="08A9CBCA"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w:t>
            </w:r>
          </w:p>
        </w:tc>
      </w:tr>
      <w:tr w:rsidR="0084451C" w:rsidRPr="00B706D3" w14:paraId="45328E7A" w14:textId="77777777">
        <w:trPr>
          <w:tblCellSpacing w:w="15" w:type="dxa"/>
        </w:trPr>
        <w:tc>
          <w:tcPr>
            <w:tcW w:w="0" w:type="auto"/>
            <w:vAlign w:val="center"/>
            <w:hideMark/>
          </w:tcPr>
          <w:p w14:paraId="77E6034C"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Accounting Rate of Return (%)</w:t>
            </w:r>
          </w:p>
        </w:tc>
        <w:tc>
          <w:tcPr>
            <w:tcW w:w="0" w:type="auto"/>
            <w:vAlign w:val="center"/>
            <w:hideMark/>
          </w:tcPr>
          <w:p w14:paraId="4E197784"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1.6</w:t>
            </w:r>
          </w:p>
        </w:tc>
        <w:tc>
          <w:tcPr>
            <w:tcW w:w="0" w:type="auto"/>
            <w:vAlign w:val="center"/>
            <w:hideMark/>
          </w:tcPr>
          <w:p w14:paraId="420AD500"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2.0</w:t>
            </w:r>
          </w:p>
        </w:tc>
        <w:tc>
          <w:tcPr>
            <w:tcW w:w="0" w:type="auto"/>
            <w:vAlign w:val="center"/>
            <w:hideMark/>
          </w:tcPr>
          <w:p w14:paraId="349A36DE"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6.0</w:t>
            </w:r>
          </w:p>
        </w:tc>
        <w:tc>
          <w:tcPr>
            <w:tcW w:w="0" w:type="auto"/>
            <w:vAlign w:val="center"/>
            <w:hideMark/>
          </w:tcPr>
          <w:p w14:paraId="1B37C2A2"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w:t>
            </w:r>
          </w:p>
        </w:tc>
      </w:tr>
      <w:tr w:rsidR="0084451C" w:rsidRPr="00B706D3" w14:paraId="17329A5B" w14:textId="77777777">
        <w:trPr>
          <w:tblCellSpacing w:w="15" w:type="dxa"/>
        </w:trPr>
        <w:tc>
          <w:tcPr>
            <w:tcW w:w="0" w:type="auto"/>
            <w:vAlign w:val="center"/>
            <w:hideMark/>
          </w:tcPr>
          <w:p w14:paraId="3F90BF0E"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Net Present Value (£m)</w:t>
            </w:r>
          </w:p>
        </w:tc>
        <w:tc>
          <w:tcPr>
            <w:tcW w:w="0" w:type="auto"/>
            <w:vAlign w:val="center"/>
            <w:hideMark/>
          </w:tcPr>
          <w:p w14:paraId="2EFE42AB"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-4.54</w:t>
            </w:r>
          </w:p>
        </w:tc>
        <w:tc>
          <w:tcPr>
            <w:tcW w:w="0" w:type="auto"/>
            <w:vAlign w:val="center"/>
            <w:hideMark/>
          </w:tcPr>
          <w:p w14:paraId="6B507801"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-4.13</w:t>
            </w:r>
          </w:p>
        </w:tc>
        <w:tc>
          <w:tcPr>
            <w:tcW w:w="0" w:type="auto"/>
            <w:vAlign w:val="center"/>
            <w:hideMark/>
          </w:tcPr>
          <w:p w14:paraId="0918AF0F"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+2.82</w:t>
            </w:r>
          </w:p>
        </w:tc>
        <w:tc>
          <w:tcPr>
            <w:tcW w:w="0" w:type="auto"/>
            <w:vAlign w:val="center"/>
            <w:hideMark/>
          </w:tcPr>
          <w:p w14:paraId="13008D1F"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w:t>
            </w:r>
          </w:p>
        </w:tc>
      </w:tr>
      <w:tr w:rsidR="0084451C" w:rsidRPr="00B706D3" w14:paraId="23B02578" w14:textId="77777777">
        <w:trPr>
          <w:tblCellSpacing w:w="15" w:type="dxa"/>
        </w:trPr>
        <w:tc>
          <w:tcPr>
            <w:tcW w:w="0" w:type="auto"/>
            <w:vAlign w:val="center"/>
            <w:hideMark/>
          </w:tcPr>
          <w:p w14:paraId="0B586277"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Profitability Index</w:t>
            </w:r>
          </w:p>
        </w:tc>
        <w:tc>
          <w:tcPr>
            <w:tcW w:w="0" w:type="auto"/>
            <w:vAlign w:val="center"/>
            <w:hideMark/>
          </w:tcPr>
          <w:p w14:paraId="58C614B2"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0.909</w:t>
            </w:r>
          </w:p>
        </w:tc>
        <w:tc>
          <w:tcPr>
            <w:tcW w:w="0" w:type="auto"/>
            <w:vAlign w:val="center"/>
            <w:hideMark/>
          </w:tcPr>
          <w:p w14:paraId="4214C39C"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0.917</w:t>
            </w:r>
          </w:p>
        </w:tc>
        <w:tc>
          <w:tcPr>
            <w:tcW w:w="0" w:type="auto"/>
            <w:vAlign w:val="center"/>
            <w:hideMark/>
          </w:tcPr>
          <w:p w14:paraId="31A1146F"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1.056</w:t>
            </w:r>
          </w:p>
        </w:tc>
        <w:tc>
          <w:tcPr>
            <w:tcW w:w="0" w:type="auto"/>
            <w:vAlign w:val="center"/>
            <w:hideMark/>
          </w:tcPr>
          <w:p w14:paraId="0B99BB39"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w:t>
            </w:r>
          </w:p>
        </w:tc>
      </w:tr>
      <w:tr w:rsidR="0084451C" w:rsidRPr="00B706D3" w14:paraId="34CF51ED" w14:textId="77777777">
        <w:trPr>
          <w:tblCellSpacing w:w="15" w:type="dxa"/>
        </w:trPr>
        <w:tc>
          <w:tcPr>
            <w:tcW w:w="0" w:type="auto"/>
            <w:vAlign w:val="center"/>
            <w:hideMark/>
          </w:tcPr>
          <w:p w14:paraId="379A2311"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Internal Rate of Return (%)</w:t>
            </w:r>
          </w:p>
        </w:tc>
        <w:tc>
          <w:tcPr>
            <w:tcW w:w="0" w:type="auto"/>
            <w:vAlign w:val="center"/>
            <w:hideMark/>
          </w:tcPr>
          <w:p w14:paraId="2F401F0A"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 (est.)</w:t>
            </w:r>
          </w:p>
        </w:tc>
        <w:tc>
          <w:tcPr>
            <w:tcW w:w="0" w:type="auto"/>
            <w:vAlign w:val="center"/>
            <w:hideMark/>
          </w:tcPr>
          <w:p w14:paraId="49F390A2"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 (est.)</w:t>
            </w:r>
          </w:p>
        </w:tc>
        <w:tc>
          <w:tcPr>
            <w:tcW w:w="0" w:type="auto"/>
            <w:vAlign w:val="center"/>
            <w:hideMark/>
          </w:tcPr>
          <w:p w14:paraId="20007411"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~11%+ (est.)</w:t>
            </w:r>
          </w:p>
        </w:tc>
        <w:tc>
          <w:tcPr>
            <w:tcW w:w="0" w:type="auto"/>
            <w:vAlign w:val="center"/>
            <w:hideMark/>
          </w:tcPr>
          <w:p w14:paraId="4C716227" w14:textId="77777777" w:rsidR="0084451C" w:rsidRPr="00B706D3" w:rsidRDefault="0084451C"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C</w:t>
            </w:r>
          </w:p>
        </w:tc>
      </w:tr>
    </w:tbl>
    <w:p w14:paraId="22EDD2C3" w14:textId="77777777"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p>
    <w:p w14:paraId="5DDEDEB9" w14:textId="0EE3FED5"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lastRenderedPageBreak/>
        <w:t xml:space="preserve">The </w:t>
      </w:r>
      <w:r w:rsidRPr="00B706D3">
        <w:rPr>
          <w:rFonts w:ascii="Times New Roman" w:hAnsi="Times New Roman" w:cs="Times New Roman"/>
          <w:b/>
          <w:bCs/>
          <w:color w:val="000000" w:themeColor="text1"/>
        </w:rPr>
        <w:t>payback period</w:t>
      </w:r>
      <w:r w:rsidRPr="00B706D3">
        <w:rPr>
          <w:rFonts w:ascii="Times New Roman" w:hAnsi="Times New Roman" w:cs="Times New Roman"/>
          <w:color w:val="000000" w:themeColor="text1"/>
        </w:rPr>
        <w:t xml:space="preserve"> calculates the time needed to recover the initial £50 million from cumulative cash inflows. Short payback periods reduce risk by returning the capital quickly. Project C is the fastest in terms of recovery, as it takes only 3.6 years. It makes it preferable in an industry that faces rapid technological change as well as uncertainty.</w:t>
      </w:r>
    </w:p>
    <w:p w14:paraId="1E7F4152" w14:textId="5200B881"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ARR</w:t>
      </w:r>
      <w:r w:rsidRPr="00B706D3">
        <w:rPr>
          <w:rFonts w:ascii="Times New Roman" w:hAnsi="Times New Roman" w:cs="Times New Roman"/>
          <w:color w:val="000000" w:themeColor="text1"/>
        </w:rPr>
        <w:t xml:space="preserve"> provides a measure of average annual accounting profit as a percentage of initial investment</w:t>
      </w:r>
      <w:r w:rsidR="007435F1" w:rsidRPr="00B706D3">
        <w:rPr>
          <w:rFonts w:ascii="Times New Roman" w:hAnsi="Times New Roman" w:cs="Times New Roman"/>
          <w:color w:val="000000" w:themeColor="text1"/>
        </w:rPr>
        <w:t xml:space="preserve"> (</w:t>
      </w:r>
      <w:proofErr w:type="spellStart"/>
      <w:r w:rsidR="007435F1" w:rsidRPr="00B706D3">
        <w:rPr>
          <w:rFonts w:ascii="Times New Roman" w:hAnsi="Times New Roman" w:cs="Times New Roman"/>
          <w:color w:val="000000" w:themeColor="text1"/>
        </w:rPr>
        <w:t>Gajendrakar</w:t>
      </w:r>
      <w:proofErr w:type="spellEnd"/>
      <w:r w:rsidR="007435F1" w:rsidRPr="00B706D3">
        <w:rPr>
          <w:rFonts w:ascii="Times New Roman" w:hAnsi="Times New Roman" w:cs="Times New Roman"/>
          <w:color w:val="000000" w:themeColor="text1"/>
        </w:rPr>
        <w:t>, et. al., 2022)</w:t>
      </w:r>
      <w:r w:rsidRPr="00B706D3">
        <w:rPr>
          <w:rFonts w:ascii="Times New Roman" w:hAnsi="Times New Roman" w:cs="Times New Roman"/>
          <w:color w:val="000000" w:themeColor="text1"/>
        </w:rPr>
        <w:t>. The project with the higher value is better in terms of average profitability. The highest ARR of 6% is provided by option C which shows strong average over the project life.</w:t>
      </w:r>
    </w:p>
    <w:p w14:paraId="3BAE7C20" w14:textId="7FFCC685"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b/>
          <w:bCs/>
          <w:color w:val="000000" w:themeColor="text1"/>
        </w:rPr>
        <w:t>NPV</w:t>
      </w:r>
      <w:r w:rsidRPr="00B706D3">
        <w:rPr>
          <w:rFonts w:ascii="Times New Roman" w:hAnsi="Times New Roman" w:cs="Times New Roman"/>
          <w:color w:val="000000" w:themeColor="text1"/>
        </w:rPr>
        <w:t xml:space="preserve"> discounts future cash flows at 10% while subtracting the initial investment. A positive value means it adds shareholder value to the company. The only project with a positive value is C, which creates net value. The other projects, A and B, destroy some value at the 10% hurdle rate.</w:t>
      </w:r>
    </w:p>
    <w:p w14:paraId="1EF49EC6" w14:textId="0215F3CC"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 xml:space="preserve">Next technique is the </w:t>
      </w:r>
      <w:r w:rsidRPr="00B706D3">
        <w:rPr>
          <w:rFonts w:ascii="Times New Roman" w:hAnsi="Times New Roman" w:cs="Times New Roman"/>
          <w:b/>
          <w:bCs/>
          <w:color w:val="000000" w:themeColor="text1"/>
        </w:rPr>
        <w:t>Profitability Index</w:t>
      </w:r>
      <w:r w:rsidRPr="00B706D3">
        <w:rPr>
          <w:rFonts w:ascii="Times New Roman" w:hAnsi="Times New Roman" w:cs="Times New Roman"/>
          <w:color w:val="000000" w:themeColor="text1"/>
        </w:rPr>
        <w:t xml:space="preserve"> which divides the initial investment by the present value of future cash inflows. This metric is above 1 which is acceptable but higher is better under capital constraints</w:t>
      </w:r>
      <w:r w:rsidR="007435F1" w:rsidRPr="00B706D3">
        <w:rPr>
          <w:rFonts w:ascii="Times New Roman" w:hAnsi="Times New Roman" w:cs="Times New Roman"/>
          <w:color w:val="000000" w:themeColor="text1"/>
        </w:rPr>
        <w:t xml:space="preserve"> (</w:t>
      </w:r>
      <w:proofErr w:type="spellStart"/>
      <w:r w:rsidR="007435F1" w:rsidRPr="00B706D3">
        <w:rPr>
          <w:rFonts w:ascii="Times New Roman" w:hAnsi="Times New Roman" w:cs="Times New Roman"/>
          <w:color w:val="000000" w:themeColor="text1"/>
        </w:rPr>
        <w:t>Efinancemanagement</w:t>
      </w:r>
      <w:proofErr w:type="spellEnd"/>
      <w:r w:rsidR="007435F1" w:rsidRPr="00B706D3">
        <w:rPr>
          <w:rFonts w:ascii="Times New Roman" w:hAnsi="Times New Roman" w:cs="Times New Roman"/>
          <w:color w:val="000000" w:themeColor="text1"/>
        </w:rPr>
        <w:t>, 2025)</w:t>
      </w:r>
      <w:r w:rsidRPr="00B706D3">
        <w:rPr>
          <w:rFonts w:ascii="Times New Roman" w:hAnsi="Times New Roman" w:cs="Times New Roman"/>
          <w:color w:val="000000" w:themeColor="text1"/>
        </w:rPr>
        <w:t xml:space="preserve">. Similarly this project, the project C also exceeds 1 and ranks the highest among other projects. </w:t>
      </w:r>
    </w:p>
    <w:p w14:paraId="267011A6" w14:textId="739E6624"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Overall, C is the only project that outperform the others across all techniques. It gives fast recovery of capital and superior efficiency while giving the best return rate. Project B is marginally better than A due to high and BV with very stable cash flows. The lowest-ranking project is A. The back-loaded nature of the CE project suggests it involves new product development that takes time to gain traction.</w:t>
      </w:r>
    </w:p>
    <w:p w14:paraId="7D6DAE8A" w14:textId="475C8C31" w:rsidR="0084451C"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6" w:name="_Toc227875553"/>
      <w:r w:rsidRPr="00B706D3">
        <w:rPr>
          <w:rFonts w:ascii="Times New Roman" w:hAnsi="Times New Roman" w:cs="Times New Roman"/>
          <w:b/>
          <w:bCs/>
          <w:color w:val="000000" w:themeColor="text1"/>
          <w:sz w:val="24"/>
          <w:szCs w:val="24"/>
        </w:rPr>
        <w:t xml:space="preserve">4.3 </w:t>
      </w:r>
      <w:r w:rsidR="0084451C" w:rsidRPr="00B706D3">
        <w:rPr>
          <w:rFonts w:ascii="Times New Roman" w:hAnsi="Times New Roman" w:cs="Times New Roman"/>
          <w:b/>
          <w:bCs/>
          <w:color w:val="000000" w:themeColor="text1"/>
          <w:sz w:val="24"/>
          <w:szCs w:val="24"/>
        </w:rPr>
        <w:t>Recommended project and justification</w:t>
      </w:r>
      <w:bookmarkEnd w:id="16"/>
      <w:r w:rsidR="0084451C" w:rsidRPr="00B706D3">
        <w:rPr>
          <w:rFonts w:ascii="Times New Roman" w:hAnsi="Times New Roman" w:cs="Times New Roman"/>
          <w:b/>
          <w:bCs/>
          <w:color w:val="000000" w:themeColor="text1"/>
          <w:sz w:val="24"/>
          <w:szCs w:val="24"/>
        </w:rPr>
        <w:t xml:space="preserve"> </w:t>
      </w:r>
    </w:p>
    <w:p w14:paraId="725B595C" w14:textId="22421793" w:rsidR="00DE2753" w:rsidRPr="00B706D3" w:rsidRDefault="00DE2753"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Link to Kia’s Financial Performance</w:t>
      </w:r>
    </w:p>
    <w:p w14:paraId="733A26A3" w14:textId="4DC0F050" w:rsidR="0084451C" w:rsidRPr="00B706D3" w:rsidRDefault="0084451C"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 xml:space="preserve">Kia's profits have been resilient and its strong mid-year cash flows can boost future earnings as it expands into new segments. Project C has the shortest payback of 3.6 years, ensuring quick recovery of cash compared to others. It preserves liquidity for ongoing requirements in EV battery investment and supply chain. The strong cash generation means that the £50 million outlay can be funded internally without relying on external borrowing. The debt structure is conservative, with 5% debt to equity. The positive NPV and high PI of Project C align with </w:t>
      </w:r>
      <w:r w:rsidRPr="00B706D3">
        <w:rPr>
          <w:rFonts w:ascii="Times New Roman" w:hAnsi="Times New Roman" w:cs="Times New Roman"/>
          <w:color w:val="000000" w:themeColor="text1"/>
        </w:rPr>
        <w:lastRenderedPageBreak/>
        <w:t>Kia's low-risk approach. The equity is also growing steadily through retained earnings and provides a solid base to short-term variability in the cash flows</w:t>
      </w:r>
      <w:r w:rsidR="007435F1" w:rsidRPr="00B706D3">
        <w:rPr>
          <w:rFonts w:ascii="Times New Roman" w:hAnsi="Times New Roman" w:cs="Times New Roman"/>
          <w:color w:val="000000" w:themeColor="text1"/>
        </w:rPr>
        <w:t xml:space="preserve"> (Morningstar, 2026)</w:t>
      </w:r>
      <w:r w:rsidRPr="00B706D3">
        <w:rPr>
          <w:rFonts w:ascii="Times New Roman" w:hAnsi="Times New Roman" w:cs="Times New Roman"/>
          <w:color w:val="000000" w:themeColor="text1"/>
        </w:rPr>
        <w:t>.</w:t>
      </w:r>
    </w:p>
    <w:p w14:paraId="566B4EBB" w14:textId="0AEB1508" w:rsidR="0084451C" w:rsidRPr="00B706D3" w:rsidRDefault="00DE2753" w:rsidP="00B706D3">
      <w:pPr>
        <w:adjustRightInd w:val="0"/>
        <w:snapToGrid w:val="0"/>
        <w:spacing w:before="240" w:after="240" w:line="36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 xml:space="preserve">Non-Financial Risk Consideration </w:t>
      </w:r>
    </w:p>
    <w:p w14:paraId="6306351E" w14:textId="5343D9EC"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Political risks are relevant as seen in the 2025 Tariff Impacts on U.S. Sales. The fast payback of Project C reduces exposure to prolonged regulatory changes. It can help manage new trade barriers or import duties as well. Quick recovery provides flexibility to adapt if the conditions are not supportive.</w:t>
      </w:r>
    </w:p>
    <w:p w14:paraId="4E8847EF" w14:textId="3B29FF6E"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Another crucial element is customer loyalty as the company builds its premium brand image while transitioning to EVs. The selected project has potential for innovation and to enhance customer excitement through advanced technologies. A successful execution might provide them a better market position and repeat purchases as well</w:t>
      </w:r>
      <w:r w:rsidR="007435F1" w:rsidRPr="00B706D3">
        <w:rPr>
          <w:rFonts w:ascii="Times New Roman" w:hAnsi="Times New Roman" w:cs="Times New Roman"/>
          <w:color w:val="000000" w:themeColor="text1"/>
        </w:rPr>
        <w:t xml:space="preserve"> (</w:t>
      </w:r>
      <w:proofErr w:type="spellStart"/>
      <w:r w:rsidR="007435F1" w:rsidRPr="00B706D3">
        <w:rPr>
          <w:rFonts w:ascii="Times New Roman" w:hAnsi="Times New Roman" w:cs="Times New Roman"/>
          <w:color w:val="000000" w:themeColor="text1"/>
        </w:rPr>
        <w:t>Tattam</w:t>
      </w:r>
      <w:proofErr w:type="spellEnd"/>
      <w:r w:rsidR="007435F1" w:rsidRPr="00B706D3">
        <w:rPr>
          <w:rFonts w:ascii="Times New Roman" w:hAnsi="Times New Roman" w:cs="Times New Roman"/>
          <w:color w:val="000000" w:themeColor="text1"/>
        </w:rPr>
        <w:t>, 2023)</w:t>
      </w:r>
      <w:r w:rsidRPr="00B706D3">
        <w:rPr>
          <w:rFonts w:ascii="Times New Roman" w:hAnsi="Times New Roman" w:cs="Times New Roman"/>
          <w:color w:val="000000" w:themeColor="text1"/>
        </w:rPr>
        <w:t>. Projects A and B offer steady but less distinctive results that might not differentiate from rivals.</w:t>
      </w:r>
    </w:p>
    <w:p w14:paraId="5410E53B" w14:textId="0E6852F9"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Another non-financial factor is technology risk and market acceptance. There are some early-year risks in the project C due to low initial inflows; however, it can offer higher rewards if the project succeeds in growing the hybrid market. The recent experience with hybrid penetration and global sales growth shows the capability to manage such transitions.</w:t>
      </w:r>
    </w:p>
    <w:p w14:paraId="016DDF09" w14:textId="5AF7207E" w:rsidR="00DE2753"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7" w:name="_Toc227875554"/>
      <w:r w:rsidRPr="00B706D3">
        <w:rPr>
          <w:rFonts w:ascii="Times New Roman" w:hAnsi="Times New Roman" w:cs="Times New Roman"/>
          <w:b/>
          <w:bCs/>
          <w:color w:val="000000" w:themeColor="text1"/>
          <w:sz w:val="24"/>
          <w:szCs w:val="24"/>
        </w:rPr>
        <w:t xml:space="preserve">4.4 </w:t>
      </w:r>
      <w:r w:rsidR="00DE2753" w:rsidRPr="00B706D3">
        <w:rPr>
          <w:rFonts w:ascii="Times New Roman" w:hAnsi="Times New Roman" w:cs="Times New Roman"/>
          <w:b/>
          <w:bCs/>
          <w:color w:val="000000" w:themeColor="text1"/>
          <w:sz w:val="24"/>
          <w:szCs w:val="24"/>
        </w:rPr>
        <w:t>Capital Rationing</w:t>
      </w:r>
      <w:bookmarkEnd w:id="17"/>
    </w:p>
    <w:p w14:paraId="28C4ABCD" w14:textId="4C3F14F3" w:rsidR="00DE2753" w:rsidRPr="00B706D3" w:rsidRDefault="006763C1"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This is a decision making process used by companies to focus their spending on main priorities to get high returns. It is not possible to have limitless funds to spend on new project. Hence, rationing helps to choose the best ideas while dropping others (Hayes and Boyle, 2026). </w:t>
      </w:r>
      <w:r w:rsidR="00DE2753" w:rsidRPr="00B706D3">
        <w:rPr>
          <w:rFonts w:ascii="Times New Roman" w:hAnsi="Times New Roman" w:cs="Times New Roman"/>
          <w:color w:val="000000" w:themeColor="text1"/>
        </w:rPr>
        <w:t xml:space="preserve">The automaker faces capital rationing with a maximum investment budget of £100 million. Each project costs £50 million, which allows exactly two projects to be selected. The possible combinations are: </w:t>
      </w:r>
    </w:p>
    <w:p w14:paraId="1BFF93DE" w14:textId="77777777"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w:t>
      </w:r>
      <w:r w:rsidRPr="00B706D3">
        <w:rPr>
          <w:rFonts w:ascii="Times New Roman" w:hAnsi="Times New Roman" w:cs="Times New Roman"/>
          <w:color w:val="000000" w:themeColor="text1"/>
        </w:rPr>
        <w:tab/>
        <w:t>A+B</w:t>
      </w:r>
    </w:p>
    <w:p w14:paraId="36D86E8F" w14:textId="77777777"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w:t>
      </w:r>
      <w:r w:rsidRPr="00B706D3">
        <w:rPr>
          <w:rFonts w:ascii="Times New Roman" w:hAnsi="Times New Roman" w:cs="Times New Roman"/>
          <w:color w:val="000000" w:themeColor="text1"/>
        </w:rPr>
        <w:tab/>
        <w:t>A+C</w:t>
      </w:r>
    </w:p>
    <w:p w14:paraId="281645A8" w14:textId="77777777"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w:t>
      </w:r>
      <w:r w:rsidRPr="00B706D3">
        <w:rPr>
          <w:rFonts w:ascii="Times New Roman" w:hAnsi="Times New Roman" w:cs="Times New Roman"/>
          <w:color w:val="000000" w:themeColor="text1"/>
        </w:rPr>
        <w:tab/>
        <w:t>B+C</w:t>
      </w:r>
    </w:p>
    <w:p w14:paraId="459D1A72" w14:textId="4CCACA71"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The recommended product combination is project B and C, as ranked by profitability index given below:</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36"/>
        <w:gridCol w:w="960"/>
        <w:gridCol w:w="615"/>
      </w:tblGrid>
      <w:tr w:rsidR="00DE2753" w:rsidRPr="00B706D3" w14:paraId="1B7F6029" w14:textId="77777777" w:rsidTr="00B706D3">
        <w:trPr>
          <w:tblHeader/>
          <w:tblCellSpacing w:w="15" w:type="dxa"/>
          <w:jc w:val="center"/>
        </w:trPr>
        <w:tc>
          <w:tcPr>
            <w:tcW w:w="0" w:type="auto"/>
            <w:vAlign w:val="center"/>
            <w:hideMark/>
          </w:tcPr>
          <w:p w14:paraId="23A2BB70" w14:textId="77777777" w:rsidR="00DE2753" w:rsidRPr="00B706D3" w:rsidRDefault="00DE2753"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lastRenderedPageBreak/>
              <w:t>Rank</w:t>
            </w:r>
          </w:p>
        </w:tc>
        <w:tc>
          <w:tcPr>
            <w:tcW w:w="0" w:type="auto"/>
            <w:vAlign w:val="center"/>
            <w:hideMark/>
          </w:tcPr>
          <w:p w14:paraId="34FD8191" w14:textId="77777777" w:rsidR="00DE2753" w:rsidRPr="00B706D3" w:rsidRDefault="00DE2753"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Project</w:t>
            </w:r>
          </w:p>
        </w:tc>
        <w:tc>
          <w:tcPr>
            <w:tcW w:w="0" w:type="auto"/>
            <w:vAlign w:val="center"/>
            <w:hideMark/>
          </w:tcPr>
          <w:p w14:paraId="7C607542" w14:textId="77777777" w:rsidR="00DE2753" w:rsidRPr="00B706D3" w:rsidRDefault="00DE2753" w:rsidP="00B706D3">
            <w:pPr>
              <w:adjustRightInd w:val="0"/>
              <w:snapToGrid w:val="0"/>
              <w:spacing w:before="240" w:after="240" w:line="240" w:lineRule="auto"/>
              <w:jc w:val="both"/>
              <w:rPr>
                <w:rFonts w:ascii="Times New Roman" w:hAnsi="Times New Roman" w:cs="Times New Roman"/>
                <w:b/>
                <w:bCs/>
                <w:color w:val="000000" w:themeColor="text1"/>
              </w:rPr>
            </w:pPr>
            <w:r w:rsidRPr="00B706D3">
              <w:rPr>
                <w:rFonts w:ascii="Times New Roman" w:hAnsi="Times New Roman" w:cs="Times New Roman"/>
                <w:b/>
                <w:bCs/>
                <w:color w:val="000000" w:themeColor="text1"/>
              </w:rPr>
              <w:t>PI</w:t>
            </w:r>
          </w:p>
        </w:tc>
      </w:tr>
      <w:tr w:rsidR="00DE2753" w:rsidRPr="00B706D3" w14:paraId="25B31908" w14:textId="77777777" w:rsidTr="00B706D3">
        <w:trPr>
          <w:tblCellSpacing w:w="15" w:type="dxa"/>
          <w:jc w:val="center"/>
        </w:trPr>
        <w:tc>
          <w:tcPr>
            <w:tcW w:w="0" w:type="auto"/>
            <w:vAlign w:val="center"/>
            <w:hideMark/>
          </w:tcPr>
          <w:p w14:paraId="0098D00D"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w:t>
            </w:r>
          </w:p>
        </w:tc>
        <w:tc>
          <w:tcPr>
            <w:tcW w:w="0" w:type="auto"/>
            <w:vAlign w:val="center"/>
            <w:hideMark/>
          </w:tcPr>
          <w:p w14:paraId="01723D52"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Project C</w:t>
            </w:r>
          </w:p>
        </w:tc>
        <w:tc>
          <w:tcPr>
            <w:tcW w:w="0" w:type="auto"/>
            <w:vAlign w:val="center"/>
            <w:hideMark/>
          </w:tcPr>
          <w:p w14:paraId="16A727EB"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1.056</w:t>
            </w:r>
          </w:p>
        </w:tc>
      </w:tr>
      <w:tr w:rsidR="00DE2753" w:rsidRPr="00B706D3" w14:paraId="1A2476BB" w14:textId="77777777" w:rsidTr="00B706D3">
        <w:trPr>
          <w:tblCellSpacing w:w="15" w:type="dxa"/>
          <w:jc w:val="center"/>
        </w:trPr>
        <w:tc>
          <w:tcPr>
            <w:tcW w:w="0" w:type="auto"/>
            <w:vAlign w:val="center"/>
            <w:hideMark/>
          </w:tcPr>
          <w:p w14:paraId="62D40B01"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2</w:t>
            </w:r>
          </w:p>
        </w:tc>
        <w:tc>
          <w:tcPr>
            <w:tcW w:w="0" w:type="auto"/>
            <w:vAlign w:val="center"/>
            <w:hideMark/>
          </w:tcPr>
          <w:p w14:paraId="7BB7054E"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Project B</w:t>
            </w:r>
          </w:p>
        </w:tc>
        <w:tc>
          <w:tcPr>
            <w:tcW w:w="0" w:type="auto"/>
            <w:vAlign w:val="center"/>
            <w:hideMark/>
          </w:tcPr>
          <w:p w14:paraId="37538510"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0.917</w:t>
            </w:r>
          </w:p>
        </w:tc>
      </w:tr>
      <w:tr w:rsidR="00DE2753" w:rsidRPr="00B706D3" w14:paraId="495E825D" w14:textId="77777777" w:rsidTr="00B706D3">
        <w:trPr>
          <w:tblCellSpacing w:w="15" w:type="dxa"/>
          <w:jc w:val="center"/>
        </w:trPr>
        <w:tc>
          <w:tcPr>
            <w:tcW w:w="0" w:type="auto"/>
            <w:vAlign w:val="center"/>
            <w:hideMark/>
          </w:tcPr>
          <w:p w14:paraId="03EB9517"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3</w:t>
            </w:r>
          </w:p>
        </w:tc>
        <w:tc>
          <w:tcPr>
            <w:tcW w:w="0" w:type="auto"/>
            <w:vAlign w:val="center"/>
            <w:hideMark/>
          </w:tcPr>
          <w:p w14:paraId="7FC34CD2"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Project A</w:t>
            </w:r>
          </w:p>
        </w:tc>
        <w:tc>
          <w:tcPr>
            <w:tcW w:w="0" w:type="auto"/>
            <w:vAlign w:val="center"/>
            <w:hideMark/>
          </w:tcPr>
          <w:p w14:paraId="026720B5" w14:textId="77777777" w:rsidR="00DE2753" w:rsidRPr="00B706D3" w:rsidRDefault="00DE2753" w:rsidP="00B706D3">
            <w:pPr>
              <w:adjustRightInd w:val="0"/>
              <w:snapToGrid w:val="0"/>
              <w:spacing w:before="240" w:after="240" w:line="24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0.909</w:t>
            </w:r>
          </w:p>
        </w:tc>
      </w:tr>
    </w:tbl>
    <w:p w14:paraId="54FB6A4E" w14:textId="25AEBD9D"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The inclusion of the highest-ranked project is essential. Project B is slightly better, with slightly better PI than A and more predictable annual cash flows of £11 million. This stability complements the back-loaded profile of C and creates a balanced portfolio. The total NPV for B+C is the least negative among combinations. It minimizes value destruction and maximizes efficiency under the budget constraints</w:t>
      </w:r>
      <w:r w:rsidR="007435F1" w:rsidRPr="00B706D3">
        <w:rPr>
          <w:rFonts w:ascii="Times New Roman" w:hAnsi="Times New Roman" w:cs="Times New Roman"/>
          <w:color w:val="000000" w:themeColor="text1"/>
        </w:rPr>
        <w:t xml:space="preserve"> (Rawell, 2022)</w:t>
      </w:r>
      <w:r w:rsidRPr="00B706D3">
        <w:rPr>
          <w:rFonts w:ascii="Times New Roman" w:hAnsi="Times New Roman" w:cs="Times New Roman"/>
          <w:color w:val="000000" w:themeColor="text1"/>
        </w:rPr>
        <w:t>.</w:t>
      </w:r>
    </w:p>
    <w:p w14:paraId="106675A4" w14:textId="534F9A84" w:rsidR="00DE2753"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8" w:name="_Toc227875555"/>
      <w:r w:rsidRPr="00B706D3">
        <w:rPr>
          <w:rFonts w:ascii="Times New Roman" w:hAnsi="Times New Roman" w:cs="Times New Roman"/>
          <w:b/>
          <w:bCs/>
          <w:color w:val="000000" w:themeColor="text1"/>
          <w:sz w:val="24"/>
          <w:szCs w:val="24"/>
        </w:rPr>
        <w:t xml:space="preserve">4.5 </w:t>
      </w:r>
      <w:r w:rsidR="00DE2753" w:rsidRPr="00B706D3">
        <w:rPr>
          <w:rFonts w:ascii="Times New Roman" w:hAnsi="Times New Roman" w:cs="Times New Roman"/>
          <w:b/>
          <w:bCs/>
          <w:color w:val="000000" w:themeColor="text1"/>
          <w:sz w:val="24"/>
          <w:szCs w:val="24"/>
        </w:rPr>
        <w:t>Implementation considerations and risks</w:t>
      </w:r>
      <w:bookmarkEnd w:id="18"/>
      <w:r w:rsidR="00DE2753" w:rsidRPr="00B706D3">
        <w:rPr>
          <w:rFonts w:ascii="Times New Roman" w:hAnsi="Times New Roman" w:cs="Times New Roman"/>
          <w:b/>
          <w:bCs/>
          <w:color w:val="000000" w:themeColor="text1"/>
          <w:sz w:val="24"/>
          <w:szCs w:val="24"/>
        </w:rPr>
        <w:t xml:space="preserve"> </w:t>
      </w:r>
    </w:p>
    <w:p w14:paraId="5942A2F2" w14:textId="7899EC57" w:rsidR="00DE2753" w:rsidRPr="00B706D3" w:rsidRDefault="00DE2753"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 xml:space="preserve">A sensitive analysis should be conducted on cash flow variability and discount rate changes. The actual performance should be monitored against forecasts in the early years of Project C. It </w:t>
      </w:r>
      <w:r w:rsidR="00A0134B">
        <w:rPr>
          <w:rFonts w:ascii="Times New Roman" w:hAnsi="Times New Roman" w:cs="Times New Roman"/>
          <w:color w:val="000000" w:themeColor="text1"/>
        </w:rPr>
        <w:t>is suggested to be</w:t>
      </w:r>
      <w:r w:rsidRPr="00B706D3">
        <w:rPr>
          <w:rFonts w:ascii="Times New Roman" w:hAnsi="Times New Roman" w:cs="Times New Roman"/>
          <w:color w:val="000000" w:themeColor="text1"/>
        </w:rPr>
        <w:t xml:space="preserve"> integrated with existing operations to generate additional synergies in areas of technology and supply chain. The non-financial risks </w:t>
      </w:r>
      <w:r w:rsidR="00A0134B">
        <w:rPr>
          <w:rFonts w:ascii="Times New Roman" w:hAnsi="Times New Roman" w:cs="Times New Roman"/>
          <w:color w:val="000000" w:themeColor="text1"/>
        </w:rPr>
        <w:t>are</w:t>
      </w:r>
      <w:r w:rsidRPr="00B706D3">
        <w:rPr>
          <w:rFonts w:ascii="Times New Roman" w:hAnsi="Times New Roman" w:cs="Times New Roman"/>
          <w:color w:val="000000" w:themeColor="text1"/>
        </w:rPr>
        <w:t xml:space="preserve"> mitigated through careful project planning. </w:t>
      </w:r>
      <w:r w:rsidR="00A0134B">
        <w:rPr>
          <w:rFonts w:ascii="Times New Roman" w:hAnsi="Times New Roman" w:cs="Times New Roman"/>
          <w:color w:val="000000" w:themeColor="text1"/>
        </w:rPr>
        <w:t>A</w:t>
      </w:r>
      <w:r w:rsidRPr="00B706D3">
        <w:rPr>
          <w:rFonts w:ascii="Times New Roman" w:hAnsi="Times New Roman" w:cs="Times New Roman"/>
          <w:color w:val="000000" w:themeColor="text1"/>
        </w:rPr>
        <w:t xml:space="preserve"> sustainable sourcing and fair labour practices </w:t>
      </w:r>
      <w:r w:rsidR="00A0134B">
        <w:rPr>
          <w:rFonts w:ascii="Times New Roman" w:hAnsi="Times New Roman" w:cs="Times New Roman"/>
          <w:color w:val="000000" w:themeColor="text1"/>
        </w:rPr>
        <w:t>can help to meet</w:t>
      </w:r>
      <w:r w:rsidRPr="00B706D3">
        <w:rPr>
          <w:rFonts w:ascii="Times New Roman" w:hAnsi="Times New Roman" w:cs="Times New Roman"/>
          <w:color w:val="000000" w:themeColor="text1"/>
        </w:rPr>
        <w:t xml:space="preserve"> their CSR commitments</w:t>
      </w:r>
      <w:r w:rsidR="007435F1" w:rsidRPr="00B706D3">
        <w:rPr>
          <w:rFonts w:ascii="Times New Roman" w:hAnsi="Times New Roman" w:cs="Times New Roman"/>
          <w:color w:val="000000" w:themeColor="text1"/>
        </w:rPr>
        <w:t xml:space="preserve"> (</w:t>
      </w:r>
      <w:proofErr w:type="spellStart"/>
      <w:r w:rsidR="007435F1" w:rsidRPr="00B706D3">
        <w:rPr>
          <w:rFonts w:ascii="Times New Roman" w:hAnsi="Times New Roman" w:cs="Times New Roman"/>
          <w:color w:val="000000" w:themeColor="text1"/>
        </w:rPr>
        <w:t>Billedaeu</w:t>
      </w:r>
      <w:proofErr w:type="spellEnd"/>
      <w:r w:rsidR="007435F1" w:rsidRPr="00B706D3">
        <w:rPr>
          <w:rFonts w:ascii="Times New Roman" w:hAnsi="Times New Roman" w:cs="Times New Roman"/>
          <w:color w:val="000000" w:themeColor="text1"/>
        </w:rPr>
        <w:t xml:space="preserve"> and Wilson, 2025)</w:t>
      </w:r>
      <w:r w:rsidRPr="00B706D3">
        <w:rPr>
          <w:rFonts w:ascii="Times New Roman" w:hAnsi="Times New Roman" w:cs="Times New Roman"/>
          <w:color w:val="000000" w:themeColor="text1"/>
        </w:rPr>
        <w:t>.</w:t>
      </w:r>
    </w:p>
    <w:p w14:paraId="7059722C" w14:textId="2BD29EE7" w:rsidR="00DE2753" w:rsidRPr="00B706D3" w:rsidRDefault="00DB61B2" w:rsidP="00B706D3">
      <w:pPr>
        <w:pStyle w:val="Heading2"/>
        <w:adjustRightInd w:val="0"/>
        <w:snapToGrid w:val="0"/>
        <w:spacing w:before="240" w:after="240" w:line="360" w:lineRule="auto"/>
        <w:jc w:val="both"/>
        <w:rPr>
          <w:rFonts w:ascii="Times New Roman" w:hAnsi="Times New Roman" w:cs="Times New Roman"/>
          <w:b/>
          <w:bCs/>
          <w:color w:val="000000" w:themeColor="text1"/>
          <w:sz w:val="24"/>
          <w:szCs w:val="24"/>
        </w:rPr>
      </w:pPr>
      <w:bookmarkStart w:id="19" w:name="_Toc227875556"/>
      <w:r w:rsidRPr="00B706D3">
        <w:rPr>
          <w:rFonts w:ascii="Times New Roman" w:hAnsi="Times New Roman" w:cs="Times New Roman"/>
          <w:b/>
          <w:bCs/>
          <w:color w:val="000000" w:themeColor="text1"/>
          <w:sz w:val="24"/>
          <w:szCs w:val="24"/>
        </w:rPr>
        <w:t xml:space="preserve">4.6 </w:t>
      </w:r>
      <w:r w:rsidR="00DE2753" w:rsidRPr="00B706D3">
        <w:rPr>
          <w:rFonts w:ascii="Times New Roman" w:hAnsi="Times New Roman" w:cs="Times New Roman"/>
          <w:b/>
          <w:bCs/>
          <w:color w:val="000000" w:themeColor="text1"/>
          <w:sz w:val="24"/>
          <w:szCs w:val="24"/>
        </w:rPr>
        <w:t>Conclusion</w:t>
      </w:r>
      <w:bookmarkEnd w:id="19"/>
      <w:r w:rsidR="00DE2753" w:rsidRPr="00B706D3">
        <w:rPr>
          <w:rFonts w:ascii="Times New Roman" w:hAnsi="Times New Roman" w:cs="Times New Roman"/>
          <w:b/>
          <w:bCs/>
          <w:color w:val="000000" w:themeColor="text1"/>
          <w:sz w:val="24"/>
          <w:szCs w:val="24"/>
        </w:rPr>
        <w:t xml:space="preserve"> </w:t>
      </w:r>
    </w:p>
    <w:p w14:paraId="4F45E6E3" w14:textId="3435B8FA" w:rsidR="0059741A" w:rsidRDefault="0059741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t xml:space="preserve">The single standout project for Kia is C which excels in payback speed and return rate. The reduced political exposure further supports this choice. The 100 million capital rationing constraints make the combination of projects B and C optimal. It can help the automaker continue its successful transformation. </w:t>
      </w:r>
    </w:p>
    <w:p w14:paraId="35199E00" w14:textId="284D10CA" w:rsidR="006763C1" w:rsidRPr="00B706D3" w:rsidRDefault="006763C1"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Hyundai’s expertise and knowledge of global markets gave Kia a competitive moat over rivals. It already had many customers around the world whose trust was directly shared with Kia as well. The financial health of the company is robust with high cash flows. The industry is now facing a shift towards battery powered vehicles where every firm needs something new and better. </w:t>
      </w:r>
    </w:p>
    <w:p w14:paraId="2AC0618A" w14:textId="265AC122" w:rsidR="00DE2753" w:rsidRPr="00B706D3" w:rsidRDefault="0059741A" w:rsidP="00B706D3">
      <w:pPr>
        <w:adjustRightInd w:val="0"/>
        <w:snapToGrid w:val="0"/>
        <w:spacing w:before="240" w:after="240" w:line="360" w:lineRule="auto"/>
        <w:jc w:val="both"/>
        <w:rPr>
          <w:rFonts w:ascii="Times New Roman" w:hAnsi="Times New Roman" w:cs="Times New Roman"/>
          <w:color w:val="000000" w:themeColor="text1"/>
        </w:rPr>
      </w:pPr>
      <w:r w:rsidRPr="00B706D3">
        <w:rPr>
          <w:rFonts w:ascii="Times New Roman" w:hAnsi="Times New Roman" w:cs="Times New Roman"/>
          <w:color w:val="000000" w:themeColor="text1"/>
        </w:rPr>
        <w:lastRenderedPageBreak/>
        <w:t xml:space="preserve">This decision is built on their recent achievements in cash generation and balance sheet strength. A regular board review will be crucial for ensuring the chosen investments meet or exceed expectations. </w:t>
      </w:r>
      <w:r w:rsidR="00A0134B">
        <w:rPr>
          <w:rFonts w:ascii="Times New Roman" w:hAnsi="Times New Roman" w:cs="Times New Roman"/>
          <w:color w:val="000000" w:themeColor="text1"/>
        </w:rPr>
        <w:t>Overall, the plan’s</w:t>
      </w:r>
      <w:r w:rsidRPr="00B706D3">
        <w:rPr>
          <w:rFonts w:ascii="Times New Roman" w:hAnsi="Times New Roman" w:cs="Times New Roman"/>
          <w:color w:val="000000" w:themeColor="text1"/>
        </w:rPr>
        <w:t xml:space="preserve"> disciplined execution will help Kia achieve long-term success in the evolving industry.</w:t>
      </w:r>
    </w:p>
    <w:p w14:paraId="0C3D56D7" w14:textId="77777777" w:rsidR="006763C1" w:rsidRDefault="006763C1">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03DD96D" w14:textId="1F3696A1" w:rsidR="0059741A" w:rsidRPr="00B706D3" w:rsidRDefault="0059741A" w:rsidP="00B706D3">
      <w:pPr>
        <w:pStyle w:val="Heading1"/>
        <w:adjustRightInd w:val="0"/>
        <w:snapToGrid w:val="0"/>
        <w:spacing w:before="240" w:after="240" w:line="360" w:lineRule="auto"/>
        <w:jc w:val="both"/>
        <w:rPr>
          <w:rFonts w:ascii="Times New Roman" w:hAnsi="Times New Roman" w:cs="Times New Roman"/>
          <w:b/>
          <w:bCs/>
          <w:color w:val="000000" w:themeColor="text1"/>
          <w:sz w:val="24"/>
          <w:szCs w:val="24"/>
        </w:rPr>
      </w:pPr>
      <w:bookmarkStart w:id="20" w:name="_Toc227875557"/>
      <w:r w:rsidRPr="00B706D3">
        <w:rPr>
          <w:rFonts w:ascii="Times New Roman" w:hAnsi="Times New Roman" w:cs="Times New Roman"/>
          <w:b/>
          <w:bCs/>
          <w:color w:val="000000" w:themeColor="text1"/>
          <w:sz w:val="24"/>
          <w:szCs w:val="24"/>
        </w:rPr>
        <w:lastRenderedPageBreak/>
        <w:t>References</w:t>
      </w:r>
      <w:bookmarkEnd w:id="20"/>
      <w:r w:rsidRPr="00B706D3">
        <w:rPr>
          <w:rFonts w:ascii="Times New Roman" w:hAnsi="Times New Roman" w:cs="Times New Roman"/>
          <w:b/>
          <w:bCs/>
          <w:color w:val="000000" w:themeColor="text1"/>
          <w:sz w:val="24"/>
          <w:szCs w:val="24"/>
        </w:rPr>
        <w:t xml:space="preserve"> </w:t>
      </w:r>
    </w:p>
    <w:p w14:paraId="2E76198F" w14:textId="77777777" w:rsid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Automotiveworld</w:t>
      </w:r>
      <w:proofErr w:type="spellEnd"/>
      <w:r w:rsidRPr="00D05B3B">
        <w:rPr>
          <w:rFonts w:ascii="Times New Roman" w:hAnsi="Times New Roman" w:cs="Times New Roman"/>
          <w:color w:val="000000" w:themeColor="text1"/>
          <w:lang w:val="en-US"/>
        </w:rPr>
        <w:t xml:space="preserve">. (2025) Kia announces 2025 second quarter business results. [Online] </w:t>
      </w:r>
      <w:proofErr w:type="spellStart"/>
      <w:r w:rsidRPr="00D05B3B">
        <w:rPr>
          <w:rFonts w:ascii="Times New Roman" w:hAnsi="Times New Roman" w:cs="Times New Roman"/>
          <w:color w:val="000000" w:themeColor="text1"/>
          <w:lang w:val="en-US"/>
        </w:rPr>
        <w:t>automotiveworld</w:t>
      </w:r>
      <w:proofErr w:type="spellEnd"/>
      <w:r w:rsidRPr="00D05B3B">
        <w:rPr>
          <w:rFonts w:ascii="Times New Roman" w:hAnsi="Times New Roman" w:cs="Times New Roman"/>
          <w:color w:val="000000" w:themeColor="text1"/>
          <w:lang w:val="en-US"/>
        </w:rPr>
        <w:t xml:space="preserve">. Available at </w:t>
      </w:r>
      <w:hyperlink r:id="rId13" w:history="1">
        <w:r w:rsidRPr="00D05B3B">
          <w:rPr>
            <w:rStyle w:val="Hyperlink"/>
            <w:rFonts w:ascii="Times New Roman" w:hAnsi="Times New Roman" w:cs="Times New Roman"/>
            <w:color w:val="000000" w:themeColor="text1"/>
            <w:u w:val="none"/>
            <w:lang w:val="en-US"/>
          </w:rPr>
          <w:t>https://www.automotiveworld.com/news-releases/kia-announces-2025-second-quarter-business-results/</w:t>
        </w:r>
      </w:hyperlink>
      <w:r w:rsidRPr="00D05B3B">
        <w:rPr>
          <w:rFonts w:ascii="Times New Roman" w:hAnsi="Times New Roman" w:cs="Times New Roman"/>
          <w:color w:val="000000" w:themeColor="text1"/>
          <w:lang w:val="en-US"/>
        </w:rPr>
        <w:t xml:space="preserve"> </w:t>
      </w:r>
    </w:p>
    <w:p w14:paraId="7753BBD8" w14:textId="5A280543" w:rsidR="00EC7B2D" w:rsidRPr="00D05B3B" w:rsidRDefault="00EC7B2D" w:rsidP="00D05B3B">
      <w:pPr>
        <w:adjustRightInd w:val="0"/>
        <w:snapToGrid w:val="0"/>
        <w:spacing w:before="240" w:after="240" w:line="360" w:lineRule="auto"/>
        <w:jc w:val="both"/>
        <w:rPr>
          <w:rFonts w:ascii="Times New Roman" w:hAnsi="Times New Roman" w:cs="Times New Roman"/>
          <w:color w:val="000000" w:themeColor="text1"/>
          <w:lang w:val="en-US"/>
        </w:rPr>
      </w:pPr>
      <w:r w:rsidRPr="00EC7B2D">
        <w:rPr>
          <w:rFonts w:ascii="Times New Roman" w:hAnsi="Times New Roman" w:cs="Times New Roman"/>
          <w:color w:val="000000" w:themeColor="text1"/>
        </w:rPr>
        <w:t xml:space="preserve">Badar, D. S., </w:t>
      </w:r>
      <w:proofErr w:type="spellStart"/>
      <w:r w:rsidRPr="00EC7B2D">
        <w:rPr>
          <w:rFonts w:ascii="Times New Roman" w:hAnsi="Times New Roman" w:cs="Times New Roman"/>
          <w:color w:val="000000" w:themeColor="text1"/>
        </w:rPr>
        <w:t>Nurgraha</w:t>
      </w:r>
      <w:proofErr w:type="spellEnd"/>
      <w:r w:rsidRPr="00EC7B2D">
        <w:rPr>
          <w:rFonts w:ascii="Times New Roman" w:hAnsi="Times New Roman" w:cs="Times New Roman"/>
          <w:color w:val="000000" w:themeColor="text1"/>
        </w:rPr>
        <w:t xml:space="preserve">, N., </w:t>
      </w:r>
      <w:proofErr w:type="spellStart"/>
      <w:r w:rsidRPr="00EC7B2D">
        <w:rPr>
          <w:rFonts w:ascii="Times New Roman" w:hAnsi="Times New Roman" w:cs="Times New Roman"/>
          <w:color w:val="000000" w:themeColor="text1"/>
        </w:rPr>
        <w:t>Supriyatna</w:t>
      </w:r>
      <w:proofErr w:type="spellEnd"/>
      <w:r w:rsidRPr="00EC7B2D">
        <w:rPr>
          <w:rFonts w:ascii="Times New Roman" w:hAnsi="Times New Roman" w:cs="Times New Roman"/>
          <w:color w:val="000000" w:themeColor="text1"/>
        </w:rPr>
        <w:t xml:space="preserve">, Y., &amp; </w:t>
      </w:r>
      <w:proofErr w:type="spellStart"/>
      <w:r w:rsidRPr="00EC7B2D">
        <w:rPr>
          <w:rFonts w:ascii="Times New Roman" w:hAnsi="Times New Roman" w:cs="Times New Roman"/>
          <w:color w:val="000000" w:themeColor="text1"/>
        </w:rPr>
        <w:t>Purnamasari</w:t>
      </w:r>
      <w:proofErr w:type="spellEnd"/>
      <w:r w:rsidRPr="00EC7B2D">
        <w:rPr>
          <w:rFonts w:ascii="Times New Roman" w:hAnsi="Times New Roman" w:cs="Times New Roman"/>
          <w:color w:val="000000" w:themeColor="text1"/>
        </w:rPr>
        <w:t>, I. (2025). The impact of financial ratios on corporate performance in Southeast Asia: A comparison of pre-and post-COVID-19 Pandemic. </w:t>
      </w:r>
      <w:proofErr w:type="spellStart"/>
      <w:r w:rsidRPr="00EC7B2D">
        <w:rPr>
          <w:rFonts w:ascii="Times New Roman" w:hAnsi="Times New Roman" w:cs="Times New Roman"/>
          <w:i/>
          <w:iCs/>
          <w:color w:val="000000" w:themeColor="text1"/>
        </w:rPr>
        <w:t>Jurnal</w:t>
      </w:r>
      <w:proofErr w:type="spellEnd"/>
      <w:r w:rsidRPr="00EC7B2D">
        <w:rPr>
          <w:rFonts w:ascii="Times New Roman" w:hAnsi="Times New Roman" w:cs="Times New Roman"/>
          <w:i/>
          <w:iCs/>
          <w:color w:val="000000" w:themeColor="text1"/>
        </w:rPr>
        <w:t xml:space="preserve"> </w:t>
      </w:r>
      <w:proofErr w:type="spellStart"/>
      <w:r w:rsidRPr="00EC7B2D">
        <w:rPr>
          <w:rFonts w:ascii="Times New Roman" w:hAnsi="Times New Roman" w:cs="Times New Roman"/>
          <w:i/>
          <w:iCs/>
          <w:color w:val="000000" w:themeColor="text1"/>
        </w:rPr>
        <w:t>Ilmiah</w:t>
      </w:r>
      <w:proofErr w:type="spellEnd"/>
      <w:r w:rsidRPr="00EC7B2D">
        <w:rPr>
          <w:rFonts w:ascii="Times New Roman" w:hAnsi="Times New Roman" w:cs="Times New Roman"/>
          <w:i/>
          <w:iCs/>
          <w:color w:val="000000" w:themeColor="text1"/>
        </w:rPr>
        <w:t xml:space="preserve"> </w:t>
      </w:r>
      <w:proofErr w:type="spellStart"/>
      <w:r w:rsidRPr="00EC7B2D">
        <w:rPr>
          <w:rFonts w:ascii="Times New Roman" w:hAnsi="Times New Roman" w:cs="Times New Roman"/>
          <w:i/>
          <w:iCs/>
          <w:color w:val="000000" w:themeColor="text1"/>
        </w:rPr>
        <w:t>Akuntansi</w:t>
      </w:r>
      <w:proofErr w:type="spellEnd"/>
      <w:r w:rsidRPr="00EC7B2D">
        <w:rPr>
          <w:rFonts w:ascii="Times New Roman" w:hAnsi="Times New Roman" w:cs="Times New Roman"/>
          <w:i/>
          <w:iCs/>
          <w:color w:val="000000" w:themeColor="text1"/>
        </w:rPr>
        <w:t xml:space="preserve"> </w:t>
      </w:r>
      <w:proofErr w:type="spellStart"/>
      <w:r w:rsidRPr="00EC7B2D">
        <w:rPr>
          <w:rFonts w:ascii="Times New Roman" w:hAnsi="Times New Roman" w:cs="Times New Roman"/>
          <w:i/>
          <w:iCs/>
          <w:color w:val="000000" w:themeColor="text1"/>
        </w:rPr>
        <w:t>Kesatuan</w:t>
      </w:r>
      <w:proofErr w:type="spellEnd"/>
      <w:r w:rsidRPr="00EC7B2D">
        <w:rPr>
          <w:rFonts w:ascii="Times New Roman" w:hAnsi="Times New Roman" w:cs="Times New Roman"/>
          <w:color w:val="000000" w:themeColor="text1"/>
        </w:rPr>
        <w:t>, </w:t>
      </w:r>
      <w:r w:rsidRPr="00EC7B2D">
        <w:rPr>
          <w:rFonts w:ascii="Times New Roman" w:hAnsi="Times New Roman" w:cs="Times New Roman"/>
          <w:i/>
          <w:iCs/>
          <w:color w:val="000000" w:themeColor="text1"/>
        </w:rPr>
        <w:t>13</w:t>
      </w:r>
      <w:r w:rsidRPr="00EC7B2D">
        <w:rPr>
          <w:rFonts w:ascii="Times New Roman" w:hAnsi="Times New Roman" w:cs="Times New Roman"/>
          <w:color w:val="000000" w:themeColor="text1"/>
        </w:rPr>
        <w:t>(3), 419-432.</w:t>
      </w:r>
      <w:r>
        <w:rPr>
          <w:rFonts w:ascii="Times New Roman" w:hAnsi="Times New Roman" w:cs="Times New Roman"/>
          <w:color w:val="000000" w:themeColor="text1"/>
        </w:rPr>
        <w:t xml:space="preserve"> </w:t>
      </w:r>
    </w:p>
    <w:p w14:paraId="03BF4531"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Becker, D. (2024) Navigating raw material risks: Challenges and opportunities in the automotive industry. [Online] </w:t>
      </w:r>
      <w:proofErr w:type="spellStart"/>
      <w:r w:rsidRPr="00D05B3B">
        <w:rPr>
          <w:rFonts w:ascii="Times New Roman" w:hAnsi="Times New Roman" w:cs="Times New Roman"/>
          <w:color w:val="000000" w:themeColor="text1"/>
          <w:lang w:val="en-US"/>
        </w:rPr>
        <w:t>fastmarkets</w:t>
      </w:r>
      <w:proofErr w:type="spellEnd"/>
      <w:r w:rsidRPr="00D05B3B">
        <w:rPr>
          <w:rFonts w:ascii="Times New Roman" w:hAnsi="Times New Roman" w:cs="Times New Roman"/>
          <w:color w:val="000000" w:themeColor="text1"/>
          <w:lang w:val="en-US"/>
        </w:rPr>
        <w:t xml:space="preserve">. Available at </w:t>
      </w:r>
      <w:hyperlink r:id="rId14" w:history="1">
        <w:r w:rsidRPr="00D05B3B">
          <w:rPr>
            <w:rStyle w:val="Hyperlink"/>
            <w:rFonts w:ascii="Times New Roman" w:hAnsi="Times New Roman" w:cs="Times New Roman"/>
            <w:color w:val="000000" w:themeColor="text1"/>
            <w:u w:val="none"/>
            <w:lang w:val="en-US"/>
          </w:rPr>
          <w:t>https://www.fastmarkets.com/insights/navigating-raw-material-risks-challenges-and-opportunities-in-the-automotive-industry/</w:t>
        </w:r>
      </w:hyperlink>
      <w:r w:rsidRPr="00D05B3B">
        <w:rPr>
          <w:rFonts w:ascii="Times New Roman" w:hAnsi="Times New Roman" w:cs="Times New Roman"/>
          <w:color w:val="000000" w:themeColor="text1"/>
          <w:lang w:val="en-US"/>
        </w:rPr>
        <w:t xml:space="preserve"> </w:t>
      </w:r>
    </w:p>
    <w:p w14:paraId="5BCE0BCA"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Bernath, M. (2023) Debt Structuring in Project Finance: Balancing Risk and Returns for Successful Infrastructure Development. [Online] medium. Available at </w:t>
      </w:r>
      <w:hyperlink r:id="rId15" w:history="1">
        <w:r w:rsidRPr="00D05B3B">
          <w:rPr>
            <w:rStyle w:val="Hyperlink"/>
            <w:rFonts w:ascii="Times New Roman" w:hAnsi="Times New Roman" w:cs="Times New Roman"/>
            <w:color w:val="000000" w:themeColor="text1"/>
            <w:u w:val="none"/>
            <w:lang w:val="en-US"/>
          </w:rPr>
          <w:t>https://medium.com/@matthew.bernath/debt-structuring-in-project-finance-balancing-risk-and-returns-c6213c56cebf</w:t>
        </w:r>
      </w:hyperlink>
      <w:r w:rsidRPr="00D05B3B">
        <w:rPr>
          <w:rFonts w:ascii="Times New Roman" w:hAnsi="Times New Roman" w:cs="Times New Roman"/>
          <w:color w:val="000000" w:themeColor="text1"/>
          <w:lang w:val="en-US"/>
        </w:rPr>
        <w:t xml:space="preserve"> </w:t>
      </w:r>
    </w:p>
    <w:p w14:paraId="0AA73DEC"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Billedeau, D. B., and Wilson, J. (2025) Misalignment in the automotive supply Chain: Sustainability commitments of automotive manufacturing firms and their suppliers. Journal of Cleaner Production, 520, 146122.</w:t>
      </w:r>
    </w:p>
    <w:p w14:paraId="4CFF2BAC"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Cbtnews</w:t>
      </w:r>
      <w:proofErr w:type="spellEnd"/>
      <w:r w:rsidRPr="00D05B3B">
        <w:rPr>
          <w:rFonts w:ascii="Times New Roman" w:hAnsi="Times New Roman" w:cs="Times New Roman"/>
          <w:color w:val="000000" w:themeColor="text1"/>
          <w:lang w:val="en-US"/>
        </w:rPr>
        <w:t xml:space="preserve">. (2025) Kia hit with $842 million tariff loss as Q3 profit sinks. [Online] </w:t>
      </w:r>
      <w:proofErr w:type="spellStart"/>
      <w:r w:rsidRPr="00D05B3B">
        <w:rPr>
          <w:rFonts w:ascii="Times New Roman" w:hAnsi="Times New Roman" w:cs="Times New Roman"/>
          <w:color w:val="000000" w:themeColor="text1"/>
          <w:lang w:val="en-US"/>
        </w:rPr>
        <w:t>cbtnews</w:t>
      </w:r>
      <w:proofErr w:type="spellEnd"/>
      <w:r w:rsidRPr="00D05B3B">
        <w:rPr>
          <w:rFonts w:ascii="Times New Roman" w:hAnsi="Times New Roman" w:cs="Times New Roman"/>
          <w:color w:val="000000" w:themeColor="text1"/>
          <w:lang w:val="en-US"/>
        </w:rPr>
        <w:t xml:space="preserve">. Available at </w:t>
      </w:r>
      <w:hyperlink r:id="rId16" w:history="1">
        <w:r w:rsidRPr="00D05B3B">
          <w:rPr>
            <w:rStyle w:val="Hyperlink"/>
            <w:rFonts w:ascii="Times New Roman" w:hAnsi="Times New Roman" w:cs="Times New Roman"/>
            <w:color w:val="000000" w:themeColor="text1"/>
            <w:u w:val="none"/>
            <w:lang w:val="en-US"/>
          </w:rPr>
          <w:t>https://www.cbtnews.com/kia-hit-with-842-million-tariff-loss-as-q3-profit-sinks-nearly-50/</w:t>
        </w:r>
      </w:hyperlink>
      <w:r w:rsidRPr="00D05B3B">
        <w:rPr>
          <w:rFonts w:ascii="Times New Roman" w:hAnsi="Times New Roman" w:cs="Times New Roman"/>
          <w:color w:val="000000" w:themeColor="text1"/>
          <w:lang w:val="en-US"/>
        </w:rPr>
        <w:t xml:space="preserve"> </w:t>
      </w:r>
    </w:p>
    <w:p w14:paraId="743B5460"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Chandrasekaran, M. M. (2022) Does corporate social responsibility fuel firm performance? Evidence from the Asian automotive sector. Sustainability, 14(22), 15440.</w:t>
      </w:r>
    </w:p>
    <w:p w14:paraId="2320E07C"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Chen, J., Boyle, M. and Eichler, R. (2025) Understanding Divestiture: Definition, Reasons, and Examples. [Online] </w:t>
      </w:r>
      <w:proofErr w:type="spellStart"/>
      <w:r w:rsidRPr="00D05B3B">
        <w:rPr>
          <w:rFonts w:ascii="Times New Roman" w:hAnsi="Times New Roman" w:cs="Times New Roman"/>
          <w:color w:val="000000" w:themeColor="text1"/>
          <w:lang w:val="en-US"/>
        </w:rPr>
        <w:t>investopedia</w:t>
      </w:r>
      <w:proofErr w:type="spellEnd"/>
      <w:r w:rsidRPr="00D05B3B">
        <w:rPr>
          <w:rFonts w:ascii="Times New Roman" w:hAnsi="Times New Roman" w:cs="Times New Roman"/>
          <w:color w:val="000000" w:themeColor="text1"/>
          <w:lang w:val="en-US"/>
        </w:rPr>
        <w:t xml:space="preserve">. Available at </w:t>
      </w:r>
      <w:hyperlink r:id="rId17" w:history="1">
        <w:r w:rsidRPr="00D05B3B">
          <w:rPr>
            <w:rStyle w:val="Hyperlink"/>
            <w:rFonts w:ascii="Times New Roman" w:hAnsi="Times New Roman" w:cs="Times New Roman"/>
            <w:color w:val="000000" w:themeColor="text1"/>
            <w:u w:val="none"/>
            <w:lang w:val="en-US"/>
          </w:rPr>
          <w:t>https://www.investopedia.com/terms/d/divestiture.asp</w:t>
        </w:r>
      </w:hyperlink>
      <w:r w:rsidRPr="00D05B3B">
        <w:rPr>
          <w:rFonts w:ascii="Times New Roman" w:hAnsi="Times New Roman" w:cs="Times New Roman"/>
          <w:color w:val="000000" w:themeColor="text1"/>
          <w:lang w:val="en-US"/>
        </w:rPr>
        <w:t xml:space="preserve"> </w:t>
      </w:r>
    </w:p>
    <w:p w14:paraId="3F50C765"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Corporatefinanceinstitute</w:t>
      </w:r>
      <w:proofErr w:type="spellEnd"/>
      <w:r w:rsidRPr="00D05B3B">
        <w:rPr>
          <w:rFonts w:ascii="Times New Roman" w:hAnsi="Times New Roman" w:cs="Times New Roman"/>
          <w:color w:val="000000" w:themeColor="text1"/>
          <w:lang w:val="en-US"/>
        </w:rPr>
        <w:t xml:space="preserve">. (2019) Operating Cycle. [Online] </w:t>
      </w:r>
      <w:proofErr w:type="spellStart"/>
      <w:r w:rsidRPr="00D05B3B">
        <w:rPr>
          <w:rFonts w:ascii="Times New Roman" w:hAnsi="Times New Roman" w:cs="Times New Roman"/>
          <w:color w:val="000000" w:themeColor="text1"/>
          <w:lang w:val="en-US"/>
        </w:rPr>
        <w:t>corporatefinanceinstitute</w:t>
      </w:r>
      <w:proofErr w:type="spellEnd"/>
      <w:r w:rsidRPr="00D05B3B">
        <w:rPr>
          <w:rFonts w:ascii="Times New Roman" w:hAnsi="Times New Roman" w:cs="Times New Roman"/>
          <w:color w:val="000000" w:themeColor="text1"/>
          <w:lang w:val="en-US"/>
        </w:rPr>
        <w:t xml:space="preserve">. Available at </w:t>
      </w:r>
      <w:hyperlink r:id="rId18" w:history="1">
        <w:r w:rsidRPr="00D05B3B">
          <w:rPr>
            <w:rStyle w:val="Hyperlink"/>
            <w:rFonts w:ascii="Times New Roman" w:hAnsi="Times New Roman" w:cs="Times New Roman"/>
            <w:color w:val="000000" w:themeColor="text1"/>
            <w:u w:val="none"/>
            <w:lang w:val="en-US"/>
          </w:rPr>
          <w:t>https://corporatefinanceinstitute.com/resources/accounting/operating-cycle/</w:t>
        </w:r>
      </w:hyperlink>
      <w:r w:rsidRPr="00D05B3B">
        <w:rPr>
          <w:rFonts w:ascii="Times New Roman" w:hAnsi="Times New Roman" w:cs="Times New Roman"/>
          <w:color w:val="000000" w:themeColor="text1"/>
          <w:lang w:val="en-US"/>
        </w:rPr>
        <w:t xml:space="preserve"> </w:t>
      </w:r>
    </w:p>
    <w:p w14:paraId="18FE3912"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lastRenderedPageBreak/>
        <w:t xml:space="preserve">Davies, J. (2026) Achieve economies to scale with lean manufacturing. [Online] </w:t>
      </w:r>
      <w:proofErr w:type="spellStart"/>
      <w:r w:rsidRPr="00D05B3B">
        <w:rPr>
          <w:rFonts w:ascii="Times New Roman" w:hAnsi="Times New Roman" w:cs="Times New Roman"/>
          <w:color w:val="000000" w:themeColor="text1"/>
          <w:lang w:val="en-US"/>
        </w:rPr>
        <w:t>winman</w:t>
      </w:r>
      <w:proofErr w:type="spellEnd"/>
      <w:r w:rsidRPr="00D05B3B">
        <w:rPr>
          <w:rFonts w:ascii="Times New Roman" w:hAnsi="Times New Roman" w:cs="Times New Roman"/>
          <w:color w:val="000000" w:themeColor="text1"/>
          <w:lang w:val="en-US"/>
        </w:rPr>
        <w:t xml:space="preserve">. Available at </w:t>
      </w:r>
      <w:hyperlink r:id="rId19" w:history="1">
        <w:r w:rsidRPr="00D05B3B">
          <w:rPr>
            <w:rStyle w:val="Hyperlink"/>
            <w:rFonts w:ascii="Times New Roman" w:hAnsi="Times New Roman" w:cs="Times New Roman"/>
            <w:color w:val="000000" w:themeColor="text1"/>
            <w:u w:val="none"/>
            <w:lang w:val="en-US"/>
          </w:rPr>
          <w:t>https://www.winman.com/blog/achieve-economies-to-scale-with-lean-manufacturing</w:t>
        </w:r>
      </w:hyperlink>
      <w:r w:rsidRPr="00D05B3B">
        <w:rPr>
          <w:rFonts w:ascii="Times New Roman" w:hAnsi="Times New Roman" w:cs="Times New Roman"/>
          <w:color w:val="000000" w:themeColor="text1"/>
          <w:lang w:val="en-US"/>
        </w:rPr>
        <w:t xml:space="preserve"> </w:t>
      </w:r>
    </w:p>
    <w:p w14:paraId="6BE03709"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Do-wan, K. (2026) Kia Bets 49 Trillion Won on Humanoid Robots, Urban Autonomous Driving by 2029. [Online] </w:t>
      </w:r>
      <w:proofErr w:type="spellStart"/>
      <w:r w:rsidRPr="00D05B3B">
        <w:rPr>
          <w:rFonts w:ascii="Times New Roman" w:hAnsi="Times New Roman" w:cs="Times New Roman"/>
          <w:color w:val="000000" w:themeColor="text1"/>
          <w:lang w:val="en-US"/>
        </w:rPr>
        <w:t>sedaily</w:t>
      </w:r>
      <w:proofErr w:type="spellEnd"/>
      <w:r w:rsidRPr="00D05B3B">
        <w:rPr>
          <w:rFonts w:ascii="Times New Roman" w:hAnsi="Times New Roman" w:cs="Times New Roman"/>
          <w:color w:val="000000" w:themeColor="text1"/>
          <w:lang w:val="en-US"/>
        </w:rPr>
        <w:t xml:space="preserve">. Available at </w:t>
      </w:r>
      <w:hyperlink r:id="rId20" w:history="1">
        <w:r w:rsidRPr="00D05B3B">
          <w:rPr>
            <w:rStyle w:val="Hyperlink"/>
            <w:rFonts w:ascii="Times New Roman" w:hAnsi="Times New Roman" w:cs="Times New Roman"/>
            <w:color w:val="000000" w:themeColor="text1"/>
            <w:u w:val="none"/>
            <w:lang w:val="en-US"/>
          </w:rPr>
          <w:t>https://en.sedaily.com/finance/2026/04/10/kia-bets-49-trillion-won-on-humanoid-robots-urban</w:t>
        </w:r>
      </w:hyperlink>
      <w:r w:rsidRPr="00D05B3B">
        <w:rPr>
          <w:rFonts w:ascii="Times New Roman" w:hAnsi="Times New Roman" w:cs="Times New Roman"/>
          <w:color w:val="000000" w:themeColor="text1"/>
          <w:lang w:val="en-US"/>
        </w:rPr>
        <w:t xml:space="preserve"> </w:t>
      </w:r>
    </w:p>
    <w:p w14:paraId="13AC49C3"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Doyle, E., Frecknall-Hughes, J., and Summers, B. (2022) Ethical reasoning in tax practice: Law or is there </w:t>
      </w:r>
      <w:proofErr w:type="gramStart"/>
      <w:r w:rsidRPr="00D05B3B">
        <w:rPr>
          <w:rFonts w:ascii="Times New Roman" w:hAnsi="Times New Roman" w:cs="Times New Roman"/>
          <w:color w:val="000000" w:themeColor="text1"/>
          <w:lang w:val="en-US"/>
        </w:rPr>
        <w:t>more?.</w:t>
      </w:r>
      <w:proofErr w:type="gramEnd"/>
      <w:r w:rsidRPr="00D05B3B">
        <w:rPr>
          <w:rFonts w:ascii="Times New Roman" w:hAnsi="Times New Roman" w:cs="Times New Roman"/>
          <w:color w:val="000000" w:themeColor="text1"/>
          <w:lang w:val="en-US"/>
        </w:rPr>
        <w:t xml:space="preserve"> Journal of International Accounting, Auditing and Taxation, 48, 100483.</w:t>
      </w:r>
    </w:p>
    <w:p w14:paraId="53966A1F"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Efinancemanagement</w:t>
      </w:r>
      <w:proofErr w:type="spellEnd"/>
      <w:r w:rsidRPr="00D05B3B">
        <w:rPr>
          <w:rFonts w:ascii="Times New Roman" w:hAnsi="Times New Roman" w:cs="Times New Roman"/>
          <w:color w:val="000000" w:themeColor="text1"/>
          <w:lang w:val="en-US"/>
        </w:rPr>
        <w:t xml:space="preserve">. (2025) Investment Appraisal Techniques. [Online] </w:t>
      </w:r>
      <w:proofErr w:type="spellStart"/>
      <w:r w:rsidRPr="00D05B3B">
        <w:rPr>
          <w:rFonts w:ascii="Times New Roman" w:hAnsi="Times New Roman" w:cs="Times New Roman"/>
          <w:color w:val="000000" w:themeColor="text1"/>
          <w:lang w:val="en-US"/>
        </w:rPr>
        <w:t>efinancemanagement</w:t>
      </w:r>
      <w:proofErr w:type="spellEnd"/>
      <w:r w:rsidRPr="00D05B3B">
        <w:rPr>
          <w:rFonts w:ascii="Times New Roman" w:hAnsi="Times New Roman" w:cs="Times New Roman"/>
          <w:color w:val="000000" w:themeColor="text1"/>
          <w:lang w:val="en-US"/>
        </w:rPr>
        <w:t xml:space="preserve">. Available at </w:t>
      </w:r>
      <w:hyperlink r:id="rId21" w:history="1">
        <w:r w:rsidRPr="00D05B3B">
          <w:rPr>
            <w:rStyle w:val="Hyperlink"/>
            <w:rFonts w:ascii="Times New Roman" w:hAnsi="Times New Roman" w:cs="Times New Roman"/>
            <w:color w:val="000000" w:themeColor="text1"/>
            <w:u w:val="none"/>
            <w:lang w:val="en-US"/>
          </w:rPr>
          <w:t>https://efinancemanagement.com/investment-decisions/investment-appraisal-techniques</w:t>
        </w:r>
      </w:hyperlink>
      <w:r w:rsidRPr="00D05B3B">
        <w:rPr>
          <w:rFonts w:ascii="Times New Roman" w:hAnsi="Times New Roman" w:cs="Times New Roman"/>
          <w:color w:val="000000" w:themeColor="text1"/>
          <w:lang w:val="en-US"/>
        </w:rPr>
        <w:t xml:space="preserve"> </w:t>
      </w:r>
    </w:p>
    <w:p w14:paraId="4C720E83"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Fastercapital</w:t>
      </w:r>
      <w:proofErr w:type="spellEnd"/>
      <w:r w:rsidRPr="00D05B3B">
        <w:rPr>
          <w:rFonts w:ascii="Times New Roman" w:hAnsi="Times New Roman" w:cs="Times New Roman"/>
          <w:color w:val="000000" w:themeColor="text1"/>
          <w:lang w:val="en-US"/>
        </w:rPr>
        <w:t xml:space="preserve">. (2025) The Importance </w:t>
      </w:r>
      <w:proofErr w:type="gramStart"/>
      <w:r w:rsidRPr="00D05B3B">
        <w:rPr>
          <w:rFonts w:ascii="Times New Roman" w:hAnsi="Times New Roman" w:cs="Times New Roman"/>
          <w:color w:val="000000" w:themeColor="text1"/>
          <w:lang w:val="en-US"/>
        </w:rPr>
        <w:t>Of</w:t>
      </w:r>
      <w:proofErr w:type="gramEnd"/>
      <w:r w:rsidRPr="00D05B3B">
        <w:rPr>
          <w:rFonts w:ascii="Times New Roman" w:hAnsi="Times New Roman" w:cs="Times New Roman"/>
          <w:color w:val="000000" w:themeColor="text1"/>
          <w:lang w:val="en-US"/>
        </w:rPr>
        <w:t xml:space="preserve"> Capital Injection For Business Growth. [Online] </w:t>
      </w:r>
      <w:proofErr w:type="spellStart"/>
      <w:r w:rsidRPr="00D05B3B">
        <w:rPr>
          <w:rFonts w:ascii="Times New Roman" w:hAnsi="Times New Roman" w:cs="Times New Roman"/>
          <w:color w:val="000000" w:themeColor="text1"/>
          <w:lang w:val="en-US"/>
        </w:rPr>
        <w:t>fastercapital</w:t>
      </w:r>
      <w:proofErr w:type="spellEnd"/>
      <w:r w:rsidRPr="00D05B3B">
        <w:rPr>
          <w:rFonts w:ascii="Times New Roman" w:hAnsi="Times New Roman" w:cs="Times New Roman"/>
          <w:color w:val="000000" w:themeColor="text1"/>
          <w:lang w:val="en-US"/>
        </w:rPr>
        <w:t xml:space="preserve">. Available at </w:t>
      </w:r>
      <w:hyperlink r:id="rId22" w:history="1">
        <w:r w:rsidRPr="00D05B3B">
          <w:rPr>
            <w:rStyle w:val="Hyperlink"/>
            <w:rFonts w:ascii="Times New Roman" w:hAnsi="Times New Roman" w:cs="Times New Roman"/>
            <w:color w:val="000000" w:themeColor="text1"/>
            <w:u w:val="none"/>
            <w:lang w:val="en-US"/>
          </w:rPr>
          <w:t>https://fastercapital.com/topics/the-importance-of-capital-injection-for-business-growth.html/4</w:t>
        </w:r>
      </w:hyperlink>
      <w:r w:rsidRPr="00D05B3B">
        <w:rPr>
          <w:rFonts w:ascii="Times New Roman" w:hAnsi="Times New Roman" w:cs="Times New Roman"/>
          <w:color w:val="000000" w:themeColor="text1"/>
          <w:lang w:val="en-US"/>
        </w:rPr>
        <w:t xml:space="preserve"> </w:t>
      </w:r>
    </w:p>
    <w:p w14:paraId="4EA39CF8"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Furlong, K. (2025) Kia Sets Record November Sales as Carnival, Sportage, and Seltos Surge. [Online] </w:t>
      </w:r>
      <w:proofErr w:type="spellStart"/>
      <w:r w:rsidRPr="00D05B3B">
        <w:rPr>
          <w:rFonts w:ascii="Times New Roman" w:hAnsi="Times New Roman" w:cs="Times New Roman"/>
          <w:color w:val="000000" w:themeColor="text1"/>
          <w:lang w:val="en-US"/>
        </w:rPr>
        <w:t>autoblog</w:t>
      </w:r>
      <w:proofErr w:type="spellEnd"/>
      <w:r w:rsidRPr="00D05B3B">
        <w:rPr>
          <w:rFonts w:ascii="Times New Roman" w:hAnsi="Times New Roman" w:cs="Times New Roman"/>
          <w:color w:val="000000" w:themeColor="text1"/>
          <w:lang w:val="en-US"/>
        </w:rPr>
        <w:t xml:space="preserve">. Available at </w:t>
      </w:r>
      <w:hyperlink r:id="rId23" w:history="1">
        <w:r w:rsidRPr="00D05B3B">
          <w:rPr>
            <w:rStyle w:val="Hyperlink"/>
            <w:rFonts w:ascii="Times New Roman" w:hAnsi="Times New Roman" w:cs="Times New Roman"/>
            <w:color w:val="000000" w:themeColor="text1"/>
            <w:u w:val="none"/>
            <w:lang w:val="en-US"/>
          </w:rPr>
          <w:t>https://www.autoblog.com/news/kia-carnival-sportage-and-seltos-november-sales-records</w:t>
        </w:r>
      </w:hyperlink>
      <w:r w:rsidRPr="00D05B3B">
        <w:rPr>
          <w:rFonts w:ascii="Times New Roman" w:hAnsi="Times New Roman" w:cs="Times New Roman"/>
          <w:color w:val="000000" w:themeColor="text1"/>
          <w:lang w:val="en-US"/>
        </w:rPr>
        <w:t xml:space="preserve"> </w:t>
      </w:r>
    </w:p>
    <w:p w14:paraId="75C9A6B7"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Gilliam, J. (2025) The cash conversion cycle: A key metric for improving your company’s financial health. [Online] </w:t>
      </w:r>
      <w:proofErr w:type="spellStart"/>
      <w:r w:rsidRPr="00D05B3B">
        <w:rPr>
          <w:rFonts w:ascii="Times New Roman" w:hAnsi="Times New Roman" w:cs="Times New Roman"/>
          <w:color w:val="000000" w:themeColor="text1"/>
          <w:lang w:val="en-US"/>
        </w:rPr>
        <w:t>billtrust</w:t>
      </w:r>
      <w:proofErr w:type="spellEnd"/>
      <w:r w:rsidRPr="00D05B3B">
        <w:rPr>
          <w:rFonts w:ascii="Times New Roman" w:hAnsi="Times New Roman" w:cs="Times New Roman"/>
          <w:color w:val="000000" w:themeColor="text1"/>
          <w:lang w:val="en-US"/>
        </w:rPr>
        <w:t xml:space="preserve">. Available at </w:t>
      </w:r>
      <w:hyperlink r:id="rId24" w:history="1">
        <w:r w:rsidRPr="00D05B3B">
          <w:rPr>
            <w:rStyle w:val="Hyperlink"/>
            <w:rFonts w:ascii="Times New Roman" w:hAnsi="Times New Roman" w:cs="Times New Roman"/>
            <w:color w:val="000000" w:themeColor="text1"/>
            <w:u w:val="none"/>
            <w:lang w:val="en-US"/>
          </w:rPr>
          <w:t>https://www.billtrust.com/resources/blog/cash-conversion-cycle</w:t>
        </w:r>
      </w:hyperlink>
      <w:r w:rsidRPr="00D05B3B">
        <w:rPr>
          <w:rFonts w:ascii="Times New Roman" w:hAnsi="Times New Roman" w:cs="Times New Roman"/>
          <w:color w:val="000000" w:themeColor="text1"/>
          <w:lang w:val="en-US"/>
        </w:rPr>
        <w:t xml:space="preserve"> </w:t>
      </w:r>
    </w:p>
    <w:p w14:paraId="540DA567"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Goldstein, S. (2023) Top investing picks across the EV supply chain. [Online] </w:t>
      </w:r>
      <w:proofErr w:type="spellStart"/>
      <w:r w:rsidRPr="00D05B3B">
        <w:rPr>
          <w:rFonts w:ascii="Times New Roman" w:hAnsi="Times New Roman" w:cs="Times New Roman"/>
          <w:color w:val="000000" w:themeColor="text1"/>
          <w:lang w:val="en-US"/>
        </w:rPr>
        <w:t>morningstar</w:t>
      </w:r>
      <w:proofErr w:type="spellEnd"/>
      <w:r w:rsidRPr="00D05B3B">
        <w:rPr>
          <w:rFonts w:ascii="Times New Roman" w:hAnsi="Times New Roman" w:cs="Times New Roman"/>
          <w:color w:val="000000" w:themeColor="text1"/>
          <w:lang w:val="en-US"/>
        </w:rPr>
        <w:t xml:space="preserve">. Available at </w:t>
      </w:r>
      <w:hyperlink r:id="rId25" w:history="1">
        <w:r w:rsidRPr="00D05B3B">
          <w:rPr>
            <w:rStyle w:val="Hyperlink"/>
            <w:rFonts w:ascii="Times New Roman" w:hAnsi="Times New Roman" w:cs="Times New Roman"/>
            <w:color w:val="000000" w:themeColor="text1"/>
            <w:u w:val="none"/>
            <w:lang w:val="en-US"/>
          </w:rPr>
          <w:t>https://www.morningstar.com.au/stocks/top-investing-picks-across-the-ev-supply-chain</w:t>
        </w:r>
      </w:hyperlink>
      <w:r w:rsidRPr="00D05B3B">
        <w:rPr>
          <w:rFonts w:ascii="Times New Roman" w:hAnsi="Times New Roman" w:cs="Times New Roman"/>
          <w:color w:val="000000" w:themeColor="text1"/>
          <w:lang w:val="en-US"/>
        </w:rPr>
        <w:t xml:space="preserve"> </w:t>
      </w:r>
    </w:p>
    <w:p w14:paraId="2A8F420D"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Hao, Y., and Hao, Y. (2026) The Dynamics of Competition in the Chinese Electric Vehicle Market: Insights from BYD’s Market Evolution. International Journal of Industrial Organization, 103256.</w:t>
      </w:r>
    </w:p>
    <w:p w14:paraId="54E5BA33"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lastRenderedPageBreak/>
        <w:t xml:space="preserve">Hayes, A. and </w:t>
      </w:r>
      <w:proofErr w:type="spellStart"/>
      <w:r w:rsidRPr="00D05B3B">
        <w:rPr>
          <w:rFonts w:ascii="Times New Roman" w:hAnsi="Times New Roman" w:cs="Times New Roman"/>
          <w:color w:val="000000" w:themeColor="text1"/>
          <w:lang w:val="en-US"/>
        </w:rPr>
        <w:t>Rosenston</w:t>
      </w:r>
      <w:proofErr w:type="spellEnd"/>
      <w:r w:rsidRPr="00D05B3B">
        <w:rPr>
          <w:rFonts w:ascii="Times New Roman" w:hAnsi="Times New Roman" w:cs="Times New Roman"/>
          <w:color w:val="000000" w:themeColor="text1"/>
          <w:lang w:val="en-US"/>
        </w:rPr>
        <w:t xml:space="preserve">, M. (2026) Working Capital Management: Ensuring Cash Flow &amp; Efficiency. [Online] </w:t>
      </w:r>
      <w:proofErr w:type="spellStart"/>
      <w:r w:rsidRPr="00D05B3B">
        <w:rPr>
          <w:rFonts w:ascii="Times New Roman" w:hAnsi="Times New Roman" w:cs="Times New Roman"/>
          <w:color w:val="000000" w:themeColor="text1"/>
          <w:lang w:val="en-US"/>
        </w:rPr>
        <w:t>investopedia</w:t>
      </w:r>
      <w:proofErr w:type="spellEnd"/>
      <w:r w:rsidRPr="00D05B3B">
        <w:rPr>
          <w:rFonts w:ascii="Times New Roman" w:hAnsi="Times New Roman" w:cs="Times New Roman"/>
          <w:color w:val="000000" w:themeColor="text1"/>
          <w:lang w:val="en-US"/>
        </w:rPr>
        <w:t xml:space="preserve">. Available at </w:t>
      </w:r>
      <w:hyperlink r:id="rId26" w:history="1">
        <w:r w:rsidRPr="00D05B3B">
          <w:rPr>
            <w:rStyle w:val="Hyperlink"/>
            <w:rFonts w:ascii="Times New Roman" w:hAnsi="Times New Roman" w:cs="Times New Roman"/>
            <w:color w:val="000000" w:themeColor="text1"/>
            <w:u w:val="none"/>
            <w:lang w:val="en-US"/>
          </w:rPr>
          <w:t>https://www.investopedia.com/terms/w/workingcapitalmanagement.asp</w:t>
        </w:r>
      </w:hyperlink>
      <w:r w:rsidRPr="00D05B3B">
        <w:rPr>
          <w:rFonts w:ascii="Times New Roman" w:hAnsi="Times New Roman" w:cs="Times New Roman"/>
          <w:color w:val="000000" w:themeColor="text1"/>
          <w:lang w:val="en-US"/>
        </w:rPr>
        <w:t xml:space="preserve"> </w:t>
      </w:r>
    </w:p>
    <w:p w14:paraId="0C250954" w14:textId="77777777" w:rsid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Jenkins, A. (2024) Just-in-Time (JIT) Inventory: A Definition and Comprehensive Guide. [Online] </w:t>
      </w:r>
      <w:proofErr w:type="spellStart"/>
      <w:r w:rsidRPr="00D05B3B">
        <w:rPr>
          <w:rFonts w:ascii="Times New Roman" w:hAnsi="Times New Roman" w:cs="Times New Roman"/>
          <w:color w:val="000000" w:themeColor="text1"/>
          <w:lang w:val="en-US"/>
        </w:rPr>
        <w:t>netsuite</w:t>
      </w:r>
      <w:proofErr w:type="spellEnd"/>
      <w:r w:rsidRPr="00D05B3B">
        <w:rPr>
          <w:rFonts w:ascii="Times New Roman" w:hAnsi="Times New Roman" w:cs="Times New Roman"/>
          <w:color w:val="000000" w:themeColor="text1"/>
          <w:lang w:val="en-US"/>
        </w:rPr>
        <w:t xml:space="preserve">. Available at </w:t>
      </w:r>
      <w:hyperlink r:id="rId27" w:history="1">
        <w:r w:rsidRPr="00D05B3B">
          <w:rPr>
            <w:rStyle w:val="Hyperlink"/>
            <w:rFonts w:ascii="Times New Roman" w:hAnsi="Times New Roman" w:cs="Times New Roman"/>
            <w:color w:val="000000" w:themeColor="text1"/>
            <w:u w:val="none"/>
            <w:lang w:val="en-US"/>
          </w:rPr>
          <w:t>https://www.netsuite.com/portal/resource/articles/inventory-management/just-in-time-inventory.shtml</w:t>
        </w:r>
      </w:hyperlink>
      <w:r w:rsidRPr="00D05B3B">
        <w:rPr>
          <w:rFonts w:ascii="Times New Roman" w:hAnsi="Times New Roman" w:cs="Times New Roman"/>
          <w:color w:val="000000" w:themeColor="text1"/>
          <w:lang w:val="en-US"/>
        </w:rPr>
        <w:t xml:space="preserve"> </w:t>
      </w:r>
    </w:p>
    <w:p w14:paraId="69E6A4C5" w14:textId="0076014D" w:rsidR="00EC7B2D" w:rsidRDefault="00EC7B2D" w:rsidP="00D05B3B">
      <w:pPr>
        <w:adjustRightInd w:val="0"/>
        <w:snapToGrid w:val="0"/>
        <w:spacing w:before="240" w:after="240" w:line="360" w:lineRule="auto"/>
        <w:jc w:val="both"/>
        <w:rPr>
          <w:rFonts w:ascii="Times New Roman" w:hAnsi="Times New Roman" w:cs="Times New Roman"/>
          <w:color w:val="000000" w:themeColor="text1"/>
        </w:rPr>
      </w:pPr>
      <w:proofErr w:type="spellStart"/>
      <w:r w:rsidRPr="00EC7B2D">
        <w:rPr>
          <w:rFonts w:ascii="Times New Roman" w:hAnsi="Times New Roman" w:cs="Times New Roman"/>
          <w:color w:val="000000" w:themeColor="text1"/>
        </w:rPr>
        <w:t>Jerab</w:t>
      </w:r>
      <w:proofErr w:type="spellEnd"/>
      <w:r w:rsidRPr="00EC7B2D">
        <w:rPr>
          <w:rFonts w:ascii="Times New Roman" w:hAnsi="Times New Roman" w:cs="Times New Roman"/>
          <w:color w:val="000000" w:themeColor="text1"/>
        </w:rPr>
        <w:t>, D., &amp; Mabrouk, T. (2023). Strategies for effective organizational restructuring: A comprehensive guide. </w:t>
      </w:r>
      <w:r w:rsidRPr="00EC7B2D">
        <w:rPr>
          <w:rFonts w:ascii="Times New Roman" w:hAnsi="Times New Roman" w:cs="Times New Roman"/>
          <w:i/>
          <w:iCs/>
          <w:color w:val="000000" w:themeColor="text1"/>
        </w:rPr>
        <w:t>Available at SSRN 4584665</w:t>
      </w:r>
      <w:r w:rsidRPr="00EC7B2D">
        <w:rPr>
          <w:rFonts w:ascii="Times New Roman" w:hAnsi="Times New Roman" w:cs="Times New Roman"/>
          <w:color w:val="000000" w:themeColor="text1"/>
        </w:rPr>
        <w:t>.</w:t>
      </w:r>
    </w:p>
    <w:p w14:paraId="6DB22CFD" w14:textId="24C037F9" w:rsidR="00EC7B2D" w:rsidRDefault="00EC7B2D" w:rsidP="00D05B3B">
      <w:pPr>
        <w:adjustRightInd w:val="0"/>
        <w:snapToGrid w:val="0"/>
        <w:spacing w:before="240" w:after="240" w:line="360" w:lineRule="auto"/>
        <w:jc w:val="both"/>
        <w:rPr>
          <w:rFonts w:ascii="Times New Roman" w:hAnsi="Times New Roman" w:cs="Times New Roman"/>
          <w:color w:val="000000" w:themeColor="text1"/>
        </w:rPr>
      </w:pPr>
      <w:r w:rsidRPr="00EC7B2D">
        <w:rPr>
          <w:rFonts w:ascii="Times New Roman" w:hAnsi="Times New Roman" w:cs="Times New Roman"/>
          <w:color w:val="000000" w:themeColor="text1"/>
        </w:rPr>
        <w:t>Jin, C. H. E. N. (2025). Growth and Competitiveness of Chinese Electric Vehicle and Electric Vehicle Battery Companies: Observation and Analysis from an Ecosystem Perspective. </w:t>
      </w:r>
      <w:r w:rsidRPr="00EC7B2D">
        <w:rPr>
          <w:rFonts w:ascii="Times New Roman" w:hAnsi="Times New Roman" w:cs="Times New Roman"/>
          <w:i/>
          <w:iCs/>
          <w:color w:val="000000" w:themeColor="text1"/>
        </w:rPr>
        <w:t>International Relations</w:t>
      </w:r>
      <w:r w:rsidRPr="00EC7B2D">
        <w:rPr>
          <w:rFonts w:ascii="Times New Roman" w:hAnsi="Times New Roman" w:cs="Times New Roman"/>
          <w:color w:val="000000" w:themeColor="text1"/>
        </w:rPr>
        <w:t>, </w:t>
      </w:r>
      <w:r w:rsidRPr="00EC7B2D">
        <w:rPr>
          <w:rFonts w:ascii="Times New Roman" w:hAnsi="Times New Roman" w:cs="Times New Roman"/>
          <w:i/>
          <w:iCs/>
          <w:color w:val="000000" w:themeColor="text1"/>
        </w:rPr>
        <w:t>13</w:t>
      </w:r>
      <w:r w:rsidRPr="00EC7B2D">
        <w:rPr>
          <w:rFonts w:ascii="Times New Roman" w:hAnsi="Times New Roman" w:cs="Times New Roman"/>
          <w:color w:val="000000" w:themeColor="text1"/>
        </w:rPr>
        <w:t>(3), 119-133.</w:t>
      </w:r>
      <w:r>
        <w:rPr>
          <w:rFonts w:ascii="Times New Roman" w:hAnsi="Times New Roman" w:cs="Times New Roman"/>
          <w:color w:val="000000" w:themeColor="text1"/>
        </w:rPr>
        <w:t xml:space="preserve"> </w:t>
      </w:r>
    </w:p>
    <w:p w14:paraId="7D1724B3" w14:textId="0A59D36A" w:rsidR="004D7FF2" w:rsidRPr="00D05B3B" w:rsidRDefault="004D7FF2" w:rsidP="00D05B3B">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rPr>
        <w:t xml:space="preserve">Keni, D., Srivastav, A. K. and Vaidya, D. (2019). </w:t>
      </w:r>
      <w:r w:rsidRPr="004D7FF2">
        <w:rPr>
          <w:rFonts w:ascii="Times New Roman" w:hAnsi="Times New Roman" w:cs="Times New Roman"/>
          <w:color w:val="000000" w:themeColor="text1"/>
        </w:rPr>
        <w:t>Efficiency Ratios Formula</w:t>
      </w:r>
      <w:r>
        <w:rPr>
          <w:rFonts w:ascii="Times New Roman" w:hAnsi="Times New Roman" w:cs="Times New Roman"/>
          <w:color w:val="000000" w:themeColor="text1"/>
        </w:rPr>
        <w:t xml:space="preserve">. [Online] </w:t>
      </w:r>
      <w:proofErr w:type="spellStart"/>
      <w:r>
        <w:rPr>
          <w:rFonts w:ascii="Times New Roman" w:hAnsi="Times New Roman" w:cs="Times New Roman"/>
          <w:color w:val="000000" w:themeColor="text1"/>
        </w:rPr>
        <w:t>wallstreetmojo</w:t>
      </w:r>
      <w:proofErr w:type="spellEnd"/>
      <w:r>
        <w:rPr>
          <w:rFonts w:ascii="Times New Roman" w:hAnsi="Times New Roman" w:cs="Times New Roman"/>
          <w:color w:val="000000" w:themeColor="text1"/>
        </w:rPr>
        <w:t xml:space="preserve">. Available at </w:t>
      </w:r>
      <w:r w:rsidRPr="004D7FF2">
        <w:rPr>
          <w:rFonts w:ascii="Times New Roman" w:hAnsi="Times New Roman" w:cs="Times New Roman"/>
          <w:color w:val="000000" w:themeColor="text1"/>
        </w:rPr>
        <w:t>https://www.wallstreetmojo.com/efficiency-ratios-formula/</w:t>
      </w:r>
    </w:p>
    <w:p w14:paraId="03E383FB"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Kenton, W., Mansa, J. and Velasquez, V. (2026) Understanding Gearing Ratios: Definitions, Types, and Calculations. [Online] </w:t>
      </w:r>
      <w:proofErr w:type="spellStart"/>
      <w:r w:rsidRPr="00D05B3B">
        <w:rPr>
          <w:rFonts w:ascii="Times New Roman" w:hAnsi="Times New Roman" w:cs="Times New Roman"/>
          <w:color w:val="000000" w:themeColor="text1"/>
          <w:lang w:val="en-US"/>
        </w:rPr>
        <w:t>investopedia</w:t>
      </w:r>
      <w:proofErr w:type="spellEnd"/>
      <w:r w:rsidRPr="00D05B3B">
        <w:rPr>
          <w:rFonts w:ascii="Times New Roman" w:hAnsi="Times New Roman" w:cs="Times New Roman"/>
          <w:color w:val="000000" w:themeColor="text1"/>
          <w:lang w:val="en-US"/>
        </w:rPr>
        <w:t xml:space="preserve">. Available at </w:t>
      </w:r>
      <w:hyperlink r:id="rId28" w:history="1">
        <w:r w:rsidRPr="00D05B3B">
          <w:rPr>
            <w:rStyle w:val="Hyperlink"/>
            <w:rFonts w:ascii="Times New Roman" w:hAnsi="Times New Roman" w:cs="Times New Roman"/>
            <w:color w:val="000000" w:themeColor="text1"/>
            <w:u w:val="none"/>
            <w:lang w:val="en-US"/>
          </w:rPr>
          <w:t>https://www.investopedia.com/terms/g/gearingratio.asp</w:t>
        </w:r>
      </w:hyperlink>
      <w:r w:rsidRPr="00D05B3B">
        <w:rPr>
          <w:rFonts w:ascii="Times New Roman" w:hAnsi="Times New Roman" w:cs="Times New Roman"/>
          <w:color w:val="000000" w:themeColor="text1"/>
          <w:lang w:val="en-US"/>
        </w:rPr>
        <w:t xml:space="preserve"> </w:t>
      </w:r>
    </w:p>
    <w:p w14:paraId="4A4AEAF5"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McKay, T. (2025) Strategies to manage your cash conversion cycle. [Online] mercury. Available at </w:t>
      </w:r>
      <w:hyperlink r:id="rId29" w:history="1">
        <w:r w:rsidRPr="00D05B3B">
          <w:rPr>
            <w:rStyle w:val="Hyperlink"/>
            <w:rFonts w:ascii="Times New Roman" w:hAnsi="Times New Roman" w:cs="Times New Roman"/>
            <w:color w:val="000000" w:themeColor="text1"/>
            <w:u w:val="none"/>
            <w:lang w:val="en-US"/>
          </w:rPr>
          <w:t>https://mercury.com/blog/strategies-manage-cash-conversion-cycle</w:t>
        </w:r>
      </w:hyperlink>
      <w:r w:rsidRPr="00D05B3B">
        <w:rPr>
          <w:rFonts w:ascii="Times New Roman" w:hAnsi="Times New Roman" w:cs="Times New Roman"/>
          <w:color w:val="000000" w:themeColor="text1"/>
          <w:lang w:val="en-US"/>
        </w:rPr>
        <w:t xml:space="preserve"> </w:t>
      </w:r>
    </w:p>
    <w:p w14:paraId="37248A60"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Morningstar. (2026) Kia and TotalEnergies Celebrate 15 Years of Global Collaboration with a Fourth Contract Renewal. [Online] </w:t>
      </w:r>
      <w:proofErr w:type="spellStart"/>
      <w:r w:rsidRPr="00D05B3B">
        <w:rPr>
          <w:rFonts w:ascii="Times New Roman" w:hAnsi="Times New Roman" w:cs="Times New Roman"/>
          <w:color w:val="000000" w:themeColor="text1"/>
          <w:lang w:val="en-US"/>
        </w:rPr>
        <w:t>morningstar</w:t>
      </w:r>
      <w:proofErr w:type="spellEnd"/>
      <w:r w:rsidRPr="00D05B3B">
        <w:rPr>
          <w:rFonts w:ascii="Times New Roman" w:hAnsi="Times New Roman" w:cs="Times New Roman"/>
          <w:color w:val="000000" w:themeColor="text1"/>
          <w:lang w:val="en-US"/>
        </w:rPr>
        <w:t xml:space="preserve">. Available at </w:t>
      </w:r>
      <w:hyperlink r:id="rId30" w:history="1">
        <w:r w:rsidRPr="00D05B3B">
          <w:rPr>
            <w:rStyle w:val="Hyperlink"/>
            <w:rFonts w:ascii="Times New Roman" w:hAnsi="Times New Roman" w:cs="Times New Roman"/>
            <w:color w:val="000000" w:themeColor="text1"/>
            <w:u w:val="none"/>
            <w:lang w:val="en-US"/>
          </w:rPr>
          <w:t>https://www.morningstar.com/news/pr-newswire/20260420ny18388/kia-and-totalenergies-celebrate-15-years-of-global-collaboration-with-a-fourth-contract-renewal</w:t>
        </w:r>
      </w:hyperlink>
      <w:r w:rsidRPr="00D05B3B">
        <w:rPr>
          <w:rFonts w:ascii="Times New Roman" w:hAnsi="Times New Roman" w:cs="Times New Roman"/>
          <w:color w:val="000000" w:themeColor="text1"/>
          <w:lang w:val="en-US"/>
        </w:rPr>
        <w:t xml:space="preserve"> </w:t>
      </w:r>
    </w:p>
    <w:p w14:paraId="0FDD68C2"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Morris, C. (2026) Hyundai and Kia invest in battery software provider </w:t>
      </w:r>
      <w:proofErr w:type="spellStart"/>
      <w:r w:rsidRPr="00D05B3B">
        <w:rPr>
          <w:rFonts w:ascii="Times New Roman" w:hAnsi="Times New Roman" w:cs="Times New Roman"/>
          <w:color w:val="000000" w:themeColor="text1"/>
          <w:lang w:val="en-US"/>
        </w:rPr>
        <w:t>Qnovo</w:t>
      </w:r>
      <w:proofErr w:type="spellEnd"/>
      <w:r w:rsidRPr="00D05B3B">
        <w:rPr>
          <w:rFonts w:ascii="Times New Roman" w:hAnsi="Times New Roman" w:cs="Times New Roman"/>
          <w:color w:val="000000" w:themeColor="text1"/>
          <w:lang w:val="en-US"/>
        </w:rPr>
        <w:t xml:space="preserve">. [Online] </w:t>
      </w:r>
      <w:proofErr w:type="spellStart"/>
      <w:r w:rsidRPr="00D05B3B">
        <w:rPr>
          <w:rFonts w:ascii="Times New Roman" w:hAnsi="Times New Roman" w:cs="Times New Roman"/>
          <w:color w:val="000000" w:themeColor="text1"/>
          <w:lang w:val="en-US"/>
        </w:rPr>
        <w:t>chargedevs</w:t>
      </w:r>
      <w:proofErr w:type="spellEnd"/>
      <w:r w:rsidRPr="00D05B3B">
        <w:rPr>
          <w:rFonts w:ascii="Times New Roman" w:hAnsi="Times New Roman" w:cs="Times New Roman"/>
          <w:color w:val="000000" w:themeColor="text1"/>
          <w:lang w:val="en-US"/>
        </w:rPr>
        <w:t xml:space="preserve">. Available at </w:t>
      </w:r>
      <w:hyperlink r:id="rId31" w:history="1">
        <w:r w:rsidRPr="00D05B3B">
          <w:rPr>
            <w:rStyle w:val="Hyperlink"/>
            <w:rFonts w:ascii="Times New Roman" w:hAnsi="Times New Roman" w:cs="Times New Roman"/>
            <w:color w:val="000000" w:themeColor="text1"/>
            <w:u w:val="none"/>
            <w:lang w:val="en-US"/>
          </w:rPr>
          <w:t>https://chargedevs.com/newswire/hyundai-and-kia-invest-in-battery-software-provider-qnovo/</w:t>
        </w:r>
      </w:hyperlink>
      <w:r w:rsidRPr="00D05B3B">
        <w:rPr>
          <w:rFonts w:ascii="Times New Roman" w:hAnsi="Times New Roman" w:cs="Times New Roman"/>
          <w:color w:val="000000" w:themeColor="text1"/>
          <w:lang w:val="en-US"/>
        </w:rPr>
        <w:t xml:space="preserve"> </w:t>
      </w:r>
    </w:p>
    <w:p w14:paraId="3C0892D3"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Navi. (2022) What is Joint Venture – How to Set Up and Start One? [Online] </w:t>
      </w:r>
      <w:proofErr w:type="spellStart"/>
      <w:r w:rsidRPr="00D05B3B">
        <w:rPr>
          <w:rFonts w:ascii="Times New Roman" w:hAnsi="Times New Roman" w:cs="Times New Roman"/>
          <w:color w:val="000000" w:themeColor="text1"/>
          <w:lang w:val="en-US"/>
        </w:rPr>
        <w:t>navi</w:t>
      </w:r>
      <w:proofErr w:type="spellEnd"/>
      <w:r w:rsidRPr="00D05B3B">
        <w:rPr>
          <w:rFonts w:ascii="Times New Roman" w:hAnsi="Times New Roman" w:cs="Times New Roman"/>
          <w:color w:val="000000" w:themeColor="text1"/>
          <w:lang w:val="en-US"/>
        </w:rPr>
        <w:t xml:space="preserve">. Available at </w:t>
      </w:r>
      <w:hyperlink r:id="rId32" w:history="1">
        <w:r w:rsidRPr="00D05B3B">
          <w:rPr>
            <w:rStyle w:val="Hyperlink"/>
            <w:rFonts w:ascii="Times New Roman" w:hAnsi="Times New Roman" w:cs="Times New Roman"/>
            <w:color w:val="000000" w:themeColor="text1"/>
            <w:u w:val="none"/>
            <w:lang w:val="en-US"/>
          </w:rPr>
          <w:t>https://navi.com/blog/joint-venture/</w:t>
        </w:r>
      </w:hyperlink>
      <w:r w:rsidRPr="00D05B3B">
        <w:rPr>
          <w:rFonts w:ascii="Times New Roman" w:hAnsi="Times New Roman" w:cs="Times New Roman"/>
          <w:color w:val="000000" w:themeColor="text1"/>
          <w:lang w:val="en-US"/>
        </w:rPr>
        <w:t xml:space="preserve"> </w:t>
      </w:r>
    </w:p>
    <w:p w14:paraId="2FF572E8"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lastRenderedPageBreak/>
        <w:t>Oyrer</w:t>
      </w:r>
      <w:proofErr w:type="spellEnd"/>
      <w:r w:rsidRPr="00D05B3B">
        <w:rPr>
          <w:rFonts w:ascii="Times New Roman" w:hAnsi="Times New Roman" w:cs="Times New Roman"/>
          <w:color w:val="000000" w:themeColor="text1"/>
          <w:lang w:val="en-US"/>
        </w:rPr>
        <w:t xml:space="preserve">, H. (2021) New Automotive Market Realities Enhance the Need for Strategic Partnerships. [Online] the-autonomous. Available at </w:t>
      </w:r>
      <w:hyperlink r:id="rId33" w:history="1">
        <w:r w:rsidRPr="00D05B3B">
          <w:rPr>
            <w:rStyle w:val="Hyperlink"/>
            <w:rFonts w:ascii="Times New Roman" w:hAnsi="Times New Roman" w:cs="Times New Roman"/>
            <w:color w:val="000000" w:themeColor="text1"/>
            <w:u w:val="none"/>
            <w:lang w:val="en-US"/>
          </w:rPr>
          <w:t>https://www.the-autonomous.com/news/new-automotive-market-realities-enhance-the-need-for-strategic-partnerships/</w:t>
        </w:r>
      </w:hyperlink>
      <w:r w:rsidRPr="00D05B3B">
        <w:rPr>
          <w:rFonts w:ascii="Times New Roman" w:hAnsi="Times New Roman" w:cs="Times New Roman"/>
          <w:color w:val="000000" w:themeColor="text1"/>
          <w:lang w:val="en-US"/>
        </w:rPr>
        <w:t xml:space="preserve"> </w:t>
      </w:r>
    </w:p>
    <w:p w14:paraId="76460858"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Purnamasari</w:t>
      </w:r>
      <w:proofErr w:type="spellEnd"/>
      <w:r w:rsidRPr="00D05B3B">
        <w:rPr>
          <w:rFonts w:ascii="Times New Roman" w:hAnsi="Times New Roman" w:cs="Times New Roman"/>
          <w:color w:val="000000" w:themeColor="text1"/>
          <w:lang w:val="en-US"/>
        </w:rPr>
        <w:t xml:space="preserve">, P., and </w:t>
      </w:r>
      <w:proofErr w:type="spellStart"/>
      <w:r w:rsidRPr="00D05B3B">
        <w:rPr>
          <w:rFonts w:ascii="Times New Roman" w:hAnsi="Times New Roman" w:cs="Times New Roman"/>
          <w:color w:val="000000" w:themeColor="text1"/>
          <w:lang w:val="en-US"/>
        </w:rPr>
        <w:t>Adriza</w:t>
      </w:r>
      <w:proofErr w:type="spellEnd"/>
      <w:r w:rsidRPr="00D05B3B">
        <w:rPr>
          <w:rFonts w:ascii="Times New Roman" w:hAnsi="Times New Roman" w:cs="Times New Roman"/>
          <w:color w:val="000000" w:themeColor="text1"/>
          <w:lang w:val="en-US"/>
        </w:rPr>
        <w:t>. (2024) Capital budgeting techniques and financial performance: a comparison between SMEs and large listed firms. Cogent Economics &amp; Finance, 12(1), 2404707.</w:t>
      </w:r>
    </w:p>
    <w:p w14:paraId="77BAFE8B"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Ram, K. (2026) Difference Between Short-Term and Long-Term Financing in the UK. [Online] </w:t>
      </w:r>
      <w:proofErr w:type="spellStart"/>
      <w:r w:rsidRPr="00D05B3B">
        <w:rPr>
          <w:rFonts w:ascii="Times New Roman" w:hAnsi="Times New Roman" w:cs="Times New Roman"/>
          <w:color w:val="000000" w:themeColor="text1"/>
          <w:lang w:val="en-US"/>
        </w:rPr>
        <w:t>legalvision</w:t>
      </w:r>
      <w:proofErr w:type="spellEnd"/>
      <w:r w:rsidRPr="00D05B3B">
        <w:rPr>
          <w:rFonts w:ascii="Times New Roman" w:hAnsi="Times New Roman" w:cs="Times New Roman"/>
          <w:color w:val="000000" w:themeColor="text1"/>
          <w:lang w:val="en-US"/>
        </w:rPr>
        <w:t xml:space="preserve">. Available at </w:t>
      </w:r>
      <w:hyperlink r:id="rId34" w:history="1">
        <w:r w:rsidRPr="00D05B3B">
          <w:rPr>
            <w:rStyle w:val="Hyperlink"/>
            <w:rFonts w:ascii="Times New Roman" w:hAnsi="Times New Roman" w:cs="Times New Roman"/>
            <w:color w:val="000000" w:themeColor="text1"/>
            <w:u w:val="none"/>
            <w:lang w:val="en-US"/>
          </w:rPr>
          <w:t>https://legalvision.co.uk/corporations/term-financing/</w:t>
        </w:r>
      </w:hyperlink>
      <w:r w:rsidRPr="00D05B3B">
        <w:rPr>
          <w:rFonts w:ascii="Times New Roman" w:hAnsi="Times New Roman" w:cs="Times New Roman"/>
          <w:color w:val="000000" w:themeColor="text1"/>
          <w:lang w:val="en-US"/>
        </w:rPr>
        <w:t xml:space="preserve"> </w:t>
      </w:r>
    </w:p>
    <w:p w14:paraId="5BC40DF6"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Rawell, R. (2022) What is Capital Rationing, </w:t>
      </w:r>
      <w:proofErr w:type="gramStart"/>
      <w:r w:rsidRPr="00D05B3B">
        <w:rPr>
          <w:rFonts w:ascii="Times New Roman" w:hAnsi="Times New Roman" w:cs="Times New Roman"/>
          <w:color w:val="000000" w:themeColor="text1"/>
          <w:lang w:val="en-US"/>
        </w:rPr>
        <w:t>How</w:t>
      </w:r>
      <w:proofErr w:type="gramEnd"/>
      <w:r w:rsidRPr="00D05B3B">
        <w:rPr>
          <w:rFonts w:ascii="Times New Roman" w:hAnsi="Times New Roman" w:cs="Times New Roman"/>
          <w:color w:val="000000" w:themeColor="text1"/>
          <w:lang w:val="en-US"/>
        </w:rPr>
        <w:t xml:space="preserve"> is it Used? [Online] </w:t>
      </w:r>
      <w:proofErr w:type="spellStart"/>
      <w:r w:rsidRPr="00D05B3B">
        <w:rPr>
          <w:rFonts w:ascii="Times New Roman" w:hAnsi="Times New Roman" w:cs="Times New Roman"/>
          <w:color w:val="000000" w:themeColor="text1"/>
          <w:lang w:val="en-US"/>
        </w:rPr>
        <w:t>fisdom</w:t>
      </w:r>
      <w:proofErr w:type="spellEnd"/>
      <w:r w:rsidRPr="00D05B3B">
        <w:rPr>
          <w:rFonts w:ascii="Times New Roman" w:hAnsi="Times New Roman" w:cs="Times New Roman"/>
          <w:color w:val="000000" w:themeColor="text1"/>
          <w:lang w:val="en-US"/>
        </w:rPr>
        <w:t xml:space="preserve">. Available at </w:t>
      </w:r>
      <w:hyperlink r:id="rId35" w:history="1">
        <w:r w:rsidRPr="00D05B3B">
          <w:rPr>
            <w:rStyle w:val="Hyperlink"/>
            <w:rFonts w:ascii="Times New Roman" w:hAnsi="Times New Roman" w:cs="Times New Roman"/>
            <w:color w:val="000000" w:themeColor="text1"/>
            <w:u w:val="none"/>
            <w:lang w:val="en-US"/>
          </w:rPr>
          <w:t>https://www.fisdom.com/what-is-capital-rationing-how-is-it-used/</w:t>
        </w:r>
      </w:hyperlink>
      <w:r w:rsidRPr="00D05B3B">
        <w:rPr>
          <w:rFonts w:ascii="Times New Roman" w:hAnsi="Times New Roman" w:cs="Times New Roman"/>
          <w:color w:val="000000" w:themeColor="text1"/>
          <w:lang w:val="en-US"/>
        </w:rPr>
        <w:t xml:space="preserve"> </w:t>
      </w:r>
    </w:p>
    <w:p w14:paraId="0B586CC3" w14:textId="77777777" w:rsid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Rejeb</w:t>
      </w:r>
      <w:proofErr w:type="spellEnd"/>
      <w:r w:rsidRPr="00D05B3B">
        <w:rPr>
          <w:rFonts w:ascii="Times New Roman" w:hAnsi="Times New Roman" w:cs="Times New Roman"/>
          <w:color w:val="000000" w:themeColor="text1"/>
          <w:lang w:val="en-US"/>
        </w:rPr>
        <w:t xml:space="preserve">, A., </w:t>
      </w:r>
      <w:proofErr w:type="spellStart"/>
      <w:r w:rsidRPr="00D05B3B">
        <w:rPr>
          <w:rFonts w:ascii="Times New Roman" w:hAnsi="Times New Roman" w:cs="Times New Roman"/>
          <w:color w:val="000000" w:themeColor="text1"/>
          <w:lang w:val="en-US"/>
        </w:rPr>
        <w:t>Rejeb</w:t>
      </w:r>
      <w:proofErr w:type="spellEnd"/>
      <w:r w:rsidRPr="00D05B3B">
        <w:rPr>
          <w:rFonts w:ascii="Times New Roman" w:hAnsi="Times New Roman" w:cs="Times New Roman"/>
          <w:color w:val="000000" w:themeColor="text1"/>
          <w:lang w:val="en-US"/>
        </w:rPr>
        <w:t>, K., and Süle, E. (2025) Key issues in electric vehicle battery supply chains based on English-language news articles: a machine learning approach. Energy Nexus, 100595.</w:t>
      </w:r>
    </w:p>
    <w:p w14:paraId="6ACC1B30" w14:textId="28F22102" w:rsidR="00EC7B2D" w:rsidRDefault="00EC7B2D" w:rsidP="00D05B3B">
      <w:pPr>
        <w:adjustRightInd w:val="0"/>
        <w:snapToGrid w:val="0"/>
        <w:spacing w:before="240" w:after="240" w:line="360" w:lineRule="auto"/>
        <w:jc w:val="both"/>
        <w:rPr>
          <w:rFonts w:ascii="Times New Roman" w:hAnsi="Times New Roman" w:cs="Times New Roman"/>
          <w:color w:val="000000" w:themeColor="text1"/>
        </w:rPr>
      </w:pPr>
      <w:proofErr w:type="spellStart"/>
      <w:r w:rsidRPr="00EC7B2D">
        <w:rPr>
          <w:rFonts w:ascii="Times New Roman" w:hAnsi="Times New Roman" w:cs="Times New Roman"/>
          <w:color w:val="000000" w:themeColor="text1"/>
        </w:rPr>
        <w:t>Seretidou</w:t>
      </w:r>
      <w:proofErr w:type="spellEnd"/>
      <w:r w:rsidRPr="00EC7B2D">
        <w:rPr>
          <w:rFonts w:ascii="Times New Roman" w:hAnsi="Times New Roman" w:cs="Times New Roman"/>
          <w:color w:val="000000" w:themeColor="text1"/>
        </w:rPr>
        <w:t xml:space="preserve">, D., </w:t>
      </w:r>
      <w:proofErr w:type="spellStart"/>
      <w:r w:rsidRPr="00EC7B2D">
        <w:rPr>
          <w:rFonts w:ascii="Times New Roman" w:hAnsi="Times New Roman" w:cs="Times New Roman"/>
          <w:color w:val="000000" w:themeColor="text1"/>
        </w:rPr>
        <w:t>Billios</w:t>
      </w:r>
      <w:proofErr w:type="spellEnd"/>
      <w:r w:rsidRPr="00EC7B2D">
        <w:rPr>
          <w:rFonts w:ascii="Times New Roman" w:hAnsi="Times New Roman" w:cs="Times New Roman"/>
          <w:color w:val="000000" w:themeColor="text1"/>
        </w:rPr>
        <w:t>, D., &amp; Stavropoulos, A. (2025). Integrative analysis of traditional and cash flow financial ratios: Insights from a systematic comparative review. </w:t>
      </w:r>
      <w:r w:rsidRPr="00EC7B2D">
        <w:rPr>
          <w:rFonts w:ascii="Times New Roman" w:hAnsi="Times New Roman" w:cs="Times New Roman"/>
          <w:i/>
          <w:iCs/>
          <w:color w:val="000000" w:themeColor="text1"/>
        </w:rPr>
        <w:t>Risks</w:t>
      </w:r>
      <w:r w:rsidRPr="00EC7B2D">
        <w:rPr>
          <w:rFonts w:ascii="Times New Roman" w:hAnsi="Times New Roman" w:cs="Times New Roman"/>
          <w:color w:val="000000" w:themeColor="text1"/>
        </w:rPr>
        <w:t>, </w:t>
      </w:r>
      <w:r w:rsidRPr="00EC7B2D">
        <w:rPr>
          <w:rFonts w:ascii="Times New Roman" w:hAnsi="Times New Roman" w:cs="Times New Roman"/>
          <w:i/>
          <w:iCs/>
          <w:color w:val="000000" w:themeColor="text1"/>
        </w:rPr>
        <w:t>13</w:t>
      </w:r>
      <w:r w:rsidRPr="00EC7B2D">
        <w:rPr>
          <w:rFonts w:ascii="Times New Roman" w:hAnsi="Times New Roman" w:cs="Times New Roman"/>
          <w:color w:val="000000" w:themeColor="text1"/>
        </w:rPr>
        <w:t>(4), 62.</w:t>
      </w:r>
      <w:r>
        <w:rPr>
          <w:rFonts w:ascii="Times New Roman" w:hAnsi="Times New Roman" w:cs="Times New Roman"/>
          <w:color w:val="000000" w:themeColor="text1"/>
        </w:rPr>
        <w:t xml:space="preserve"> </w:t>
      </w:r>
    </w:p>
    <w:p w14:paraId="5563430C" w14:textId="4AF058A4" w:rsidR="00EC7B2D" w:rsidRPr="00D05B3B" w:rsidRDefault="00EC7B2D" w:rsidP="00D05B3B">
      <w:pPr>
        <w:adjustRightInd w:val="0"/>
        <w:snapToGrid w:val="0"/>
        <w:spacing w:before="240" w:after="240" w:line="360" w:lineRule="auto"/>
        <w:jc w:val="both"/>
        <w:rPr>
          <w:rFonts w:ascii="Times New Roman" w:hAnsi="Times New Roman" w:cs="Times New Roman"/>
          <w:color w:val="000000" w:themeColor="text1"/>
          <w:lang w:val="en-US"/>
        </w:rPr>
      </w:pPr>
      <w:r w:rsidRPr="00EC7B2D">
        <w:rPr>
          <w:rFonts w:ascii="Times New Roman" w:hAnsi="Times New Roman" w:cs="Times New Roman"/>
          <w:color w:val="000000" w:themeColor="text1"/>
        </w:rPr>
        <w:t>Szabó, T., Gáspár, S., &amp; Hegedűs, S. (2025). Development of financial indicator set for automotive stock performance prediction using adaptive neuro-fuzzy inference system. </w:t>
      </w:r>
      <w:r w:rsidRPr="00EC7B2D">
        <w:rPr>
          <w:rFonts w:ascii="Times New Roman" w:hAnsi="Times New Roman" w:cs="Times New Roman"/>
          <w:i/>
          <w:iCs/>
          <w:color w:val="000000" w:themeColor="text1"/>
        </w:rPr>
        <w:t>Journal of Risk and Financial Management</w:t>
      </w:r>
      <w:r w:rsidRPr="00EC7B2D">
        <w:rPr>
          <w:rFonts w:ascii="Times New Roman" w:hAnsi="Times New Roman" w:cs="Times New Roman"/>
          <w:color w:val="000000" w:themeColor="text1"/>
        </w:rPr>
        <w:t>, </w:t>
      </w:r>
      <w:r w:rsidRPr="00EC7B2D">
        <w:rPr>
          <w:rFonts w:ascii="Times New Roman" w:hAnsi="Times New Roman" w:cs="Times New Roman"/>
          <w:i/>
          <w:iCs/>
          <w:color w:val="000000" w:themeColor="text1"/>
        </w:rPr>
        <w:t>18</w:t>
      </w:r>
      <w:r w:rsidRPr="00EC7B2D">
        <w:rPr>
          <w:rFonts w:ascii="Times New Roman" w:hAnsi="Times New Roman" w:cs="Times New Roman"/>
          <w:color w:val="000000" w:themeColor="text1"/>
        </w:rPr>
        <w:t>(8), 435.</w:t>
      </w:r>
    </w:p>
    <w:p w14:paraId="5A5138E0" w14:textId="77777777" w:rsid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Snyder, K. (2026) What Is Just-In-Time Inventory (JIT)? [Online] </w:t>
      </w:r>
      <w:proofErr w:type="spellStart"/>
      <w:r w:rsidRPr="00D05B3B">
        <w:rPr>
          <w:rFonts w:ascii="Times New Roman" w:hAnsi="Times New Roman" w:cs="Times New Roman"/>
          <w:color w:val="000000" w:themeColor="text1"/>
          <w:lang w:val="en-US"/>
        </w:rPr>
        <w:t>forbes</w:t>
      </w:r>
      <w:proofErr w:type="spellEnd"/>
      <w:r w:rsidRPr="00D05B3B">
        <w:rPr>
          <w:rFonts w:ascii="Times New Roman" w:hAnsi="Times New Roman" w:cs="Times New Roman"/>
          <w:color w:val="000000" w:themeColor="text1"/>
          <w:lang w:val="en-US"/>
        </w:rPr>
        <w:t xml:space="preserve">. Available at </w:t>
      </w:r>
      <w:hyperlink r:id="rId36" w:history="1">
        <w:r w:rsidRPr="00D05B3B">
          <w:rPr>
            <w:rStyle w:val="Hyperlink"/>
            <w:rFonts w:ascii="Times New Roman" w:hAnsi="Times New Roman" w:cs="Times New Roman"/>
            <w:color w:val="000000" w:themeColor="text1"/>
            <w:u w:val="none"/>
            <w:lang w:val="en-US"/>
          </w:rPr>
          <w:t>https://www.forbes.com/advisor/business/just-in-time-inventory/</w:t>
        </w:r>
      </w:hyperlink>
      <w:r w:rsidRPr="00D05B3B">
        <w:rPr>
          <w:rFonts w:ascii="Times New Roman" w:hAnsi="Times New Roman" w:cs="Times New Roman"/>
          <w:color w:val="000000" w:themeColor="text1"/>
          <w:lang w:val="en-US"/>
        </w:rPr>
        <w:t xml:space="preserve"> </w:t>
      </w:r>
    </w:p>
    <w:p w14:paraId="31080A8B" w14:textId="558716EE" w:rsidR="004D7FF2" w:rsidRPr="00D05B3B" w:rsidRDefault="004D7FF2" w:rsidP="00D05B3B">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Srivastav, A. K. (2019). </w:t>
      </w:r>
      <w:r w:rsidRPr="004D7FF2">
        <w:rPr>
          <w:rFonts w:ascii="Times New Roman" w:hAnsi="Times New Roman" w:cs="Times New Roman"/>
          <w:color w:val="000000" w:themeColor="text1"/>
          <w:lang w:val="en-US"/>
        </w:rPr>
        <w:t>Leverage Ratios Formula</w:t>
      </w:r>
      <w:r>
        <w:rPr>
          <w:rFonts w:ascii="Times New Roman" w:hAnsi="Times New Roman" w:cs="Times New Roman"/>
          <w:color w:val="000000" w:themeColor="text1"/>
          <w:lang w:val="en-US"/>
        </w:rPr>
        <w:t xml:space="preserve">. [Online] </w:t>
      </w:r>
      <w:proofErr w:type="spellStart"/>
      <w:r>
        <w:rPr>
          <w:rFonts w:ascii="Times New Roman" w:hAnsi="Times New Roman" w:cs="Times New Roman"/>
          <w:color w:val="000000" w:themeColor="text1"/>
          <w:lang w:val="en-US"/>
        </w:rPr>
        <w:t>wallstreetmojo</w:t>
      </w:r>
      <w:proofErr w:type="spellEnd"/>
      <w:r>
        <w:rPr>
          <w:rFonts w:ascii="Times New Roman" w:hAnsi="Times New Roman" w:cs="Times New Roman"/>
          <w:color w:val="000000" w:themeColor="text1"/>
          <w:lang w:val="en-US"/>
        </w:rPr>
        <w:t xml:space="preserve">. Available at </w:t>
      </w:r>
      <w:r w:rsidRPr="004D7FF2">
        <w:rPr>
          <w:rFonts w:ascii="Times New Roman" w:hAnsi="Times New Roman" w:cs="Times New Roman"/>
          <w:color w:val="000000" w:themeColor="text1"/>
          <w:lang w:val="en-US"/>
        </w:rPr>
        <w:t>https://www.wallstreetmojo.com/leverage-ratios-formula/</w:t>
      </w:r>
    </w:p>
    <w:p w14:paraId="78FFC083"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Tattam</w:t>
      </w:r>
      <w:proofErr w:type="spellEnd"/>
      <w:r w:rsidRPr="00D05B3B">
        <w:rPr>
          <w:rFonts w:ascii="Times New Roman" w:hAnsi="Times New Roman" w:cs="Times New Roman"/>
          <w:color w:val="000000" w:themeColor="text1"/>
          <w:lang w:val="en-US"/>
        </w:rPr>
        <w:t xml:space="preserve">, D. (2023) Non-financial risk: Why the big focus? [Online] </w:t>
      </w:r>
      <w:proofErr w:type="spellStart"/>
      <w:r w:rsidRPr="00D05B3B">
        <w:rPr>
          <w:rFonts w:ascii="Times New Roman" w:hAnsi="Times New Roman" w:cs="Times New Roman"/>
          <w:color w:val="000000" w:themeColor="text1"/>
          <w:lang w:val="en-US"/>
        </w:rPr>
        <w:t>protechtgroup</w:t>
      </w:r>
      <w:proofErr w:type="spellEnd"/>
      <w:r w:rsidRPr="00D05B3B">
        <w:rPr>
          <w:rFonts w:ascii="Times New Roman" w:hAnsi="Times New Roman" w:cs="Times New Roman"/>
          <w:color w:val="000000" w:themeColor="text1"/>
          <w:lang w:val="en-US"/>
        </w:rPr>
        <w:t xml:space="preserve">. Available at </w:t>
      </w:r>
      <w:hyperlink r:id="rId37" w:history="1">
        <w:r w:rsidRPr="00D05B3B">
          <w:rPr>
            <w:rStyle w:val="Hyperlink"/>
            <w:rFonts w:ascii="Times New Roman" w:hAnsi="Times New Roman" w:cs="Times New Roman"/>
            <w:color w:val="000000" w:themeColor="text1"/>
            <w:u w:val="none"/>
            <w:lang w:val="en-US"/>
          </w:rPr>
          <w:t>https://www.protechtgroup.com/en-au/blog/non-financial-risk-why-the-big-focus?utm_source=google.com&amp;utm_medium=organic</w:t>
        </w:r>
      </w:hyperlink>
      <w:r w:rsidRPr="00D05B3B">
        <w:rPr>
          <w:rFonts w:ascii="Times New Roman" w:hAnsi="Times New Roman" w:cs="Times New Roman"/>
          <w:color w:val="000000" w:themeColor="text1"/>
          <w:lang w:val="en-US"/>
        </w:rPr>
        <w:t xml:space="preserve"> </w:t>
      </w:r>
    </w:p>
    <w:p w14:paraId="06896B50" w14:textId="77777777" w:rsid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Thakore, M. (2026) Electric vehicle and battery supply chain: 5 things to look for in 2026. [Online] </w:t>
      </w:r>
      <w:proofErr w:type="spellStart"/>
      <w:r w:rsidRPr="00D05B3B">
        <w:rPr>
          <w:rFonts w:ascii="Times New Roman" w:hAnsi="Times New Roman" w:cs="Times New Roman"/>
          <w:color w:val="000000" w:themeColor="text1"/>
          <w:lang w:val="en-US"/>
        </w:rPr>
        <w:t>woodmac</w:t>
      </w:r>
      <w:proofErr w:type="spellEnd"/>
      <w:r w:rsidRPr="00D05B3B">
        <w:rPr>
          <w:rFonts w:ascii="Times New Roman" w:hAnsi="Times New Roman" w:cs="Times New Roman"/>
          <w:color w:val="000000" w:themeColor="text1"/>
          <w:lang w:val="en-US"/>
        </w:rPr>
        <w:t xml:space="preserve">. Available at </w:t>
      </w:r>
      <w:hyperlink r:id="rId38" w:history="1">
        <w:r w:rsidRPr="00D05B3B">
          <w:rPr>
            <w:rStyle w:val="Hyperlink"/>
            <w:rFonts w:ascii="Times New Roman" w:hAnsi="Times New Roman" w:cs="Times New Roman"/>
            <w:color w:val="000000" w:themeColor="text1"/>
            <w:u w:val="none"/>
            <w:lang w:val="en-US"/>
          </w:rPr>
          <w:t>https://www.woodmac.com/news/opinion/ev-and-battery-supply-chain-2026-outlook/</w:t>
        </w:r>
      </w:hyperlink>
      <w:r w:rsidRPr="00D05B3B">
        <w:rPr>
          <w:rFonts w:ascii="Times New Roman" w:hAnsi="Times New Roman" w:cs="Times New Roman"/>
          <w:color w:val="000000" w:themeColor="text1"/>
          <w:lang w:val="en-US"/>
        </w:rPr>
        <w:t xml:space="preserve"> </w:t>
      </w:r>
    </w:p>
    <w:p w14:paraId="0E937D28" w14:textId="0AB723D4" w:rsidR="004D7FF2" w:rsidRPr="00D05B3B" w:rsidRDefault="004D7FF2" w:rsidP="00D05B3B">
      <w:pPr>
        <w:adjustRightInd w:val="0"/>
        <w:snapToGrid w:val="0"/>
        <w:spacing w:before="240" w:after="240"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 xml:space="preserve">Thakur, M. (2023). </w:t>
      </w:r>
      <w:r w:rsidRPr="004D7FF2">
        <w:rPr>
          <w:rFonts w:ascii="Times New Roman" w:hAnsi="Times New Roman" w:cs="Times New Roman"/>
          <w:color w:val="000000" w:themeColor="text1"/>
          <w:lang w:val="en-US"/>
        </w:rPr>
        <w:t>Profitability Ratios Formula</w:t>
      </w:r>
      <w:r>
        <w:rPr>
          <w:rFonts w:ascii="Times New Roman" w:hAnsi="Times New Roman" w:cs="Times New Roman"/>
          <w:color w:val="000000" w:themeColor="text1"/>
          <w:lang w:val="en-US"/>
        </w:rPr>
        <w:t xml:space="preserve">. [Online] </w:t>
      </w:r>
      <w:proofErr w:type="spellStart"/>
      <w:r>
        <w:rPr>
          <w:rFonts w:ascii="Times New Roman" w:hAnsi="Times New Roman" w:cs="Times New Roman"/>
          <w:color w:val="000000" w:themeColor="text1"/>
          <w:lang w:val="en-US"/>
        </w:rPr>
        <w:t>educba</w:t>
      </w:r>
      <w:proofErr w:type="spellEnd"/>
      <w:r>
        <w:rPr>
          <w:rFonts w:ascii="Times New Roman" w:hAnsi="Times New Roman" w:cs="Times New Roman"/>
          <w:color w:val="000000" w:themeColor="text1"/>
          <w:lang w:val="en-US"/>
        </w:rPr>
        <w:t xml:space="preserve">. Available at </w:t>
      </w:r>
      <w:r w:rsidRPr="004D7FF2">
        <w:rPr>
          <w:rFonts w:ascii="Times New Roman" w:hAnsi="Times New Roman" w:cs="Times New Roman"/>
          <w:color w:val="000000" w:themeColor="text1"/>
          <w:lang w:val="en-US"/>
        </w:rPr>
        <w:t>https://www.educba.com/profitability-ratios-formula/</w:t>
      </w:r>
    </w:p>
    <w:p w14:paraId="60E689FE"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Wallstreetmojo</w:t>
      </w:r>
      <w:proofErr w:type="spellEnd"/>
      <w:r w:rsidRPr="00D05B3B">
        <w:rPr>
          <w:rFonts w:ascii="Times New Roman" w:hAnsi="Times New Roman" w:cs="Times New Roman"/>
          <w:color w:val="000000" w:themeColor="text1"/>
          <w:lang w:val="en-US"/>
        </w:rPr>
        <w:t xml:space="preserve">. (2025) What is Investment Appraisal? [Online] </w:t>
      </w:r>
      <w:proofErr w:type="spellStart"/>
      <w:r w:rsidRPr="00D05B3B">
        <w:rPr>
          <w:rFonts w:ascii="Times New Roman" w:hAnsi="Times New Roman" w:cs="Times New Roman"/>
          <w:color w:val="000000" w:themeColor="text1"/>
          <w:lang w:val="en-US"/>
        </w:rPr>
        <w:t>wallstreetmojo</w:t>
      </w:r>
      <w:proofErr w:type="spellEnd"/>
      <w:r w:rsidRPr="00D05B3B">
        <w:rPr>
          <w:rFonts w:ascii="Times New Roman" w:hAnsi="Times New Roman" w:cs="Times New Roman"/>
          <w:color w:val="000000" w:themeColor="text1"/>
          <w:lang w:val="en-US"/>
        </w:rPr>
        <w:t xml:space="preserve">. Available at </w:t>
      </w:r>
      <w:hyperlink r:id="rId39" w:history="1">
        <w:r w:rsidRPr="00D05B3B">
          <w:rPr>
            <w:rStyle w:val="Hyperlink"/>
            <w:rFonts w:ascii="Times New Roman" w:hAnsi="Times New Roman" w:cs="Times New Roman"/>
            <w:color w:val="000000" w:themeColor="text1"/>
            <w:u w:val="none"/>
            <w:lang w:val="en-US"/>
          </w:rPr>
          <w:t>https://www.wallstreetmojo.com/investment-appraisal-2/</w:t>
        </w:r>
      </w:hyperlink>
      <w:r w:rsidRPr="00D05B3B">
        <w:rPr>
          <w:rFonts w:ascii="Times New Roman" w:hAnsi="Times New Roman" w:cs="Times New Roman"/>
          <w:color w:val="000000" w:themeColor="text1"/>
          <w:lang w:val="en-US"/>
        </w:rPr>
        <w:t xml:space="preserve"> </w:t>
      </w:r>
    </w:p>
    <w:p w14:paraId="0748BC61"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Walter, J. (2025) Just </w:t>
      </w:r>
      <w:proofErr w:type="gramStart"/>
      <w:r w:rsidRPr="00D05B3B">
        <w:rPr>
          <w:rFonts w:ascii="Times New Roman" w:hAnsi="Times New Roman" w:cs="Times New Roman"/>
          <w:color w:val="000000" w:themeColor="text1"/>
          <w:lang w:val="en-US"/>
        </w:rPr>
        <w:t>In</w:t>
      </w:r>
      <w:proofErr w:type="gramEnd"/>
      <w:r w:rsidRPr="00D05B3B">
        <w:rPr>
          <w:rFonts w:ascii="Times New Roman" w:hAnsi="Times New Roman" w:cs="Times New Roman"/>
          <w:color w:val="000000" w:themeColor="text1"/>
          <w:lang w:val="en-US"/>
        </w:rPr>
        <w:t xml:space="preserve"> Time (JIT): Definition, Advantages and Implementation. [Online] </w:t>
      </w:r>
      <w:proofErr w:type="spellStart"/>
      <w:r w:rsidRPr="00D05B3B">
        <w:rPr>
          <w:rFonts w:ascii="Times New Roman" w:hAnsi="Times New Roman" w:cs="Times New Roman"/>
          <w:color w:val="000000" w:themeColor="text1"/>
          <w:lang w:val="en-US"/>
        </w:rPr>
        <w:t>beewatec</w:t>
      </w:r>
      <w:proofErr w:type="spellEnd"/>
      <w:r w:rsidRPr="00D05B3B">
        <w:rPr>
          <w:rFonts w:ascii="Times New Roman" w:hAnsi="Times New Roman" w:cs="Times New Roman"/>
          <w:color w:val="000000" w:themeColor="text1"/>
          <w:lang w:val="en-US"/>
        </w:rPr>
        <w:t xml:space="preserve">. Available at </w:t>
      </w:r>
      <w:hyperlink r:id="rId40" w:history="1">
        <w:r w:rsidRPr="00D05B3B">
          <w:rPr>
            <w:rStyle w:val="Hyperlink"/>
            <w:rFonts w:ascii="Times New Roman" w:hAnsi="Times New Roman" w:cs="Times New Roman"/>
            <w:color w:val="000000" w:themeColor="text1"/>
            <w:u w:val="none"/>
            <w:lang w:val="en-US"/>
          </w:rPr>
          <w:t>https://www.beewatec.com/en/blog/just-in-time-definition-advantages-and-implementation</w:t>
        </w:r>
      </w:hyperlink>
      <w:r w:rsidRPr="00D05B3B">
        <w:rPr>
          <w:rFonts w:ascii="Times New Roman" w:hAnsi="Times New Roman" w:cs="Times New Roman"/>
          <w:color w:val="000000" w:themeColor="text1"/>
          <w:lang w:val="en-US"/>
        </w:rPr>
        <w:t xml:space="preserve"> </w:t>
      </w:r>
    </w:p>
    <w:p w14:paraId="0C6F8652"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Weavegrid</w:t>
      </w:r>
      <w:proofErr w:type="spellEnd"/>
      <w:r w:rsidRPr="00D05B3B">
        <w:rPr>
          <w:rFonts w:ascii="Times New Roman" w:hAnsi="Times New Roman" w:cs="Times New Roman"/>
          <w:color w:val="000000" w:themeColor="text1"/>
          <w:lang w:val="en-US"/>
        </w:rPr>
        <w:t xml:space="preserve">. (2025) </w:t>
      </w:r>
      <w:proofErr w:type="spellStart"/>
      <w:r w:rsidRPr="00D05B3B">
        <w:rPr>
          <w:rFonts w:ascii="Times New Roman" w:hAnsi="Times New Roman" w:cs="Times New Roman"/>
          <w:color w:val="000000" w:themeColor="text1"/>
          <w:lang w:val="en-US"/>
        </w:rPr>
        <w:t>WeaveGrid</w:t>
      </w:r>
      <w:proofErr w:type="spellEnd"/>
      <w:r w:rsidRPr="00D05B3B">
        <w:rPr>
          <w:rFonts w:ascii="Times New Roman" w:hAnsi="Times New Roman" w:cs="Times New Roman"/>
          <w:color w:val="000000" w:themeColor="text1"/>
          <w:lang w:val="en-US"/>
        </w:rPr>
        <w:t xml:space="preserve"> Secures Strategic Investment from Hyundai Motor and Kia, Reinforcing Leadership in EV Charging Management. [Online] </w:t>
      </w:r>
      <w:proofErr w:type="spellStart"/>
      <w:r w:rsidRPr="00D05B3B">
        <w:rPr>
          <w:rFonts w:ascii="Times New Roman" w:hAnsi="Times New Roman" w:cs="Times New Roman"/>
          <w:color w:val="000000" w:themeColor="text1"/>
          <w:lang w:val="en-US"/>
        </w:rPr>
        <w:t>weavegrid</w:t>
      </w:r>
      <w:proofErr w:type="spellEnd"/>
      <w:r w:rsidRPr="00D05B3B">
        <w:rPr>
          <w:rFonts w:ascii="Times New Roman" w:hAnsi="Times New Roman" w:cs="Times New Roman"/>
          <w:color w:val="000000" w:themeColor="text1"/>
          <w:lang w:val="en-US"/>
        </w:rPr>
        <w:t xml:space="preserve">. Available at </w:t>
      </w:r>
      <w:hyperlink r:id="rId41" w:history="1">
        <w:r w:rsidRPr="00D05B3B">
          <w:rPr>
            <w:rStyle w:val="Hyperlink"/>
            <w:rFonts w:ascii="Times New Roman" w:hAnsi="Times New Roman" w:cs="Times New Roman"/>
            <w:color w:val="000000" w:themeColor="text1"/>
            <w:u w:val="none"/>
            <w:lang w:val="en-US"/>
          </w:rPr>
          <w:t>https://www.weavegrid.com/news/weavegrid-secures-strategic-investment-from-hyundai-and-kia</w:t>
        </w:r>
      </w:hyperlink>
      <w:r w:rsidRPr="00D05B3B">
        <w:rPr>
          <w:rFonts w:ascii="Times New Roman" w:hAnsi="Times New Roman" w:cs="Times New Roman"/>
          <w:color w:val="000000" w:themeColor="text1"/>
          <w:lang w:val="en-US"/>
        </w:rPr>
        <w:t xml:space="preserve"> </w:t>
      </w:r>
    </w:p>
    <w:p w14:paraId="2D80AA4B"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r w:rsidRPr="00D05B3B">
        <w:rPr>
          <w:rFonts w:ascii="Times New Roman" w:hAnsi="Times New Roman" w:cs="Times New Roman"/>
          <w:color w:val="000000" w:themeColor="text1"/>
          <w:lang w:val="en-US"/>
        </w:rPr>
        <w:t xml:space="preserve">Wilkins, G., Yashina, N. and Kvilhaug, S. (2025) 6 Basic Financial Ratios and What They Reveal. [Online] </w:t>
      </w:r>
      <w:proofErr w:type="spellStart"/>
      <w:r w:rsidRPr="00D05B3B">
        <w:rPr>
          <w:rFonts w:ascii="Times New Roman" w:hAnsi="Times New Roman" w:cs="Times New Roman"/>
          <w:color w:val="000000" w:themeColor="text1"/>
          <w:lang w:val="en-US"/>
        </w:rPr>
        <w:t>investopedia</w:t>
      </w:r>
      <w:proofErr w:type="spellEnd"/>
      <w:r w:rsidRPr="00D05B3B">
        <w:rPr>
          <w:rFonts w:ascii="Times New Roman" w:hAnsi="Times New Roman" w:cs="Times New Roman"/>
          <w:color w:val="000000" w:themeColor="text1"/>
          <w:lang w:val="en-US"/>
        </w:rPr>
        <w:t xml:space="preserve">. Available at </w:t>
      </w:r>
      <w:hyperlink r:id="rId42" w:history="1">
        <w:r w:rsidRPr="00D05B3B">
          <w:rPr>
            <w:rStyle w:val="Hyperlink"/>
            <w:rFonts w:ascii="Times New Roman" w:hAnsi="Times New Roman" w:cs="Times New Roman"/>
            <w:color w:val="000000" w:themeColor="text1"/>
            <w:u w:val="none"/>
            <w:lang w:val="en-US"/>
          </w:rPr>
          <w:t>https://www.investopedia.com/financial-edge/0910/6-basic-financial-ratios-and-what-they-tell-you.aspx</w:t>
        </w:r>
      </w:hyperlink>
      <w:r w:rsidRPr="00D05B3B">
        <w:rPr>
          <w:rFonts w:ascii="Times New Roman" w:hAnsi="Times New Roman" w:cs="Times New Roman"/>
          <w:color w:val="000000" w:themeColor="text1"/>
          <w:lang w:val="en-US"/>
        </w:rPr>
        <w:t xml:space="preserve"> </w:t>
      </w:r>
    </w:p>
    <w:p w14:paraId="3C11C30F"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Worldwide.kia</w:t>
      </w:r>
      <w:proofErr w:type="spellEnd"/>
      <w:r w:rsidRPr="00D05B3B">
        <w:rPr>
          <w:rFonts w:ascii="Times New Roman" w:hAnsi="Times New Roman" w:cs="Times New Roman"/>
          <w:color w:val="000000" w:themeColor="text1"/>
          <w:lang w:val="en-US"/>
        </w:rPr>
        <w:t xml:space="preserve">. (2026). Investor Relations. [Online] </w:t>
      </w:r>
      <w:proofErr w:type="spellStart"/>
      <w:r w:rsidRPr="00D05B3B">
        <w:rPr>
          <w:rFonts w:ascii="Times New Roman" w:hAnsi="Times New Roman" w:cs="Times New Roman"/>
          <w:color w:val="000000" w:themeColor="text1"/>
          <w:lang w:val="en-US"/>
        </w:rPr>
        <w:t>worldwide.kia</w:t>
      </w:r>
      <w:proofErr w:type="spellEnd"/>
      <w:r w:rsidRPr="00D05B3B">
        <w:rPr>
          <w:rFonts w:ascii="Times New Roman" w:hAnsi="Times New Roman" w:cs="Times New Roman"/>
          <w:color w:val="000000" w:themeColor="text1"/>
          <w:lang w:val="en-US"/>
        </w:rPr>
        <w:t xml:space="preserve">. Available at </w:t>
      </w:r>
      <w:hyperlink r:id="rId43" w:history="1">
        <w:r w:rsidRPr="00D05B3B">
          <w:rPr>
            <w:rStyle w:val="Hyperlink"/>
            <w:rFonts w:ascii="Times New Roman" w:hAnsi="Times New Roman" w:cs="Times New Roman"/>
            <w:color w:val="000000" w:themeColor="text1"/>
            <w:u w:val="none"/>
            <w:lang w:val="en-US"/>
          </w:rPr>
          <w:t>https://worldwide.kia.com/en/company/investor-relations/financial/summary-statements</w:t>
        </w:r>
      </w:hyperlink>
    </w:p>
    <w:p w14:paraId="1074D8B0" w14:textId="77777777" w:rsidR="00D05B3B" w:rsidRPr="00D05B3B" w:rsidRDefault="00D05B3B" w:rsidP="00D05B3B">
      <w:pPr>
        <w:adjustRightInd w:val="0"/>
        <w:snapToGrid w:val="0"/>
        <w:spacing w:before="240" w:after="240" w:line="360" w:lineRule="auto"/>
        <w:jc w:val="both"/>
        <w:rPr>
          <w:rFonts w:ascii="Times New Roman" w:hAnsi="Times New Roman" w:cs="Times New Roman"/>
          <w:color w:val="000000" w:themeColor="text1"/>
          <w:lang w:val="en-US"/>
        </w:rPr>
      </w:pPr>
      <w:proofErr w:type="spellStart"/>
      <w:r w:rsidRPr="00D05B3B">
        <w:rPr>
          <w:rFonts w:ascii="Times New Roman" w:hAnsi="Times New Roman" w:cs="Times New Roman"/>
          <w:color w:val="000000" w:themeColor="text1"/>
          <w:lang w:val="en-US"/>
        </w:rPr>
        <w:t>Wrightvigar</w:t>
      </w:r>
      <w:proofErr w:type="spellEnd"/>
      <w:r w:rsidRPr="00D05B3B">
        <w:rPr>
          <w:rFonts w:ascii="Times New Roman" w:hAnsi="Times New Roman" w:cs="Times New Roman"/>
          <w:color w:val="000000" w:themeColor="text1"/>
          <w:lang w:val="en-US"/>
        </w:rPr>
        <w:t xml:space="preserve">. (2024) Financial Health Check for Businesses: Assessing and Improving Performance. [Online] </w:t>
      </w:r>
      <w:proofErr w:type="spellStart"/>
      <w:r w:rsidRPr="00D05B3B">
        <w:rPr>
          <w:rFonts w:ascii="Times New Roman" w:hAnsi="Times New Roman" w:cs="Times New Roman"/>
          <w:color w:val="000000" w:themeColor="text1"/>
          <w:lang w:val="en-US"/>
        </w:rPr>
        <w:t>wrightvigar</w:t>
      </w:r>
      <w:proofErr w:type="spellEnd"/>
      <w:r w:rsidRPr="00D05B3B">
        <w:rPr>
          <w:rFonts w:ascii="Times New Roman" w:hAnsi="Times New Roman" w:cs="Times New Roman"/>
          <w:color w:val="000000" w:themeColor="text1"/>
          <w:lang w:val="en-US"/>
        </w:rPr>
        <w:t xml:space="preserve">. Available at </w:t>
      </w:r>
      <w:hyperlink r:id="rId44" w:history="1">
        <w:r w:rsidRPr="00D05B3B">
          <w:rPr>
            <w:rStyle w:val="Hyperlink"/>
            <w:rFonts w:ascii="Times New Roman" w:hAnsi="Times New Roman" w:cs="Times New Roman"/>
            <w:color w:val="000000" w:themeColor="text1"/>
            <w:u w:val="none"/>
            <w:lang w:val="en-US"/>
          </w:rPr>
          <w:t>https://www.wrightvigar.co.uk/news/%20Assessing-and-Improving-Performance</w:t>
        </w:r>
      </w:hyperlink>
      <w:r w:rsidRPr="00D05B3B">
        <w:rPr>
          <w:rFonts w:ascii="Times New Roman" w:hAnsi="Times New Roman" w:cs="Times New Roman"/>
          <w:color w:val="000000" w:themeColor="text1"/>
          <w:lang w:val="en-US"/>
        </w:rPr>
        <w:t xml:space="preserve"> </w:t>
      </w:r>
    </w:p>
    <w:p w14:paraId="79D9051C" w14:textId="3A045332" w:rsidR="00B706D3" w:rsidRDefault="00B706D3">
      <w:pPr>
        <w:rPr>
          <w:rFonts w:ascii="Times New Roman" w:eastAsiaTheme="majorEastAsia" w:hAnsi="Times New Roman" w:cs="Times New Roman"/>
          <w:b/>
          <w:bCs/>
          <w:color w:val="000000" w:themeColor="text1"/>
        </w:rPr>
      </w:pPr>
    </w:p>
    <w:p w14:paraId="6A5ECAAE" w14:textId="77777777" w:rsidR="00EC7B2D" w:rsidRDefault="00EC7B2D">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8A8E603" w14:textId="430D255A" w:rsidR="00DE2753" w:rsidRPr="002C0A4C" w:rsidRDefault="00DB61B2" w:rsidP="00B706D3">
      <w:pPr>
        <w:pStyle w:val="Heading1"/>
        <w:adjustRightInd w:val="0"/>
        <w:snapToGrid w:val="0"/>
        <w:spacing w:before="240" w:after="240" w:line="360" w:lineRule="auto"/>
        <w:jc w:val="both"/>
        <w:rPr>
          <w:rFonts w:ascii="Times New Roman" w:hAnsi="Times New Roman" w:cs="Times New Roman"/>
          <w:b/>
          <w:bCs/>
          <w:color w:val="000000" w:themeColor="text1"/>
          <w:sz w:val="24"/>
          <w:szCs w:val="24"/>
        </w:rPr>
      </w:pPr>
      <w:bookmarkStart w:id="21" w:name="_Toc227875558"/>
      <w:r w:rsidRPr="002C0A4C">
        <w:rPr>
          <w:rFonts w:ascii="Times New Roman" w:hAnsi="Times New Roman" w:cs="Times New Roman"/>
          <w:b/>
          <w:bCs/>
          <w:color w:val="000000" w:themeColor="text1"/>
          <w:sz w:val="24"/>
          <w:szCs w:val="24"/>
        </w:rPr>
        <w:lastRenderedPageBreak/>
        <w:t>Appendices</w:t>
      </w:r>
      <w:bookmarkEnd w:id="21"/>
      <w:r w:rsidRPr="002C0A4C">
        <w:rPr>
          <w:rFonts w:ascii="Times New Roman" w:hAnsi="Times New Roman" w:cs="Times New Roman"/>
          <w:b/>
          <w:bCs/>
          <w:color w:val="000000" w:themeColor="text1"/>
          <w:sz w:val="24"/>
          <w:szCs w:val="24"/>
        </w:rPr>
        <w:t xml:space="preserve"> </w:t>
      </w:r>
    </w:p>
    <w:p w14:paraId="17B6C2FB" w14:textId="798A7DF1" w:rsidR="00DB61B2" w:rsidRPr="002C0A4C" w:rsidRDefault="005A5D3A" w:rsidP="005A5D3A">
      <w:pPr>
        <w:pStyle w:val="Heading2"/>
        <w:rPr>
          <w:rFonts w:ascii="Times New Roman" w:hAnsi="Times New Roman" w:cs="Times New Roman"/>
          <w:b/>
          <w:bCs/>
          <w:color w:val="000000" w:themeColor="text1"/>
          <w:sz w:val="24"/>
          <w:szCs w:val="24"/>
        </w:rPr>
      </w:pPr>
      <w:bookmarkStart w:id="22" w:name="_Toc227875559"/>
      <w:r w:rsidRPr="002C0A4C">
        <w:rPr>
          <w:rFonts w:ascii="Times New Roman" w:hAnsi="Times New Roman" w:cs="Times New Roman"/>
          <w:b/>
          <w:bCs/>
          <w:color w:val="000000" w:themeColor="text1"/>
          <w:sz w:val="24"/>
          <w:szCs w:val="24"/>
        </w:rPr>
        <w:t>1. Kia Income Statement 2024</w:t>
      </w:r>
      <w:bookmarkEnd w:id="22"/>
    </w:p>
    <w:p w14:paraId="146D29F6" w14:textId="632703D2" w:rsidR="005A5D3A" w:rsidRPr="002C0A4C" w:rsidRDefault="005A5D3A"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6ACA6A2D" wp14:editId="193F9724">
            <wp:extent cx="5731510" cy="2708910"/>
            <wp:effectExtent l="0" t="0" r="0" b="0"/>
            <wp:docPr id="104391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12730" name=""/>
                    <pic:cNvPicPr/>
                  </pic:nvPicPr>
                  <pic:blipFill>
                    <a:blip r:embed="rId45"/>
                    <a:stretch>
                      <a:fillRect/>
                    </a:stretch>
                  </pic:blipFill>
                  <pic:spPr>
                    <a:xfrm>
                      <a:off x="0" y="0"/>
                      <a:ext cx="5731510" cy="2708910"/>
                    </a:xfrm>
                    <a:prstGeom prst="rect">
                      <a:avLst/>
                    </a:prstGeom>
                  </pic:spPr>
                </pic:pic>
              </a:graphicData>
            </a:graphic>
          </wp:inline>
        </w:drawing>
      </w:r>
    </w:p>
    <w:p w14:paraId="0DF84869" w14:textId="3E0BE467" w:rsidR="005A5D3A" w:rsidRPr="002C0A4C" w:rsidRDefault="005A5D3A" w:rsidP="005A5D3A">
      <w:pPr>
        <w:pStyle w:val="Heading2"/>
        <w:rPr>
          <w:rFonts w:ascii="Times New Roman" w:hAnsi="Times New Roman" w:cs="Times New Roman"/>
          <w:b/>
          <w:bCs/>
          <w:color w:val="000000" w:themeColor="text1"/>
          <w:sz w:val="24"/>
          <w:szCs w:val="24"/>
        </w:rPr>
      </w:pPr>
      <w:bookmarkStart w:id="23" w:name="_Toc227875560"/>
      <w:r w:rsidRPr="002C0A4C">
        <w:rPr>
          <w:rFonts w:ascii="Times New Roman" w:hAnsi="Times New Roman" w:cs="Times New Roman"/>
          <w:b/>
          <w:bCs/>
          <w:color w:val="000000" w:themeColor="text1"/>
          <w:sz w:val="24"/>
          <w:szCs w:val="24"/>
        </w:rPr>
        <w:t>2. Kia Annual Financials Statement 2023</w:t>
      </w:r>
      <w:bookmarkEnd w:id="23"/>
    </w:p>
    <w:p w14:paraId="6CCAE560" w14:textId="0D9013CB" w:rsidR="005A5D3A" w:rsidRPr="002C0A4C" w:rsidRDefault="005A5D3A"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6B541355" wp14:editId="23A9A09B">
            <wp:extent cx="5731510" cy="3904615"/>
            <wp:effectExtent l="0" t="0" r="0" b="0"/>
            <wp:docPr id="1556822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22350" name=""/>
                    <pic:cNvPicPr/>
                  </pic:nvPicPr>
                  <pic:blipFill>
                    <a:blip r:embed="rId46"/>
                    <a:stretch>
                      <a:fillRect/>
                    </a:stretch>
                  </pic:blipFill>
                  <pic:spPr>
                    <a:xfrm>
                      <a:off x="0" y="0"/>
                      <a:ext cx="5731510" cy="3904615"/>
                    </a:xfrm>
                    <a:prstGeom prst="rect">
                      <a:avLst/>
                    </a:prstGeom>
                  </pic:spPr>
                </pic:pic>
              </a:graphicData>
            </a:graphic>
          </wp:inline>
        </w:drawing>
      </w:r>
    </w:p>
    <w:p w14:paraId="6B5DBF87" w14:textId="06899D0D" w:rsidR="005A5D3A" w:rsidRPr="002C0A4C" w:rsidRDefault="005A5D3A">
      <w:pPr>
        <w:rPr>
          <w:rFonts w:ascii="Times New Roman" w:hAnsi="Times New Roman" w:cs="Times New Roman"/>
          <w:color w:val="000000" w:themeColor="text1"/>
        </w:rPr>
      </w:pPr>
      <w:r w:rsidRPr="002C0A4C">
        <w:rPr>
          <w:rFonts w:ascii="Times New Roman" w:hAnsi="Times New Roman" w:cs="Times New Roman"/>
          <w:color w:val="000000" w:themeColor="text1"/>
        </w:rPr>
        <w:br w:type="page"/>
      </w:r>
    </w:p>
    <w:p w14:paraId="685AAAB3" w14:textId="794C5238" w:rsidR="005A5D3A" w:rsidRPr="002C0A4C" w:rsidRDefault="005A5D3A" w:rsidP="005A5D3A">
      <w:pPr>
        <w:pStyle w:val="Heading2"/>
        <w:rPr>
          <w:rFonts w:ascii="Times New Roman" w:hAnsi="Times New Roman" w:cs="Times New Roman"/>
          <w:b/>
          <w:bCs/>
          <w:color w:val="000000" w:themeColor="text1"/>
          <w:sz w:val="24"/>
          <w:szCs w:val="24"/>
        </w:rPr>
      </w:pPr>
      <w:bookmarkStart w:id="24" w:name="_Toc227875561"/>
      <w:r w:rsidRPr="002C0A4C">
        <w:rPr>
          <w:rFonts w:ascii="Times New Roman" w:hAnsi="Times New Roman" w:cs="Times New Roman"/>
          <w:b/>
          <w:bCs/>
          <w:color w:val="000000" w:themeColor="text1"/>
          <w:sz w:val="24"/>
          <w:szCs w:val="24"/>
        </w:rPr>
        <w:lastRenderedPageBreak/>
        <w:t>3. Kia Financial Statements 2022</w:t>
      </w:r>
      <w:bookmarkEnd w:id="24"/>
    </w:p>
    <w:p w14:paraId="53F5CF8B" w14:textId="52380115" w:rsidR="005A5D3A" w:rsidRPr="002C0A4C" w:rsidRDefault="005A5D3A"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498E5F2A" wp14:editId="7047829E">
            <wp:extent cx="5731510" cy="3952875"/>
            <wp:effectExtent l="0" t="0" r="0" b="0"/>
            <wp:docPr id="1872748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748390" name=""/>
                    <pic:cNvPicPr/>
                  </pic:nvPicPr>
                  <pic:blipFill>
                    <a:blip r:embed="rId47"/>
                    <a:stretch>
                      <a:fillRect/>
                    </a:stretch>
                  </pic:blipFill>
                  <pic:spPr>
                    <a:xfrm>
                      <a:off x="0" y="0"/>
                      <a:ext cx="5731510" cy="3952875"/>
                    </a:xfrm>
                    <a:prstGeom prst="rect">
                      <a:avLst/>
                    </a:prstGeom>
                  </pic:spPr>
                </pic:pic>
              </a:graphicData>
            </a:graphic>
          </wp:inline>
        </w:drawing>
      </w:r>
    </w:p>
    <w:p w14:paraId="59FED3CB" w14:textId="2814A609" w:rsidR="005A5D3A" w:rsidRPr="002C0A4C" w:rsidRDefault="005A5D3A" w:rsidP="005A5D3A">
      <w:pPr>
        <w:pStyle w:val="Heading2"/>
        <w:rPr>
          <w:rFonts w:ascii="Times New Roman" w:hAnsi="Times New Roman" w:cs="Times New Roman"/>
          <w:b/>
          <w:bCs/>
          <w:color w:val="000000" w:themeColor="text1"/>
          <w:sz w:val="24"/>
          <w:szCs w:val="24"/>
        </w:rPr>
      </w:pPr>
      <w:bookmarkStart w:id="25" w:name="_Toc227875562"/>
      <w:r w:rsidRPr="002C0A4C">
        <w:rPr>
          <w:rFonts w:ascii="Times New Roman" w:hAnsi="Times New Roman" w:cs="Times New Roman"/>
          <w:b/>
          <w:bCs/>
          <w:color w:val="000000" w:themeColor="text1"/>
          <w:sz w:val="24"/>
          <w:szCs w:val="24"/>
        </w:rPr>
        <w:lastRenderedPageBreak/>
        <w:t>4. Kia Income Statement 2021</w:t>
      </w:r>
      <w:bookmarkEnd w:id="25"/>
      <w:r w:rsidRPr="002C0A4C">
        <w:rPr>
          <w:rFonts w:ascii="Times New Roman" w:hAnsi="Times New Roman" w:cs="Times New Roman"/>
          <w:b/>
          <w:bCs/>
          <w:color w:val="000000" w:themeColor="text1"/>
          <w:sz w:val="24"/>
          <w:szCs w:val="24"/>
        </w:rPr>
        <w:t xml:space="preserve"> </w:t>
      </w:r>
    </w:p>
    <w:p w14:paraId="020E9B04" w14:textId="755F944D" w:rsidR="005A5D3A" w:rsidRPr="002C0A4C" w:rsidRDefault="005A5D3A"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6EC94525" wp14:editId="3A6E8591">
            <wp:extent cx="4305300" cy="5105400"/>
            <wp:effectExtent l="0" t="0" r="0" b="0"/>
            <wp:docPr id="312641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41647" name=""/>
                    <pic:cNvPicPr/>
                  </pic:nvPicPr>
                  <pic:blipFill>
                    <a:blip r:embed="rId48"/>
                    <a:stretch>
                      <a:fillRect/>
                    </a:stretch>
                  </pic:blipFill>
                  <pic:spPr>
                    <a:xfrm>
                      <a:off x="0" y="0"/>
                      <a:ext cx="4305300" cy="5105400"/>
                    </a:xfrm>
                    <a:prstGeom prst="rect">
                      <a:avLst/>
                    </a:prstGeom>
                  </pic:spPr>
                </pic:pic>
              </a:graphicData>
            </a:graphic>
          </wp:inline>
        </w:drawing>
      </w:r>
    </w:p>
    <w:p w14:paraId="4BB9D4F8" w14:textId="5DCDE627" w:rsidR="005A5D3A" w:rsidRPr="002C0A4C" w:rsidRDefault="002C0A4C" w:rsidP="002C0A4C">
      <w:pPr>
        <w:pStyle w:val="Heading2"/>
        <w:rPr>
          <w:rFonts w:ascii="Times New Roman" w:hAnsi="Times New Roman" w:cs="Times New Roman"/>
          <w:b/>
          <w:bCs/>
          <w:color w:val="000000" w:themeColor="text1"/>
          <w:sz w:val="24"/>
          <w:szCs w:val="24"/>
        </w:rPr>
      </w:pPr>
      <w:bookmarkStart w:id="26" w:name="_Toc227875563"/>
      <w:r w:rsidRPr="002C0A4C">
        <w:rPr>
          <w:rFonts w:ascii="Times New Roman" w:hAnsi="Times New Roman" w:cs="Times New Roman"/>
          <w:b/>
          <w:bCs/>
          <w:color w:val="000000" w:themeColor="text1"/>
          <w:sz w:val="24"/>
          <w:szCs w:val="24"/>
        </w:rPr>
        <w:t>5. Consolidated Income Statement Highlights</w:t>
      </w:r>
      <w:bookmarkEnd w:id="26"/>
      <w:r w:rsidRPr="002C0A4C">
        <w:rPr>
          <w:rFonts w:ascii="Times New Roman" w:hAnsi="Times New Roman" w:cs="Times New Roman"/>
          <w:b/>
          <w:bCs/>
          <w:color w:val="000000" w:themeColor="text1"/>
          <w:sz w:val="24"/>
          <w:szCs w:val="24"/>
        </w:rPr>
        <w:t xml:space="preserve"> </w:t>
      </w:r>
    </w:p>
    <w:p w14:paraId="421CDAD2" w14:textId="568F75BD"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58A4B358" wp14:editId="5962F735">
            <wp:extent cx="5731510" cy="2542540"/>
            <wp:effectExtent l="0" t="0" r="0" b="0"/>
            <wp:docPr id="1981989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89804" name=""/>
                    <pic:cNvPicPr/>
                  </pic:nvPicPr>
                  <pic:blipFill>
                    <a:blip r:embed="rId49"/>
                    <a:stretch>
                      <a:fillRect/>
                    </a:stretch>
                  </pic:blipFill>
                  <pic:spPr>
                    <a:xfrm>
                      <a:off x="0" y="0"/>
                      <a:ext cx="5731510" cy="2542540"/>
                    </a:xfrm>
                    <a:prstGeom prst="rect">
                      <a:avLst/>
                    </a:prstGeom>
                  </pic:spPr>
                </pic:pic>
              </a:graphicData>
            </a:graphic>
          </wp:inline>
        </w:drawing>
      </w:r>
    </w:p>
    <w:p w14:paraId="7E8412D0" w14:textId="5B0EA205" w:rsidR="002C0A4C" w:rsidRPr="002C0A4C" w:rsidRDefault="002C0A4C" w:rsidP="002C0A4C">
      <w:pPr>
        <w:pStyle w:val="Heading2"/>
        <w:rPr>
          <w:rFonts w:ascii="Times New Roman" w:hAnsi="Times New Roman" w:cs="Times New Roman"/>
          <w:b/>
          <w:bCs/>
          <w:color w:val="000000" w:themeColor="text1"/>
          <w:sz w:val="24"/>
          <w:szCs w:val="24"/>
        </w:rPr>
      </w:pPr>
      <w:bookmarkStart w:id="27" w:name="_Toc227875564"/>
      <w:r w:rsidRPr="002C0A4C">
        <w:rPr>
          <w:rFonts w:ascii="Times New Roman" w:hAnsi="Times New Roman" w:cs="Times New Roman"/>
          <w:b/>
          <w:bCs/>
          <w:color w:val="000000" w:themeColor="text1"/>
          <w:sz w:val="24"/>
          <w:szCs w:val="24"/>
        </w:rPr>
        <w:lastRenderedPageBreak/>
        <w:t>6. Consolidated Balance Sheet Excerpts</w:t>
      </w:r>
      <w:bookmarkEnd w:id="27"/>
      <w:r w:rsidRPr="002C0A4C">
        <w:rPr>
          <w:rFonts w:ascii="Times New Roman" w:hAnsi="Times New Roman" w:cs="Times New Roman"/>
          <w:b/>
          <w:bCs/>
          <w:color w:val="000000" w:themeColor="text1"/>
          <w:sz w:val="24"/>
          <w:szCs w:val="24"/>
        </w:rPr>
        <w:t xml:space="preserve"> </w:t>
      </w:r>
    </w:p>
    <w:p w14:paraId="203F6A8C" w14:textId="472FC2A0"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0E4A498D" wp14:editId="219A6CF1">
            <wp:extent cx="5731510" cy="4069715"/>
            <wp:effectExtent l="0" t="0" r="0" b="0"/>
            <wp:docPr id="758517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17210" name=""/>
                    <pic:cNvPicPr/>
                  </pic:nvPicPr>
                  <pic:blipFill>
                    <a:blip r:embed="rId50"/>
                    <a:stretch>
                      <a:fillRect/>
                    </a:stretch>
                  </pic:blipFill>
                  <pic:spPr>
                    <a:xfrm>
                      <a:off x="0" y="0"/>
                      <a:ext cx="5731510" cy="4069715"/>
                    </a:xfrm>
                    <a:prstGeom prst="rect">
                      <a:avLst/>
                    </a:prstGeom>
                  </pic:spPr>
                </pic:pic>
              </a:graphicData>
            </a:graphic>
          </wp:inline>
        </w:drawing>
      </w:r>
    </w:p>
    <w:p w14:paraId="33F2B848" w14:textId="21414E30" w:rsidR="002C0A4C" w:rsidRPr="002C0A4C" w:rsidRDefault="002C0A4C" w:rsidP="002C0A4C">
      <w:pPr>
        <w:pStyle w:val="Heading2"/>
        <w:rPr>
          <w:rFonts w:ascii="Times New Roman" w:hAnsi="Times New Roman" w:cs="Times New Roman"/>
          <w:b/>
          <w:bCs/>
          <w:color w:val="000000" w:themeColor="text1"/>
          <w:sz w:val="24"/>
          <w:szCs w:val="24"/>
        </w:rPr>
      </w:pPr>
      <w:bookmarkStart w:id="28" w:name="_Toc227875565"/>
      <w:r w:rsidRPr="002C0A4C">
        <w:rPr>
          <w:rFonts w:ascii="Times New Roman" w:hAnsi="Times New Roman" w:cs="Times New Roman"/>
          <w:b/>
          <w:bCs/>
          <w:color w:val="000000" w:themeColor="text1"/>
          <w:sz w:val="24"/>
          <w:szCs w:val="24"/>
        </w:rPr>
        <w:t>7. Profitability Ratios</w:t>
      </w:r>
      <w:bookmarkEnd w:id="28"/>
      <w:r w:rsidRPr="002C0A4C">
        <w:rPr>
          <w:rFonts w:ascii="Times New Roman" w:hAnsi="Times New Roman" w:cs="Times New Roman"/>
          <w:b/>
          <w:bCs/>
          <w:color w:val="000000" w:themeColor="text1"/>
          <w:sz w:val="24"/>
          <w:szCs w:val="24"/>
        </w:rPr>
        <w:t xml:space="preserve"> </w:t>
      </w:r>
    </w:p>
    <w:p w14:paraId="6A20D48C" w14:textId="1F9D2763"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6AFCD568" wp14:editId="451AC8AA">
            <wp:extent cx="5731510" cy="2138045"/>
            <wp:effectExtent l="0" t="0" r="0" b="0"/>
            <wp:docPr id="209701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1400" name=""/>
                    <pic:cNvPicPr/>
                  </pic:nvPicPr>
                  <pic:blipFill>
                    <a:blip r:embed="rId51"/>
                    <a:stretch>
                      <a:fillRect/>
                    </a:stretch>
                  </pic:blipFill>
                  <pic:spPr>
                    <a:xfrm>
                      <a:off x="0" y="0"/>
                      <a:ext cx="5731510" cy="2138045"/>
                    </a:xfrm>
                    <a:prstGeom prst="rect">
                      <a:avLst/>
                    </a:prstGeom>
                  </pic:spPr>
                </pic:pic>
              </a:graphicData>
            </a:graphic>
          </wp:inline>
        </w:drawing>
      </w:r>
    </w:p>
    <w:p w14:paraId="6966FEDD" w14:textId="01CAED57" w:rsidR="002C0A4C" w:rsidRPr="002C0A4C" w:rsidRDefault="002C0A4C" w:rsidP="002C0A4C">
      <w:pPr>
        <w:pStyle w:val="Heading2"/>
        <w:rPr>
          <w:rFonts w:ascii="Times New Roman" w:hAnsi="Times New Roman" w:cs="Times New Roman"/>
          <w:b/>
          <w:bCs/>
          <w:color w:val="000000" w:themeColor="text1"/>
          <w:sz w:val="24"/>
          <w:szCs w:val="24"/>
        </w:rPr>
      </w:pPr>
      <w:bookmarkStart w:id="29" w:name="_Toc227875566"/>
      <w:r w:rsidRPr="002C0A4C">
        <w:rPr>
          <w:rFonts w:ascii="Times New Roman" w:hAnsi="Times New Roman" w:cs="Times New Roman"/>
          <w:b/>
          <w:bCs/>
          <w:color w:val="000000" w:themeColor="text1"/>
          <w:sz w:val="24"/>
          <w:szCs w:val="24"/>
        </w:rPr>
        <w:lastRenderedPageBreak/>
        <w:t>8. Liquidity Ratios</w:t>
      </w:r>
      <w:bookmarkEnd w:id="29"/>
      <w:r w:rsidRPr="002C0A4C">
        <w:rPr>
          <w:rFonts w:ascii="Times New Roman" w:hAnsi="Times New Roman" w:cs="Times New Roman"/>
          <w:b/>
          <w:bCs/>
          <w:color w:val="000000" w:themeColor="text1"/>
          <w:sz w:val="24"/>
          <w:szCs w:val="24"/>
        </w:rPr>
        <w:t xml:space="preserve"> </w:t>
      </w:r>
    </w:p>
    <w:p w14:paraId="500A0938" w14:textId="5360B31C"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3FC41170" wp14:editId="227E45C0">
            <wp:extent cx="5731510" cy="1620520"/>
            <wp:effectExtent l="0" t="0" r="0" b="5080"/>
            <wp:docPr id="77859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596797" name=""/>
                    <pic:cNvPicPr/>
                  </pic:nvPicPr>
                  <pic:blipFill>
                    <a:blip r:embed="rId52"/>
                    <a:stretch>
                      <a:fillRect/>
                    </a:stretch>
                  </pic:blipFill>
                  <pic:spPr>
                    <a:xfrm>
                      <a:off x="0" y="0"/>
                      <a:ext cx="5731510" cy="1620520"/>
                    </a:xfrm>
                    <a:prstGeom prst="rect">
                      <a:avLst/>
                    </a:prstGeom>
                  </pic:spPr>
                </pic:pic>
              </a:graphicData>
            </a:graphic>
          </wp:inline>
        </w:drawing>
      </w:r>
    </w:p>
    <w:p w14:paraId="6B1A7A44" w14:textId="67552EB0" w:rsidR="002C0A4C" w:rsidRPr="002C0A4C" w:rsidRDefault="002C0A4C" w:rsidP="002C0A4C">
      <w:pPr>
        <w:pStyle w:val="Heading2"/>
        <w:rPr>
          <w:rFonts w:ascii="Times New Roman" w:hAnsi="Times New Roman" w:cs="Times New Roman"/>
          <w:b/>
          <w:bCs/>
          <w:color w:val="000000" w:themeColor="text1"/>
          <w:sz w:val="24"/>
          <w:szCs w:val="24"/>
        </w:rPr>
      </w:pPr>
      <w:bookmarkStart w:id="30" w:name="_Toc227875567"/>
      <w:r w:rsidRPr="002C0A4C">
        <w:rPr>
          <w:rFonts w:ascii="Times New Roman" w:hAnsi="Times New Roman" w:cs="Times New Roman"/>
          <w:b/>
          <w:bCs/>
          <w:color w:val="000000" w:themeColor="text1"/>
          <w:sz w:val="24"/>
          <w:szCs w:val="24"/>
        </w:rPr>
        <w:t>9. Efficiency Ratios</w:t>
      </w:r>
      <w:bookmarkEnd w:id="30"/>
      <w:r w:rsidRPr="002C0A4C">
        <w:rPr>
          <w:rFonts w:ascii="Times New Roman" w:hAnsi="Times New Roman" w:cs="Times New Roman"/>
          <w:b/>
          <w:bCs/>
          <w:color w:val="000000" w:themeColor="text1"/>
          <w:sz w:val="24"/>
          <w:szCs w:val="24"/>
        </w:rPr>
        <w:t xml:space="preserve"> </w:t>
      </w:r>
    </w:p>
    <w:p w14:paraId="23698370" w14:textId="1112A4EE"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134E04D2" wp14:editId="1FFB0C9E">
            <wp:extent cx="5731510" cy="2231390"/>
            <wp:effectExtent l="0" t="0" r="0" b="3810"/>
            <wp:docPr id="1532211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211886" name=""/>
                    <pic:cNvPicPr/>
                  </pic:nvPicPr>
                  <pic:blipFill>
                    <a:blip r:embed="rId53"/>
                    <a:stretch>
                      <a:fillRect/>
                    </a:stretch>
                  </pic:blipFill>
                  <pic:spPr>
                    <a:xfrm>
                      <a:off x="0" y="0"/>
                      <a:ext cx="5731510" cy="2231390"/>
                    </a:xfrm>
                    <a:prstGeom prst="rect">
                      <a:avLst/>
                    </a:prstGeom>
                  </pic:spPr>
                </pic:pic>
              </a:graphicData>
            </a:graphic>
          </wp:inline>
        </w:drawing>
      </w:r>
    </w:p>
    <w:p w14:paraId="486C4EB7" w14:textId="7F6178F2" w:rsidR="002C0A4C" w:rsidRPr="002C0A4C" w:rsidRDefault="002C0A4C" w:rsidP="002C0A4C">
      <w:pPr>
        <w:pStyle w:val="Heading2"/>
        <w:rPr>
          <w:rFonts w:ascii="Times New Roman" w:hAnsi="Times New Roman" w:cs="Times New Roman"/>
          <w:b/>
          <w:bCs/>
          <w:color w:val="000000" w:themeColor="text1"/>
          <w:sz w:val="24"/>
          <w:szCs w:val="24"/>
        </w:rPr>
      </w:pPr>
      <w:bookmarkStart w:id="31" w:name="_Toc227875568"/>
      <w:r w:rsidRPr="002C0A4C">
        <w:rPr>
          <w:rFonts w:ascii="Times New Roman" w:hAnsi="Times New Roman" w:cs="Times New Roman"/>
          <w:b/>
          <w:bCs/>
          <w:color w:val="000000" w:themeColor="text1"/>
          <w:sz w:val="24"/>
          <w:szCs w:val="24"/>
        </w:rPr>
        <w:t>10. Gearing (Leverage) Ratios</w:t>
      </w:r>
      <w:bookmarkEnd w:id="31"/>
      <w:r w:rsidRPr="002C0A4C">
        <w:rPr>
          <w:rFonts w:ascii="Times New Roman" w:hAnsi="Times New Roman" w:cs="Times New Roman"/>
          <w:b/>
          <w:bCs/>
          <w:color w:val="000000" w:themeColor="text1"/>
          <w:sz w:val="24"/>
          <w:szCs w:val="24"/>
        </w:rPr>
        <w:t xml:space="preserve"> </w:t>
      </w:r>
    </w:p>
    <w:p w14:paraId="4AAD3969" w14:textId="7739C436"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7E2944EC" wp14:editId="5D2E7A99">
            <wp:extent cx="5731510" cy="2371090"/>
            <wp:effectExtent l="0" t="0" r="0" b="3810"/>
            <wp:docPr id="995175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75514" name=""/>
                    <pic:cNvPicPr/>
                  </pic:nvPicPr>
                  <pic:blipFill>
                    <a:blip r:embed="rId54"/>
                    <a:stretch>
                      <a:fillRect/>
                    </a:stretch>
                  </pic:blipFill>
                  <pic:spPr>
                    <a:xfrm>
                      <a:off x="0" y="0"/>
                      <a:ext cx="5731510" cy="2371090"/>
                    </a:xfrm>
                    <a:prstGeom prst="rect">
                      <a:avLst/>
                    </a:prstGeom>
                  </pic:spPr>
                </pic:pic>
              </a:graphicData>
            </a:graphic>
          </wp:inline>
        </w:drawing>
      </w:r>
    </w:p>
    <w:p w14:paraId="599632BD" w14:textId="34950A1E" w:rsidR="002C0A4C" w:rsidRPr="002C0A4C" w:rsidRDefault="002C0A4C" w:rsidP="002C0A4C">
      <w:pPr>
        <w:pStyle w:val="Heading2"/>
        <w:rPr>
          <w:rFonts w:ascii="Times New Roman" w:hAnsi="Times New Roman" w:cs="Times New Roman"/>
          <w:b/>
          <w:bCs/>
          <w:color w:val="000000" w:themeColor="text1"/>
          <w:sz w:val="24"/>
          <w:szCs w:val="24"/>
        </w:rPr>
      </w:pPr>
      <w:bookmarkStart w:id="32" w:name="_Toc227875569"/>
      <w:r w:rsidRPr="002C0A4C">
        <w:rPr>
          <w:rFonts w:ascii="Times New Roman" w:hAnsi="Times New Roman" w:cs="Times New Roman"/>
          <w:b/>
          <w:bCs/>
          <w:color w:val="000000" w:themeColor="text1"/>
          <w:sz w:val="24"/>
          <w:szCs w:val="24"/>
        </w:rPr>
        <w:lastRenderedPageBreak/>
        <w:t>11. Cash Operating Cycle</w:t>
      </w:r>
      <w:bookmarkEnd w:id="32"/>
      <w:r w:rsidRPr="002C0A4C">
        <w:rPr>
          <w:rFonts w:ascii="Times New Roman" w:hAnsi="Times New Roman" w:cs="Times New Roman"/>
          <w:b/>
          <w:bCs/>
          <w:color w:val="000000" w:themeColor="text1"/>
          <w:sz w:val="24"/>
          <w:szCs w:val="24"/>
        </w:rPr>
        <w:t xml:space="preserve"> </w:t>
      </w:r>
    </w:p>
    <w:p w14:paraId="4843B4FB" w14:textId="1CAE2BA3" w:rsidR="002C0A4C" w:rsidRP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60CCDC89" wp14:editId="74C806D8">
            <wp:extent cx="5731510" cy="2061210"/>
            <wp:effectExtent l="0" t="0" r="0" b="0"/>
            <wp:docPr id="1479816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16215" name=""/>
                    <pic:cNvPicPr/>
                  </pic:nvPicPr>
                  <pic:blipFill>
                    <a:blip r:embed="rId55"/>
                    <a:stretch>
                      <a:fillRect/>
                    </a:stretch>
                  </pic:blipFill>
                  <pic:spPr>
                    <a:xfrm>
                      <a:off x="0" y="0"/>
                      <a:ext cx="5731510" cy="2061210"/>
                    </a:xfrm>
                    <a:prstGeom prst="rect">
                      <a:avLst/>
                    </a:prstGeom>
                  </pic:spPr>
                </pic:pic>
              </a:graphicData>
            </a:graphic>
          </wp:inline>
        </w:drawing>
      </w:r>
    </w:p>
    <w:p w14:paraId="371FB069" w14:textId="294FBBAD" w:rsidR="002C0A4C" w:rsidRPr="002C0A4C" w:rsidRDefault="002C0A4C" w:rsidP="002C0A4C">
      <w:pPr>
        <w:pStyle w:val="Heading2"/>
        <w:rPr>
          <w:rFonts w:ascii="Times New Roman" w:hAnsi="Times New Roman" w:cs="Times New Roman"/>
          <w:b/>
          <w:bCs/>
          <w:color w:val="000000" w:themeColor="text1"/>
          <w:sz w:val="24"/>
          <w:szCs w:val="24"/>
        </w:rPr>
      </w:pPr>
      <w:bookmarkStart w:id="33" w:name="_Toc227875570"/>
      <w:r w:rsidRPr="002C0A4C">
        <w:rPr>
          <w:rFonts w:ascii="Times New Roman" w:hAnsi="Times New Roman" w:cs="Times New Roman"/>
          <w:b/>
          <w:bCs/>
          <w:color w:val="000000" w:themeColor="text1"/>
          <w:sz w:val="24"/>
          <w:szCs w:val="24"/>
        </w:rPr>
        <w:t>12. Project Appraisal using Capital Budgeting Techniques</w:t>
      </w:r>
      <w:bookmarkEnd w:id="33"/>
      <w:r w:rsidRPr="002C0A4C">
        <w:rPr>
          <w:rFonts w:ascii="Times New Roman" w:hAnsi="Times New Roman" w:cs="Times New Roman"/>
          <w:b/>
          <w:bCs/>
          <w:color w:val="000000" w:themeColor="text1"/>
          <w:sz w:val="24"/>
          <w:szCs w:val="24"/>
        </w:rPr>
        <w:t xml:space="preserve"> </w:t>
      </w:r>
    </w:p>
    <w:p w14:paraId="74EBC55D" w14:textId="5E40CBCB" w:rsidR="002C0A4C" w:rsidRDefault="002C0A4C" w:rsidP="00B706D3">
      <w:pPr>
        <w:adjustRightInd w:val="0"/>
        <w:snapToGrid w:val="0"/>
        <w:spacing w:before="240" w:after="240" w:line="360" w:lineRule="auto"/>
        <w:jc w:val="both"/>
        <w:rPr>
          <w:rFonts w:ascii="Times New Roman" w:hAnsi="Times New Roman" w:cs="Times New Roman"/>
          <w:color w:val="000000" w:themeColor="text1"/>
        </w:rPr>
      </w:pPr>
      <w:r w:rsidRPr="002C0A4C">
        <w:rPr>
          <w:rFonts w:ascii="Times New Roman" w:hAnsi="Times New Roman" w:cs="Times New Roman"/>
          <w:noProof/>
          <w:color w:val="000000" w:themeColor="text1"/>
          <w:lang w:val="en-GB" w:eastAsia="en-GB"/>
        </w:rPr>
        <w:drawing>
          <wp:inline distT="0" distB="0" distL="0" distR="0" wp14:anchorId="76D7179D" wp14:editId="5333BE1B">
            <wp:extent cx="5731510" cy="4262120"/>
            <wp:effectExtent l="0" t="0" r="0" b="5080"/>
            <wp:docPr id="157466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62890" name=""/>
                    <pic:cNvPicPr/>
                  </pic:nvPicPr>
                  <pic:blipFill>
                    <a:blip r:embed="rId56"/>
                    <a:stretch>
                      <a:fillRect/>
                    </a:stretch>
                  </pic:blipFill>
                  <pic:spPr>
                    <a:xfrm>
                      <a:off x="0" y="0"/>
                      <a:ext cx="5731510" cy="4262120"/>
                    </a:xfrm>
                    <a:prstGeom prst="rect">
                      <a:avLst/>
                    </a:prstGeom>
                  </pic:spPr>
                </pic:pic>
              </a:graphicData>
            </a:graphic>
          </wp:inline>
        </w:drawing>
      </w:r>
    </w:p>
    <w:p w14:paraId="6F4579E2" w14:textId="117F6622" w:rsidR="00E903C4" w:rsidRPr="00E903C4" w:rsidRDefault="00E903C4" w:rsidP="00E903C4">
      <w:pPr>
        <w:pStyle w:val="Heading2"/>
        <w:rPr>
          <w:rFonts w:ascii="Times New Roman" w:hAnsi="Times New Roman" w:cs="Times New Roman"/>
          <w:b/>
          <w:bCs/>
          <w:color w:val="000000" w:themeColor="text1"/>
          <w:sz w:val="24"/>
          <w:szCs w:val="24"/>
        </w:rPr>
      </w:pPr>
      <w:bookmarkStart w:id="34" w:name="_Toc227875571"/>
      <w:r w:rsidRPr="00E903C4">
        <w:rPr>
          <w:rFonts w:ascii="Times New Roman" w:hAnsi="Times New Roman" w:cs="Times New Roman"/>
          <w:b/>
          <w:bCs/>
          <w:color w:val="000000" w:themeColor="text1"/>
          <w:sz w:val="24"/>
          <w:szCs w:val="24"/>
        </w:rPr>
        <w:lastRenderedPageBreak/>
        <w:t>13. Kia balance sheet excerpts</w:t>
      </w:r>
      <w:bookmarkEnd w:id="34"/>
      <w:r w:rsidRPr="00E903C4">
        <w:rPr>
          <w:rFonts w:ascii="Times New Roman" w:hAnsi="Times New Roman" w:cs="Times New Roman"/>
          <w:b/>
          <w:bCs/>
          <w:color w:val="000000" w:themeColor="text1"/>
          <w:sz w:val="24"/>
          <w:szCs w:val="24"/>
        </w:rPr>
        <w:t xml:space="preserve"> </w:t>
      </w:r>
    </w:p>
    <w:p w14:paraId="7A1D4B8E" w14:textId="78FB7E13" w:rsidR="00E903C4" w:rsidRDefault="00E903C4" w:rsidP="00B706D3">
      <w:pPr>
        <w:adjustRightInd w:val="0"/>
        <w:snapToGrid w:val="0"/>
        <w:spacing w:before="240" w:after="240" w:line="360" w:lineRule="auto"/>
        <w:jc w:val="both"/>
        <w:rPr>
          <w:rFonts w:ascii="Times New Roman" w:hAnsi="Times New Roman" w:cs="Times New Roman"/>
          <w:color w:val="000000" w:themeColor="text1"/>
        </w:rPr>
      </w:pPr>
      <w:r w:rsidRPr="00E903C4">
        <w:rPr>
          <w:rFonts w:ascii="Times New Roman" w:hAnsi="Times New Roman" w:cs="Times New Roman"/>
          <w:noProof/>
          <w:color w:val="000000" w:themeColor="text1"/>
          <w:lang w:val="en-GB" w:eastAsia="en-GB"/>
        </w:rPr>
        <w:drawing>
          <wp:inline distT="0" distB="0" distL="0" distR="0" wp14:anchorId="63209896" wp14:editId="7C006F21">
            <wp:extent cx="5731510" cy="3682365"/>
            <wp:effectExtent l="0" t="0" r="0" b="635"/>
            <wp:docPr id="1380087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87748" name=""/>
                    <pic:cNvPicPr/>
                  </pic:nvPicPr>
                  <pic:blipFill>
                    <a:blip r:embed="rId57"/>
                    <a:stretch>
                      <a:fillRect/>
                    </a:stretch>
                  </pic:blipFill>
                  <pic:spPr>
                    <a:xfrm>
                      <a:off x="0" y="0"/>
                      <a:ext cx="5731510" cy="3682365"/>
                    </a:xfrm>
                    <a:prstGeom prst="rect">
                      <a:avLst/>
                    </a:prstGeom>
                  </pic:spPr>
                </pic:pic>
              </a:graphicData>
            </a:graphic>
          </wp:inline>
        </w:drawing>
      </w:r>
    </w:p>
    <w:p w14:paraId="7CC2E2CF" w14:textId="41018E68" w:rsidR="00E903C4" w:rsidRDefault="00E903C4" w:rsidP="00B706D3">
      <w:pPr>
        <w:adjustRightInd w:val="0"/>
        <w:snapToGrid w:val="0"/>
        <w:spacing w:before="240"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Source: [</w:t>
      </w:r>
      <w:proofErr w:type="spellStart"/>
      <w:r>
        <w:rPr>
          <w:rFonts w:ascii="Times New Roman" w:hAnsi="Times New Roman" w:cs="Times New Roman"/>
          <w:color w:val="000000" w:themeColor="text1"/>
        </w:rPr>
        <w:t>Worldwide.kia</w:t>
      </w:r>
      <w:proofErr w:type="spellEnd"/>
      <w:r>
        <w:rPr>
          <w:rFonts w:ascii="Times New Roman" w:hAnsi="Times New Roman" w:cs="Times New Roman"/>
          <w:color w:val="000000" w:themeColor="text1"/>
        </w:rPr>
        <w:t xml:space="preserve"> 2026]</w:t>
      </w:r>
    </w:p>
    <w:p w14:paraId="1B89E6A2" w14:textId="77777777" w:rsidR="00E903C4" w:rsidRPr="00B706D3" w:rsidRDefault="00E903C4" w:rsidP="00B706D3">
      <w:pPr>
        <w:adjustRightInd w:val="0"/>
        <w:snapToGrid w:val="0"/>
        <w:spacing w:before="240" w:after="240" w:line="360" w:lineRule="auto"/>
        <w:jc w:val="both"/>
        <w:rPr>
          <w:rFonts w:ascii="Times New Roman" w:hAnsi="Times New Roman" w:cs="Times New Roman"/>
          <w:color w:val="000000" w:themeColor="text1"/>
        </w:rPr>
      </w:pPr>
    </w:p>
    <w:sectPr w:rsidR="00E903C4" w:rsidRPr="00B706D3" w:rsidSect="009F3D75">
      <w:footerReference w:type="even" r:id="rId58"/>
      <w:footerReference w:type="default" r:id="rId5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361B5" w14:textId="77777777" w:rsidR="003D3DB3" w:rsidRDefault="003D3DB3" w:rsidP="00DB61B2">
      <w:pPr>
        <w:spacing w:after="0" w:line="240" w:lineRule="auto"/>
      </w:pPr>
      <w:r>
        <w:separator/>
      </w:r>
    </w:p>
  </w:endnote>
  <w:endnote w:type="continuationSeparator" w:id="0">
    <w:p w14:paraId="2C9E2971" w14:textId="77777777" w:rsidR="003D3DB3" w:rsidRDefault="003D3DB3" w:rsidP="00DB6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23375001"/>
      <w:docPartObj>
        <w:docPartGallery w:val="Page Numbers (Bottom of Page)"/>
        <w:docPartUnique/>
      </w:docPartObj>
    </w:sdtPr>
    <w:sdtEndPr>
      <w:rPr>
        <w:rStyle w:val="PageNumber"/>
      </w:rPr>
    </w:sdtEndPr>
    <w:sdtContent>
      <w:p w14:paraId="3DBA66BB" w14:textId="3A71E355" w:rsidR="00DB61B2" w:rsidRDefault="00DB61B2" w:rsidP="00F257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617B0D" w14:textId="77777777" w:rsidR="00DB61B2" w:rsidRDefault="00DB61B2" w:rsidP="00DB61B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81742338"/>
      <w:docPartObj>
        <w:docPartGallery w:val="Page Numbers (Bottom of Page)"/>
        <w:docPartUnique/>
      </w:docPartObj>
    </w:sdtPr>
    <w:sdtEndPr>
      <w:rPr>
        <w:rStyle w:val="PageNumber"/>
      </w:rPr>
    </w:sdtEndPr>
    <w:sdtContent>
      <w:p w14:paraId="42C921A8" w14:textId="1E2439D9" w:rsidR="00DB61B2" w:rsidRDefault="00DB61B2" w:rsidP="00F257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53458">
          <w:rPr>
            <w:rStyle w:val="PageNumber"/>
            <w:noProof/>
          </w:rPr>
          <w:t>2</w:t>
        </w:r>
        <w:r>
          <w:rPr>
            <w:rStyle w:val="PageNumber"/>
          </w:rPr>
          <w:fldChar w:fldCharType="end"/>
        </w:r>
      </w:p>
    </w:sdtContent>
  </w:sdt>
  <w:p w14:paraId="03828F89" w14:textId="77777777" w:rsidR="00DB61B2" w:rsidRDefault="00DB61B2" w:rsidP="00DB61B2">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E230E" w14:textId="77777777" w:rsidR="003D3DB3" w:rsidRDefault="003D3DB3" w:rsidP="00DB61B2">
      <w:pPr>
        <w:spacing w:after="0" w:line="240" w:lineRule="auto"/>
      </w:pPr>
      <w:r>
        <w:separator/>
      </w:r>
    </w:p>
  </w:footnote>
  <w:footnote w:type="continuationSeparator" w:id="0">
    <w:p w14:paraId="7FDD85D5" w14:textId="77777777" w:rsidR="003D3DB3" w:rsidRDefault="003D3DB3" w:rsidP="00DB61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6F69"/>
    <w:multiLevelType w:val="hybridMultilevel"/>
    <w:tmpl w:val="5934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12931"/>
    <w:multiLevelType w:val="multilevel"/>
    <w:tmpl w:val="1090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B538B6"/>
    <w:multiLevelType w:val="multilevel"/>
    <w:tmpl w:val="D9E6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693F77"/>
    <w:multiLevelType w:val="hybridMultilevel"/>
    <w:tmpl w:val="FB2EC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DAE"/>
    <w:rsid w:val="000015A4"/>
    <w:rsid w:val="00065E53"/>
    <w:rsid w:val="000E55DE"/>
    <w:rsid w:val="00121F59"/>
    <w:rsid w:val="00122626"/>
    <w:rsid w:val="00151D40"/>
    <w:rsid w:val="00190A48"/>
    <w:rsid w:val="00202142"/>
    <w:rsid w:val="00213822"/>
    <w:rsid w:val="00220320"/>
    <w:rsid w:val="00223B04"/>
    <w:rsid w:val="00263DAE"/>
    <w:rsid w:val="002A7B72"/>
    <w:rsid w:val="002C0A4C"/>
    <w:rsid w:val="00337F69"/>
    <w:rsid w:val="00360D0C"/>
    <w:rsid w:val="00390A71"/>
    <w:rsid w:val="003D3DB3"/>
    <w:rsid w:val="003D4B03"/>
    <w:rsid w:val="003F2EA4"/>
    <w:rsid w:val="00400563"/>
    <w:rsid w:val="00404A71"/>
    <w:rsid w:val="00421550"/>
    <w:rsid w:val="00421A15"/>
    <w:rsid w:val="0044654A"/>
    <w:rsid w:val="00493572"/>
    <w:rsid w:val="004B186A"/>
    <w:rsid w:val="004D7FF2"/>
    <w:rsid w:val="004E349E"/>
    <w:rsid w:val="004F7A06"/>
    <w:rsid w:val="0055574F"/>
    <w:rsid w:val="0059741A"/>
    <w:rsid w:val="005A5D3A"/>
    <w:rsid w:val="005C70F2"/>
    <w:rsid w:val="005D638A"/>
    <w:rsid w:val="0060752F"/>
    <w:rsid w:val="00667E58"/>
    <w:rsid w:val="006763C1"/>
    <w:rsid w:val="00694F2F"/>
    <w:rsid w:val="00703B62"/>
    <w:rsid w:val="007435F1"/>
    <w:rsid w:val="00801D15"/>
    <w:rsid w:val="0084451C"/>
    <w:rsid w:val="00870538"/>
    <w:rsid w:val="00893C96"/>
    <w:rsid w:val="008E1F65"/>
    <w:rsid w:val="009401E7"/>
    <w:rsid w:val="00954B4A"/>
    <w:rsid w:val="009779C3"/>
    <w:rsid w:val="009A506A"/>
    <w:rsid w:val="009C5AAF"/>
    <w:rsid w:val="009F3D75"/>
    <w:rsid w:val="00A0134B"/>
    <w:rsid w:val="00A2198F"/>
    <w:rsid w:val="00A53458"/>
    <w:rsid w:val="00A66EDA"/>
    <w:rsid w:val="00A9580A"/>
    <w:rsid w:val="00AB1E0E"/>
    <w:rsid w:val="00B2790A"/>
    <w:rsid w:val="00B706D3"/>
    <w:rsid w:val="00BC6BEB"/>
    <w:rsid w:val="00C10339"/>
    <w:rsid w:val="00C32196"/>
    <w:rsid w:val="00CC1C12"/>
    <w:rsid w:val="00CC3EA2"/>
    <w:rsid w:val="00D05B3B"/>
    <w:rsid w:val="00D26F1C"/>
    <w:rsid w:val="00D6154F"/>
    <w:rsid w:val="00D72A9F"/>
    <w:rsid w:val="00DA4568"/>
    <w:rsid w:val="00DB61B2"/>
    <w:rsid w:val="00DC756D"/>
    <w:rsid w:val="00DD6CE9"/>
    <w:rsid w:val="00DE2753"/>
    <w:rsid w:val="00E260B5"/>
    <w:rsid w:val="00E83252"/>
    <w:rsid w:val="00E903C4"/>
    <w:rsid w:val="00EA3102"/>
    <w:rsid w:val="00EC7B2D"/>
    <w:rsid w:val="00ED542F"/>
    <w:rsid w:val="00F53EC2"/>
    <w:rsid w:val="00FB42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67220"/>
  <w15:chartTrackingRefBased/>
  <w15:docId w15:val="{E8BB3270-5F9A-D948-B24D-192E9448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3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3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3D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D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D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D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D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D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D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D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3D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3D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D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D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D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D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D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DAE"/>
    <w:rPr>
      <w:rFonts w:eastAsiaTheme="majorEastAsia" w:cstheme="majorBidi"/>
      <w:color w:val="272727" w:themeColor="text1" w:themeTint="D8"/>
    </w:rPr>
  </w:style>
  <w:style w:type="paragraph" w:styleId="Title">
    <w:name w:val="Title"/>
    <w:basedOn w:val="Normal"/>
    <w:next w:val="Normal"/>
    <w:link w:val="TitleChar"/>
    <w:uiPriority w:val="10"/>
    <w:qFormat/>
    <w:rsid w:val="00263D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D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D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D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DAE"/>
    <w:pPr>
      <w:spacing w:before="160"/>
      <w:jc w:val="center"/>
    </w:pPr>
    <w:rPr>
      <w:i/>
      <w:iCs/>
      <w:color w:val="404040" w:themeColor="text1" w:themeTint="BF"/>
    </w:rPr>
  </w:style>
  <w:style w:type="character" w:customStyle="1" w:styleId="QuoteChar">
    <w:name w:val="Quote Char"/>
    <w:basedOn w:val="DefaultParagraphFont"/>
    <w:link w:val="Quote"/>
    <w:uiPriority w:val="29"/>
    <w:rsid w:val="00263DAE"/>
    <w:rPr>
      <w:i/>
      <w:iCs/>
      <w:color w:val="404040" w:themeColor="text1" w:themeTint="BF"/>
    </w:rPr>
  </w:style>
  <w:style w:type="paragraph" w:styleId="ListParagraph">
    <w:name w:val="List Paragraph"/>
    <w:basedOn w:val="Normal"/>
    <w:uiPriority w:val="34"/>
    <w:qFormat/>
    <w:rsid w:val="00263DAE"/>
    <w:pPr>
      <w:ind w:left="720"/>
      <w:contextualSpacing/>
    </w:pPr>
  </w:style>
  <w:style w:type="character" w:styleId="IntenseEmphasis">
    <w:name w:val="Intense Emphasis"/>
    <w:basedOn w:val="DefaultParagraphFont"/>
    <w:uiPriority w:val="21"/>
    <w:qFormat/>
    <w:rsid w:val="00263DAE"/>
    <w:rPr>
      <w:i/>
      <w:iCs/>
      <w:color w:val="0F4761" w:themeColor="accent1" w:themeShade="BF"/>
    </w:rPr>
  </w:style>
  <w:style w:type="paragraph" w:styleId="IntenseQuote">
    <w:name w:val="Intense Quote"/>
    <w:basedOn w:val="Normal"/>
    <w:next w:val="Normal"/>
    <w:link w:val="IntenseQuoteChar"/>
    <w:uiPriority w:val="30"/>
    <w:qFormat/>
    <w:rsid w:val="00263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DAE"/>
    <w:rPr>
      <w:i/>
      <w:iCs/>
      <w:color w:val="0F4761" w:themeColor="accent1" w:themeShade="BF"/>
    </w:rPr>
  </w:style>
  <w:style w:type="character" w:styleId="IntenseReference">
    <w:name w:val="Intense Reference"/>
    <w:basedOn w:val="DefaultParagraphFont"/>
    <w:uiPriority w:val="32"/>
    <w:qFormat/>
    <w:rsid w:val="00263DAE"/>
    <w:rPr>
      <w:b/>
      <w:bCs/>
      <w:smallCaps/>
      <w:color w:val="0F4761" w:themeColor="accent1" w:themeShade="BF"/>
      <w:spacing w:val="5"/>
    </w:rPr>
  </w:style>
  <w:style w:type="table" w:styleId="TableGrid">
    <w:name w:val="Table Grid"/>
    <w:basedOn w:val="TableNormal"/>
    <w:uiPriority w:val="39"/>
    <w:rsid w:val="00607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B6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1B2"/>
  </w:style>
  <w:style w:type="character" w:styleId="PageNumber">
    <w:name w:val="page number"/>
    <w:basedOn w:val="DefaultParagraphFont"/>
    <w:uiPriority w:val="99"/>
    <w:semiHidden/>
    <w:unhideWhenUsed/>
    <w:rsid w:val="00DB61B2"/>
  </w:style>
  <w:style w:type="paragraph" w:styleId="TOCHeading">
    <w:name w:val="TOC Heading"/>
    <w:basedOn w:val="Heading1"/>
    <w:next w:val="Normal"/>
    <w:uiPriority w:val="39"/>
    <w:unhideWhenUsed/>
    <w:qFormat/>
    <w:rsid w:val="00DB61B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B61B2"/>
    <w:pPr>
      <w:spacing w:before="240" w:after="120"/>
    </w:pPr>
    <w:rPr>
      <w:b/>
      <w:bCs/>
      <w:sz w:val="20"/>
      <w:szCs w:val="20"/>
    </w:rPr>
  </w:style>
  <w:style w:type="paragraph" w:styleId="TOC2">
    <w:name w:val="toc 2"/>
    <w:basedOn w:val="Normal"/>
    <w:next w:val="Normal"/>
    <w:autoRedefine/>
    <w:uiPriority w:val="39"/>
    <w:unhideWhenUsed/>
    <w:rsid w:val="00DB61B2"/>
    <w:pPr>
      <w:spacing w:before="120" w:after="0"/>
      <w:ind w:left="240"/>
    </w:pPr>
    <w:rPr>
      <w:i/>
      <w:iCs/>
      <w:sz w:val="20"/>
      <w:szCs w:val="20"/>
    </w:rPr>
  </w:style>
  <w:style w:type="character" w:styleId="Hyperlink">
    <w:name w:val="Hyperlink"/>
    <w:basedOn w:val="DefaultParagraphFont"/>
    <w:uiPriority w:val="99"/>
    <w:unhideWhenUsed/>
    <w:rsid w:val="00DB61B2"/>
    <w:rPr>
      <w:color w:val="467886" w:themeColor="hyperlink"/>
      <w:u w:val="single"/>
    </w:rPr>
  </w:style>
  <w:style w:type="paragraph" w:styleId="TOC3">
    <w:name w:val="toc 3"/>
    <w:basedOn w:val="Normal"/>
    <w:next w:val="Normal"/>
    <w:autoRedefine/>
    <w:uiPriority w:val="39"/>
    <w:semiHidden/>
    <w:unhideWhenUsed/>
    <w:rsid w:val="00DB61B2"/>
    <w:pPr>
      <w:spacing w:after="0"/>
      <w:ind w:left="480"/>
    </w:pPr>
    <w:rPr>
      <w:sz w:val="20"/>
      <w:szCs w:val="20"/>
    </w:rPr>
  </w:style>
  <w:style w:type="paragraph" w:styleId="TOC4">
    <w:name w:val="toc 4"/>
    <w:basedOn w:val="Normal"/>
    <w:next w:val="Normal"/>
    <w:autoRedefine/>
    <w:uiPriority w:val="39"/>
    <w:semiHidden/>
    <w:unhideWhenUsed/>
    <w:rsid w:val="00DB61B2"/>
    <w:pPr>
      <w:spacing w:after="0"/>
      <w:ind w:left="720"/>
    </w:pPr>
    <w:rPr>
      <w:sz w:val="20"/>
      <w:szCs w:val="20"/>
    </w:rPr>
  </w:style>
  <w:style w:type="paragraph" w:styleId="TOC5">
    <w:name w:val="toc 5"/>
    <w:basedOn w:val="Normal"/>
    <w:next w:val="Normal"/>
    <w:autoRedefine/>
    <w:uiPriority w:val="39"/>
    <w:semiHidden/>
    <w:unhideWhenUsed/>
    <w:rsid w:val="00DB61B2"/>
    <w:pPr>
      <w:spacing w:after="0"/>
      <w:ind w:left="960"/>
    </w:pPr>
    <w:rPr>
      <w:sz w:val="20"/>
      <w:szCs w:val="20"/>
    </w:rPr>
  </w:style>
  <w:style w:type="paragraph" w:styleId="TOC6">
    <w:name w:val="toc 6"/>
    <w:basedOn w:val="Normal"/>
    <w:next w:val="Normal"/>
    <w:autoRedefine/>
    <w:uiPriority w:val="39"/>
    <w:semiHidden/>
    <w:unhideWhenUsed/>
    <w:rsid w:val="00DB61B2"/>
    <w:pPr>
      <w:spacing w:after="0"/>
      <w:ind w:left="1200"/>
    </w:pPr>
    <w:rPr>
      <w:sz w:val="20"/>
      <w:szCs w:val="20"/>
    </w:rPr>
  </w:style>
  <w:style w:type="paragraph" w:styleId="TOC7">
    <w:name w:val="toc 7"/>
    <w:basedOn w:val="Normal"/>
    <w:next w:val="Normal"/>
    <w:autoRedefine/>
    <w:uiPriority w:val="39"/>
    <w:semiHidden/>
    <w:unhideWhenUsed/>
    <w:rsid w:val="00DB61B2"/>
    <w:pPr>
      <w:spacing w:after="0"/>
      <w:ind w:left="1440"/>
    </w:pPr>
    <w:rPr>
      <w:sz w:val="20"/>
      <w:szCs w:val="20"/>
    </w:rPr>
  </w:style>
  <w:style w:type="paragraph" w:styleId="TOC8">
    <w:name w:val="toc 8"/>
    <w:basedOn w:val="Normal"/>
    <w:next w:val="Normal"/>
    <w:autoRedefine/>
    <w:uiPriority w:val="39"/>
    <w:semiHidden/>
    <w:unhideWhenUsed/>
    <w:rsid w:val="00DB61B2"/>
    <w:pPr>
      <w:spacing w:after="0"/>
      <w:ind w:left="1680"/>
    </w:pPr>
    <w:rPr>
      <w:sz w:val="20"/>
      <w:szCs w:val="20"/>
    </w:rPr>
  </w:style>
  <w:style w:type="paragraph" w:styleId="TOC9">
    <w:name w:val="toc 9"/>
    <w:basedOn w:val="Normal"/>
    <w:next w:val="Normal"/>
    <w:autoRedefine/>
    <w:uiPriority w:val="39"/>
    <w:semiHidden/>
    <w:unhideWhenUsed/>
    <w:rsid w:val="00DB61B2"/>
    <w:pPr>
      <w:spacing w:after="0"/>
      <w:ind w:left="1920"/>
    </w:pPr>
    <w:rPr>
      <w:sz w:val="20"/>
      <w:szCs w:val="20"/>
    </w:rPr>
  </w:style>
  <w:style w:type="character" w:customStyle="1" w:styleId="UnresolvedMention">
    <w:name w:val="Unresolved Mention"/>
    <w:basedOn w:val="DefaultParagraphFont"/>
    <w:uiPriority w:val="99"/>
    <w:semiHidden/>
    <w:unhideWhenUsed/>
    <w:rsid w:val="00E90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tomotiveworld.com/news-releases/kia-announces-2025-second-quarter-business-results/" TargetMode="External"/><Relationship Id="rId18" Type="http://schemas.openxmlformats.org/officeDocument/2006/relationships/hyperlink" Target="https://corporatefinanceinstitute.com/resources/accounting/operating-cycle/" TargetMode="External"/><Relationship Id="rId26" Type="http://schemas.openxmlformats.org/officeDocument/2006/relationships/hyperlink" Target="https://www.investopedia.com/terms/w/workingcapitalmanagement.asp" TargetMode="External"/><Relationship Id="rId39" Type="http://schemas.openxmlformats.org/officeDocument/2006/relationships/hyperlink" Target="https://www.wallstreetmojo.com/investment-appraisal-2/" TargetMode="External"/><Relationship Id="rId21" Type="http://schemas.openxmlformats.org/officeDocument/2006/relationships/hyperlink" Target="https://efinancemanagement.com/investment-decisions/investment-appraisal-techniques" TargetMode="External"/><Relationship Id="rId34" Type="http://schemas.openxmlformats.org/officeDocument/2006/relationships/hyperlink" Target="https://legalvision.co.uk/corporations/term-financing/" TargetMode="External"/><Relationship Id="rId42" Type="http://schemas.openxmlformats.org/officeDocument/2006/relationships/hyperlink" Target="https://www.investopedia.com/financial-edge/0910/6-basic-financial-ratios-and-what-they-tell-you.aspx" TargetMode="External"/><Relationship Id="rId47" Type="http://schemas.openxmlformats.org/officeDocument/2006/relationships/image" Target="media/image8.png"/><Relationship Id="rId50" Type="http://schemas.openxmlformats.org/officeDocument/2006/relationships/image" Target="media/image11.png"/><Relationship Id="rId55" Type="http://schemas.openxmlformats.org/officeDocument/2006/relationships/image" Target="media/image1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btnews.com/kia-hit-with-842-million-tariff-loss-as-q3-profit-sinks-nearly-50/" TargetMode="External"/><Relationship Id="rId20" Type="http://schemas.openxmlformats.org/officeDocument/2006/relationships/hyperlink" Target="https://en.sedaily.com/finance/2026/04/10/kia-bets-49-trillion-won-on-humanoid-robots-urban" TargetMode="External"/><Relationship Id="rId29" Type="http://schemas.openxmlformats.org/officeDocument/2006/relationships/hyperlink" Target="https://mercury.com/blog/strategies-manage-cash-conversion-cycle" TargetMode="External"/><Relationship Id="rId41" Type="http://schemas.openxmlformats.org/officeDocument/2006/relationships/hyperlink" Target="https://www.weavegrid.com/news/weavegrid-secures-strategic-investment-from-hyundai-and-kia" TargetMode="External"/><Relationship Id="rId54"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illtrust.com/resources/blog/cash-conversion-cycle" TargetMode="External"/><Relationship Id="rId32" Type="http://schemas.openxmlformats.org/officeDocument/2006/relationships/hyperlink" Target="https://navi.com/blog/joint-venture/" TargetMode="External"/><Relationship Id="rId37" Type="http://schemas.openxmlformats.org/officeDocument/2006/relationships/hyperlink" Target="https://www.protechtgroup.com/en-au/blog/non-financial-risk-why-the-big-focus?utm_source=google.com&amp;utm_medium=organic" TargetMode="External"/><Relationship Id="rId40" Type="http://schemas.openxmlformats.org/officeDocument/2006/relationships/hyperlink" Target="https://www.beewatec.com/en/blog/just-in-time-definition-advantages-and-implementation" TargetMode="External"/><Relationship Id="rId45" Type="http://schemas.openxmlformats.org/officeDocument/2006/relationships/image" Target="media/image6.png"/><Relationship Id="rId53" Type="http://schemas.openxmlformats.org/officeDocument/2006/relationships/image" Target="media/image14.pn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dium.com/@matthew.bernath/debt-structuring-in-project-finance-balancing-risk-and-returns-c6213c56cebf" TargetMode="External"/><Relationship Id="rId23" Type="http://schemas.openxmlformats.org/officeDocument/2006/relationships/hyperlink" Target="https://www.autoblog.com/news/kia-carnival-sportage-and-seltos-november-sales-records" TargetMode="External"/><Relationship Id="rId28" Type="http://schemas.openxmlformats.org/officeDocument/2006/relationships/hyperlink" Target="https://www.investopedia.com/terms/g/gearingratio.asp" TargetMode="External"/><Relationship Id="rId36" Type="http://schemas.openxmlformats.org/officeDocument/2006/relationships/hyperlink" Target="https://www.forbes.com/advisor/business/just-in-time-inventory/" TargetMode="External"/><Relationship Id="rId49" Type="http://schemas.openxmlformats.org/officeDocument/2006/relationships/image" Target="media/image10.png"/><Relationship Id="rId57" Type="http://schemas.openxmlformats.org/officeDocument/2006/relationships/image" Target="media/image18.png"/><Relationship Id="rId61"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inman.com/blog/achieve-economies-to-scale-with-lean-manufacturing" TargetMode="External"/><Relationship Id="rId31" Type="http://schemas.openxmlformats.org/officeDocument/2006/relationships/hyperlink" Target="https://chargedevs.com/newswire/hyundai-and-kia-invest-in-battery-software-provider-qnovo/" TargetMode="External"/><Relationship Id="rId44" Type="http://schemas.openxmlformats.org/officeDocument/2006/relationships/hyperlink" Target="https://www.wrightvigar.co.uk/news/%20Assessing-and-Improving-Performance" TargetMode="External"/><Relationship Id="rId52" Type="http://schemas.openxmlformats.org/officeDocument/2006/relationships/image" Target="media/image13.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astmarkets.com/insights/navigating-raw-material-risks-challenges-and-opportunities-in-the-automotive-industry/" TargetMode="External"/><Relationship Id="rId22" Type="http://schemas.openxmlformats.org/officeDocument/2006/relationships/hyperlink" Target="https://fastercapital.com/topics/the-importance-of-capital-injection-for-business-growth.html/4" TargetMode="External"/><Relationship Id="rId27" Type="http://schemas.openxmlformats.org/officeDocument/2006/relationships/hyperlink" Target="https://www.netsuite.com/portal/resource/articles/inventory-management/just-in-time-inventory.shtml" TargetMode="External"/><Relationship Id="rId30" Type="http://schemas.openxmlformats.org/officeDocument/2006/relationships/hyperlink" Target="https://www.morningstar.com/news/pr-newswire/20260420ny18388/kia-and-totalenergies-celebrate-15-years-of-global-collaboration-with-a-fourth-contract-renewal" TargetMode="External"/><Relationship Id="rId35" Type="http://schemas.openxmlformats.org/officeDocument/2006/relationships/hyperlink" Target="https://www.fisdom.com/what-is-capital-rationing-how-is-it-used/" TargetMode="External"/><Relationship Id="rId43" Type="http://schemas.openxmlformats.org/officeDocument/2006/relationships/hyperlink" Target="https://worldwide.kia.com/en/company/investor-relations/financial/summary-statements" TargetMode="External"/><Relationship Id="rId48" Type="http://schemas.openxmlformats.org/officeDocument/2006/relationships/image" Target="media/image9.png"/><Relationship Id="rId56" Type="http://schemas.openxmlformats.org/officeDocument/2006/relationships/image" Target="media/image17.png"/><Relationship Id="rId8" Type="http://schemas.openxmlformats.org/officeDocument/2006/relationships/image" Target="media/image1.png"/><Relationship Id="rId51" Type="http://schemas.openxmlformats.org/officeDocument/2006/relationships/image" Target="media/image1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investopedia.com/terms/d/divestiture.asp" TargetMode="External"/><Relationship Id="rId25" Type="http://schemas.openxmlformats.org/officeDocument/2006/relationships/hyperlink" Target="https://www.morningstar.com.au/stocks/top-investing-picks-across-the-ev-supply-chain" TargetMode="External"/><Relationship Id="rId33" Type="http://schemas.openxmlformats.org/officeDocument/2006/relationships/hyperlink" Target="https://www.the-autonomous.com/news/new-automotive-market-realities-enhance-the-need-for-strategic-partnerships/" TargetMode="External"/><Relationship Id="rId38" Type="http://schemas.openxmlformats.org/officeDocument/2006/relationships/hyperlink" Target="https://www.woodmac.com/news/opinion/ev-and-battery-supply-chain-2026-outlook/" TargetMode="External"/><Relationship Id="rId46" Type="http://schemas.openxmlformats.org/officeDocument/2006/relationships/image" Target="media/image7.png"/><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D74B0-788C-4340-9ACA-8F19C202F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Pages>
  <Words>6590</Words>
  <Characters>37565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44067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281</cp:revision>
  <dcterms:created xsi:type="dcterms:W3CDTF">2026-04-22T04:26:00Z</dcterms:created>
  <dcterms:modified xsi:type="dcterms:W3CDTF">2026-04-24T06:46:00Z</dcterms:modified>
  <cp:category/>
</cp:coreProperties>
</file>