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228D5" w14:textId="77777777" w:rsidR="009F6769" w:rsidRPr="00C45331" w:rsidRDefault="009F6769" w:rsidP="000947D6">
      <w:pPr>
        <w:spacing w:line="360" w:lineRule="auto"/>
        <w:jc w:val="center"/>
        <w:rPr>
          <w:rFonts w:ascii="Arial" w:hAnsi="Arial" w:cs="Arial"/>
          <w:color w:val="44546A" w:themeColor="text2"/>
          <w:kern w:val="0"/>
          <w14:ligatures w14:val="none"/>
        </w:rPr>
      </w:pPr>
      <w:r w:rsidRPr="00C45331">
        <w:rPr>
          <w:rFonts w:ascii="Arial" w:hAnsi="Arial" w:cs="Arial"/>
          <w:color w:val="44546A" w:themeColor="text2"/>
          <w:kern w:val="0"/>
          <w14:ligatures w14:val="none"/>
        </w:rPr>
        <w:t>University of Wales</w:t>
      </w:r>
    </w:p>
    <w:p w14:paraId="1C3568F2" w14:textId="77777777" w:rsidR="009F6769" w:rsidRPr="00C45331" w:rsidRDefault="009F6769" w:rsidP="000947D6">
      <w:pPr>
        <w:spacing w:line="360" w:lineRule="auto"/>
        <w:jc w:val="center"/>
        <w:rPr>
          <w:rFonts w:ascii="Arial" w:hAnsi="Arial" w:cs="Arial"/>
          <w:color w:val="44546A" w:themeColor="text2"/>
          <w:kern w:val="0"/>
          <w14:ligatures w14:val="none"/>
        </w:rPr>
      </w:pPr>
      <w:r w:rsidRPr="00C45331">
        <w:rPr>
          <w:rFonts w:ascii="Arial" w:hAnsi="Arial" w:cs="Arial"/>
          <w:color w:val="44546A" w:themeColor="text2"/>
          <w:kern w:val="0"/>
          <w14:ligatures w14:val="none"/>
        </w:rPr>
        <w:t>Trinity Saint David</w:t>
      </w:r>
    </w:p>
    <w:p w14:paraId="4807BF2A" w14:textId="77777777" w:rsidR="009F6769" w:rsidRPr="00C45331" w:rsidRDefault="009F6769" w:rsidP="000947D6">
      <w:pPr>
        <w:spacing w:line="360" w:lineRule="auto"/>
        <w:jc w:val="center"/>
        <w:rPr>
          <w:rFonts w:ascii="Arial" w:hAnsi="Arial" w:cs="Arial"/>
          <w:color w:val="44546A" w:themeColor="text2"/>
          <w:kern w:val="0"/>
          <w14:ligatures w14:val="none"/>
        </w:rPr>
      </w:pPr>
      <w:r w:rsidRPr="00C45331">
        <w:rPr>
          <w:rFonts w:ascii="Arial" w:hAnsi="Arial" w:cs="Arial"/>
          <w:color w:val="44546A" w:themeColor="text2"/>
          <w:kern w:val="0"/>
          <w14:ligatures w14:val="none"/>
        </w:rPr>
        <w:t>Campus London</w:t>
      </w:r>
    </w:p>
    <w:p w14:paraId="6C3D9163" w14:textId="77777777" w:rsidR="009F6769" w:rsidRPr="00C45331" w:rsidRDefault="009F6769" w:rsidP="000947D6">
      <w:pPr>
        <w:spacing w:line="360" w:lineRule="auto"/>
        <w:jc w:val="center"/>
        <w:rPr>
          <w:rFonts w:ascii="Arial" w:hAnsi="Arial" w:cs="Arial"/>
          <w:color w:val="44546A" w:themeColor="text2"/>
          <w:kern w:val="0"/>
          <w14:ligatures w14:val="none"/>
        </w:rPr>
      </w:pPr>
    </w:p>
    <w:p w14:paraId="10FF68B8" w14:textId="77777777" w:rsidR="009F6769" w:rsidRPr="00C45331" w:rsidRDefault="009F6769" w:rsidP="000947D6">
      <w:pPr>
        <w:spacing w:line="360" w:lineRule="auto"/>
        <w:jc w:val="center"/>
        <w:rPr>
          <w:rFonts w:ascii="Arial" w:hAnsi="Arial" w:cs="Arial"/>
          <w:color w:val="44546A" w:themeColor="text2"/>
          <w:kern w:val="0"/>
          <w14:ligatures w14:val="none"/>
        </w:rPr>
      </w:pPr>
    </w:p>
    <w:p w14:paraId="31612819" w14:textId="77777777" w:rsidR="009F6769" w:rsidRPr="00C45331" w:rsidRDefault="009F6769" w:rsidP="000947D6">
      <w:pPr>
        <w:spacing w:line="360" w:lineRule="auto"/>
        <w:jc w:val="center"/>
        <w:rPr>
          <w:rFonts w:ascii="Arial" w:hAnsi="Arial" w:cs="Arial"/>
          <w:color w:val="44546A" w:themeColor="text2"/>
          <w:kern w:val="0"/>
          <w14:ligatures w14:val="none"/>
        </w:rPr>
      </w:pPr>
    </w:p>
    <w:p w14:paraId="774C04F8" w14:textId="62361CA2" w:rsidR="009F6769" w:rsidRPr="00C45331" w:rsidRDefault="009F6769" w:rsidP="000947D6">
      <w:pPr>
        <w:spacing w:line="360" w:lineRule="auto"/>
        <w:jc w:val="center"/>
        <w:rPr>
          <w:rFonts w:ascii="Arial" w:hAnsi="Arial" w:cs="Arial"/>
          <w:color w:val="44546A" w:themeColor="text2"/>
          <w:kern w:val="0"/>
          <w14:ligatures w14:val="none"/>
        </w:rPr>
      </w:pPr>
      <w:r w:rsidRPr="00C45331">
        <w:rPr>
          <w:rFonts w:ascii="Arial" w:hAnsi="Arial" w:cs="Arial"/>
          <w:color w:val="44546A" w:themeColor="text2"/>
          <w:kern w:val="0"/>
          <w14:ligatures w14:val="none"/>
        </w:rPr>
        <w:t xml:space="preserve">Strategic Management for SMEs </w:t>
      </w:r>
    </w:p>
    <w:p w14:paraId="3A679FA5" w14:textId="71B63EFB" w:rsidR="009F6769" w:rsidRPr="00C45331" w:rsidRDefault="00F16DBD" w:rsidP="000947D6">
      <w:pPr>
        <w:spacing w:line="360" w:lineRule="auto"/>
        <w:jc w:val="center"/>
        <w:rPr>
          <w:rFonts w:ascii="Arial" w:hAnsi="Arial" w:cs="Arial"/>
          <w:color w:val="44546A" w:themeColor="text2"/>
          <w:kern w:val="0"/>
          <w14:ligatures w14:val="none"/>
        </w:rPr>
      </w:pPr>
      <w:r w:rsidRPr="00C45331">
        <w:rPr>
          <w:rFonts w:ascii="Arial" w:hAnsi="Arial" w:cs="Arial"/>
          <w:color w:val="44546A" w:themeColor="text2"/>
          <w:kern w:val="0"/>
          <w14:ligatures w14:val="none"/>
        </w:rPr>
        <w:t>BMSW6104_LON</w:t>
      </w:r>
    </w:p>
    <w:p w14:paraId="34645908" w14:textId="77777777" w:rsidR="009F6769" w:rsidRPr="00C45331" w:rsidRDefault="009F6769" w:rsidP="000947D6">
      <w:pPr>
        <w:spacing w:line="360" w:lineRule="auto"/>
        <w:jc w:val="center"/>
        <w:rPr>
          <w:rFonts w:ascii="Arial" w:hAnsi="Arial" w:cs="Arial"/>
          <w:color w:val="44546A" w:themeColor="text2"/>
          <w:kern w:val="0"/>
          <w14:ligatures w14:val="none"/>
        </w:rPr>
      </w:pPr>
    </w:p>
    <w:p w14:paraId="08B84474" w14:textId="77777777" w:rsidR="009F6769" w:rsidRPr="00C45331" w:rsidRDefault="009F6769" w:rsidP="000947D6">
      <w:pPr>
        <w:spacing w:line="360" w:lineRule="auto"/>
        <w:jc w:val="center"/>
        <w:rPr>
          <w:rFonts w:ascii="Arial" w:hAnsi="Arial" w:cs="Arial"/>
          <w:color w:val="44546A" w:themeColor="text2"/>
          <w:kern w:val="0"/>
          <w14:ligatures w14:val="none"/>
        </w:rPr>
      </w:pPr>
      <w:r w:rsidRPr="00C45331">
        <w:rPr>
          <w:rFonts w:ascii="Arial" w:hAnsi="Arial" w:cs="Arial"/>
          <w:color w:val="44546A" w:themeColor="text2"/>
          <w:kern w:val="0"/>
          <w14:ligatures w14:val="none"/>
        </w:rPr>
        <w:t>Individual report</w:t>
      </w:r>
    </w:p>
    <w:p w14:paraId="2026C0A1" w14:textId="77777777" w:rsidR="009F6769" w:rsidRPr="00C45331" w:rsidRDefault="009F6769" w:rsidP="000947D6">
      <w:pPr>
        <w:spacing w:line="360" w:lineRule="auto"/>
        <w:jc w:val="center"/>
        <w:rPr>
          <w:rFonts w:ascii="Arial" w:hAnsi="Arial" w:cs="Arial"/>
          <w:color w:val="44546A" w:themeColor="text2"/>
          <w:kern w:val="0"/>
          <w14:ligatures w14:val="none"/>
        </w:rPr>
      </w:pPr>
    </w:p>
    <w:p w14:paraId="09B89398" w14:textId="77777777" w:rsidR="009F6769" w:rsidRPr="00C45331" w:rsidRDefault="009F6769" w:rsidP="000947D6">
      <w:pPr>
        <w:spacing w:line="360" w:lineRule="auto"/>
        <w:jc w:val="center"/>
        <w:rPr>
          <w:rFonts w:ascii="Arial" w:hAnsi="Arial" w:cs="Arial"/>
          <w:color w:val="44546A" w:themeColor="text2"/>
          <w:kern w:val="0"/>
          <w14:ligatures w14:val="none"/>
        </w:rPr>
      </w:pPr>
      <w:r w:rsidRPr="00C45331">
        <w:rPr>
          <w:rFonts w:ascii="Arial" w:hAnsi="Arial" w:cs="Arial"/>
          <w:color w:val="44546A" w:themeColor="text2"/>
          <w:kern w:val="0"/>
          <w14:ligatures w14:val="none"/>
        </w:rPr>
        <w:t>Strategic Management for Furniture Practice Ltd.</w:t>
      </w:r>
    </w:p>
    <w:p w14:paraId="0902DD0D" w14:textId="77777777" w:rsidR="009F6769" w:rsidRPr="00C45331" w:rsidRDefault="009F6769" w:rsidP="000947D6">
      <w:pPr>
        <w:spacing w:line="360" w:lineRule="auto"/>
        <w:jc w:val="center"/>
        <w:rPr>
          <w:rFonts w:ascii="Arial" w:hAnsi="Arial" w:cs="Arial"/>
          <w:color w:val="44546A" w:themeColor="text2"/>
          <w:kern w:val="0"/>
          <w14:ligatures w14:val="none"/>
        </w:rPr>
      </w:pPr>
    </w:p>
    <w:p w14:paraId="4DE7035B" w14:textId="77777777" w:rsidR="009F6769" w:rsidRPr="00C45331" w:rsidRDefault="009F6769" w:rsidP="000947D6">
      <w:pPr>
        <w:spacing w:line="360" w:lineRule="auto"/>
        <w:jc w:val="center"/>
        <w:rPr>
          <w:rFonts w:ascii="Arial" w:hAnsi="Arial" w:cs="Arial"/>
          <w:color w:val="44546A" w:themeColor="text2"/>
          <w:kern w:val="0"/>
          <w14:ligatures w14:val="none"/>
        </w:rPr>
      </w:pPr>
    </w:p>
    <w:p w14:paraId="32788669" w14:textId="77777777" w:rsidR="009F6769" w:rsidRPr="00C45331" w:rsidRDefault="009F6769" w:rsidP="000947D6">
      <w:pPr>
        <w:spacing w:line="360" w:lineRule="auto"/>
        <w:jc w:val="center"/>
        <w:rPr>
          <w:rFonts w:ascii="Arial" w:hAnsi="Arial" w:cs="Arial"/>
          <w:color w:val="44546A" w:themeColor="text2"/>
          <w:kern w:val="0"/>
          <w14:ligatures w14:val="none"/>
        </w:rPr>
      </w:pPr>
    </w:p>
    <w:p w14:paraId="54C94781" w14:textId="77777777" w:rsidR="009F6769" w:rsidRPr="00C45331" w:rsidRDefault="009F6769" w:rsidP="000947D6">
      <w:pPr>
        <w:spacing w:line="360" w:lineRule="auto"/>
        <w:jc w:val="center"/>
        <w:rPr>
          <w:rFonts w:ascii="Arial" w:hAnsi="Arial" w:cs="Arial"/>
          <w:color w:val="44546A" w:themeColor="text2"/>
          <w:kern w:val="0"/>
          <w:lang w:val="hu-HU"/>
          <w14:ligatures w14:val="none"/>
        </w:rPr>
      </w:pPr>
      <w:r w:rsidRPr="00C45331">
        <w:rPr>
          <w:rFonts w:ascii="Arial" w:hAnsi="Arial" w:cs="Arial"/>
          <w:color w:val="44546A" w:themeColor="text2"/>
          <w:kern w:val="0"/>
          <w14:ligatures w14:val="none"/>
        </w:rPr>
        <w:t xml:space="preserve">Lecturer:  Md Kalam                            Student: Valeria Varga </w:t>
      </w:r>
      <w:r w:rsidRPr="00C45331">
        <w:rPr>
          <w:rFonts w:ascii="Arial" w:hAnsi="Arial" w:cs="Arial"/>
          <w:color w:val="44546A" w:themeColor="text2"/>
          <w:kern w:val="0"/>
          <w:lang w:val="hu-HU"/>
          <w14:ligatures w14:val="none"/>
        </w:rPr>
        <w:t>(2009456)</w:t>
      </w:r>
    </w:p>
    <w:p w14:paraId="48C90624" w14:textId="77777777" w:rsidR="009F6769" w:rsidRPr="00C45331" w:rsidRDefault="009F6769" w:rsidP="000947D6">
      <w:pPr>
        <w:spacing w:line="360" w:lineRule="auto"/>
        <w:jc w:val="center"/>
        <w:rPr>
          <w:rFonts w:ascii="Arial" w:hAnsi="Arial" w:cs="Arial"/>
          <w:color w:val="44546A" w:themeColor="text2"/>
          <w:kern w:val="0"/>
          <w14:ligatures w14:val="none"/>
        </w:rPr>
      </w:pPr>
    </w:p>
    <w:p w14:paraId="62FD6A98" w14:textId="77777777" w:rsidR="009F6769" w:rsidRPr="00C45331" w:rsidRDefault="009F6769" w:rsidP="000947D6">
      <w:pPr>
        <w:spacing w:line="360" w:lineRule="auto"/>
        <w:jc w:val="center"/>
        <w:rPr>
          <w:rFonts w:ascii="Arial" w:hAnsi="Arial" w:cs="Arial"/>
          <w:color w:val="44546A" w:themeColor="text2"/>
          <w:kern w:val="0"/>
          <w14:ligatures w14:val="none"/>
        </w:rPr>
      </w:pPr>
    </w:p>
    <w:p w14:paraId="2EEF290E" w14:textId="77777777" w:rsidR="009F6769" w:rsidRPr="00C45331" w:rsidRDefault="009F6769" w:rsidP="000947D6">
      <w:pPr>
        <w:spacing w:line="360" w:lineRule="auto"/>
        <w:jc w:val="center"/>
        <w:rPr>
          <w:rFonts w:ascii="Arial" w:hAnsi="Arial" w:cs="Arial"/>
          <w:color w:val="44546A" w:themeColor="text2"/>
          <w:kern w:val="0"/>
          <w14:ligatures w14:val="none"/>
        </w:rPr>
      </w:pPr>
    </w:p>
    <w:p w14:paraId="25AB3DE8" w14:textId="67C69531" w:rsidR="009F6769" w:rsidRPr="00C45331" w:rsidRDefault="00563973" w:rsidP="000947D6">
      <w:pPr>
        <w:spacing w:line="360" w:lineRule="auto"/>
        <w:jc w:val="center"/>
        <w:rPr>
          <w:rFonts w:ascii="Arial" w:hAnsi="Arial" w:cs="Arial"/>
          <w:color w:val="44546A" w:themeColor="text2"/>
          <w:kern w:val="0"/>
          <w14:ligatures w14:val="none"/>
        </w:rPr>
      </w:pPr>
      <w:r w:rsidRPr="00C45331">
        <w:rPr>
          <w:rFonts w:ascii="Arial" w:hAnsi="Arial" w:cs="Arial"/>
          <w:color w:val="44546A" w:themeColor="text2"/>
          <w:kern w:val="0"/>
          <w14:ligatures w14:val="none"/>
        </w:rPr>
        <w:t>2023. Lon</w:t>
      </w:r>
      <w:r w:rsidR="009F6769" w:rsidRPr="00C45331">
        <w:rPr>
          <w:rFonts w:ascii="Arial" w:hAnsi="Arial" w:cs="Arial"/>
          <w:color w:val="44546A" w:themeColor="text2"/>
          <w:kern w:val="0"/>
          <w14:ligatures w14:val="none"/>
        </w:rPr>
        <w:t>don</w:t>
      </w:r>
    </w:p>
    <w:p w14:paraId="4972466C" w14:textId="77777777" w:rsidR="009F6769" w:rsidRPr="00C45331" w:rsidRDefault="009F6769" w:rsidP="001951DE">
      <w:pPr>
        <w:spacing w:line="360" w:lineRule="auto"/>
        <w:ind w:left="1080" w:hanging="720"/>
        <w:jc w:val="both"/>
        <w:rPr>
          <w:rFonts w:ascii="Arial" w:hAnsi="Arial" w:cs="Arial"/>
          <w:color w:val="44546A" w:themeColor="text2"/>
        </w:rPr>
      </w:pPr>
    </w:p>
    <w:p w14:paraId="559C4CF4" w14:textId="77777777" w:rsidR="009F6769" w:rsidRPr="00C45331" w:rsidRDefault="009F6769" w:rsidP="001951DE">
      <w:pPr>
        <w:spacing w:line="360" w:lineRule="auto"/>
        <w:ind w:left="1080" w:hanging="720"/>
        <w:jc w:val="both"/>
        <w:rPr>
          <w:rFonts w:ascii="Arial" w:hAnsi="Arial" w:cs="Arial"/>
          <w:color w:val="44546A" w:themeColor="text2"/>
        </w:rPr>
      </w:pPr>
    </w:p>
    <w:p w14:paraId="23D01545" w14:textId="77777777" w:rsidR="009F6769" w:rsidRPr="00C45331" w:rsidRDefault="009F6769" w:rsidP="001951DE">
      <w:pPr>
        <w:spacing w:line="360" w:lineRule="auto"/>
        <w:ind w:left="1080" w:hanging="720"/>
        <w:jc w:val="both"/>
        <w:rPr>
          <w:rFonts w:ascii="Arial" w:hAnsi="Arial" w:cs="Arial"/>
          <w:color w:val="44546A" w:themeColor="text2"/>
        </w:rPr>
      </w:pPr>
    </w:p>
    <w:p w14:paraId="5E5A427D" w14:textId="77777777" w:rsidR="009F6769" w:rsidRPr="00C45331" w:rsidRDefault="009F6769" w:rsidP="001951DE">
      <w:pPr>
        <w:pStyle w:val="ListParagraph"/>
        <w:spacing w:line="360" w:lineRule="auto"/>
        <w:ind w:left="1080"/>
        <w:jc w:val="both"/>
        <w:rPr>
          <w:rFonts w:ascii="Arial" w:hAnsi="Arial" w:cs="Arial"/>
          <w:color w:val="44546A" w:themeColor="text2"/>
        </w:rPr>
      </w:pPr>
    </w:p>
    <w:p w14:paraId="09EE93CD" w14:textId="39F748EA" w:rsidR="009F6769" w:rsidRPr="00C45331" w:rsidRDefault="009F6769" w:rsidP="001951DE">
      <w:pPr>
        <w:spacing w:line="360" w:lineRule="auto"/>
        <w:jc w:val="both"/>
        <w:rPr>
          <w:rFonts w:ascii="Arial" w:hAnsi="Arial" w:cs="Arial"/>
          <w:b/>
          <w:bCs/>
          <w:color w:val="44546A" w:themeColor="text2"/>
          <w:u w:val="single"/>
        </w:rPr>
      </w:pPr>
      <w:r w:rsidRPr="00C45331">
        <w:rPr>
          <w:rFonts w:ascii="Arial" w:hAnsi="Arial" w:cs="Arial"/>
          <w:b/>
          <w:bCs/>
          <w:color w:val="44546A" w:themeColor="text2"/>
          <w:u w:val="single"/>
        </w:rPr>
        <w:lastRenderedPageBreak/>
        <w:t>Introducti</w:t>
      </w:r>
      <w:r w:rsidR="000C6BB4" w:rsidRPr="00C45331">
        <w:rPr>
          <w:rFonts w:ascii="Arial" w:hAnsi="Arial" w:cs="Arial"/>
          <w:b/>
          <w:bCs/>
          <w:color w:val="44546A" w:themeColor="text2"/>
          <w:u w:val="single"/>
        </w:rPr>
        <w:t xml:space="preserve">on </w:t>
      </w:r>
    </w:p>
    <w:p w14:paraId="6AC0ADC5" w14:textId="5BABC2AE" w:rsidR="00CA5D96" w:rsidRPr="00C45331" w:rsidRDefault="00E10FEE" w:rsidP="00CA5D96">
      <w:pPr>
        <w:spacing w:line="360" w:lineRule="auto"/>
        <w:jc w:val="both"/>
        <w:rPr>
          <w:rFonts w:ascii="Arial" w:hAnsi="Arial" w:cs="Arial"/>
          <w:color w:val="44546A" w:themeColor="text2"/>
        </w:rPr>
      </w:pPr>
      <w:bookmarkStart w:id="0" w:name="_Hlk132468880"/>
      <w:r w:rsidRPr="00C45331">
        <w:rPr>
          <w:rFonts w:ascii="Arial" w:hAnsi="Arial" w:cs="Arial"/>
          <w:color w:val="44546A" w:themeColor="text2"/>
        </w:rPr>
        <w:t xml:space="preserve">This report aims to </w:t>
      </w:r>
      <w:r w:rsidR="005F6A94" w:rsidRPr="00C45331">
        <w:rPr>
          <w:rFonts w:ascii="Arial" w:hAnsi="Arial" w:cs="Arial"/>
          <w:color w:val="44546A" w:themeColor="text2"/>
        </w:rPr>
        <w:t>analyse</w:t>
      </w:r>
      <w:r w:rsidRPr="00C45331">
        <w:rPr>
          <w:rFonts w:ascii="Arial" w:hAnsi="Arial" w:cs="Arial"/>
          <w:color w:val="44546A" w:themeColor="text2"/>
        </w:rPr>
        <w:t xml:space="preserve"> and provide recommendations for improving the current strategic approach of a small business that deals with high-quality furniture and related services. The report evaluates the Company's business model, market and competitive position, and resource allocation through an analysis of the internal and external environment, followed by a SWOT analysis. The report then proposes feasible strategic methods that align with the Company's mission and values to achieve long-term goals, considering the risk and return factors. </w:t>
      </w:r>
      <w:r w:rsidR="00CA5D96" w:rsidRPr="00C45331">
        <w:rPr>
          <w:rFonts w:ascii="Arial" w:hAnsi="Arial" w:cs="Arial"/>
          <w:color w:val="44546A" w:themeColor="text2"/>
        </w:rPr>
        <w:t xml:space="preserve">The primary </w:t>
      </w:r>
      <w:r w:rsidRPr="00C45331">
        <w:rPr>
          <w:rFonts w:ascii="Arial" w:hAnsi="Arial" w:cs="Arial"/>
          <w:color w:val="44546A" w:themeColor="text2"/>
        </w:rPr>
        <w:t>purpose</w:t>
      </w:r>
      <w:r w:rsidR="00CA5D96" w:rsidRPr="00C45331">
        <w:rPr>
          <w:rFonts w:ascii="Arial" w:hAnsi="Arial" w:cs="Arial"/>
          <w:color w:val="44546A" w:themeColor="text2"/>
        </w:rPr>
        <w:t xml:space="preserve"> of writing a strategic management report for small businesses is to comprehensively </w:t>
      </w:r>
      <w:r w:rsidR="005F6A94" w:rsidRPr="00C45331">
        <w:rPr>
          <w:rFonts w:ascii="Arial" w:hAnsi="Arial" w:cs="Arial"/>
          <w:color w:val="44546A" w:themeColor="text2"/>
        </w:rPr>
        <w:t>analyse</w:t>
      </w:r>
      <w:r w:rsidR="00CA5D96" w:rsidRPr="00C45331">
        <w:rPr>
          <w:rFonts w:ascii="Arial" w:hAnsi="Arial" w:cs="Arial"/>
          <w:color w:val="44546A" w:themeColor="text2"/>
        </w:rPr>
        <w:t xml:space="preserve"> the Company's current strategic approach and formulate proposals to improve its efficiency. Such a report typically includes, among other things, an assessment of the Company's current business model, market position, competitive position, and resource allocation. According to Johnson Scholes and Whittington (2001), the most basic definition of strategy can be the organization's long-term direction.</w:t>
      </w:r>
    </w:p>
    <w:bookmarkEnd w:id="0"/>
    <w:p w14:paraId="69DB1E6B" w14:textId="77777777" w:rsidR="00CA5D96" w:rsidRPr="00C45331" w:rsidRDefault="00CA5D96" w:rsidP="000C6BB4">
      <w:pPr>
        <w:spacing w:line="360" w:lineRule="auto"/>
        <w:jc w:val="both"/>
        <w:rPr>
          <w:rFonts w:ascii="Arial" w:hAnsi="Arial" w:cs="Arial"/>
          <w:color w:val="44546A" w:themeColor="text2"/>
        </w:rPr>
      </w:pPr>
    </w:p>
    <w:p w14:paraId="10EE3064" w14:textId="77777777" w:rsidR="00E10FEE" w:rsidRPr="00C45331" w:rsidRDefault="00E10FEE" w:rsidP="000C6BB4">
      <w:pPr>
        <w:spacing w:line="360" w:lineRule="auto"/>
        <w:jc w:val="both"/>
        <w:rPr>
          <w:rFonts w:ascii="Arial" w:hAnsi="Arial" w:cs="Arial"/>
          <w:color w:val="44546A" w:themeColor="text2"/>
        </w:rPr>
      </w:pPr>
    </w:p>
    <w:p w14:paraId="58A6CD09" w14:textId="77777777" w:rsidR="00E10FEE" w:rsidRPr="00C45331" w:rsidRDefault="00E10FEE" w:rsidP="000C6BB4">
      <w:pPr>
        <w:spacing w:line="360" w:lineRule="auto"/>
        <w:jc w:val="both"/>
        <w:rPr>
          <w:rFonts w:ascii="Arial" w:hAnsi="Arial" w:cs="Arial"/>
          <w:color w:val="44546A" w:themeColor="text2"/>
        </w:rPr>
      </w:pPr>
    </w:p>
    <w:p w14:paraId="429C2BFC" w14:textId="77777777" w:rsidR="00E10FEE" w:rsidRPr="00C45331" w:rsidRDefault="00E10FEE" w:rsidP="000C6BB4">
      <w:pPr>
        <w:spacing w:line="360" w:lineRule="auto"/>
        <w:jc w:val="both"/>
        <w:rPr>
          <w:rFonts w:ascii="Arial" w:hAnsi="Arial" w:cs="Arial"/>
          <w:color w:val="44546A" w:themeColor="text2"/>
        </w:rPr>
      </w:pPr>
    </w:p>
    <w:p w14:paraId="2CA81975" w14:textId="77777777" w:rsidR="00E10FEE" w:rsidRPr="00C45331" w:rsidRDefault="00E10FEE" w:rsidP="000C6BB4">
      <w:pPr>
        <w:spacing w:line="360" w:lineRule="auto"/>
        <w:jc w:val="both"/>
        <w:rPr>
          <w:rFonts w:ascii="Arial" w:hAnsi="Arial" w:cs="Arial"/>
          <w:color w:val="44546A" w:themeColor="text2"/>
        </w:rPr>
      </w:pPr>
    </w:p>
    <w:p w14:paraId="481D8848" w14:textId="77777777" w:rsidR="00E10FEE" w:rsidRPr="00C45331" w:rsidRDefault="00E10FEE" w:rsidP="000C6BB4">
      <w:pPr>
        <w:spacing w:line="360" w:lineRule="auto"/>
        <w:jc w:val="both"/>
        <w:rPr>
          <w:rFonts w:ascii="Arial" w:hAnsi="Arial" w:cs="Arial"/>
          <w:color w:val="44546A" w:themeColor="text2"/>
        </w:rPr>
      </w:pPr>
    </w:p>
    <w:p w14:paraId="57991E12" w14:textId="77777777" w:rsidR="00E10FEE" w:rsidRPr="00C45331" w:rsidRDefault="00E10FEE" w:rsidP="000C6BB4">
      <w:pPr>
        <w:spacing w:line="360" w:lineRule="auto"/>
        <w:jc w:val="both"/>
        <w:rPr>
          <w:rFonts w:ascii="Arial" w:hAnsi="Arial" w:cs="Arial"/>
          <w:color w:val="44546A" w:themeColor="text2"/>
        </w:rPr>
      </w:pPr>
    </w:p>
    <w:p w14:paraId="724C8BE4" w14:textId="77777777" w:rsidR="00E10FEE" w:rsidRPr="00C45331" w:rsidRDefault="00E10FEE" w:rsidP="000C6BB4">
      <w:pPr>
        <w:spacing w:line="360" w:lineRule="auto"/>
        <w:jc w:val="both"/>
        <w:rPr>
          <w:rFonts w:ascii="Arial" w:hAnsi="Arial" w:cs="Arial"/>
          <w:color w:val="44546A" w:themeColor="text2"/>
        </w:rPr>
      </w:pPr>
    </w:p>
    <w:p w14:paraId="7014549E" w14:textId="77777777" w:rsidR="00E10FEE" w:rsidRPr="00C45331" w:rsidRDefault="00E10FEE" w:rsidP="000C6BB4">
      <w:pPr>
        <w:spacing w:line="360" w:lineRule="auto"/>
        <w:jc w:val="both"/>
        <w:rPr>
          <w:rFonts w:ascii="Arial" w:hAnsi="Arial" w:cs="Arial"/>
          <w:color w:val="44546A" w:themeColor="text2"/>
        </w:rPr>
      </w:pPr>
    </w:p>
    <w:p w14:paraId="15D141B2" w14:textId="77777777" w:rsidR="00E10FEE" w:rsidRPr="00C45331" w:rsidRDefault="00E10FEE" w:rsidP="000C6BB4">
      <w:pPr>
        <w:spacing w:line="360" w:lineRule="auto"/>
        <w:jc w:val="both"/>
        <w:rPr>
          <w:rFonts w:ascii="Arial" w:hAnsi="Arial" w:cs="Arial"/>
          <w:color w:val="44546A" w:themeColor="text2"/>
        </w:rPr>
      </w:pPr>
    </w:p>
    <w:p w14:paraId="718995FA" w14:textId="77777777" w:rsidR="00E10FEE" w:rsidRPr="00C45331" w:rsidRDefault="00E10FEE" w:rsidP="000C6BB4">
      <w:pPr>
        <w:spacing w:line="360" w:lineRule="auto"/>
        <w:jc w:val="both"/>
        <w:rPr>
          <w:rFonts w:ascii="Arial" w:hAnsi="Arial" w:cs="Arial"/>
          <w:color w:val="44546A" w:themeColor="text2"/>
        </w:rPr>
      </w:pPr>
    </w:p>
    <w:p w14:paraId="59007ECC" w14:textId="77777777" w:rsidR="00E10FEE" w:rsidRPr="00C45331" w:rsidRDefault="00E10FEE" w:rsidP="000C6BB4">
      <w:pPr>
        <w:spacing w:line="360" w:lineRule="auto"/>
        <w:jc w:val="both"/>
        <w:rPr>
          <w:rFonts w:ascii="Arial" w:hAnsi="Arial" w:cs="Arial"/>
          <w:color w:val="44546A" w:themeColor="text2"/>
        </w:rPr>
      </w:pPr>
    </w:p>
    <w:p w14:paraId="2C282A1D" w14:textId="77777777" w:rsidR="00E10FEE" w:rsidRPr="00C45331" w:rsidRDefault="00E10FEE" w:rsidP="000C6BB4">
      <w:pPr>
        <w:spacing w:line="360" w:lineRule="auto"/>
        <w:jc w:val="both"/>
        <w:rPr>
          <w:rFonts w:ascii="Arial" w:hAnsi="Arial" w:cs="Arial"/>
          <w:color w:val="44546A" w:themeColor="text2"/>
        </w:rPr>
      </w:pPr>
    </w:p>
    <w:p w14:paraId="1A5CDC05" w14:textId="77777777" w:rsidR="00E10FEE" w:rsidRPr="00C45331" w:rsidRDefault="00E10FEE" w:rsidP="000C6BB4">
      <w:pPr>
        <w:spacing w:line="360" w:lineRule="auto"/>
        <w:jc w:val="both"/>
        <w:rPr>
          <w:rFonts w:ascii="Arial" w:hAnsi="Arial" w:cs="Arial"/>
          <w:color w:val="44546A" w:themeColor="text2"/>
        </w:rPr>
      </w:pPr>
    </w:p>
    <w:p w14:paraId="5033D8EB" w14:textId="6391DDD2" w:rsidR="00115686" w:rsidRPr="00A1325E" w:rsidRDefault="00115686" w:rsidP="000C6BB4">
      <w:pPr>
        <w:spacing w:line="360" w:lineRule="auto"/>
        <w:jc w:val="both"/>
        <w:rPr>
          <w:rFonts w:ascii="Arial" w:hAnsi="Arial" w:cs="Arial"/>
          <w:color w:val="44546A" w:themeColor="text2"/>
          <w:sz w:val="20"/>
          <w:szCs w:val="20"/>
        </w:rPr>
      </w:pPr>
      <w:r w:rsidRPr="00A1325E">
        <w:rPr>
          <w:rFonts w:ascii="Arial" w:hAnsi="Arial" w:cs="Arial"/>
          <w:color w:val="44546A" w:themeColor="text2"/>
          <w:sz w:val="20"/>
          <w:szCs w:val="20"/>
        </w:rPr>
        <w:lastRenderedPageBreak/>
        <w:t xml:space="preserve">Table of contents </w:t>
      </w:r>
    </w:p>
    <w:p w14:paraId="6D9E0E0B" w14:textId="64D883BA" w:rsidR="00115686" w:rsidRPr="00A1325E" w:rsidRDefault="00A1325E" w:rsidP="00A1325E">
      <w:pPr>
        <w:pStyle w:val="Heading1"/>
        <w:spacing w:line="480" w:lineRule="auto"/>
        <w:rPr>
          <w:rFonts w:ascii="Arial" w:hAnsi="Arial" w:cs="Arial"/>
          <w:color w:val="44546A" w:themeColor="text2"/>
          <w:sz w:val="20"/>
          <w:szCs w:val="20"/>
        </w:rPr>
      </w:pPr>
      <w:r w:rsidRPr="00A1325E">
        <w:rPr>
          <w:rFonts w:ascii="Arial" w:hAnsi="Arial" w:cs="Arial"/>
          <w:color w:val="44546A" w:themeColor="text2"/>
          <w:sz w:val="20"/>
          <w:szCs w:val="20"/>
        </w:rPr>
        <w:t xml:space="preserve">Introduction </w:t>
      </w:r>
      <w:r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t>2</w:t>
      </w:r>
    </w:p>
    <w:p w14:paraId="0DAC779A" w14:textId="10C553CC" w:rsidR="00D11F1A" w:rsidRPr="00A1325E" w:rsidRDefault="00A1325E" w:rsidP="00A1325E">
      <w:pPr>
        <w:pStyle w:val="ListParagraph"/>
        <w:numPr>
          <w:ilvl w:val="0"/>
          <w:numId w:val="37"/>
        </w:numPr>
        <w:spacing w:line="480" w:lineRule="auto"/>
        <w:jc w:val="both"/>
        <w:rPr>
          <w:rFonts w:ascii="Arial" w:hAnsi="Arial" w:cs="Arial"/>
          <w:color w:val="44546A" w:themeColor="text2"/>
          <w:sz w:val="20"/>
          <w:szCs w:val="20"/>
        </w:rPr>
      </w:pPr>
      <w:r w:rsidRPr="00A1325E">
        <w:rPr>
          <w:rFonts w:ascii="Arial" w:hAnsi="Arial" w:cs="Arial"/>
          <w:color w:val="44546A" w:themeColor="text2"/>
          <w:sz w:val="20"/>
          <w:szCs w:val="20"/>
        </w:rPr>
        <w:t>Introduction of Chosen SMEs and Their Strategy Anal</w:t>
      </w:r>
      <w:r w:rsidRPr="00A1325E">
        <w:rPr>
          <w:rFonts w:ascii="Arial" w:hAnsi="Arial" w:cs="Arial"/>
          <w:color w:val="44546A" w:themeColor="text2"/>
          <w:sz w:val="20"/>
          <w:szCs w:val="20"/>
          <w:lang w:val="hu-HU"/>
        </w:rPr>
        <w:t>ysis</w:t>
      </w:r>
      <w:r w:rsidR="00D11F1A"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t>4</w:t>
      </w:r>
      <w:r w:rsidR="00D11F1A" w:rsidRPr="00A1325E">
        <w:rPr>
          <w:rFonts w:ascii="Arial" w:hAnsi="Arial" w:cs="Arial"/>
          <w:color w:val="44546A" w:themeColor="text2"/>
          <w:sz w:val="20"/>
          <w:szCs w:val="20"/>
        </w:rPr>
        <w:tab/>
      </w:r>
    </w:p>
    <w:p w14:paraId="2C7502B9" w14:textId="614266F6" w:rsidR="00D11F1A" w:rsidRPr="00A1325E" w:rsidRDefault="00FF45AD" w:rsidP="00A1325E">
      <w:pPr>
        <w:pStyle w:val="ListParagraph"/>
        <w:numPr>
          <w:ilvl w:val="1"/>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 xml:space="preserve"> Internal factors</w:t>
      </w:r>
      <w:r w:rsidR="00A1325E" w:rsidRPr="00A1325E">
        <w:rPr>
          <w:rFonts w:ascii="Arial" w:hAnsi="Arial" w:cs="Arial"/>
          <w:color w:val="44546A" w:themeColor="text2"/>
          <w:sz w:val="20"/>
          <w:szCs w:val="20"/>
          <w:lang w:val="en-US"/>
        </w:rPr>
        <w:t xml:space="preserve"> business</w:t>
      </w:r>
      <w:r w:rsidRPr="00A1325E">
        <w:rPr>
          <w:rFonts w:ascii="Arial" w:hAnsi="Arial" w:cs="Arial"/>
          <w:color w:val="44546A" w:themeColor="text2"/>
          <w:sz w:val="20"/>
          <w:szCs w:val="20"/>
          <w:lang w:val="en-US"/>
        </w:rPr>
        <w:t xml:space="preserve"> analysis </w:t>
      </w:r>
      <w:r w:rsidR="00D11F1A"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t>4</w:t>
      </w:r>
      <w:r w:rsidR="00D11F1A" w:rsidRPr="00A1325E">
        <w:rPr>
          <w:rFonts w:ascii="Arial" w:hAnsi="Arial" w:cs="Arial"/>
          <w:color w:val="44546A" w:themeColor="text2"/>
          <w:sz w:val="20"/>
          <w:szCs w:val="20"/>
          <w:lang w:val="en-US"/>
        </w:rPr>
        <w:tab/>
      </w:r>
    </w:p>
    <w:p w14:paraId="1FF63A64" w14:textId="61232015" w:rsidR="00D11F1A" w:rsidRPr="00A1325E" w:rsidRDefault="00D11F1A" w:rsidP="00A1325E">
      <w:pPr>
        <w:pStyle w:val="ListParagraph"/>
        <w:numPr>
          <w:ilvl w:val="2"/>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Application of BCG Matrix</w:t>
      </w:r>
      <w:r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t>4</w:t>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p>
    <w:p w14:paraId="442AD73C" w14:textId="444333B3" w:rsidR="00D11F1A" w:rsidRPr="00A1325E" w:rsidRDefault="00D11F1A" w:rsidP="00A1325E">
      <w:pPr>
        <w:pStyle w:val="ListParagraph"/>
        <w:numPr>
          <w:ilvl w:val="2"/>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Application of nine M</w:t>
      </w:r>
      <w:r w:rsidR="00AC4A06" w:rsidRPr="00A1325E">
        <w:rPr>
          <w:rFonts w:ascii="Arial" w:hAnsi="Arial" w:cs="Arial"/>
          <w:color w:val="44546A" w:themeColor="text2"/>
          <w:sz w:val="20"/>
          <w:szCs w:val="20"/>
          <w:lang w:val="en-US"/>
        </w:rPr>
        <w:t>'</w:t>
      </w:r>
      <w:r w:rsidRPr="00A1325E">
        <w:rPr>
          <w:rFonts w:ascii="Arial" w:hAnsi="Arial" w:cs="Arial"/>
          <w:color w:val="44546A" w:themeColor="text2"/>
          <w:sz w:val="20"/>
          <w:szCs w:val="20"/>
          <w:lang w:val="en-US"/>
        </w:rPr>
        <w:t xml:space="preserve">s method </w:t>
      </w:r>
      <w:r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t>6</w:t>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p>
    <w:p w14:paraId="553A75C2" w14:textId="4B74D6E4" w:rsidR="00FF45AD" w:rsidRPr="00A1325E" w:rsidRDefault="00D11F1A" w:rsidP="00A1325E">
      <w:pPr>
        <w:pStyle w:val="ListParagraph"/>
        <w:numPr>
          <w:ilvl w:val="2"/>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 xml:space="preserve">Application of VRIO analysis </w:t>
      </w:r>
      <w:r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t>7</w:t>
      </w:r>
    </w:p>
    <w:p w14:paraId="6967826B" w14:textId="58F05B0B" w:rsidR="00FF45AD" w:rsidRPr="00A1325E" w:rsidRDefault="00FF45AD" w:rsidP="00A1325E">
      <w:pPr>
        <w:pStyle w:val="ListParagraph"/>
        <w:numPr>
          <w:ilvl w:val="1"/>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External</w:t>
      </w:r>
      <w:r w:rsidR="00A1325E" w:rsidRPr="00A1325E">
        <w:rPr>
          <w:rFonts w:ascii="Arial" w:hAnsi="Arial" w:cs="Arial"/>
          <w:color w:val="44546A" w:themeColor="text2"/>
          <w:sz w:val="20"/>
          <w:szCs w:val="20"/>
          <w:lang w:val="en-US"/>
        </w:rPr>
        <w:t xml:space="preserve"> factors business</w:t>
      </w:r>
      <w:r w:rsidRPr="00A1325E">
        <w:rPr>
          <w:rFonts w:ascii="Arial" w:hAnsi="Arial" w:cs="Arial"/>
          <w:color w:val="44546A" w:themeColor="text2"/>
          <w:sz w:val="20"/>
          <w:szCs w:val="20"/>
          <w:lang w:val="en-US"/>
        </w:rPr>
        <w:t xml:space="preserve"> analysis </w:t>
      </w:r>
      <w:r w:rsidR="00D11F1A" w:rsidRPr="00A1325E">
        <w:rPr>
          <w:rFonts w:ascii="Arial" w:hAnsi="Arial" w:cs="Arial"/>
          <w:color w:val="44546A" w:themeColor="text2"/>
          <w:sz w:val="20"/>
          <w:szCs w:val="20"/>
          <w:lang w:val="en-US"/>
        </w:rPr>
        <w:tab/>
      </w:r>
      <w:r w:rsidR="00D11F1A" w:rsidRPr="00A1325E">
        <w:rPr>
          <w:rFonts w:ascii="Arial" w:hAnsi="Arial" w:cs="Arial"/>
          <w:color w:val="44546A" w:themeColor="text2"/>
          <w:sz w:val="20"/>
          <w:szCs w:val="20"/>
          <w:lang w:val="en-US"/>
        </w:rPr>
        <w:tab/>
      </w:r>
      <w:r w:rsidR="00D11F1A" w:rsidRPr="00A1325E">
        <w:rPr>
          <w:rFonts w:ascii="Arial" w:hAnsi="Arial" w:cs="Arial"/>
          <w:color w:val="44546A" w:themeColor="text2"/>
          <w:sz w:val="20"/>
          <w:szCs w:val="20"/>
          <w:lang w:val="en-US"/>
        </w:rPr>
        <w:tab/>
      </w:r>
      <w:r w:rsidR="00D11F1A" w:rsidRPr="00A1325E">
        <w:rPr>
          <w:rFonts w:ascii="Arial" w:hAnsi="Arial" w:cs="Arial"/>
          <w:color w:val="44546A" w:themeColor="text2"/>
          <w:sz w:val="20"/>
          <w:szCs w:val="20"/>
          <w:lang w:val="en-US"/>
        </w:rPr>
        <w:tab/>
      </w:r>
      <w:r w:rsidR="00D11F1A" w:rsidRPr="00A1325E">
        <w:rPr>
          <w:rFonts w:ascii="Arial" w:hAnsi="Arial" w:cs="Arial"/>
          <w:color w:val="44546A" w:themeColor="text2"/>
          <w:sz w:val="20"/>
          <w:szCs w:val="20"/>
          <w:lang w:val="en-US"/>
        </w:rPr>
        <w:tab/>
      </w:r>
      <w:r w:rsidR="00D11F1A" w:rsidRPr="00A1325E">
        <w:rPr>
          <w:rFonts w:ascii="Arial" w:hAnsi="Arial" w:cs="Arial"/>
          <w:color w:val="44546A" w:themeColor="text2"/>
          <w:sz w:val="20"/>
          <w:szCs w:val="20"/>
          <w:lang w:val="en-US"/>
        </w:rPr>
        <w:tab/>
      </w:r>
      <w:r w:rsidR="00A1325E">
        <w:rPr>
          <w:rFonts w:ascii="Arial" w:hAnsi="Arial" w:cs="Arial"/>
          <w:color w:val="44546A" w:themeColor="text2"/>
          <w:sz w:val="20"/>
          <w:szCs w:val="20"/>
          <w:lang w:val="en-US"/>
        </w:rPr>
        <w:t>7</w:t>
      </w:r>
    </w:p>
    <w:p w14:paraId="26778E9E" w14:textId="369520FE" w:rsidR="00D11F1A" w:rsidRPr="00A1325E" w:rsidRDefault="00D11F1A" w:rsidP="00A1325E">
      <w:pPr>
        <w:pStyle w:val="ListParagraph"/>
        <w:numPr>
          <w:ilvl w:val="2"/>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Application of Mandelow stakeholder matrix</w:t>
      </w:r>
      <w:r w:rsidR="00A1325E">
        <w:rPr>
          <w:rFonts w:ascii="Arial" w:hAnsi="Arial" w:cs="Arial"/>
          <w:color w:val="44546A" w:themeColor="text2"/>
          <w:sz w:val="20"/>
          <w:szCs w:val="20"/>
          <w:lang w:val="en-US"/>
        </w:rPr>
        <w:tab/>
      </w:r>
      <w:r w:rsid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Pr>
          <w:rFonts w:ascii="Arial" w:hAnsi="Arial" w:cs="Arial"/>
          <w:color w:val="44546A" w:themeColor="text2"/>
          <w:sz w:val="20"/>
          <w:szCs w:val="20"/>
          <w:lang w:val="en-US"/>
        </w:rPr>
        <w:t>7</w:t>
      </w:r>
      <w:r w:rsidRPr="00A1325E">
        <w:rPr>
          <w:rFonts w:ascii="Arial" w:hAnsi="Arial" w:cs="Arial"/>
          <w:color w:val="44546A" w:themeColor="text2"/>
          <w:sz w:val="20"/>
          <w:szCs w:val="20"/>
          <w:lang w:val="en-US"/>
        </w:rPr>
        <w:tab/>
      </w:r>
    </w:p>
    <w:p w14:paraId="53A70569" w14:textId="42D381C8" w:rsidR="00D11F1A" w:rsidRPr="00A1325E" w:rsidRDefault="00D11F1A" w:rsidP="00A1325E">
      <w:pPr>
        <w:pStyle w:val="ListParagraph"/>
        <w:numPr>
          <w:ilvl w:val="2"/>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 xml:space="preserve">Application of PESTEL analysis </w:t>
      </w:r>
      <w:r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t>9</w:t>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p>
    <w:p w14:paraId="498767F5" w14:textId="0D34CA53" w:rsidR="00D11F1A" w:rsidRPr="00A1325E" w:rsidRDefault="00D11F1A" w:rsidP="00A1325E">
      <w:pPr>
        <w:pStyle w:val="ListParagraph"/>
        <w:numPr>
          <w:ilvl w:val="2"/>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 xml:space="preserve">Industry analysis </w:t>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t>10</w:t>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p>
    <w:p w14:paraId="00481DE5" w14:textId="04F0DBE9" w:rsidR="00A1325E" w:rsidRPr="00A1325E" w:rsidRDefault="00D11F1A" w:rsidP="00A1325E">
      <w:pPr>
        <w:pStyle w:val="ListParagraph"/>
        <w:numPr>
          <w:ilvl w:val="2"/>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Application of Porter</w:t>
      </w:r>
      <w:r w:rsidR="00AC4A06" w:rsidRPr="00A1325E">
        <w:rPr>
          <w:rFonts w:ascii="Arial" w:hAnsi="Arial" w:cs="Arial"/>
          <w:color w:val="44546A" w:themeColor="text2"/>
          <w:sz w:val="20"/>
          <w:szCs w:val="20"/>
          <w:lang w:val="en-US"/>
        </w:rPr>
        <w:t>'</w:t>
      </w:r>
      <w:r w:rsidRPr="00A1325E">
        <w:rPr>
          <w:rFonts w:ascii="Arial" w:hAnsi="Arial" w:cs="Arial"/>
          <w:color w:val="44546A" w:themeColor="text2"/>
          <w:sz w:val="20"/>
          <w:szCs w:val="20"/>
          <w:lang w:val="en-US"/>
        </w:rPr>
        <w:t xml:space="preserve">s </w:t>
      </w:r>
      <w:r w:rsidR="00AC4A06" w:rsidRPr="00A1325E">
        <w:rPr>
          <w:rFonts w:ascii="Arial" w:hAnsi="Arial" w:cs="Arial"/>
          <w:color w:val="44546A" w:themeColor="text2"/>
          <w:sz w:val="20"/>
          <w:szCs w:val="20"/>
          <w:lang w:val="en-US"/>
        </w:rPr>
        <w:t>F</w:t>
      </w:r>
      <w:r w:rsidRPr="00A1325E">
        <w:rPr>
          <w:rFonts w:ascii="Arial" w:hAnsi="Arial" w:cs="Arial"/>
          <w:color w:val="44546A" w:themeColor="text2"/>
          <w:sz w:val="20"/>
          <w:szCs w:val="20"/>
          <w:lang w:val="en-US"/>
        </w:rPr>
        <w:t>ive Forces</w:t>
      </w:r>
      <w:r w:rsidR="005F7279" w:rsidRPr="00A1325E">
        <w:rPr>
          <w:rFonts w:ascii="Arial" w:hAnsi="Arial" w:cs="Arial"/>
          <w:color w:val="44546A" w:themeColor="text2"/>
          <w:sz w:val="20"/>
          <w:szCs w:val="20"/>
          <w:lang w:val="en-US"/>
        </w:rPr>
        <w:t xml:space="preserve"> for Competitors </w:t>
      </w:r>
      <w:r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t>10</w:t>
      </w:r>
    </w:p>
    <w:p w14:paraId="63C3D54F" w14:textId="190FD741" w:rsidR="00D11F1A" w:rsidRPr="00A1325E" w:rsidRDefault="00A1325E" w:rsidP="00A1325E">
      <w:pPr>
        <w:pStyle w:val="ListParagraph"/>
        <w:numPr>
          <w:ilvl w:val="2"/>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rPr>
        <w:t>Strategic analysis</w:t>
      </w:r>
      <w:r w:rsidR="00D11F1A"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t>11</w:t>
      </w:r>
      <w:r w:rsidR="00D11F1A" w:rsidRPr="00A1325E">
        <w:rPr>
          <w:rFonts w:ascii="Arial" w:hAnsi="Arial" w:cs="Arial"/>
          <w:color w:val="44546A" w:themeColor="text2"/>
          <w:sz w:val="20"/>
          <w:szCs w:val="20"/>
          <w:lang w:val="en-US"/>
        </w:rPr>
        <w:tab/>
      </w:r>
      <w:r w:rsidR="00D11F1A" w:rsidRPr="00A1325E">
        <w:rPr>
          <w:rFonts w:ascii="Arial" w:hAnsi="Arial" w:cs="Arial"/>
          <w:color w:val="44546A" w:themeColor="text2"/>
          <w:sz w:val="20"/>
          <w:szCs w:val="20"/>
          <w:lang w:val="en-US"/>
        </w:rPr>
        <w:tab/>
      </w:r>
    </w:p>
    <w:p w14:paraId="2234251E" w14:textId="5D531F9B" w:rsidR="00FF45AD" w:rsidRPr="00A1325E" w:rsidRDefault="00FF45AD" w:rsidP="00A1325E">
      <w:pPr>
        <w:pStyle w:val="ListParagraph"/>
        <w:numPr>
          <w:ilvl w:val="1"/>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 xml:space="preserve">Summary </w:t>
      </w:r>
      <w:r w:rsidR="005F7279" w:rsidRPr="00A1325E">
        <w:rPr>
          <w:rFonts w:ascii="Arial" w:hAnsi="Arial" w:cs="Arial"/>
          <w:color w:val="44546A" w:themeColor="text2"/>
          <w:sz w:val="20"/>
          <w:szCs w:val="20"/>
          <w:lang w:val="en-US"/>
        </w:rPr>
        <w:t>A</w:t>
      </w:r>
      <w:r w:rsidRPr="00A1325E">
        <w:rPr>
          <w:rFonts w:ascii="Arial" w:hAnsi="Arial" w:cs="Arial"/>
          <w:color w:val="44546A" w:themeColor="text2"/>
          <w:sz w:val="20"/>
          <w:szCs w:val="20"/>
          <w:lang w:val="en-US"/>
        </w:rPr>
        <w:t>p</w:t>
      </w:r>
      <w:r w:rsidR="00D11F1A" w:rsidRPr="00A1325E">
        <w:rPr>
          <w:rFonts w:ascii="Arial" w:hAnsi="Arial" w:cs="Arial"/>
          <w:color w:val="44546A" w:themeColor="text2"/>
          <w:sz w:val="20"/>
          <w:szCs w:val="20"/>
          <w:lang w:val="en-US"/>
        </w:rPr>
        <w:t xml:space="preserve">plication of SWOT </w:t>
      </w:r>
      <w:r w:rsidR="00AC4A06" w:rsidRPr="00A1325E">
        <w:rPr>
          <w:rFonts w:ascii="Arial" w:hAnsi="Arial" w:cs="Arial"/>
          <w:color w:val="44546A" w:themeColor="text2"/>
          <w:sz w:val="20"/>
          <w:szCs w:val="20"/>
          <w:lang w:val="en-US"/>
        </w:rPr>
        <w:t>A</w:t>
      </w:r>
      <w:r w:rsidR="00D11F1A" w:rsidRPr="00A1325E">
        <w:rPr>
          <w:rFonts w:ascii="Arial" w:hAnsi="Arial" w:cs="Arial"/>
          <w:color w:val="44546A" w:themeColor="text2"/>
          <w:sz w:val="20"/>
          <w:szCs w:val="20"/>
          <w:lang w:val="en-US"/>
        </w:rPr>
        <w:t xml:space="preserve">nalysis </w:t>
      </w:r>
      <w:r w:rsidR="00D11F1A"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t>11</w:t>
      </w:r>
    </w:p>
    <w:p w14:paraId="6ADB3128" w14:textId="17E197C1" w:rsidR="00D11F1A" w:rsidRPr="00A1325E" w:rsidRDefault="00A1325E" w:rsidP="00A1325E">
      <w:pPr>
        <w:pStyle w:val="ListParagraph"/>
        <w:numPr>
          <w:ilvl w:val="0"/>
          <w:numId w:val="35"/>
        </w:numPr>
        <w:spacing w:line="480" w:lineRule="auto"/>
        <w:jc w:val="both"/>
        <w:rPr>
          <w:rFonts w:ascii="Arial" w:hAnsi="Arial" w:cs="Arial"/>
          <w:color w:val="44546A" w:themeColor="text2"/>
          <w:kern w:val="0"/>
          <w:sz w:val="20"/>
          <w:szCs w:val="20"/>
          <w14:ligatures w14:val="none"/>
        </w:rPr>
      </w:pPr>
      <w:r w:rsidRPr="00A1325E">
        <w:rPr>
          <w:rFonts w:ascii="Arial" w:hAnsi="Arial" w:cs="Arial"/>
          <w:color w:val="44546A" w:themeColor="text2"/>
          <w:sz w:val="20"/>
          <w:szCs w:val="20"/>
          <w:lang w:val="en-US"/>
        </w:rPr>
        <w:t>Based on the research, possible strategies in the future for Furniture Practice Ltd</w:t>
      </w:r>
      <w:r>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12</w:t>
      </w:r>
      <w:r w:rsidR="00D11F1A" w:rsidRPr="00A1325E">
        <w:rPr>
          <w:rFonts w:ascii="Arial" w:hAnsi="Arial" w:cs="Arial"/>
          <w:color w:val="44546A" w:themeColor="text2"/>
          <w:sz w:val="20"/>
          <w:szCs w:val="20"/>
          <w:lang w:val="en-US"/>
        </w:rPr>
        <w:tab/>
      </w:r>
    </w:p>
    <w:p w14:paraId="6271CBA4" w14:textId="19A192E3" w:rsidR="00A1325E" w:rsidRPr="00A1325E" w:rsidRDefault="00A1325E" w:rsidP="00A1325E">
      <w:pPr>
        <w:pStyle w:val="ListParagraph"/>
        <w:numPr>
          <w:ilvl w:val="1"/>
          <w:numId w:val="35"/>
        </w:numPr>
        <w:spacing w:line="480" w:lineRule="auto"/>
        <w:jc w:val="both"/>
        <w:rPr>
          <w:rFonts w:ascii="Arial" w:hAnsi="Arial" w:cs="Arial"/>
          <w:color w:val="44546A" w:themeColor="text2"/>
          <w:kern w:val="0"/>
          <w:sz w:val="20"/>
          <w:szCs w:val="20"/>
          <w14:ligatures w14:val="none"/>
        </w:rPr>
      </w:pPr>
      <w:r w:rsidRPr="00A1325E">
        <w:rPr>
          <w:rFonts w:ascii="Arial" w:hAnsi="Arial" w:cs="Arial"/>
          <w:color w:val="44546A" w:themeColor="text2"/>
          <w:kern w:val="0"/>
          <w:sz w:val="20"/>
          <w:szCs w:val="20"/>
          <w14:ligatures w14:val="none"/>
        </w:rPr>
        <w:t xml:space="preserve">Diversification strategy ANSOFF </w:t>
      </w:r>
      <w:r w:rsidRPr="00A1325E">
        <w:rPr>
          <w:rFonts w:ascii="Arial" w:hAnsi="Arial" w:cs="Arial"/>
          <w:color w:val="44546A" w:themeColor="text2"/>
          <w:kern w:val="0"/>
          <w:sz w:val="20"/>
          <w:szCs w:val="20"/>
          <w:lang w:val="en-US"/>
          <w14:ligatures w14:val="none"/>
        </w:rPr>
        <w:t>matrix</w:t>
      </w:r>
      <w:r w:rsidRPr="00A1325E">
        <w:rPr>
          <w:rFonts w:ascii="Arial" w:hAnsi="Arial" w:cs="Arial"/>
          <w:color w:val="44546A" w:themeColor="text2"/>
          <w:kern w:val="0"/>
          <w:sz w:val="20"/>
          <w:szCs w:val="20"/>
          <w:lang w:val="en-US"/>
          <w14:ligatures w14:val="none"/>
        </w:rPr>
        <w:tab/>
      </w:r>
      <w:r w:rsidRPr="00A1325E">
        <w:rPr>
          <w:rFonts w:ascii="Arial" w:hAnsi="Arial" w:cs="Arial"/>
          <w:color w:val="44546A" w:themeColor="text2"/>
          <w:kern w:val="0"/>
          <w:sz w:val="20"/>
          <w:szCs w:val="20"/>
          <w:lang w:val="en-US"/>
          <w14:ligatures w14:val="none"/>
        </w:rPr>
        <w:tab/>
      </w:r>
      <w:r w:rsidRPr="00A1325E">
        <w:rPr>
          <w:rFonts w:ascii="Arial" w:hAnsi="Arial" w:cs="Arial"/>
          <w:color w:val="44546A" w:themeColor="text2"/>
          <w:kern w:val="0"/>
          <w:sz w:val="20"/>
          <w:szCs w:val="20"/>
          <w:lang w:val="en-US"/>
          <w14:ligatures w14:val="none"/>
        </w:rPr>
        <w:tab/>
      </w:r>
      <w:r w:rsidRPr="00A1325E">
        <w:rPr>
          <w:rFonts w:ascii="Arial" w:hAnsi="Arial" w:cs="Arial"/>
          <w:color w:val="44546A" w:themeColor="text2"/>
          <w:kern w:val="0"/>
          <w:sz w:val="20"/>
          <w:szCs w:val="20"/>
          <w:lang w:val="en-US"/>
          <w14:ligatures w14:val="none"/>
        </w:rPr>
        <w:tab/>
      </w:r>
      <w:r w:rsidRPr="00A1325E">
        <w:rPr>
          <w:rFonts w:ascii="Arial" w:hAnsi="Arial" w:cs="Arial"/>
          <w:color w:val="44546A" w:themeColor="text2"/>
          <w:kern w:val="0"/>
          <w:sz w:val="20"/>
          <w:szCs w:val="20"/>
          <w:lang w:val="en-US"/>
          <w14:ligatures w14:val="none"/>
        </w:rPr>
        <w:tab/>
      </w:r>
      <w:r w:rsidRPr="00A1325E">
        <w:rPr>
          <w:rFonts w:ascii="Arial" w:hAnsi="Arial" w:cs="Arial"/>
          <w:color w:val="44546A" w:themeColor="text2"/>
          <w:kern w:val="0"/>
          <w:sz w:val="20"/>
          <w:szCs w:val="20"/>
          <w:lang w:val="en-US"/>
          <w14:ligatures w14:val="none"/>
        </w:rPr>
        <w:tab/>
        <w:t>13</w:t>
      </w:r>
    </w:p>
    <w:p w14:paraId="0A3C58B1" w14:textId="607D10A8" w:rsidR="00A1325E" w:rsidRPr="00A1325E" w:rsidRDefault="00A1325E" w:rsidP="00A1325E">
      <w:pPr>
        <w:pStyle w:val="ListParagraph"/>
        <w:numPr>
          <w:ilvl w:val="1"/>
          <w:numId w:val="35"/>
        </w:numPr>
        <w:spacing w:line="480" w:lineRule="auto"/>
        <w:jc w:val="both"/>
        <w:rPr>
          <w:rFonts w:ascii="Arial" w:hAnsi="Arial" w:cs="Arial"/>
          <w:color w:val="44546A" w:themeColor="text2"/>
          <w:kern w:val="0"/>
          <w:sz w:val="20"/>
          <w:szCs w:val="20"/>
          <w14:ligatures w14:val="none"/>
        </w:rPr>
      </w:pPr>
      <w:r w:rsidRPr="00A1325E">
        <w:rPr>
          <w:rFonts w:ascii="Arial" w:hAnsi="Arial" w:cs="Arial"/>
          <w:color w:val="44546A" w:themeColor="text2"/>
          <w:kern w:val="0"/>
          <w:sz w:val="20"/>
          <w:szCs w:val="20"/>
          <w14:ligatures w14:val="none"/>
        </w:rPr>
        <w:t>The SFA Framework for sustainability strategy</w:t>
      </w:r>
      <w:r w:rsidRPr="00A1325E">
        <w:rPr>
          <w:rFonts w:ascii="Arial" w:hAnsi="Arial" w:cs="Arial"/>
          <w:color w:val="44546A" w:themeColor="text2"/>
          <w:kern w:val="0"/>
          <w:sz w:val="20"/>
          <w:szCs w:val="20"/>
          <w14:ligatures w14:val="none"/>
        </w:rPr>
        <w:tab/>
      </w:r>
      <w:r w:rsidRPr="00A1325E">
        <w:rPr>
          <w:rFonts w:ascii="Arial" w:hAnsi="Arial" w:cs="Arial"/>
          <w:color w:val="44546A" w:themeColor="text2"/>
          <w:kern w:val="0"/>
          <w:sz w:val="20"/>
          <w:szCs w:val="20"/>
          <w14:ligatures w14:val="none"/>
        </w:rPr>
        <w:tab/>
      </w:r>
      <w:r w:rsidRPr="00A1325E">
        <w:rPr>
          <w:rFonts w:ascii="Arial" w:hAnsi="Arial" w:cs="Arial"/>
          <w:color w:val="44546A" w:themeColor="text2"/>
          <w:kern w:val="0"/>
          <w:sz w:val="20"/>
          <w:szCs w:val="20"/>
          <w14:ligatures w14:val="none"/>
        </w:rPr>
        <w:tab/>
      </w:r>
      <w:r w:rsidRPr="00A1325E">
        <w:rPr>
          <w:rFonts w:ascii="Arial" w:hAnsi="Arial" w:cs="Arial"/>
          <w:color w:val="44546A" w:themeColor="text2"/>
          <w:kern w:val="0"/>
          <w:sz w:val="20"/>
          <w:szCs w:val="20"/>
          <w14:ligatures w14:val="none"/>
        </w:rPr>
        <w:tab/>
      </w:r>
      <w:r w:rsidRPr="00A1325E">
        <w:rPr>
          <w:rFonts w:ascii="Arial" w:hAnsi="Arial" w:cs="Arial"/>
          <w:color w:val="44546A" w:themeColor="text2"/>
          <w:kern w:val="0"/>
          <w:sz w:val="20"/>
          <w:szCs w:val="20"/>
          <w14:ligatures w14:val="none"/>
        </w:rPr>
        <w:tab/>
        <w:t>14</w:t>
      </w:r>
    </w:p>
    <w:p w14:paraId="07D0C217" w14:textId="67484C64" w:rsidR="00D11F1A" w:rsidRPr="00A1325E" w:rsidRDefault="00A1325E" w:rsidP="00A1325E">
      <w:pPr>
        <w:pStyle w:val="ListParagraph"/>
        <w:numPr>
          <w:ilvl w:val="1"/>
          <w:numId w:val="35"/>
        </w:numPr>
        <w:spacing w:line="480" w:lineRule="auto"/>
        <w:jc w:val="both"/>
        <w:rPr>
          <w:rFonts w:ascii="Arial" w:hAnsi="Arial" w:cs="Arial"/>
          <w:color w:val="44546A" w:themeColor="text2"/>
          <w:kern w:val="0"/>
          <w:sz w:val="20"/>
          <w:szCs w:val="20"/>
          <w14:ligatures w14:val="none"/>
        </w:rPr>
      </w:pPr>
      <w:r w:rsidRPr="00A1325E">
        <w:rPr>
          <w:rFonts w:ascii="Arial" w:hAnsi="Arial" w:cs="Arial"/>
          <w:color w:val="44546A" w:themeColor="text2"/>
          <w:kern w:val="0"/>
          <w:sz w:val="20"/>
          <w:szCs w:val="20"/>
          <w14:ligatures w14:val="none"/>
        </w:rPr>
        <w:t>The SFA Framework for sustainability strategy</w:t>
      </w:r>
      <w:r w:rsidRPr="00A1325E">
        <w:rPr>
          <w:rFonts w:ascii="Arial" w:hAnsi="Arial" w:cs="Arial"/>
          <w:color w:val="44546A" w:themeColor="text2"/>
          <w:kern w:val="0"/>
          <w:sz w:val="20"/>
          <w:szCs w:val="20"/>
          <w14:ligatures w14:val="none"/>
        </w:rPr>
        <w:tab/>
      </w:r>
      <w:r w:rsidRPr="00A1325E">
        <w:rPr>
          <w:rFonts w:ascii="Arial" w:hAnsi="Arial" w:cs="Arial"/>
          <w:color w:val="44546A" w:themeColor="text2"/>
          <w:kern w:val="0"/>
          <w:sz w:val="20"/>
          <w:szCs w:val="20"/>
          <w14:ligatures w14:val="none"/>
        </w:rPr>
        <w:tab/>
      </w:r>
      <w:r w:rsidRPr="00A1325E">
        <w:rPr>
          <w:rFonts w:ascii="Arial" w:hAnsi="Arial" w:cs="Arial"/>
          <w:color w:val="44546A" w:themeColor="text2"/>
          <w:kern w:val="0"/>
          <w:sz w:val="20"/>
          <w:szCs w:val="20"/>
          <w14:ligatures w14:val="none"/>
        </w:rPr>
        <w:tab/>
      </w:r>
      <w:r w:rsidRPr="00A1325E">
        <w:rPr>
          <w:rFonts w:ascii="Arial" w:hAnsi="Arial" w:cs="Arial"/>
          <w:color w:val="44546A" w:themeColor="text2"/>
          <w:kern w:val="0"/>
          <w:sz w:val="20"/>
          <w:szCs w:val="20"/>
          <w14:ligatures w14:val="none"/>
        </w:rPr>
        <w:tab/>
      </w:r>
      <w:r w:rsidRPr="00A1325E">
        <w:rPr>
          <w:rFonts w:ascii="Arial" w:hAnsi="Arial" w:cs="Arial"/>
          <w:color w:val="44546A" w:themeColor="text2"/>
          <w:kern w:val="0"/>
          <w:sz w:val="20"/>
          <w:szCs w:val="20"/>
          <w14:ligatures w14:val="none"/>
        </w:rPr>
        <w:tab/>
        <w:t>15</w:t>
      </w:r>
      <w:r w:rsidR="00D11F1A" w:rsidRPr="00A1325E">
        <w:rPr>
          <w:rFonts w:ascii="Arial" w:hAnsi="Arial" w:cs="Arial"/>
          <w:color w:val="44546A" w:themeColor="text2"/>
          <w:sz w:val="20"/>
          <w:szCs w:val="20"/>
          <w:lang w:val="en-US"/>
        </w:rPr>
        <w:tab/>
      </w:r>
      <w:r w:rsidR="00D11F1A" w:rsidRPr="00A1325E">
        <w:rPr>
          <w:rFonts w:ascii="Arial" w:hAnsi="Arial" w:cs="Arial"/>
          <w:color w:val="44546A" w:themeColor="text2"/>
          <w:sz w:val="20"/>
          <w:szCs w:val="20"/>
          <w:lang w:val="en-US"/>
        </w:rPr>
        <w:tab/>
      </w:r>
    </w:p>
    <w:p w14:paraId="0381F1C6" w14:textId="44878A06" w:rsidR="00A1325E" w:rsidRPr="00A1325E" w:rsidRDefault="00A1325E" w:rsidP="00A1325E">
      <w:pPr>
        <w:pStyle w:val="ListParagraph"/>
        <w:numPr>
          <w:ilvl w:val="0"/>
          <w:numId w:val="35"/>
        </w:numPr>
        <w:spacing w:line="480" w:lineRule="auto"/>
        <w:jc w:val="both"/>
        <w:rPr>
          <w:rFonts w:ascii="Arial" w:hAnsi="Arial" w:cs="Arial"/>
          <w:color w:val="44546A" w:themeColor="text2"/>
          <w:sz w:val="20"/>
          <w:szCs w:val="20"/>
        </w:rPr>
      </w:pPr>
      <w:r w:rsidRPr="00A1325E">
        <w:rPr>
          <w:rFonts w:ascii="Arial" w:hAnsi="Arial" w:cs="Arial"/>
          <w:color w:val="44546A" w:themeColor="text2"/>
          <w:sz w:val="20"/>
          <w:szCs w:val="20"/>
        </w:rPr>
        <w:t xml:space="preserve">SMART matrix for strategies options </w:t>
      </w:r>
      <w:r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r>
      <w:r w:rsidRPr="00A1325E">
        <w:rPr>
          <w:rFonts w:ascii="Arial" w:hAnsi="Arial" w:cs="Arial"/>
          <w:color w:val="44546A" w:themeColor="text2"/>
          <w:sz w:val="20"/>
          <w:szCs w:val="20"/>
        </w:rPr>
        <w:tab/>
        <w:t>15</w:t>
      </w:r>
    </w:p>
    <w:p w14:paraId="3EB13E81" w14:textId="1EC6E9E3" w:rsidR="005F7279" w:rsidRPr="00A1325E" w:rsidRDefault="00A1325E" w:rsidP="00A1325E">
      <w:pPr>
        <w:pStyle w:val="ListParagraph"/>
        <w:numPr>
          <w:ilvl w:val="1"/>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Option one</w:t>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t xml:space="preserve">16 </w:t>
      </w:r>
    </w:p>
    <w:p w14:paraId="6B354A24" w14:textId="50077DE9" w:rsidR="00A1325E" w:rsidRPr="00A1325E" w:rsidRDefault="00A1325E" w:rsidP="00A1325E">
      <w:pPr>
        <w:pStyle w:val="ListParagraph"/>
        <w:numPr>
          <w:ilvl w:val="1"/>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Option two</w:t>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r>
      <w:r w:rsidRPr="00A1325E">
        <w:rPr>
          <w:rFonts w:ascii="Arial" w:hAnsi="Arial" w:cs="Arial"/>
          <w:color w:val="44546A" w:themeColor="text2"/>
          <w:sz w:val="20"/>
          <w:szCs w:val="20"/>
          <w:lang w:val="en-US"/>
        </w:rPr>
        <w:tab/>
        <w:t>16</w:t>
      </w:r>
    </w:p>
    <w:p w14:paraId="5A1AD6F6" w14:textId="4C4EE976" w:rsidR="005F7279" w:rsidRPr="00A1325E" w:rsidRDefault="005F7279" w:rsidP="00A1325E">
      <w:pPr>
        <w:pStyle w:val="ListParagraph"/>
        <w:numPr>
          <w:ilvl w:val="0"/>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Conclusion</w:t>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t>18</w:t>
      </w:r>
    </w:p>
    <w:p w14:paraId="1AD2DE97" w14:textId="732867C9" w:rsidR="005F7279" w:rsidRPr="00A1325E" w:rsidRDefault="005F7279" w:rsidP="00A1325E">
      <w:pPr>
        <w:pStyle w:val="ListParagraph"/>
        <w:numPr>
          <w:ilvl w:val="0"/>
          <w:numId w:val="35"/>
        </w:numPr>
        <w:spacing w:line="480" w:lineRule="auto"/>
        <w:jc w:val="both"/>
        <w:rPr>
          <w:rFonts w:ascii="Arial" w:hAnsi="Arial" w:cs="Arial"/>
          <w:color w:val="44546A" w:themeColor="text2"/>
          <w:sz w:val="20"/>
          <w:szCs w:val="20"/>
          <w:lang w:val="en-US"/>
        </w:rPr>
      </w:pPr>
      <w:r w:rsidRPr="00A1325E">
        <w:rPr>
          <w:rFonts w:ascii="Arial" w:hAnsi="Arial" w:cs="Arial"/>
          <w:color w:val="44546A" w:themeColor="text2"/>
          <w:sz w:val="20"/>
          <w:szCs w:val="20"/>
          <w:lang w:val="en-US"/>
        </w:rPr>
        <w:t xml:space="preserve">References </w:t>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r>
      <w:r w:rsidR="00A1325E" w:rsidRPr="00A1325E">
        <w:rPr>
          <w:rFonts w:ascii="Arial" w:hAnsi="Arial" w:cs="Arial"/>
          <w:color w:val="44546A" w:themeColor="text2"/>
          <w:sz w:val="20"/>
          <w:szCs w:val="20"/>
          <w:lang w:val="en-US"/>
        </w:rPr>
        <w:tab/>
        <w:t>19</w:t>
      </w:r>
    </w:p>
    <w:p w14:paraId="2CE8C5BE" w14:textId="4B86BF0A" w:rsidR="005F7279" w:rsidRPr="00A1325E" w:rsidRDefault="005F7279" w:rsidP="005F7279">
      <w:pPr>
        <w:pStyle w:val="ListParagraph"/>
        <w:spacing w:line="480" w:lineRule="auto"/>
        <w:ind w:left="360"/>
        <w:jc w:val="both"/>
        <w:rPr>
          <w:rFonts w:ascii="Arial" w:hAnsi="Arial" w:cs="Arial"/>
          <w:b/>
          <w:bCs/>
          <w:color w:val="44546A" w:themeColor="text2"/>
          <w:sz w:val="20"/>
          <w:szCs w:val="20"/>
          <w:lang w:val="en-US"/>
        </w:rPr>
      </w:pPr>
    </w:p>
    <w:p w14:paraId="7B15711A" w14:textId="77777777" w:rsidR="00A1325E" w:rsidRDefault="00D11F1A" w:rsidP="00A1325E">
      <w:pPr>
        <w:pStyle w:val="ListParagraph"/>
        <w:spacing w:line="480" w:lineRule="auto"/>
        <w:ind w:left="360"/>
        <w:jc w:val="both"/>
        <w:rPr>
          <w:rFonts w:ascii="Arial" w:hAnsi="Arial" w:cs="Arial"/>
          <w:b/>
          <w:bCs/>
          <w:color w:val="44546A" w:themeColor="text2"/>
          <w:sz w:val="20"/>
          <w:szCs w:val="20"/>
          <w:lang w:val="en-US"/>
        </w:rPr>
      </w:pPr>
      <w:r w:rsidRPr="00A1325E">
        <w:rPr>
          <w:rFonts w:ascii="Arial" w:hAnsi="Arial" w:cs="Arial"/>
          <w:b/>
          <w:bCs/>
          <w:color w:val="44546A" w:themeColor="text2"/>
          <w:sz w:val="20"/>
          <w:szCs w:val="20"/>
          <w:lang w:val="en-US"/>
        </w:rPr>
        <w:tab/>
      </w:r>
      <w:r w:rsidRPr="00A1325E">
        <w:rPr>
          <w:rFonts w:ascii="Arial" w:hAnsi="Arial" w:cs="Arial"/>
          <w:b/>
          <w:bCs/>
          <w:color w:val="44546A" w:themeColor="text2"/>
          <w:sz w:val="20"/>
          <w:szCs w:val="20"/>
          <w:lang w:val="en-US"/>
        </w:rPr>
        <w:tab/>
      </w:r>
    </w:p>
    <w:p w14:paraId="3A4D1342" w14:textId="77777777" w:rsidR="00A1325E" w:rsidRDefault="00A1325E" w:rsidP="00A1325E">
      <w:pPr>
        <w:pStyle w:val="ListParagraph"/>
        <w:spacing w:line="480" w:lineRule="auto"/>
        <w:ind w:left="360"/>
        <w:jc w:val="both"/>
        <w:rPr>
          <w:rFonts w:ascii="Arial" w:hAnsi="Arial" w:cs="Arial"/>
          <w:b/>
          <w:bCs/>
          <w:color w:val="44546A" w:themeColor="text2"/>
          <w:sz w:val="20"/>
          <w:szCs w:val="20"/>
          <w:lang w:val="en-US"/>
        </w:rPr>
      </w:pPr>
    </w:p>
    <w:p w14:paraId="2C416BFD" w14:textId="77777777" w:rsidR="00A1325E" w:rsidRDefault="00A1325E" w:rsidP="00A1325E">
      <w:pPr>
        <w:pStyle w:val="ListParagraph"/>
        <w:spacing w:line="480" w:lineRule="auto"/>
        <w:ind w:left="360"/>
        <w:jc w:val="both"/>
        <w:rPr>
          <w:rFonts w:ascii="Arial" w:hAnsi="Arial" w:cs="Arial"/>
          <w:b/>
          <w:bCs/>
          <w:color w:val="44546A" w:themeColor="text2"/>
          <w:sz w:val="20"/>
          <w:szCs w:val="20"/>
          <w:lang w:val="en-US"/>
        </w:rPr>
      </w:pPr>
    </w:p>
    <w:p w14:paraId="303A4368" w14:textId="39E89FA6" w:rsidR="00A1325E" w:rsidRPr="00A1325E" w:rsidRDefault="00D11F1A" w:rsidP="00A1325E">
      <w:pPr>
        <w:pStyle w:val="ListParagraph"/>
        <w:spacing w:line="480" w:lineRule="auto"/>
        <w:ind w:left="360"/>
        <w:jc w:val="both"/>
        <w:rPr>
          <w:rFonts w:ascii="Arial" w:hAnsi="Arial" w:cs="Arial"/>
          <w:b/>
          <w:bCs/>
          <w:color w:val="44546A" w:themeColor="text2"/>
          <w:sz w:val="20"/>
          <w:szCs w:val="20"/>
          <w:lang w:val="en-US"/>
        </w:rPr>
      </w:pPr>
      <w:r w:rsidRPr="00A1325E">
        <w:rPr>
          <w:rFonts w:ascii="Arial" w:hAnsi="Arial" w:cs="Arial"/>
          <w:b/>
          <w:bCs/>
          <w:color w:val="44546A" w:themeColor="text2"/>
          <w:sz w:val="20"/>
          <w:szCs w:val="20"/>
          <w:lang w:val="en-US"/>
        </w:rPr>
        <w:tab/>
      </w:r>
      <w:r w:rsidRPr="00A1325E">
        <w:rPr>
          <w:rFonts w:ascii="Arial" w:hAnsi="Arial" w:cs="Arial"/>
          <w:b/>
          <w:bCs/>
          <w:color w:val="44546A" w:themeColor="text2"/>
          <w:sz w:val="20"/>
          <w:szCs w:val="20"/>
          <w:lang w:val="en-US"/>
        </w:rPr>
        <w:tab/>
      </w:r>
    </w:p>
    <w:p w14:paraId="10047609" w14:textId="7731D757" w:rsidR="005F7279" w:rsidRPr="00C45331" w:rsidRDefault="005F7279" w:rsidP="00A1325E">
      <w:pPr>
        <w:pStyle w:val="ListParagraph"/>
        <w:numPr>
          <w:ilvl w:val="0"/>
          <w:numId w:val="48"/>
        </w:numPr>
        <w:spacing w:line="360" w:lineRule="auto"/>
        <w:jc w:val="both"/>
        <w:rPr>
          <w:rFonts w:ascii="Arial" w:hAnsi="Arial" w:cs="Arial"/>
          <w:color w:val="44546A" w:themeColor="text2"/>
          <w:u w:val="single"/>
        </w:rPr>
      </w:pPr>
      <w:r w:rsidRPr="00C45331">
        <w:rPr>
          <w:rFonts w:ascii="Arial" w:hAnsi="Arial" w:cs="Arial"/>
          <w:b/>
          <w:bCs/>
          <w:color w:val="44546A" w:themeColor="text2"/>
          <w:u w:val="single"/>
        </w:rPr>
        <w:lastRenderedPageBreak/>
        <w:t xml:space="preserve">Introduction of </w:t>
      </w:r>
      <w:r w:rsidR="00CA5D96" w:rsidRPr="00C45331">
        <w:rPr>
          <w:rFonts w:ascii="Arial" w:hAnsi="Arial" w:cs="Arial"/>
          <w:b/>
          <w:bCs/>
          <w:color w:val="44546A" w:themeColor="text2"/>
          <w:u w:val="single"/>
        </w:rPr>
        <w:t xml:space="preserve">Chosen </w:t>
      </w:r>
      <w:r w:rsidRPr="00C45331">
        <w:rPr>
          <w:rFonts w:ascii="Arial" w:hAnsi="Arial" w:cs="Arial"/>
          <w:b/>
          <w:bCs/>
          <w:color w:val="44546A" w:themeColor="text2"/>
          <w:u w:val="single"/>
        </w:rPr>
        <w:t>SMEs and</w:t>
      </w:r>
      <w:r w:rsidR="00CA5D96" w:rsidRPr="00C45331">
        <w:rPr>
          <w:rFonts w:ascii="Arial" w:hAnsi="Arial" w:cs="Arial"/>
          <w:b/>
          <w:bCs/>
          <w:color w:val="44546A" w:themeColor="text2"/>
          <w:u w:val="single"/>
        </w:rPr>
        <w:t xml:space="preserve"> Their</w:t>
      </w:r>
      <w:r w:rsidRPr="00C45331">
        <w:rPr>
          <w:rFonts w:ascii="Arial" w:hAnsi="Arial" w:cs="Arial"/>
          <w:b/>
          <w:bCs/>
          <w:color w:val="44546A" w:themeColor="text2"/>
          <w:u w:val="single"/>
        </w:rPr>
        <w:t xml:space="preserve"> Strategy Anal</w:t>
      </w:r>
      <w:r w:rsidRPr="00C45331">
        <w:rPr>
          <w:rFonts w:ascii="Arial" w:hAnsi="Arial" w:cs="Arial"/>
          <w:b/>
          <w:bCs/>
          <w:color w:val="44546A" w:themeColor="text2"/>
          <w:u w:val="single"/>
          <w:lang w:val="hu-HU"/>
        </w:rPr>
        <w:t>ysis</w:t>
      </w:r>
    </w:p>
    <w:p w14:paraId="45CA7F8C" w14:textId="756BDC61" w:rsidR="00CA5D96" w:rsidRPr="00C45331" w:rsidRDefault="00CA5D96" w:rsidP="00CA5D96">
      <w:pPr>
        <w:spacing w:line="360" w:lineRule="auto"/>
        <w:jc w:val="both"/>
        <w:rPr>
          <w:rFonts w:ascii="Arial" w:hAnsi="Arial" w:cs="Arial"/>
          <w:color w:val="44546A" w:themeColor="text2"/>
        </w:rPr>
      </w:pPr>
      <w:r w:rsidRPr="00C45331">
        <w:rPr>
          <w:rFonts w:ascii="Arial" w:hAnsi="Arial" w:cs="Arial"/>
          <w:color w:val="44546A" w:themeColor="text2"/>
        </w:rPr>
        <w:t>Furniture Practice Ltd, a medium-sized independent furniture retailer based in London, Manchester, and New York, has achieved Planet Mark certification. They offer various services, including furniture design, project management, installation, and aftercare. The Company has been in business for over 25 years and has worked with several clients in various sectors, including Hospitality, Education, and Healthcare. According to the study of Salzman and Ionescu (2005), instrumental studies examining the Company's sustainability strategy aim to prove or disprove the assumed causal relationship between the Company's social or environmental performance and financial performance. In addition to the cause-and-effect relationship, this report also tries to make suggestions for future management.</w:t>
      </w:r>
    </w:p>
    <w:p w14:paraId="6328F57C" w14:textId="048BF275" w:rsidR="00CA5D96" w:rsidRPr="00C45331" w:rsidRDefault="00CA5D96" w:rsidP="00CA5D96">
      <w:pPr>
        <w:spacing w:line="360" w:lineRule="auto"/>
        <w:jc w:val="both"/>
        <w:rPr>
          <w:rFonts w:ascii="Arial" w:hAnsi="Arial" w:cs="Arial"/>
          <w:color w:val="44546A" w:themeColor="text2"/>
        </w:rPr>
      </w:pPr>
      <w:r w:rsidRPr="00C45331">
        <w:rPr>
          <w:rFonts w:ascii="Arial" w:hAnsi="Arial" w:cs="Arial"/>
          <w:color w:val="44546A" w:themeColor="text2"/>
        </w:rPr>
        <w:t>The Company has developed innovations such as accurately measuring the climate impact of furniture and organizing workshops with manufacturers to promote industry harmonization of carbon dioxide measurement methodology. The group's financial situation improved thanks to the increase in the profit reserve for 2021/22.</w:t>
      </w:r>
    </w:p>
    <w:p w14:paraId="00093057" w14:textId="67A9789B" w:rsidR="005F7279" w:rsidRPr="00C45331" w:rsidRDefault="005F7279" w:rsidP="005F7279">
      <w:pPr>
        <w:pStyle w:val="ListParagraph"/>
        <w:numPr>
          <w:ilvl w:val="1"/>
          <w:numId w:val="37"/>
        </w:numPr>
        <w:spacing w:line="360" w:lineRule="auto"/>
        <w:jc w:val="both"/>
        <w:rPr>
          <w:rFonts w:ascii="Arial" w:hAnsi="Arial" w:cs="Arial"/>
          <w:b/>
          <w:bCs/>
          <w:color w:val="44546A" w:themeColor="text2"/>
          <w:u w:val="single"/>
        </w:rPr>
      </w:pPr>
      <w:r w:rsidRPr="00C45331">
        <w:rPr>
          <w:rFonts w:ascii="Arial" w:hAnsi="Arial" w:cs="Arial"/>
          <w:b/>
          <w:bCs/>
          <w:color w:val="44546A" w:themeColor="text2"/>
          <w:u w:val="single"/>
        </w:rPr>
        <w:t xml:space="preserve">Internal Factors </w:t>
      </w:r>
      <w:r w:rsidR="00E10FEE" w:rsidRPr="00C45331">
        <w:rPr>
          <w:rFonts w:ascii="Arial" w:hAnsi="Arial" w:cs="Arial"/>
          <w:b/>
          <w:bCs/>
          <w:color w:val="44546A" w:themeColor="text2"/>
          <w:u w:val="single"/>
        </w:rPr>
        <w:t>Business A</w:t>
      </w:r>
      <w:r w:rsidRPr="00C45331">
        <w:rPr>
          <w:rFonts w:ascii="Arial" w:hAnsi="Arial" w:cs="Arial"/>
          <w:b/>
          <w:bCs/>
          <w:color w:val="44546A" w:themeColor="text2"/>
          <w:u w:val="single"/>
        </w:rPr>
        <w:t xml:space="preserve">nalysis </w:t>
      </w:r>
    </w:p>
    <w:p w14:paraId="3258A3DF" w14:textId="6C386BE8" w:rsidR="005F7279" w:rsidRPr="00C45331" w:rsidRDefault="00E10FEE" w:rsidP="00E10FEE">
      <w:pPr>
        <w:spacing w:line="360" w:lineRule="auto"/>
        <w:jc w:val="both"/>
        <w:rPr>
          <w:rFonts w:ascii="Arial" w:hAnsi="Arial" w:cs="Arial"/>
          <w:color w:val="44546A" w:themeColor="text2"/>
        </w:rPr>
      </w:pPr>
      <w:r w:rsidRPr="00C45331">
        <w:rPr>
          <w:rFonts w:ascii="Arial" w:hAnsi="Arial" w:cs="Arial"/>
          <w:color w:val="44546A" w:themeColor="text2"/>
        </w:rPr>
        <w:t xml:space="preserve">According to a BBC article (2023), internal and external factors can influence and affect businesses. Internal factors are factors within a company that the organization can control. The main internal factors are corporate culture, staffing, finance current technology. </w:t>
      </w:r>
      <w:r w:rsidR="000C6BB4" w:rsidRPr="00C45331">
        <w:rPr>
          <w:rFonts w:ascii="Arial" w:hAnsi="Arial" w:cs="Arial"/>
          <w:color w:val="44546A" w:themeColor="text2"/>
        </w:rPr>
        <w:t>The internal analysis evaluates the resources, capabilities</w:t>
      </w:r>
      <w:r w:rsidR="00572D61" w:rsidRPr="00C45331">
        <w:rPr>
          <w:rFonts w:ascii="Arial" w:hAnsi="Arial" w:cs="Arial"/>
          <w:color w:val="44546A" w:themeColor="text2"/>
        </w:rPr>
        <w:t>,</w:t>
      </w:r>
      <w:r w:rsidR="000C6BB4" w:rsidRPr="00C45331">
        <w:rPr>
          <w:rFonts w:ascii="Arial" w:hAnsi="Arial" w:cs="Arial"/>
          <w:color w:val="44546A" w:themeColor="text2"/>
        </w:rPr>
        <w:t xml:space="preserve"> and competencies of the Furniture Practice Ltd organization to identify its strengths and weaknesses. It is an essential element of strategic analysis, which helps the organization understand its internal environment and capabilities, which can form the basis of its strategic development and decision-making. </w:t>
      </w:r>
      <w:r w:rsidR="00572D61" w:rsidRPr="00C45331">
        <w:rPr>
          <w:rFonts w:ascii="Arial" w:hAnsi="Arial" w:cs="Arial"/>
          <w:color w:val="44546A" w:themeColor="text2"/>
        </w:rPr>
        <w:t>We can identify the organization's strengths and weaknesses by conducting an internal analysi</w:t>
      </w:r>
      <w:r w:rsidR="000C6BB4" w:rsidRPr="00C45331">
        <w:rPr>
          <w:rFonts w:ascii="Arial" w:hAnsi="Arial" w:cs="Arial"/>
          <w:color w:val="44546A" w:themeColor="text2"/>
        </w:rPr>
        <w:t>s. This information can help the organization develop strategies that leverage its strengths and mitigate its weaknesses to achieve its goals and objectives.</w:t>
      </w:r>
    </w:p>
    <w:p w14:paraId="435F6E77" w14:textId="5971B599" w:rsidR="009F6769" w:rsidRPr="00C45331" w:rsidRDefault="00115686" w:rsidP="005F7279">
      <w:pPr>
        <w:pStyle w:val="ListParagraph"/>
        <w:numPr>
          <w:ilvl w:val="2"/>
          <w:numId w:val="37"/>
        </w:numPr>
        <w:spacing w:line="360" w:lineRule="auto"/>
        <w:jc w:val="both"/>
        <w:rPr>
          <w:rFonts w:ascii="Arial" w:hAnsi="Arial" w:cs="Arial"/>
          <w:b/>
          <w:bCs/>
          <w:color w:val="44546A" w:themeColor="text2"/>
          <w:u w:val="single"/>
        </w:rPr>
      </w:pPr>
      <w:r w:rsidRPr="00C45331">
        <w:rPr>
          <w:rFonts w:ascii="Arial" w:hAnsi="Arial" w:cs="Arial"/>
          <w:b/>
          <w:bCs/>
          <w:color w:val="44546A" w:themeColor="text2"/>
          <w:u w:val="single"/>
        </w:rPr>
        <w:t xml:space="preserve">Application of </w:t>
      </w:r>
      <w:r w:rsidR="009F6769" w:rsidRPr="00C45331">
        <w:rPr>
          <w:rFonts w:ascii="Arial" w:hAnsi="Arial" w:cs="Arial"/>
          <w:b/>
          <w:bCs/>
          <w:color w:val="44546A" w:themeColor="text2"/>
          <w:u w:val="single"/>
        </w:rPr>
        <w:t>BCG Matrix</w:t>
      </w:r>
    </w:p>
    <w:p w14:paraId="16269AF1" w14:textId="600FAEDD" w:rsidR="00CA5D96" w:rsidRPr="00C45331" w:rsidRDefault="00E10FEE" w:rsidP="00CA5D96">
      <w:pPr>
        <w:spacing w:line="360" w:lineRule="auto"/>
        <w:jc w:val="both"/>
        <w:rPr>
          <w:rFonts w:ascii="Arial" w:hAnsi="Arial" w:cs="Arial"/>
          <w:color w:val="44546A" w:themeColor="text2"/>
        </w:rPr>
      </w:pPr>
      <w:r w:rsidRPr="00C45331">
        <w:rPr>
          <w:rFonts w:ascii="Arial" w:hAnsi="Arial" w:cs="Arial"/>
          <w:color w:val="44546A" w:themeColor="text2"/>
        </w:rPr>
        <w:t>The Boston Consulting Group's (2022) product portfolio matrix (BCG matrix) is designed to help with long-term strategic planning and to help a business consider growth opportunities by reviewing its portfolio of products to decide where to invest, discontinue, or develop products. Hayes (2023) states that t</w:t>
      </w:r>
      <w:r w:rsidR="00CA5D96" w:rsidRPr="00C45331">
        <w:rPr>
          <w:rFonts w:ascii="Arial" w:hAnsi="Arial" w:cs="Arial"/>
          <w:color w:val="44546A" w:themeColor="text2"/>
        </w:rPr>
        <w:t xml:space="preserve">he BCG matrix is a framework for </w:t>
      </w:r>
      <w:r w:rsidR="007A4004" w:rsidRPr="00C45331">
        <w:rPr>
          <w:rFonts w:ascii="Arial" w:hAnsi="Arial" w:cs="Arial"/>
          <w:color w:val="44546A" w:themeColor="text2"/>
        </w:rPr>
        <w:t>analysing</w:t>
      </w:r>
      <w:r w:rsidR="00CA5D96" w:rsidRPr="00C45331">
        <w:rPr>
          <w:rFonts w:ascii="Arial" w:hAnsi="Arial" w:cs="Arial"/>
          <w:color w:val="44546A" w:themeColor="text2"/>
        </w:rPr>
        <w:t xml:space="preserve"> a company's product or service portfolio based on market growth rate and relative market share. This analysis categorizes </w:t>
      </w:r>
      <w:r w:rsidR="00CA5D96" w:rsidRPr="00C45331">
        <w:rPr>
          <w:rFonts w:ascii="Arial" w:hAnsi="Arial" w:cs="Arial"/>
          <w:color w:val="44546A" w:themeColor="text2"/>
        </w:rPr>
        <w:lastRenderedPageBreak/>
        <w:t>products or services into stars, question marks, cash cows, and dogs. The BCG Matrix can be applied to Furniture Practice Ltd.'s product portfolio as follows:</w:t>
      </w:r>
    </w:p>
    <w:p w14:paraId="6212C379" w14:textId="520FD68D" w:rsidR="00CA5D96" w:rsidRPr="00C45331" w:rsidRDefault="00CA5D96" w:rsidP="00CA5D96">
      <w:pPr>
        <w:spacing w:line="360" w:lineRule="auto"/>
        <w:jc w:val="both"/>
        <w:rPr>
          <w:rFonts w:ascii="Arial" w:hAnsi="Arial" w:cs="Arial"/>
          <w:color w:val="44546A" w:themeColor="text2"/>
        </w:rPr>
      </w:pPr>
      <w:r w:rsidRPr="00C45331">
        <w:rPr>
          <w:rFonts w:ascii="Arial" w:hAnsi="Arial" w:cs="Arial"/>
          <w:b/>
          <w:bCs/>
          <w:color w:val="44546A" w:themeColor="text2"/>
        </w:rPr>
        <w:t>Stars</w:t>
      </w:r>
      <w:r w:rsidRPr="00C45331">
        <w:rPr>
          <w:rFonts w:ascii="Arial" w:hAnsi="Arial" w:cs="Arial"/>
          <w:color w:val="44546A" w:themeColor="text2"/>
        </w:rPr>
        <w:t xml:space="preserve">: These products have a high market growth rate and relative market share. For Furniture Practice </w:t>
      </w:r>
      <w:r w:rsidR="00E10FEE" w:rsidRPr="00C45331">
        <w:rPr>
          <w:rFonts w:ascii="Arial" w:hAnsi="Arial" w:cs="Arial"/>
          <w:color w:val="44546A" w:themeColor="text2"/>
        </w:rPr>
        <w:t>Ltd</w:t>
      </w:r>
      <w:r w:rsidRPr="00C45331">
        <w:rPr>
          <w:rFonts w:ascii="Arial" w:hAnsi="Arial" w:cs="Arial"/>
          <w:color w:val="44546A" w:themeColor="text2"/>
        </w:rPr>
        <w:t>., this can be a new product line or a recently launched product that has gained a significant market share. The Company must continue to invest in these products to maintain its growth and market position. On the Company's website, these new products appear under the projects category; for example, WPP's campus transformation strategy focuses on creating more innovative, collaborative, and flexible workspaces.</w:t>
      </w:r>
    </w:p>
    <w:p w14:paraId="04E1F471" w14:textId="39A65D32" w:rsidR="00CA5D96" w:rsidRPr="00C45331" w:rsidRDefault="00CA5D96" w:rsidP="00CA5D96">
      <w:pPr>
        <w:spacing w:line="360" w:lineRule="auto"/>
        <w:jc w:val="both"/>
        <w:rPr>
          <w:rFonts w:ascii="Arial" w:hAnsi="Arial" w:cs="Arial"/>
          <w:color w:val="44546A" w:themeColor="text2"/>
        </w:rPr>
      </w:pPr>
      <w:r w:rsidRPr="00C45331">
        <w:rPr>
          <w:rFonts w:ascii="Arial" w:hAnsi="Arial" w:cs="Arial"/>
          <w:b/>
          <w:bCs/>
          <w:color w:val="44546A" w:themeColor="text2"/>
        </w:rPr>
        <w:t>Question marks:</w:t>
      </w:r>
      <w:r w:rsidRPr="00C45331">
        <w:rPr>
          <w:rFonts w:ascii="Arial" w:hAnsi="Arial" w:cs="Arial"/>
          <w:color w:val="44546A" w:themeColor="text2"/>
        </w:rPr>
        <w:t xml:space="preserve"> These products have a high market growth rate but a low relative market share. For Furniture Practice </w:t>
      </w:r>
      <w:r w:rsidR="007A4004" w:rsidRPr="00C45331">
        <w:rPr>
          <w:rFonts w:ascii="Arial" w:hAnsi="Arial" w:cs="Arial"/>
          <w:color w:val="44546A" w:themeColor="text2"/>
        </w:rPr>
        <w:t>Ltd</w:t>
      </w:r>
      <w:r w:rsidRPr="00C45331">
        <w:rPr>
          <w:rFonts w:ascii="Arial" w:hAnsi="Arial" w:cs="Arial"/>
          <w:color w:val="44546A" w:themeColor="text2"/>
        </w:rPr>
        <w:t xml:space="preserve">, this can be a new product range that has not yet gained a significant market share or an existing product that seems to face increased competition. According to the Company's magazine, it should consider investing in these products to increase its market share and potentially become a star - a new milestone in the Leads business </w:t>
      </w:r>
      <w:r w:rsidR="007A4004" w:rsidRPr="00C45331">
        <w:rPr>
          <w:rFonts w:ascii="Arial" w:hAnsi="Arial" w:cs="Arial"/>
          <w:color w:val="44546A" w:themeColor="text2"/>
        </w:rPr>
        <w:t>centre</w:t>
      </w:r>
      <w:r w:rsidRPr="00C45331">
        <w:rPr>
          <w:rFonts w:ascii="Arial" w:hAnsi="Arial" w:cs="Arial"/>
          <w:color w:val="44546A" w:themeColor="text2"/>
        </w:rPr>
        <w:t xml:space="preserve">. CEG's further development at Temple in Leeds has created an opportunity to contribute to the area's thriving business community. The first of the three planned in the story is Globe Point, which serves as the site's gateway; its narrow footprint endows it with a striking, angular facade. </w:t>
      </w:r>
      <w:r w:rsidR="00645D67" w:rsidRPr="00C45331">
        <w:rPr>
          <w:rFonts w:ascii="Arial" w:hAnsi="Arial" w:cs="Arial"/>
          <w:color w:val="44546A" w:themeColor="text2"/>
        </w:rPr>
        <w:t>Echo Studio designed the flexible ground-floor equipment spaces</w:t>
      </w:r>
      <w:r w:rsidRPr="00C45331">
        <w:rPr>
          <w:rFonts w:ascii="Arial" w:hAnsi="Arial" w:cs="Arial"/>
          <w:color w:val="44546A" w:themeColor="text2"/>
        </w:rPr>
        <w:t xml:space="preserve"> as a community space; the café square is a focal point that brings people together and creates opportunities for events, social gatherings, collaboration, and informal meetings. CEG commissioned TFP to work with Echo to develop a workspace furniture specification for the ground floor of the building, with their ideal tenants – small, creative start-ups – in mind.</w:t>
      </w:r>
    </w:p>
    <w:p w14:paraId="6B6B53B6" w14:textId="0023D949" w:rsidR="00CA5D96" w:rsidRPr="00C45331" w:rsidRDefault="00CA5D96" w:rsidP="00CA5D96">
      <w:pPr>
        <w:spacing w:line="360" w:lineRule="auto"/>
        <w:jc w:val="both"/>
        <w:rPr>
          <w:rFonts w:ascii="Arial" w:hAnsi="Arial" w:cs="Arial"/>
          <w:color w:val="44546A" w:themeColor="text2"/>
        </w:rPr>
      </w:pPr>
      <w:r w:rsidRPr="00C45331">
        <w:rPr>
          <w:rFonts w:ascii="Arial" w:hAnsi="Arial" w:cs="Arial"/>
          <w:b/>
          <w:bCs/>
          <w:color w:val="44546A" w:themeColor="text2"/>
        </w:rPr>
        <w:t>Cash cows:</w:t>
      </w:r>
      <w:r w:rsidRPr="00C45331">
        <w:rPr>
          <w:rFonts w:ascii="Arial" w:hAnsi="Arial" w:cs="Arial"/>
          <w:color w:val="44546A" w:themeColor="text2"/>
        </w:rPr>
        <w:t xml:space="preserve"> These products have a low market growth rate but a high relative market share. Furniture Practice Ltd. may be an existing product line with a loyal customer base, but it is not growing significantly. The Company must continue to generate profit from these products while minimizing costs. In the case of Furniture Practice Ltd Company, this may be an underperforming product line that faces increased competition or is no longer relevant in the market. The Company should consider exiting or selling these products to focus on more promising opportunities. According to a report on this year's seventh edition, Trends &amp; Traditions will soon become a key "meet and greet" event for Scandinavian designers, architects, and manufacturers. Held in Copenhagen, the fair showcases the latest designs and innovations in materials and processes from Danish and other European manufacturers. The annual event allows designers to learn about and be inspired by the latest trends in design. The theme of this year's edition was engaging </w:t>
      </w:r>
      <w:r w:rsidRPr="00C45331">
        <w:rPr>
          <w:rFonts w:ascii="Arial" w:hAnsi="Arial" w:cs="Arial"/>
          <w:color w:val="44546A" w:themeColor="text2"/>
        </w:rPr>
        <w:lastRenderedPageBreak/>
        <w:t>people – recognizing that engagement correlates with well-being. The publication Trends &amp; Traditions can be viewed on the Company's website.</w:t>
      </w:r>
    </w:p>
    <w:p w14:paraId="0F7763F5" w14:textId="77777777" w:rsidR="00CA5D96" w:rsidRPr="00C45331" w:rsidRDefault="00CA5D96" w:rsidP="00CA5D96">
      <w:pPr>
        <w:spacing w:line="360" w:lineRule="auto"/>
        <w:jc w:val="both"/>
        <w:rPr>
          <w:rFonts w:ascii="Arial" w:hAnsi="Arial" w:cs="Arial"/>
          <w:color w:val="44546A" w:themeColor="text2"/>
        </w:rPr>
      </w:pPr>
      <w:r w:rsidRPr="00C45331">
        <w:rPr>
          <w:rFonts w:ascii="Arial" w:hAnsi="Arial" w:cs="Arial"/>
          <w:b/>
          <w:bCs/>
          <w:color w:val="44546A" w:themeColor="text2"/>
        </w:rPr>
        <w:t>Dogs:</w:t>
      </w:r>
      <w:r w:rsidRPr="00C45331">
        <w:rPr>
          <w:rFonts w:ascii="Arial" w:hAnsi="Arial" w:cs="Arial"/>
          <w:color w:val="44546A" w:themeColor="text2"/>
        </w:rPr>
        <w:t xml:space="preserve"> These products have a low market growth rate and a low relative market share. After a three-year postponement, the Stockholm Design Fair returned this year with a commitment to Swedish and Scandinavian design. Bringing together thousands of industries, the fair invited visitors to discover and celebrate the creations of the region's iconic, legacy furniture brands and emerging creatives.</w:t>
      </w:r>
    </w:p>
    <w:p w14:paraId="65EE842E" w14:textId="7A537F70" w:rsidR="00572D61" w:rsidRPr="00C45331" w:rsidRDefault="00CA5D96" w:rsidP="00CA5D96">
      <w:pPr>
        <w:spacing w:line="360" w:lineRule="auto"/>
        <w:jc w:val="both"/>
        <w:rPr>
          <w:rFonts w:ascii="Arial" w:hAnsi="Arial" w:cs="Arial"/>
          <w:color w:val="44546A" w:themeColor="text2"/>
        </w:rPr>
      </w:pPr>
      <w:r w:rsidRPr="00C45331">
        <w:rPr>
          <w:rFonts w:ascii="Arial" w:hAnsi="Arial" w:cs="Arial"/>
          <w:color w:val="44546A" w:themeColor="text2"/>
        </w:rPr>
        <w:t>The BCG Matrix allows Furniture Practice Ltd Company to gain insight into its product portfolio and strategically decide where to invest resources, which products to promote or discontinue, and how to allocate marketing, research, and development.</w:t>
      </w:r>
    </w:p>
    <w:p w14:paraId="0CAF74EA" w14:textId="18BC229D" w:rsidR="00615F35" w:rsidRDefault="00115686" w:rsidP="005F7279">
      <w:pPr>
        <w:pStyle w:val="ListParagraph"/>
        <w:numPr>
          <w:ilvl w:val="2"/>
          <w:numId w:val="37"/>
        </w:numPr>
        <w:spacing w:line="360" w:lineRule="auto"/>
        <w:jc w:val="both"/>
        <w:rPr>
          <w:rFonts w:ascii="Arial" w:hAnsi="Arial" w:cs="Arial"/>
          <w:b/>
          <w:bCs/>
          <w:color w:val="44546A" w:themeColor="text2"/>
          <w:kern w:val="0"/>
          <w:u w:val="single"/>
          <w14:ligatures w14:val="none"/>
        </w:rPr>
      </w:pPr>
      <w:r w:rsidRPr="00C45331">
        <w:rPr>
          <w:rFonts w:ascii="Arial" w:hAnsi="Arial" w:cs="Arial"/>
          <w:b/>
          <w:bCs/>
          <w:color w:val="44546A" w:themeColor="text2"/>
          <w:kern w:val="0"/>
          <w:u w:val="single"/>
          <w14:ligatures w14:val="none"/>
        </w:rPr>
        <w:t>Application of n</w:t>
      </w:r>
      <w:r w:rsidR="00615F35" w:rsidRPr="00C45331">
        <w:rPr>
          <w:rFonts w:ascii="Arial" w:hAnsi="Arial" w:cs="Arial"/>
          <w:b/>
          <w:bCs/>
          <w:color w:val="44546A" w:themeColor="text2"/>
          <w:kern w:val="0"/>
          <w:u w:val="single"/>
          <w14:ligatures w14:val="none"/>
        </w:rPr>
        <w:t>ine M</w:t>
      </w:r>
      <w:r w:rsidR="00AC4A06" w:rsidRPr="00C45331">
        <w:rPr>
          <w:rFonts w:ascii="Arial" w:hAnsi="Arial" w:cs="Arial"/>
          <w:b/>
          <w:bCs/>
          <w:color w:val="44546A" w:themeColor="text2"/>
          <w:kern w:val="0"/>
          <w:u w:val="single"/>
          <w14:ligatures w14:val="none"/>
        </w:rPr>
        <w:t>'</w:t>
      </w:r>
      <w:r w:rsidR="00615F35" w:rsidRPr="00C45331">
        <w:rPr>
          <w:rFonts w:ascii="Arial" w:hAnsi="Arial" w:cs="Arial"/>
          <w:b/>
          <w:bCs/>
          <w:color w:val="44546A" w:themeColor="text2"/>
          <w:kern w:val="0"/>
          <w:u w:val="single"/>
          <w14:ligatures w14:val="none"/>
        </w:rPr>
        <w:t xml:space="preserve">s method </w:t>
      </w:r>
    </w:p>
    <w:p w14:paraId="7939C2BE" w14:textId="4A72909B" w:rsidR="005F6A94" w:rsidRPr="005F6A94" w:rsidRDefault="005F6A94" w:rsidP="005F6A94">
      <w:pPr>
        <w:spacing w:line="360" w:lineRule="auto"/>
        <w:jc w:val="both"/>
        <w:rPr>
          <w:rFonts w:ascii="Arial" w:hAnsi="Arial" w:cs="Arial"/>
          <w:color w:val="44546A" w:themeColor="text2"/>
          <w:kern w:val="0"/>
          <w14:ligatures w14:val="none"/>
        </w:rPr>
      </w:pPr>
      <w:r w:rsidRPr="005F6A94">
        <w:rPr>
          <w:rFonts w:ascii="Arial" w:hAnsi="Arial" w:cs="Arial"/>
          <w:color w:val="44546A" w:themeColor="text2"/>
          <w:kern w:val="0"/>
          <w14:ligatures w14:val="none"/>
        </w:rPr>
        <w:t>The 9 M's method is a business analysis framework that considers nine different aspects of a business: Market, Mission, Money, Makeup, Management, Materials, Machines, Methods</w:t>
      </w:r>
      <w:r>
        <w:rPr>
          <w:rFonts w:ascii="Arial" w:hAnsi="Arial" w:cs="Arial"/>
          <w:color w:val="44546A" w:themeColor="text2"/>
          <w:kern w:val="0"/>
          <w14:ligatures w14:val="none"/>
        </w:rPr>
        <w:t>,</w:t>
      </w:r>
      <w:r w:rsidRPr="005F6A94">
        <w:rPr>
          <w:rFonts w:ascii="Arial" w:hAnsi="Arial" w:cs="Arial"/>
          <w:color w:val="44546A" w:themeColor="text2"/>
          <w:kern w:val="0"/>
          <w14:ligatures w14:val="none"/>
        </w:rPr>
        <w:t xml:space="preserve"> and Measurements. It contains information on several </w:t>
      </w:r>
      <w:r>
        <w:rPr>
          <w:rFonts w:ascii="Arial" w:hAnsi="Arial" w:cs="Arial"/>
          <w:color w:val="44546A" w:themeColor="text2"/>
          <w:kern w:val="0"/>
          <w14:ligatures w14:val="none"/>
        </w:rPr>
        <w:t>elemen</w:t>
      </w:r>
      <w:r w:rsidRPr="005F6A94">
        <w:rPr>
          <w:rFonts w:ascii="Arial" w:hAnsi="Arial" w:cs="Arial"/>
          <w:color w:val="44546A" w:themeColor="text2"/>
          <w:kern w:val="0"/>
          <w14:ligatures w14:val="none"/>
        </w:rPr>
        <w:t>ts, including the market, mission, money, makeup, management, materials, and machinery.</w:t>
      </w:r>
    </w:p>
    <w:p w14:paraId="63E275A9" w14:textId="77CCAA08"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b/>
          <w:bCs/>
          <w:color w:val="44546A" w:themeColor="text2"/>
          <w:kern w:val="0"/>
          <w14:ligatures w14:val="none"/>
        </w:rPr>
        <w:t>Market</w:t>
      </w:r>
      <w:r w:rsidRPr="00C45331">
        <w:rPr>
          <w:rFonts w:ascii="Arial" w:hAnsi="Arial" w:cs="Arial"/>
          <w:color w:val="44546A" w:themeColor="text2"/>
          <w:kern w:val="0"/>
          <w14:ligatures w14:val="none"/>
        </w:rPr>
        <w:t>: The target market of the furniture manufacturing Company is businesses that require unique furniture design solutions. The quality and sustainability of the materials are essential for the target market, so they are willing to pay more. The furniture design of the Company's educational environments has already changed significantly. The market has expanded to include large customers such as Astra Zeneca, which jointly organizes its research and pharmaceutical manufacturing environment with the Company. The project section of the website shows that the catering market has expanded: Caravan Canary Wharf, The Bridge Restaurant, Twickenham East, The Parade Ring Restaurant, Old Marylebone Town Hall, and The Terrace Restaurant. Law: Global Low Firm, Ashurst. Media: WPP Detroit, WPP Milan, WPP Warsaw, Kobalt Music.</w:t>
      </w:r>
    </w:p>
    <w:p w14:paraId="01C8B7C1" w14:textId="01A3E441"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b/>
          <w:bCs/>
          <w:color w:val="44546A" w:themeColor="text2"/>
          <w:kern w:val="0"/>
          <w14:ligatures w14:val="none"/>
        </w:rPr>
        <w:t>Mission:</w:t>
      </w:r>
      <w:r w:rsidRPr="00C45331">
        <w:rPr>
          <w:rFonts w:ascii="Arial" w:hAnsi="Arial" w:cs="Arial"/>
          <w:color w:val="44546A" w:themeColor="text2"/>
          <w:kern w:val="0"/>
          <w14:ligatures w14:val="none"/>
        </w:rPr>
        <w:t xml:space="preserve"> The Company's mission statement emphasizes constant innovation to meet customer needs, create value and differentiate itself from competitors. On the project page, you can view the large-scale innovative projects the Company implemented and planned in the previous period. With several award-winning projects behind it, the Company's creative strategy significantly determines its market presence. Projects: Twickenham East Hospitality transformation at the home of England Rugby, Basf: a collaborative workplace for the world's largest chemical </w:t>
      </w:r>
      <w:r w:rsidRPr="00C45331">
        <w:rPr>
          <w:rFonts w:ascii="Arial" w:hAnsi="Arial" w:cs="Arial"/>
          <w:color w:val="44546A" w:themeColor="text2"/>
          <w:kern w:val="0"/>
          <w14:ligatures w14:val="none"/>
        </w:rPr>
        <w:lastRenderedPageBreak/>
        <w:t>manufacturer. Chicago Booth: The state-of-the-art campus of one of the world's top business schools, Adobe London: A vibrant new workspace for the software giant in London's tech hub.</w:t>
      </w:r>
    </w:p>
    <w:p w14:paraId="0C3E150C" w14:textId="426D46CF"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b/>
          <w:bCs/>
          <w:color w:val="44546A" w:themeColor="text2"/>
          <w:kern w:val="0"/>
          <w14:ligatures w14:val="none"/>
        </w:rPr>
        <w:t>Money:</w:t>
      </w:r>
      <w:r w:rsidRPr="00C45331">
        <w:rPr>
          <w:rFonts w:ascii="Arial" w:hAnsi="Arial" w:cs="Arial"/>
          <w:color w:val="44546A" w:themeColor="text2"/>
          <w:kern w:val="0"/>
          <w14:ligatures w14:val="none"/>
        </w:rPr>
        <w:t xml:space="preserve"> The Company's financial report shows significant developments in the business, including the acquisition of Operandum LLP, a considerable headcount investment, and international operations in the EU and the US. The introduction of Operandum LLP has resulted in better value for clients and further growth opportunities for the business.</w:t>
      </w:r>
    </w:p>
    <w:p w14:paraId="49673FE2" w14:textId="775680D2" w:rsidR="00E10FEE" w:rsidRPr="00C45331" w:rsidRDefault="00E10FEE" w:rsidP="00CA5D96">
      <w:pPr>
        <w:spacing w:line="360" w:lineRule="auto"/>
        <w:jc w:val="both"/>
        <w:rPr>
          <w:rFonts w:ascii="Arial" w:hAnsi="Arial" w:cs="Arial"/>
          <w:color w:val="44546A" w:themeColor="text2"/>
          <w:kern w:val="0"/>
          <w14:ligatures w14:val="none"/>
        </w:rPr>
      </w:pPr>
      <w:r w:rsidRPr="00C45331">
        <w:rPr>
          <w:rFonts w:ascii="Arial" w:hAnsi="Arial" w:cs="Arial"/>
          <w:b/>
          <w:bCs/>
          <w:color w:val="44546A" w:themeColor="text2"/>
          <w:kern w:val="0"/>
          <w14:ligatures w14:val="none"/>
        </w:rPr>
        <w:t xml:space="preserve">Makeup: </w:t>
      </w:r>
      <w:r w:rsidRPr="00C45331">
        <w:rPr>
          <w:rFonts w:ascii="Arial" w:hAnsi="Arial" w:cs="Arial"/>
          <w:color w:val="44546A" w:themeColor="text2"/>
          <w:kern w:val="0"/>
          <w14:ligatures w14:val="none"/>
        </w:rPr>
        <w:t>Companies' patents, trademarks, brands, and goodwill.</w:t>
      </w:r>
    </w:p>
    <w:p w14:paraId="44BA2E1A" w14:textId="77777777"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b/>
          <w:bCs/>
          <w:color w:val="44546A" w:themeColor="text2"/>
          <w:kern w:val="0"/>
          <w14:ligatures w14:val="none"/>
        </w:rPr>
        <w:t>Management:</w:t>
      </w:r>
      <w:r w:rsidRPr="00C45331">
        <w:rPr>
          <w:rFonts w:ascii="Arial" w:hAnsi="Arial" w:cs="Arial"/>
          <w:color w:val="44546A" w:themeColor="text2"/>
          <w:kern w:val="0"/>
          <w14:ligatures w14:val="none"/>
        </w:rPr>
        <w:t xml:space="preserve"> The Company's hierarchical management structure emphasizes the importance of experienced personnel in innovation. The Company may benefit from adopting collaborative and flat governance structures to encourage innovation.</w:t>
      </w:r>
    </w:p>
    <w:p w14:paraId="35876385" w14:textId="4B57F7EA"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b/>
          <w:bCs/>
          <w:color w:val="44546A" w:themeColor="text2"/>
          <w:kern w:val="0"/>
          <w14:ligatures w14:val="none"/>
        </w:rPr>
        <w:t>Materials</w:t>
      </w:r>
      <w:r w:rsidRPr="00C45331">
        <w:rPr>
          <w:rFonts w:ascii="Arial" w:hAnsi="Arial" w:cs="Arial"/>
          <w:color w:val="44546A" w:themeColor="text2"/>
          <w:kern w:val="0"/>
          <w14:ligatures w14:val="none"/>
        </w:rPr>
        <w:t>: The Company's supply chain and sourcing strategy emphasizes sustainability, product data, superior quality, and a wide selection of vintage and second-hand fabrics and finishing workshops. The Company is an official partner of Materials Matters. It is at Oxo Tower Wharf's iconic Barge House on London's Southbank. The inaugural fair will bring together over 40 world-leading brands, designers, manufacturers, and organizations whose work is a loud and precise response to the issues currently shaping the design industry. These include our need for circularity and how material intelligence can lead to Net Zero.</w:t>
      </w:r>
    </w:p>
    <w:p w14:paraId="205386D7" w14:textId="77777777"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b/>
          <w:bCs/>
          <w:color w:val="44546A" w:themeColor="text2"/>
          <w:kern w:val="0"/>
          <w14:ligatures w14:val="none"/>
        </w:rPr>
        <w:t>Machines:</w:t>
      </w:r>
      <w:r w:rsidRPr="00C45331">
        <w:rPr>
          <w:rFonts w:ascii="Arial" w:hAnsi="Arial" w:cs="Arial"/>
          <w:color w:val="44546A" w:themeColor="text2"/>
          <w:kern w:val="0"/>
          <w14:ligatures w14:val="none"/>
        </w:rPr>
        <w:t xml:space="preserve"> The Company uses computer-aided design (CAD) software, enterprise resource planning (ERP) software technology, and customer relationship management (CRM) software to manage various aspects of the business. The Company also has an online presence, website, or social media accounts on LinkedIn, which can be used to promote products and services, communicate with customers and conduct sales transactions.</w:t>
      </w:r>
    </w:p>
    <w:p w14:paraId="12E95F92" w14:textId="2D00A1F9"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 xml:space="preserve"> Based on the information provided, The Furniture Practice is a successful furniture manufacturing company focused on custom design solutions for businesses, particularly in the education and hospitality sectors. The Company dramatically emphasizes innovation, sustainability, and quality materials and has continuously invested in research and development to improve its business practices.</w:t>
      </w:r>
    </w:p>
    <w:p w14:paraId="623AA2E5" w14:textId="36F0FAF7" w:rsidR="00615F35" w:rsidRPr="00C45331" w:rsidRDefault="00615F35" w:rsidP="005F7279">
      <w:pPr>
        <w:pStyle w:val="ListParagraph"/>
        <w:numPr>
          <w:ilvl w:val="2"/>
          <w:numId w:val="37"/>
        </w:numPr>
        <w:spacing w:line="360" w:lineRule="auto"/>
        <w:jc w:val="both"/>
        <w:rPr>
          <w:rFonts w:ascii="Arial" w:hAnsi="Arial" w:cs="Arial"/>
          <w:b/>
          <w:bCs/>
          <w:color w:val="44546A" w:themeColor="text2"/>
          <w:kern w:val="0"/>
          <w:u w:val="single"/>
          <w14:ligatures w14:val="none"/>
        </w:rPr>
      </w:pPr>
      <w:bookmarkStart w:id="1" w:name="_Hlk132109003"/>
      <w:r w:rsidRPr="00C45331">
        <w:rPr>
          <w:rFonts w:ascii="Arial" w:hAnsi="Arial" w:cs="Arial"/>
          <w:b/>
          <w:bCs/>
          <w:color w:val="44546A" w:themeColor="text2"/>
          <w:kern w:val="0"/>
          <w:u w:val="single"/>
          <w14:ligatures w14:val="none"/>
        </w:rPr>
        <w:t xml:space="preserve">Application of VRIO analysis </w:t>
      </w:r>
      <w:bookmarkEnd w:id="1"/>
    </w:p>
    <w:p w14:paraId="0BD3CB0C" w14:textId="111299B5"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 xml:space="preserve">Jay B. Barney introduced the VRIO framework in his 1991 paper "Firm Resources and Sustained Competitive Advantage," published in the Journal of Management. Barney is a Professor of Management and Chase Distinguished Corporate Strategy and Organizational Behavior Lecturer </w:t>
      </w:r>
      <w:r w:rsidRPr="00C45331">
        <w:rPr>
          <w:rFonts w:ascii="Arial" w:hAnsi="Arial" w:cs="Arial"/>
          <w:color w:val="44546A" w:themeColor="text2"/>
          <w:kern w:val="0"/>
          <w14:ligatures w14:val="none"/>
        </w:rPr>
        <w:lastRenderedPageBreak/>
        <w:t xml:space="preserve">at The Ohio State University Fisher College of Business. VRIO stands for Value, Rarity, Imitability, and Organization. It is a framework for </w:t>
      </w:r>
      <w:r w:rsidR="007A4004" w:rsidRPr="00C45331">
        <w:rPr>
          <w:rFonts w:ascii="Arial" w:hAnsi="Arial" w:cs="Arial"/>
          <w:color w:val="44546A" w:themeColor="text2"/>
          <w:kern w:val="0"/>
          <w14:ligatures w14:val="none"/>
        </w:rPr>
        <w:t>analysing</w:t>
      </w:r>
      <w:r w:rsidRPr="00C45331">
        <w:rPr>
          <w:rFonts w:ascii="Arial" w:hAnsi="Arial" w:cs="Arial"/>
          <w:color w:val="44546A" w:themeColor="text2"/>
          <w:kern w:val="0"/>
          <w14:ligatures w14:val="none"/>
        </w:rPr>
        <w:t xml:space="preserve"> a company's internal resources and capabilities to determine competitive advantage. Specifically, it helps determine whether the Company's resources and capabilities are valuable, rare, and difficult to imitate and whether it can use them effectively. The following is Furniture Practice </w:t>
      </w:r>
      <w:r w:rsidR="007A4004" w:rsidRPr="00C45331">
        <w:rPr>
          <w:rFonts w:ascii="Arial" w:hAnsi="Arial" w:cs="Arial"/>
          <w:color w:val="44546A" w:themeColor="text2"/>
          <w:kern w:val="0"/>
          <w14:ligatures w14:val="none"/>
        </w:rPr>
        <w:t>Ltd.</w:t>
      </w:r>
      <w:r w:rsidR="00645D67" w:rsidRPr="00C45331">
        <w:rPr>
          <w:rFonts w:ascii="Arial" w:hAnsi="Arial" w:cs="Arial"/>
          <w:color w:val="44546A" w:themeColor="text2"/>
          <w:kern w:val="0"/>
          <w14:ligatures w14:val="none"/>
        </w:rPr>
        <w:t>'</w:t>
      </w:r>
      <w:r w:rsidR="007A4004" w:rsidRPr="00C45331">
        <w:rPr>
          <w:rFonts w:ascii="Arial" w:hAnsi="Arial" w:cs="Arial"/>
          <w:color w:val="44546A" w:themeColor="text2"/>
          <w:kern w:val="0"/>
          <w14:ligatures w14:val="none"/>
        </w:rPr>
        <w:t>s</w:t>
      </w:r>
      <w:r w:rsidRPr="00C45331">
        <w:rPr>
          <w:rFonts w:ascii="Arial" w:hAnsi="Arial" w:cs="Arial"/>
          <w:color w:val="44546A" w:themeColor="text2"/>
          <w:kern w:val="0"/>
          <w14:ligatures w14:val="none"/>
        </w:rPr>
        <w:t xml:space="preserve"> VRIO analysis in line with this approach.</w:t>
      </w:r>
    </w:p>
    <w:p w14:paraId="2FCC3574" w14:textId="23200FEB"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 xml:space="preserve">Furniture Practice Ltd.'s VRIO analysis reveals that the Company offers quality furniture products that meet the needs and preferences of its target market, focuses on unique design and customization, uses sustainable and environmentally friendly materials, and has a strong organizational culture that promotes creativity. These factors make it difficult for competitors to imitate the Company's offerings and provide it with a sustained competitive advantage. According to the website, The Furniture Practice is B Corp certified to help create a more sustainable and just future for our industry and beyond. More than 6,000 visionary businesses from 80 countries have joined the B Corp community, legally committed to balancing purpose and </w:t>
      </w:r>
      <w:proofErr w:type="gramStart"/>
      <w:r w:rsidRPr="00C45331">
        <w:rPr>
          <w:rFonts w:ascii="Arial" w:hAnsi="Arial" w:cs="Arial"/>
          <w:color w:val="44546A" w:themeColor="text2"/>
          <w:kern w:val="0"/>
          <w14:ligatures w14:val="none"/>
        </w:rPr>
        <w:t>profit</w:t>
      </w:r>
      <w:proofErr w:type="gramEnd"/>
      <w:r w:rsidRPr="00C45331">
        <w:rPr>
          <w:rFonts w:ascii="Arial" w:hAnsi="Arial" w:cs="Arial"/>
          <w:color w:val="44546A" w:themeColor="text2"/>
          <w:kern w:val="0"/>
          <w14:ligatures w14:val="none"/>
        </w:rPr>
        <w:t xml:space="preserve"> and using business as a force for good. Based on VRIO's analysis, Furniture Practice Ltd has some resources and capabilities that give it a sustainable competitive advantage. The Company's focus on unique design and customization, using sustainable materials, and a solid organizational culture is valuable, rare, and difficult to imitate. The Company's commitment strategy and workshops, as well as short-term development, program development, budget development, audit and reuse strategy, sustainability strategy, and trend insights, further contribute to the value proposition and differentiation from competitors. Additionally, the Company's commitment to sustainability and B Corp certification aligns with the growing trend of environmentally conscious customers and businesses. Furniture Practice Ltd </w:t>
      </w:r>
      <w:r w:rsidR="00AA7F53" w:rsidRPr="00C45331">
        <w:rPr>
          <w:rFonts w:ascii="Arial" w:hAnsi="Arial" w:cs="Arial"/>
          <w:color w:val="44546A" w:themeColor="text2"/>
          <w:kern w:val="0"/>
          <w14:ligatures w14:val="none"/>
        </w:rPr>
        <w:t>has</w:t>
      </w:r>
      <w:r w:rsidRPr="00C45331">
        <w:rPr>
          <w:rFonts w:ascii="Arial" w:hAnsi="Arial" w:cs="Arial"/>
          <w:color w:val="44546A" w:themeColor="text2"/>
          <w:kern w:val="0"/>
          <w14:ligatures w14:val="none"/>
        </w:rPr>
        <w:t xml:space="preserve"> a strong foundation for continued success in the furniture industry.</w:t>
      </w:r>
    </w:p>
    <w:p w14:paraId="3414944F" w14:textId="2C9B2F01" w:rsidR="009F6769" w:rsidRPr="00C45331" w:rsidRDefault="009F6769" w:rsidP="005F7279">
      <w:pPr>
        <w:pStyle w:val="ListParagraph"/>
        <w:numPr>
          <w:ilvl w:val="1"/>
          <w:numId w:val="37"/>
        </w:numPr>
        <w:spacing w:line="360" w:lineRule="auto"/>
        <w:jc w:val="both"/>
        <w:rPr>
          <w:rFonts w:ascii="Arial" w:hAnsi="Arial" w:cs="Arial"/>
          <w:b/>
          <w:bCs/>
          <w:color w:val="44546A" w:themeColor="text2"/>
          <w:u w:val="single"/>
        </w:rPr>
      </w:pPr>
      <w:r w:rsidRPr="00C45331">
        <w:rPr>
          <w:rFonts w:ascii="Arial" w:hAnsi="Arial" w:cs="Arial"/>
          <w:b/>
          <w:bCs/>
          <w:color w:val="44546A" w:themeColor="text2"/>
          <w:u w:val="single"/>
        </w:rPr>
        <w:t>External</w:t>
      </w:r>
      <w:r w:rsidR="00A1325E">
        <w:rPr>
          <w:rFonts w:ascii="Arial" w:hAnsi="Arial" w:cs="Arial"/>
          <w:b/>
          <w:bCs/>
          <w:color w:val="44546A" w:themeColor="text2"/>
          <w:u w:val="single"/>
        </w:rPr>
        <w:t xml:space="preserve"> factors business</w:t>
      </w:r>
      <w:r w:rsidRPr="00C45331">
        <w:rPr>
          <w:rFonts w:ascii="Arial" w:hAnsi="Arial" w:cs="Arial"/>
          <w:b/>
          <w:bCs/>
          <w:color w:val="44546A" w:themeColor="text2"/>
          <w:u w:val="single"/>
        </w:rPr>
        <w:t xml:space="preserve"> analysis</w:t>
      </w:r>
      <w:r w:rsidR="00115686" w:rsidRPr="00C45331">
        <w:rPr>
          <w:rFonts w:ascii="Arial" w:hAnsi="Arial" w:cs="Arial"/>
          <w:b/>
          <w:bCs/>
          <w:color w:val="44546A" w:themeColor="text2"/>
          <w:u w:val="single"/>
        </w:rPr>
        <w:t xml:space="preserve"> </w:t>
      </w:r>
    </w:p>
    <w:p w14:paraId="2AC120BE" w14:textId="571DBD15" w:rsidR="007C4348" w:rsidRPr="00C45331" w:rsidRDefault="007C4348" w:rsidP="007C4348">
      <w:pPr>
        <w:spacing w:line="360" w:lineRule="auto"/>
        <w:jc w:val="both"/>
        <w:rPr>
          <w:rFonts w:ascii="Arial" w:hAnsi="Arial" w:cs="Arial"/>
          <w:color w:val="44546A" w:themeColor="text2"/>
        </w:rPr>
      </w:pPr>
      <w:r w:rsidRPr="00C45331">
        <w:rPr>
          <w:rFonts w:ascii="Arial" w:hAnsi="Arial" w:cs="Arial"/>
          <w:color w:val="44546A" w:themeColor="text2"/>
        </w:rPr>
        <w:t xml:space="preserve">The </w:t>
      </w:r>
      <w:r w:rsidR="00E10FEE" w:rsidRPr="00C45331">
        <w:rPr>
          <w:rFonts w:ascii="Arial" w:hAnsi="Arial" w:cs="Arial"/>
          <w:color w:val="44546A" w:themeColor="text2"/>
        </w:rPr>
        <w:t>CFI team (2023) states external analysis means examining the industry environment of a company, including factors such as competitive structure, competitive position, dynamics, and history. On a macro scale, external analysis includes macroeconomic, global, political, social, demographic, and technological research. The external study primarily aims to determine the opportunities and threats in an industry or any segment that will drive profitability, growth, and volatility. The e</w:t>
      </w:r>
      <w:r w:rsidRPr="00C45331">
        <w:rPr>
          <w:rFonts w:ascii="Arial" w:hAnsi="Arial" w:cs="Arial"/>
          <w:color w:val="44546A" w:themeColor="text2"/>
        </w:rPr>
        <w:t xml:space="preserve">xternal analysis examines the organization's external environment to identify and understand opportunities and threats that may affect the organization's performance and future success. It includes factors such as industry trends, competition, economic conditions, regulatory frameworks, technological developments, and other external factors that affect an organization's </w:t>
      </w:r>
      <w:r w:rsidRPr="00C45331">
        <w:rPr>
          <w:rFonts w:ascii="Arial" w:hAnsi="Arial" w:cs="Arial"/>
          <w:color w:val="44546A" w:themeColor="text2"/>
        </w:rPr>
        <w:lastRenderedPageBreak/>
        <w:t>operations and performance. This shallow analysis aims to inform strategic decision-making and assist Furniture Practice Ltd in identifying and responding to changes in the external environment to improve its competitive advantage and long-term sustainability.</w:t>
      </w:r>
    </w:p>
    <w:p w14:paraId="5624BC6F" w14:textId="488D7363" w:rsidR="009F6769" w:rsidRPr="00C45331" w:rsidRDefault="00782842" w:rsidP="005F7279">
      <w:pPr>
        <w:pStyle w:val="ListParagraph"/>
        <w:numPr>
          <w:ilvl w:val="2"/>
          <w:numId w:val="37"/>
        </w:numPr>
        <w:spacing w:line="360" w:lineRule="auto"/>
        <w:jc w:val="both"/>
        <w:rPr>
          <w:rFonts w:ascii="Arial" w:hAnsi="Arial" w:cs="Arial"/>
          <w:b/>
          <w:bCs/>
          <w:color w:val="44546A" w:themeColor="text2"/>
          <w:kern w:val="0"/>
          <w:u w:val="single"/>
          <w14:ligatures w14:val="none"/>
        </w:rPr>
      </w:pPr>
      <w:bookmarkStart w:id="2" w:name="_Hlk132109325"/>
      <w:r w:rsidRPr="00C45331">
        <w:rPr>
          <w:rFonts w:ascii="Arial" w:hAnsi="Arial" w:cs="Arial"/>
          <w:b/>
          <w:bCs/>
          <w:color w:val="44546A" w:themeColor="text2"/>
          <w:kern w:val="0"/>
          <w:u w:val="single"/>
          <w14:ligatures w14:val="none"/>
        </w:rPr>
        <w:t>Application</w:t>
      </w:r>
      <w:r w:rsidR="00115686" w:rsidRPr="00C45331">
        <w:rPr>
          <w:rFonts w:ascii="Arial" w:hAnsi="Arial" w:cs="Arial"/>
          <w:b/>
          <w:bCs/>
          <w:color w:val="44546A" w:themeColor="text2"/>
          <w:kern w:val="0"/>
          <w:u w:val="single"/>
          <w14:ligatures w14:val="none"/>
        </w:rPr>
        <w:t xml:space="preserve"> of </w:t>
      </w:r>
      <w:r w:rsidR="009F6769" w:rsidRPr="00C45331">
        <w:rPr>
          <w:rFonts w:ascii="Arial" w:hAnsi="Arial" w:cs="Arial"/>
          <w:b/>
          <w:bCs/>
          <w:color w:val="44546A" w:themeColor="text2"/>
          <w:kern w:val="0"/>
          <w:u w:val="single"/>
          <w14:ligatures w14:val="none"/>
        </w:rPr>
        <w:t xml:space="preserve">Mandelow stakeholder Matrix </w:t>
      </w:r>
    </w:p>
    <w:p w14:paraId="19F83853" w14:textId="4C1DC3D2" w:rsidR="007C4348" w:rsidRPr="00C45331" w:rsidRDefault="007C4348" w:rsidP="007C4348">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Mandelow's stakeholder matrix</w:t>
      </w:r>
      <w:r w:rsidR="00E10FEE" w:rsidRPr="00C45331">
        <w:rPr>
          <w:rFonts w:ascii="Arial" w:hAnsi="Arial" w:cs="Arial"/>
          <w:color w:val="44546A" w:themeColor="text2"/>
          <w:kern w:val="0"/>
          <w14:ligatures w14:val="none"/>
        </w:rPr>
        <w:t xml:space="preserve"> (1991) suggested</w:t>
      </w:r>
      <w:r w:rsidRPr="00C45331">
        <w:rPr>
          <w:rFonts w:ascii="Arial" w:hAnsi="Arial" w:cs="Arial"/>
          <w:color w:val="44546A" w:themeColor="text2"/>
          <w:kern w:val="0"/>
          <w14:ligatures w14:val="none"/>
        </w:rPr>
        <w:t xml:space="preserve"> </w:t>
      </w:r>
      <w:r w:rsidR="005F6A94">
        <w:rPr>
          <w:rFonts w:ascii="Arial" w:hAnsi="Arial" w:cs="Arial"/>
          <w:color w:val="44546A" w:themeColor="text2"/>
          <w:kern w:val="0"/>
          <w14:ligatures w14:val="none"/>
        </w:rPr>
        <w:t xml:space="preserve">a </w:t>
      </w:r>
      <w:r w:rsidRPr="00C45331">
        <w:rPr>
          <w:rFonts w:ascii="Arial" w:hAnsi="Arial" w:cs="Arial"/>
          <w:color w:val="44546A" w:themeColor="text2"/>
          <w:kern w:val="0"/>
          <w14:ligatures w14:val="none"/>
        </w:rPr>
        <w:t>tool for identifying and ranking stakeholders based on their level of power and interest. The matrix has four quadrants: high performance, high interest; high performance, low interest; low performance, high interest; and quiet performance, common good.</w:t>
      </w:r>
    </w:p>
    <w:p w14:paraId="62959AA6" w14:textId="5E16CF5F" w:rsidR="007C4348" w:rsidRPr="00C45331" w:rsidRDefault="007C4348" w:rsidP="007C4348">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For Furniture Practice, high-powered, high-interest stakeholders include significant customers, suppliers, and investors. The Company works closely with these stakeholders to manage their expectations and meet their needs.</w:t>
      </w:r>
    </w:p>
    <w:p w14:paraId="5176BA05" w14:textId="09D0DCE1" w:rsidR="007C4348" w:rsidRPr="00C45331" w:rsidRDefault="007C4348" w:rsidP="007C4348">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High-power, low-stakes stakeholders, such as regulators or government agencies, impact a company's operations but do not directly affect its success. The Company must continuously inform these stakeholders about its activities.</w:t>
      </w:r>
    </w:p>
    <w:p w14:paraId="765BCC1E" w14:textId="36519A70" w:rsidR="007C4348" w:rsidRPr="00C45331" w:rsidRDefault="007C4348" w:rsidP="007C4348">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 xml:space="preserve">Low-power, high-interest stakeholders, such as community members or interest groups, may be affected by the Company's operations but do not have significant influence. The Company engages with stakeholders to appropriately understand and address their concerns and perspectives. </w:t>
      </w:r>
    </w:p>
    <w:p w14:paraId="5312AAEA" w14:textId="6A7907EF" w:rsidR="007C4348" w:rsidRPr="00C45331" w:rsidRDefault="007C4348" w:rsidP="007C4348">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 xml:space="preserve">Low-power, low-interest stakeholders, such as the </w:t>
      </w:r>
      <w:r w:rsidR="00C20BB0" w:rsidRPr="00C45331">
        <w:rPr>
          <w:rFonts w:ascii="Arial" w:hAnsi="Arial" w:cs="Arial"/>
          <w:color w:val="44546A" w:themeColor="text2"/>
          <w:kern w:val="0"/>
          <w14:ligatures w14:val="none"/>
        </w:rPr>
        <w:t>public</w:t>
      </w:r>
      <w:r w:rsidRPr="00C45331">
        <w:rPr>
          <w:rFonts w:ascii="Arial" w:hAnsi="Arial" w:cs="Arial"/>
          <w:color w:val="44546A" w:themeColor="text2"/>
          <w:kern w:val="0"/>
          <w14:ligatures w14:val="none"/>
        </w:rPr>
        <w:t xml:space="preserve"> or unrelated businesses, have little influence and interest in the Company's activities.</w:t>
      </w:r>
    </w:p>
    <w:p w14:paraId="6E91FCFA" w14:textId="0C675C67" w:rsidR="007C4348" w:rsidRPr="00C45331" w:rsidRDefault="007C4348" w:rsidP="007C4348">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According to the website, the Company's other vital stakeholders are employees, shareholders, competitors, industry associations, and NGOs. By identifying and prioritizing these stakeholders, the Company has built strong relationships.</w:t>
      </w:r>
    </w:p>
    <w:p w14:paraId="2C28C5EA" w14:textId="032203AB" w:rsidR="007C4348" w:rsidRPr="00C45331" w:rsidRDefault="007C4348" w:rsidP="007C4348">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Mandelow's Stakeholder Matrix allows companies to focus their engagement efforts and build strong relationships with their stakeholders. Companies must regularly review and update their stakeholder matrix to reflect stakeholder interests and power changes.</w:t>
      </w:r>
    </w:p>
    <w:bookmarkEnd w:id="2"/>
    <w:p w14:paraId="3B3307C4" w14:textId="26AD46D4" w:rsidR="00615F35" w:rsidRPr="00C45331" w:rsidRDefault="00115686" w:rsidP="005F7279">
      <w:pPr>
        <w:pStyle w:val="ListParagraph"/>
        <w:numPr>
          <w:ilvl w:val="2"/>
          <w:numId w:val="37"/>
        </w:numPr>
        <w:spacing w:line="360" w:lineRule="auto"/>
        <w:jc w:val="both"/>
        <w:rPr>
          <w:rFonts w:ascii="Arial" w:hAnsi="Arial" w:cs="Arial"/>
          <w:b/>
          <w:bCs/>
          <w:color w:val="44546A" w:themeColor="text2"/>
          <w:kern w:val="0"/>
          <w:u w:val="single"/>
          <w14:ligatures w14:val="none"/>
        </w:rPr>
      </w:pPr>
      <w:r w:rsidRPr="00C45331">
        <w:rPr>
          <w:rFonts w:ascii="Arial" w:hAnsi="Arial" w:cs="Arial"/>
          <w:b/>
          <w:bCs/>
          <w:color w:val="44546A" w:themeColor="text2"/>
          <w:kern w:val="0"/>
          <w:u w:val="single"/>
          <w14:ligatures w14:val="none"/>
        </w:rPr>
        <w:t xml:space="preserve">Application of </w:t>
      </w:r>
      <w:r w:rsidR="00615F35" w:rsidRPr="00C45331">
        <w:rPr>
          <w:rFonts w:ascii="Arial" w:hAnsi="Arial" w:cs="Arial"/>
          <w:b/>
          <w:bCs/>
          <w:color w:val="44546A" w:themeColor="text2"/>
          <w:kern w:val="0"/>
          <w:u w:val="single"/>
          <w14:ligatures w14:val="none"/>
        </w:rPr>
        <w:t>PESTEL</w:t>
      </w:r>
      <w:r w:rsidRPr="00C45331">
        <w:rPr>
          <w:rFonts w:ascii="Arial" w:hAnsi="Arial" w:cs="Arial"/>
          <w:b/>
          <w:bCs/>
          <w:color w:val="44546A" w:themeColor="text2"/>
          <w:kern w:val="0"/>
          <w:u w:val="single"/>
          <w14:ligatures w14:val="none"/>
        </w:rPr>
        <w:t xml:space="preserve"> analysis </w:t>
      </w:r>
    </w:p>
    <w:p w14:paraId="5C303115" w14:textId="1BE472A8" w:rsidR="00E10FEE" w:rsidRPr="00C45331" w:rsidRDefault="007C4348" w:rsidP="007C4348">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PESTEL analysis is a framework that helps organizations understand the external factors that influence their operations and strategy.</w:t>
      </w:r>
      <w:r w:rsidR="00E10FEE" w:rsidRPr="00C45331">
        <w:rPr>
          <w:rFonts w:ascii="Arial" w:hAnsi="Arial" w:cs="Arial"/>
          <w:color w:val="44546A" w:themeColor="text2"/>
        </w:rPr>
        <w:t xml:space="preserve"> </w:t>
      </w:r>
      <w:r w:rsidR="00E10FEE" w:rsidRPr="00C45331">
        <w:rPr>
          <w:rFonts w:ascii="Arial" w:hAnsi="Arial" w:cs="Arial"/>
          <w:color w:val="44546A" w:themeColor="text2"/>
          <w:kern w:val="0"/>
          <w14:ligatures w14:val="none"/>
        </w:rPr>
        <w:t xml:space="preserve">However, the PESTEL analysis has been widely used and adapted by various authors, scholars, and business consultants. Some notable contributors </w:t>
      </w:r>
      <w:r w:rsidR="00E10FEE" w:rsidRPr="00C45331">
        <w:rPr>
          <w:rFonts w:ascii="Arial" w:hAnsi="Arial" w:cs="Arial"/>
          <w:color w:val="44546A" w:themeColor="text2"/>
          <w:kern w:val="0"/>
          <w14:ligatures w14:val="none"/>
        </w:rPr>
        <w:lastRenderedPageBreak/>
        <w:t xml:space="preserve">to the development and refinement of the PESTEL framework include Michael Porter, Robert Kaplan, David Norton, and Igor Ansoff. </w:t>
      </w:r>
    </w:p>
    <w:p w14:paraId="39147703" w14:textId="3EB1913E" w:rsidR="00E10FEE" w:rsidRPr="00C45331" w:rsidRDefault="00E10FEE" w:rsidP="007C4348">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PESTLE analysis of furniture company:</w:t>
      </w:r>
      <w:r w:rsidR="007C4348" w:rsidRPr="00C45331">
        <w:rPr>
          <w:rFonts w:ascii="Arial" w:hAnsi="Arial" w:cs="Arial"/>
          <w:color w:val="44546A" w:themeColor="text2"/>
          <w:kern w:val="0"/>
          <w14:ligatures w14:val="none"/>
        </w:rPr>
        <w:t xml:space="preserve"> political factors such as government regulations and policies can affect a furniture company's profitability, while consumer preferences and lifestyle changes can affect the types of furniture in demand. Technological advances can help companies improve their products and customer experiences.</w:t>
      </w:r>
    </w:p>
    <w:p w14:paraId="059064C2" w14:textId="68E8766F" w:rsidR="004D5266" w:rsidRPr="00C45331" w:rsidRDefault="007C4348" w:rsidP="007C4348">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 xml:space="preserve">In contrast, legal factors such as product liability laws and compliance with </w:t>
      </w:r>
      <w:r w:rsidR="00C20BB0" w:rsidRPr="00C45331">
        <w:rPr>
          <w:rFonts w:ascii="Arial" w:hAnsi="Arial" w:cs="Arial"/>
          <w:color w:val="44546A" w:themeColor="text2"/>
          <w:kern w:val="0"/>
          <w14:ligatures w14:val="none"/>
        </w:rPr>
        <w:t>labour</w:t>
      </w:r>
      <w:r w:rsidRPr="00C45331">
        <w:rPr>
          <w:rFonts w:ascii="Arial" w:hAnsi="Arial" w:cs="Arial"/>
          <w:color w:val="44546A" w:themeColor="text2"/>
          <w:kern w:val="0"/>
          <w14:ligatures w14:val="none"/>
        </w:rPr>
        <w:t xml:space="preserve"> laws can affect a company's operations and reputation. Environmental factors such as climate change and deforestation can affect the availability and cost of raw materials and increase consumer demand for sustainable products. Regularly updating the PESTEL analysis can help organizations manage risks and exploit opportunities.</w:t>
      </w:r>
    </w:p>
    <w:p w14:paraId="463CBE60" w14:textId="4D1D1B92" w:rsidR="00563973" w:rsidRPr="00C45331" w:rsidRDefault="009F6769" w:rsidP="005F7279">
      <w:pPr>
        <w:pStyle w:val="ListParagraph"/>
        <w:numPr>
          <w:ilvl w:val="2"/>
          <w:numId w:val="37"/>
        </w:numPr>
        <w:spacing w:line="360" w:lineRule="auto"/>
        <w:jc w:val="both"/>
        <w:rPr>
          <w:rFonts w:ascii="Arial" w:hAnsi="Arial" w:cs="Arial"/>
          <w:b/>
          <w:bCs/>
          <w:color w:val="44546A" w:themeColor="text2"/>
          <w:u w:val="single"/>
        </w:rPr>
      </w:pPr>
      <w:r w:rsidRPr="00C45331">
        <w:rPr>
          <w:rFonts w:ascii="Arial" w:hAnsi="Arial" w:cs="Arial"/>
          <w:b/>
          <w:bCs/>
          <w:color w:val="44546A" w:themeColor="text2"/>
          <w:u w:val="single"/>
        </w:rPr>
        <w:t xml:space="preserve">Industry Analysis </w:t>
      </w:r>
    </w:p>
    <w:p w14:paraId="58DD88AA" w14:textId="2F4C9B51" w:rsidR="00115686" w:rsidRPr="00C45331" w:rsidRDefault="00115686" w:rsidP="00115686">
      <w:pPr>
        <w:spacing w:line="360" w:lineRule="auto"/>
        <w:jc w:val="both"/>
        <w:rPr>
          <w:rFonts w:ascii="Arial" w:hAnsi="Arial" w:cs="Arial"/>
          <w:color w:val="44546A" w:themeColor="text2"/>
        </w:rPr>
      </w:pPr>
      <w:r w:rsidRPr="00C45331">
        <w:rPr>
          <w:rFonts w:ascii="Arial" w:hAnsi="Arial" w:cs="Arial"/>
          <w:color w:val="44546A" w:themeColor="text2"/>
        </w:rPr>
        <w:t xml:space="preserve">Industry analysis is crucial because it provides a comprehensive picture of the business's environment. That can include current and future trends, competitors, customers, suppliers, the regulatory environment, and other factors affecting the business's success. We can identify opportunities and threats </w:t>
      </w:r>
      <w:r w:rsidR="00AC4A06" w:rsidRPr="00C45331">
        <w:rPr>
          <w:rFonts w:ascii="Arial" w:hAnsi="Arial" w:cs="Arial"/>
          <w:color w:val="44546A" w:themeColor="text2"/>
        </w:rPr>
        <w:t>affecting</w:t>
      </w:r>
      <w:r w:rsidRPr="00C45331">
        <w:rPr>
          <w:rFonts w:ascii="Arial" w:hAnsi="Arial" w:cs="Arial"/>
          <w:color w:val="44546A" w:themeColor="text2"/>
        </w:rPr>
        <w:t xml:space="preserve"> their operations by conducting industry analyses. It enables them to make informed decisions about their strategies, such as product development, pricing, marketing, and expansion plans. In addition, industry analysis can help us understand the strengths and weaknesses of our competitors. Aware of market gaps, they can develop innovative products or services that satisfy unmet customer needs. Industry analysis is essential for businesses to stay </w:t>
      </w:r>
      <w:r w:rsidR="00AC4A06" w:rsidRPr="00C45331">
        <w:rPr>
          <w:rFonts w:ascii="Arial" w:hAnsi="Arial" w:cs="Arial"/>
          <w:color w:val="44546A" w:themeColor="text2"/>
        </w:rPr>
        <w:t>current</w:t>
      </w:r>
      <w:r w:rsidRPr="00C45331">
        <w:rPr>
          <w:rFonts w:ascii="Arial" w:hAnsi="Arial" w:cs="Arial"/>
          <w:color w:val="44546A" w:themeColor="text2"/>
        </w:rPr>
        <w:t xml:space="preserve"> on the latest developments and trends in their respective industries. It helps them make informed decisions that drive growth, increase </w:t>
      </w:r>
      <w:r w:rsidR="005B1921" w:rsidRPr="00C45331">
        <w:rPr>
          <w:rFonts w:ascii="Arial" w:hAnsi="Arial" w:cs="Arial"/>
          <w:color w:val="44546A" w:themeColor="text2"/>
        </w:rPr>
        <w:t>profitability,</w:t>
      </w:r>
      <w:r w:rsidRPr="00C45331">
        <w:rPr>
          <w:rFonts w:ascii="Arial" w:hAnsi="Arial" w:cs="Arial"/>
          <w:color w:val="44546A" w:themeColor="text2"/>
        </w:rPr>
        <w:t xml:space="preserve"> and maintain their competitiveness over the long term.</w:t>
      </w:r>
    </w:p>
    <w:p w14:paraId="1AA232BD" w14:textId="362D5C31" w:rsidR="009F6769" w:rsidRPr="00C45331" w:rsidRDefault="00115686" w:rsidP="005F7279">
      <w:pPr>
        <w:pStyle w:val="ListParagraph"/>
        <w:numPr>
          <w:ilvl w:val="2"/>
          <w:numId w:val="37"/>
        </w:numPr>
        <w:spacing w:line="360" w:lineRule="auto"/>
        <w:jc w:val="both"/>
        <w:rPr>
          <w:rFonts w:ascii="Arial" w:hAnsi="Arial" w:cs="Arial"/>
          <w:b/>
          <w:bCs/>
          <w:color w:val="44546A" w:themeColor="text2"/>
          <w:u w:val="single"/>
        </w:rPr>
      </w:pPr>
      <w:r w:rsidRPr="00C45331">
        <w:rPr>
          <w:rFonts w:ascii="Arial" w:hAnsi="Arial" w:cs="Arial"/>
          <w:b/>
          <w:bCs/>
          <w:color w:val="44546A" w:themeColor="text2"/>
          <w:u w:val="single"/>
        </w:rPr>
        <w:t xml:space="preserve">Application of </w:t>
      </w:r>
      <w:r w:rsidR="009F6769" w:rsidRPr="00C45331">
        <w:rPr>
          <w:rFonts w:ascii="Arial" w:hAnsi="Arial" w:cs="Arial"/>
          <w:b/>
          <w:bCs/>
          <w:color w:val="44546A" w:themeColor="text2"/>
          <w:u w:val="single"/>
        </w:rPr>
        <w:t>Porter</w:t>
      </w:r>
      <w:r w:rsidR="00563973" w:rsidRPr="00C45331">
        <w:rPr>
          <w:rFonts w:ascii="Arial" w:hAnsi="Arial" w:cs="Arial"/>
          <w:b/>
          <w:bCs/>
          <w:color w:val="44546A" w:themeColor="text2"/>
          <w:u w:val="single"/>
        </w:rPr>
        <w:t>'</w:t>
      </w:r>
      <w:r w:rsidR="009F6769" w:rsidRPr="00C45331">
        <w:rPr>
          <w:rFonts w:ascii="Arial" w:hAnsi="Arial" w:cs="Arial"/>
          <w:b/>
          <w:bCs/>
          <w:color w:val="44546A" w:themeColor="text2"/>
          <w:u w:val="single"/>
        </w:rPr>
        <w:t xml:space="preserve">s Five </w:t>
      </w:r>
      <w:r w:rsidR="00563973" w:rsidRPr="00C45331">
        <w:rPr>
          <w:rFonts w:ascii="Arial" w:hAnsi="Arial" w:cs="Arial"/>
          <w:b/>
          <w:bCs/>
          <w:color w:val="44546A" w:themeColor="text2"/>
          <w:u w:val="single"/>
        </w:rPr>
        <w:t>F</w:t>
      </w:r>
      <w:r w:rsidR="009F6769" w:rsidRPr="00C45331">
        <w:rPr>
          <w:rFonts w:ascii="Arial" w:hAnsi="Arial" w:cs="Arial"/>
          <w:b/>
          <w:bCs/>
          <w:color w:val="44546A" w:themeColor="text2"/>
          <w:u w:val="single"/>
        </w:rPr>
        <w:t>orces</w:t>
      </w:r>
      <w:r w:rsidR="00A8302E" w:rsidRPr="00C45331">
        <w:rPr>
          <w:rFonts w:ascii="Arial" w:hAnsi="Arial" w:cs="Arial"/>
          <w:b/>
          <w:bCs/>
          <w:color w:val="44546A" w:themeColor="text2"/>
          <w:u w:val="single"/>
        </w:rPr>
        <w:t xml:space="preserve"> </w:t>
      </w:r>
    </w:p>
    <w:p w14:paraId="7F9173D8" w14:textId="08F1C804" w:rsidR="007C4348" w:rsidRPr="00C45331" w:rsidRDefault="007C4348" w:rsidP="007C4348">
      <w:pPr>
        <w:spacing w:line="360" w:lineRule="auto"/>
        <w:jc w:val="both"/>
        <w:rPr>
          <w:rFonts w:ascii="Arial" w:hAnsi="Arial" w:cs="Arial"/>
          <w:color w:val="44546A" w:themeColor="text2"/>
        </w:rPr>
      </w:pPr>
      <w:r w:rsidRPr="00C45331">
        <w:rPr>
          <w:rFonts w:ascii="Arial" w:hAnsi="Arial" w:cs="Arial"/>
          <w:color w:val="44546A" w:themeColor="text2"/>
        </w:rPr>
        <w:t xml:space="preserve">Porter's Five Forces </w:t>
      </w:r>
      <w:r w:rsidR="00E10FEE" w:rsidRPr="00C45331">
        <w:rPr>
          <w:rFonts w:ascii="Arial" w:hAnsi="Arial" w:cs="Arial"/>
          <w:color w:val="44546A" w:themeColor="text2"/>
        </w:rPr>
        <w:t xml:space="preserve">(1979) </w:t>
      </w:r>
      <w:r w:rsidRPr="00C45331">
        <w:rPr>
          <w:rFonts w:ascii="Arial" w:hAnsi="Arial" w:cs="Arial"/>
          <w:color w:val="44546A" w:themeColor="text2"/>
        </w:rPr>
        <w:t>is a framework for assessing industry competitiveness. Applied to the UK furniture industry, the threat of new entrants is moderate due to low barriers to entry but high capital requirements and access to suppliers and distribution networks. Suppliers' bargaining power is reasonable, but buyers' bargaining power is high due to the great competition. The threat of substitutes and competition is high, which requires differentiation through quality, unique design, and superior customer service.</w:t>
      </w:r>
    </w:p>
    <w:p w14:paraId="10DDB025" w14:textId="6FCC6B3B" w:rsidR="007C4348" w:rsidRPr="00C45331" w:rsidRDefault="007C4348" w:rsidP="007C4348">
      <w:pPr>
        <w:spacing w:line="360" w:lineRule="auto"/>
        <w:jc w:val="both"/>
        <w:rPr>
          <w:rFonts w:ascii="Arial" w:hAnsi="Arial" w:cs="Arial"/>
          <w:color w:val="44546A" w:themeColor="text2"/>
        </w:rPr>
      </w:pPr>
      <w:r w:rsidRPr="00C45331">
        <w:rPr>
          <w:rFonts w:ascii="Arial" w:hAnsi="Arial" w:cs="Arial"/>
          <w:color w:val="44546A" w:themeColor="text2"/>
        </w:rPr>
        <w:lastRenderedPageBreak/>
        <w:t>Furniture Practice Ltd uses rare or unique materials, limited edition collections, or an exceptional customer experience to create a competitive advantage. Reducing costs, focusing on the core business, and improving operational efficiency during the economic crisis increased profits. He maintains constant innovation to stay ahead of the competition. He has achieved untapped competitive advantages by streamlining operations, implementing new technologies, building a solid brand, providing exceptional customer service, and creating a unique selling proposition.</w:t>
      </w:r>
    </w:p>
    <w:p w14:paraId="23BBE401" w14:textId="4FCBA55B" w:rsidR="007C4348" w:rsidRPr="00C45331" w:rsidRDefault="007C4348" w:rsidP="007C4348">
      <w:pPr>
        <w:spacing w:line="360" w:lineRule="auto"/>
        <w:jc w:val="both"/>
        <w:rPr>
          <w:rFonts w:ascii="Arial" w:hAnsi="Arial" w:cs="Arial"/>
          <w:color w:val="44546A" w:themeColor="text2"/>
        </w:rPr>
      </w:pPr>
      <w:r w:rsidRPr="00C45331">
        <w:rPr>
          <w:rFonts w:ascii="Arial" w:hAnsi="Arial" w:cs="Arial"/>
          <w:color w:val="44546A" w:themeColor="text2"/>
        </w:rPr>
        <w:t>The furniture industry is highly competitive, characterized by intense rivalry, a high threat of substitutes, bargaining power of suppliers and customers, and the threat of new entrants. A company must remain innovative and differentiate itself to succeed.</w:t>
      </w:r>
    </w:p>
    <w:p w14:paraId="5082694C" w14:textId="77777777" w:rsidR="00CA5D96" w:rsidRPr="00C45331" w:rsidRDefault="00CA5D96" w:rsidP="00CA5D96">
      <w:pPr>
        <w:spacing w:line="360" w:lineRule="auto"/>
        <w:jc w:val="both"/>
        <w:rPr>
          <w:rFonts w:ascii="Arial" w:hAnsi="Arial" w:cs="Arial"/>
          <w:b/>
          <w:bCs/>
          <w:color w:val="44546A" w:themeColor="text2"/>
        </w:rPr>
      </w:pPr>
      <w:r w:rsidRPr="00C45331">
        <w:rPr>
          <w:rFonts w:ascii="Arial" w:hAnsi="Arial" w:cs="Arial"/>
          <w:b/>
          <w:bCs/>
          <w:color w:val="44546A" w:themeColor="text2"/>
        </w:rPr>
        <w:t xml:space="preserve">1.2.5. </w:t>
      </w:r>
      <w:bookmarkStart w:id="3" w:name="_Hlk133575258"/>
      <w:r w:rsidRPr="00C45331">
        <w:rPr>
          <w:rFonts w:ascii="Arial" w:hAnsi="Arial" w:cs="Arial"/>
          <w:b/>
          <w:bCs/>
          <w:color w:val="44546A" w:themeColor="text2"/>
          <w:u w:val="single"/>
        </w:rPr>
        <w:t>Strategic analysis</w:t>
      </w:r>
      <w:bookmarkEnd w:id="3"/>
    </w:p>
    <w:p w14:paraId="360E6200" w14:textId="4872CCFE" w:rsidR="00CA5D96" w:rsidRPr="00C45331" w:rsidRDefault="00CA5D96" w:rsidP="00CA5D96">
      <w:pPr>
        <w:spacing w:line="360" w:lineRule="auto"/>
        <w:jc w:val="both"/>
        <w:rPr>
          <w:rFonts w:ascii="Arial" w:hAnsi="Arial" w:cs="Arial"/>
          <w:color w:val="44546A" w:themeColor="text2"/>
        </w:rPr>
      </w:pPr>
      <w:r w:rsidRPr="00C45331">
        <w:rPr>
          <w:rFonts w:ascii="Arial" w:hAnsi="Arial" w:cs="Arial"/>
          <w:color w:val="44546A" w:themeColor="text2"/>
        </w:rPr>
        <w:t>According to Barley and Hersley (2018), strategy and strategy management use different analytical tools. The first step of strategic management is the formation of strategic intent. Based on these, the organization's long-term strategic goals are determined. The image of the Company can be briefly described</w:t>
      </w:r>
      <w:r w:rsidR="00E10FEE" w:rsidRPr="00C45331">
        <w:rPr>
          <w:rFonts w:ascii="Arial" w:hAnsi="Arial" w:cs="Arial"/>
          <w:color w:val="44546A" w:themeColor="text2"/>
        </w:rPr>
        <w:t>. A</w:t>
      </w:r>
      <w:r w:rsidRPr="00C45331">
        <w:rPr>
          <w:rFonts w:ascii="Arial" w:hAnsi="Arial" w:cs="Arial"/>
          <w:color w:val="44546A" w:themeColor="text2"/>
        </w:rPr>
        <w:t>ccording to Fotr, Vacík, Souček, Špaček, and Hájek (2012), this is the description of the time-limited form into which the Company intends to transform itself by the end of the planned period. The vision is an attractive representation of the Company in the distant future.</w:t>
      </w:r>
      <w:r w:rsidR="00E10FEE" w:rsidRPr="00C45331">
        <w:rPr>
          <w:rFonts w:ascii="Arial" w:hAnsi="Arial" w:cs="Arial"/>
          <w:color w:val="44546A" w:themeColor="text2"/>
        </w:rPr>
        <w:t xml:space="preserve"> Strategic management's importance is to achieve a competitive advantage for an organization. The Company should </w:t>
      </w:r>
      <w:r w:rsidR="005F6A94" w:rsidRPr="00C45331">
        <w:rPr>
          <w:rFonts w:ascii="Arial" w:hAnsi="Arial" w:cs="Arial"/>
          <w:color w:val="44546A" w:themeColor="text2"/>
        </w:rPr>
        <w:t>analyse</w:t>
      </w:r>
      <w:r w:rsidR="00E10FEE" w:rsidRPr="00C45331">
        <w:rPr>
          <w:rFonts w:ascii="Arial" w:hAnsi="Arial" w:cs="Arial"/>
          <w:color w:val="44546A" w:themeColor="text2"/>
        </w:rPr>
        <w:t xml:space="preserve"> internal and external factors through tools like SWOT analysis, aligning internal capabilities with the external environment, and developing a strategic plan to achieve long-term goals. A competitive advantage can be achieved by offering economic value, having a competent team, offering customizable and eco-friendly products, and providing a hassle-free shopping experience. Regular evaluation of performance and adjustments to the strategic plan are also essential. The article uses Furniture Practice Ltd as an example to illustrate these concepts.</w:t>
      </w:r>
    </w:p>
    <w:p w14:paraId="27E8CA70" w14:textId="421B1BF6" w:rsidR="00615F35" w:rsidRPr="00C45331" w:rsidRDefault="005F7279" w:rsidP="005F7279">
      <w:pPr>
        <w:pStyle w:val="ListParagraph"/>
        <w:numPr>
          <w:ilvl w:val="1"/>
          <w:numId w:val="37"/>
        </w:numPr>
        <w:spacing w:line="360" w:lineRule="auto"/>
        <w:jc w:val="both"/>
        <w:rPr>
          <w:rFonts w:ascii="Arial" w:hAnsi="Arial" w:cs="Arial"/>
          <w:b/>
          <w:bCs/>
          <w:color w:val="44546A" w:themeColor="text2"/>
          <w:kern w:val="0"/>
          <w:u w:val="single"/>
          <w14:ligatures w14:val="none"/>
        </w:rPr>
      </w:pPr>
      <w:r w:rsidRPr="00C45331">
        <w:rPr>
          <w:rFonts w:ascii="Arial" w:hAnsi="Arial" w:cs="Arial"/>
          <w:b/>
          <w:bCs/>
          <w:color w:val="44546A" w:themeColor="text2"/>
          <w:kern w:val="0"/>
          <w:u w:val="single"/>
          <w14:ligatures w14:val="none"/>
        </w:rPr>
        <w:t xml:space="preserve">Summary: </w:t>
      </w:r>
      <w:r w:rsidR="00115686" w:rsidRPr="00C45331">
        <w:rPr>
          <w:rFonts w:ascii="Arial" w:hAnsi="Arial" w:cs="Arial"/>
          <w:b/>
          <w:bCs/>
          <w:color w:val="44546A" w:themeColor="text2"/>
          <w:kern w:val="0"/>
          <w:u w:val="single"/>
          <w14:ligatures w14:val="none"/>
        </w:rPr>
        <w:t xml:space="preserve">Application of </w:t>
      </w:r>
      <w:r w:rsidR="00615F35" w:rsidRPr="00C45331">
        <w:rPr>
          <w:rFonts w:ascii="Arial" w:hAnsi="Arial" w:cs="Arial"/>
          <w:b/>
          <w:bCs/>
          <w:color w:val="44546A" w:themeColor="text2"/>
          <w:kern w:val="0"/>
          <w:u w:val="single"/>
          <w14:ligatures w14:val="none"/>
        </w:rPr>
        <w:t xml:space="preserve">SWOT </w:t>
      </w:r>
      <w:r w:rsidRPr="00C45331">
        <w:rPr>
          <w:rFonts w:ascii="Arial" w:hAnsi="Arial" w:cs="Arial"/>
          <w:b/>
          <w:bCs/>
          <w:color w:val="44546A" w:themeColor="text2"/>
          <w:kern w:val="0"/>
          <w:u w:val="single"/>
          <w14:ligatures w14:val="none"/>
        </w:rPr>
        <w:t>A</w:t>
      </w:r>
      <w:r w:rsidR="00615F35" w:rsidRPr="00C45331">
        <w:rPr>
          <w:rFonts w:ascii="Arial" w:hAnsi="Arial" w:cs="Arial"/>
          <w:b/>
          <w:bCs/>
          <w:color w:val="44546A" w:themeColor="text2"/>
          <w:kern w:val="0"/>
          <w:u w:val="single"/>
          <w14:ligatures w14:val="none"/>
        </w:rPr>
        <w:t xml:space="preserve">nalysis </w:t>
      </w:r>
    </w:p>
    <w:p w14:paraId="0A37EF42" w14:textId="1C3AC3D0" w:rsidR="00615F35" w:rsidRPr="00C45331" w:rsidRDefault="00615F35" w:rsidP="001951DE">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A SWOT analysis is a strategic tool to evaluate a business or organization's internal strengths and weaknesses and external opportunities and threats. SWOT analysis cannot be attributed to anyone as it has been used and adapted by various scholars and practitioners. However, the earliest mentions of SWOT analysis can be traced back to the work of Albert Humphrey, who was a management consultant and professor at the Stanford Research Institute in the 1960s and 1970s. Humphrey is credited with developing the "SWOT analysis" concept to evaluate corporate planning and decision-making</w:t>
      </w:r>
      <w:r w:rsidR="00CA5D96" w:rsidRPr="00C45331">
        <w:rPr>
          <w:rFonts w:ascii="Arial" w:hAnsi="Arial" w:cs="Arial"/>
          <w:color w:val="44546A" w:themeColor="text2"/>
          <w:kern w:val="0"/>
          <w14:ligatures w14:val="none"/>
        </w:rPr>
        <w:t>.</w:t>
      </w:r>
    </w:p>
    <w:tbl>
      <w:tblPr>
        <w:tblStyle w:val="TableGrid"/>
        <w:tblW w:w="0" w:type="auto"/>
        <w:tblLook w:val="04A0" w:firstRow="1" w:lastRow="0" w:firstColumn="1" w:lastColumn="0" w:noHBand="0" w:noVBand="1"/>
      </w:tblPr>
      <w:tblGrid>
        <w:gridCol w:w="4667"/>
        <w:gridCol w:w="4667"/>
      </w:tblGrid>
      <w:tr w:rsidR="00C45331" w:rsidRPr="00C45331" w14:paraId="166A40FA" w14:textId="77777777" w:rsidTr="007C4348">
        <w:trPr>
          <w:trHeight w:val="133"/>
        </w:trPr>
        <w:tc>
          <w:tcPr>
            <w:tcW w:w="4667" w:type="dxa"/>
          </w:tcPr>
          <w:p w14:paraId="1EE270C0" w14:textId="56749F41" w:rsidR="00615F35" w:rsidRPr="00C45331" w:rsidRDefault="00615F35" w:rsidP="00645D67">
            <w:pPr>
              <w:spacing w:line="360" w:lineRule="auto"/>
              <w:jc w:val="both"/>
              <w:rPr>
                <w:rFonts w:ascii="Arial" w:hAnsi="Arial" w:cs="Arial"/>
                <w:color w:val="44546A" w:themeColor="text2"/>
              </w:rPr>
            </w:pPr>
            <w:r w:rsidRPr="00C45331">
              <w:rPr>
                <w:rFonts w:ascii="Arial" w:hAnsi="Arial" w:cs="Arial"/>
                <w:b/>
                <w:bCs/>
                <w:color w:val="44546A" w:themeColor="text2"/>
              </w:rPr>
              <w:lastRenderedPageBreak/>
              <w:t>Strengths</w:t>
            </w:r>
            <w:r w:rsidR="00642F44" w:rsidRPr="00C45331">
              <w:rPr>
                <w:rFonts w:ascii="Arial" w:hAnsi="Arial" w:cs="Arial"/>
                <w:b/>
                <w:bCs/>
                <w:color w:val="44546A" w:themeColor="text2"/>
              </w:rPr>
              <w:t>:</w:t>
            </w:r>
            <w:r w:rsidR="00642F44" w:rsidRPr="00C45331">
              <w:rPr>
                <w:rFonts w:ascii="Arial" w:hAnsi="Arial" w:cs="Arial"/>
                <w:color w:val="44546A" w:themeColor="text2"/>
              </w:rPr>
              <w:t xml:space="preserve"> </w:t>
            </w:r>
            <w:r w:rsidR="00645D67" w:rsidRPr="00C45331">
              <w:rPr>
                <w:rFonts w:ascii="Arial" w:hAnsi="Arial" w:cs="Arial"/>
                <w:color w:val="44546A" w:themeColor="text2"/>
              </w:rPr>
              <w:t>The Company is known for producing quality furniture that meets customer needs and preferences. They have a loyal customer base and a strong brand reputation in the local community. The Company's workforce is skilled and experienced in producing unique furniture products, and they have a culture that promotes creativity, innovation, and customer focus. Sustainable and environmentally friendly materials, such as bamboo, reclaimed wood, recycled plastic, cork, hemp, bioplastics, wool, and recycled metal, can appeal to environmentally conscious customers.</w:t>
            </w:r>
          </w:p>
        </w:tc>
        <w:tc>
          <w:tcPr>
            <w:tcW w:w="4667" w:type="dxa"/>
          </w:tcPr>
          <w:p w14:paraId="700C2AF2" w14:textId="77777777" w:rsidR="00615F35" w:rsidRPr="00C45331" w:rsidRDefault="00615F35" w:rsidP="001951DE">
            <w:pPr>
              <w:spacing w:line="360" w:lineRule="auto"/>
              <w:jc w:val="both"/>
              <w:rPr>
                <w:rFonts w:ascii="Arial" w:hAnsi="Arial" w:cs="Arial"/>
                <w:color w:val="44546A" w:themeColor="text2"/>
              </w:rPr>
            </w:pPr>
            <w:r w:rsidRPr="00C45331">
              <w:rPr>
                <w:rFonts w:ascii="Arial" w:hAnsi="Arial" w:cs="Arial"/>
                <w:b/>
                <w:bCs/>
                <w:color w:val="44546A" w:themeColor="text2"/>
              </w:rPr>
              <w:t>Weaknesses:</w:t>
            </w:r>
            <w:r w:rsidRPr="00C45331">
              <w:rPr>
                <w:rFonts w:ascii="Arial" w:hAnsi="Arial" w:cs="Arial"/>
                <w:color w:val="44546A" w:themeColor="text2"/>
              </w:rPr>
              <w:t xml:space="preserve">  The Company is small and may lack the financial resources and economies of scale of larger competitors. A company's focus on customization and unique design may limit its ability to produce standardized products at a lower cost. A company's limited marketing and distribution channels may limit its ability to reach a wider audience.</w:t>
            </w:r>
          </w:p>
          <w:p w14:paraId="1DD884C5" w14:textId="77777777" w:rsidR="00615F35" w:rsidRPr="00C45331" w:rsidRDefault="00615F35" w:rsidP="001951DE">
            <w:pPr>
              <w:spacing w:line="360" w:lineRule="auto"/>
              <w:jc w:val="both"/>
              <w:rPr>
                <w:rFonts w:ascii="Arial" w:hAnsi="Arial" w:cs="Arial"/>
                <w:color w:val="44546A" w:themeColor="text2"/>
              </w:rPr>
            </w:pPr>
          </w:p>
        </w:tc>
      </w:tr>
      <w:tr w:rsidR="00C45331" w:rsidRPr="00C45331" w14:paraId="3977414D" w14:textId="77777777" w:rsidTr="007C4348">
        <w:trPr>
          <w:trHeight w:val="4220"/>
        </w:trPr>
        <w:tc>
          <w:tcPr>
            <w:tcW w:w="4667" w:type="dxa"/>
          </w:tcPr>
          <w:p w14:paraId="054B6E45" w14:textId="77777777" w:rsidR="00615F35" w:rsidRPr="00C45331" w:rsidRDefault="00615F35" w:rsidP="001951DE">
            <w:pPr>
              <w:spacing w:line="360" w:lineRule="auto"/>
              <w:jc w:val="both"/>
              <w:rPr>
                <w:rFonts w:ascii="Arial" w:hAnsi="Arial" w:cs="Arial"/>
                <w:color w:val="44546A" w:themeColor="text2"/>
              </w:rPr>
            </w:pPr>
            <w:r w:rsidRPr="00C45331">
              <w:rPr>
                <w:rFonts w:ascii="Arial" w:hAnsi="Arial" w:cs="Arial"/>
                <w:b/>
                <w:bCs/>
                <w:color w:val="44546A" w:themeColor="text2"/>
              </w:rPr>
              <w:t>Threats:</w:t>
            </w:r>
            <w:r w:rsidRPr="00C45331">
              <w:rPr>
                <w:rFonts w:ascii="Arial" w:hAnsi="Arial" w:cs="Arial"/>
                <w:color w:val="44546A" w:themeColor="text2"/>
              </w:rPr>
              <w:t xml:space="preserve"> Economic downturns or recessions can decrease consumer spending on non-essential items such as furniture, negatively affecting the Company's sales. Competition from more prominent or established furniture companies can limit the Company's market share and profitability. Government regulations and policies related to the furniture industry, such as safety regulations, tariffs, and taxes, can affect a company's operations and profitability.</w:t>
            </w:r>
          </w:p>
          <w:p w14:paraId="39D2106D" w14:textId="77777777" w:rsidR="00615F35" w:rsidRPr="00C45331" w:rsidRDefault="00615F35" w:rsidP="001951DE">
            <w:pPr>
              <w:spacing w:line="360" w:lineRule="auto"/>
              <w:jc w:val="both"/>
              <w:rPr>
                <w:rFonts w:ascii="Arial" w:hAnsi="Arial" w:cs="Arial"/>
                <w:color w:val="44546A" w:themeColor="text2"/>
              </w:rPr>
            </w:pPr>
          </w:p>
        </w:tc>
        <w:tc>
          <w:tcPr>
            <w:tcW w:w="4667" w:type="dxa"/>
          </w:tcPr>
          <w:p w14:paraId="372249D5" w14:textId="260F5287" w:rsidR="00615F35" w:rsidRPr="00C45331" w:rsidRDefault="00642F44" w:rsidP="00642F44">
            <w:pPr>
              <w:spacing w:line="360" w:lineRule="auto"/>
              <w:jc w:val="both"/>
              <w:rPr>
                <w:rFonts w:ascii="Arial" w:hAnsi="Arial" w:cs="Arial"/>
                <w:color w:val="44546A" w:themeColor="text2"/>
              </w:rPr>
            </w:pPr>
            <w:r w:rsidRPr="00C45331">
              <w:rPr>
                <w:rFonts w:ascii="Arial" w:hAnsi="Arial" w:cs="Arial"/>
                <w:b/>
                <w:bCs/>
                <w:color w:val="44546A" w:themeColor="text2"/>
              </w:rPr>
              <w:t>Opportunitie</w:t>
            </w:r>
            <w:r w:rsidR="00645D67" w:rsidRPr="00C45331">
              <w:rPr>
                <w:rFonts w:ascii="Arial" w:hAnsi="Arial" w:cs="Arial"/>
                <w:b/>
                <w:bCs/>
                <w:color w:val="44546A" w:themeColor="text2"/>
              </w:rPr>
              <w:t>s</w:t>
            </w:r>
            <w:r w:rsidR="00E10FEE" w:rsidRPr="00C45331">
              <w:rPr>
                <w:rFonts w:ascii="Arial" w:hAnsi="Arial" w:cs="Arial"/>
                <w:color w:val="44546A" w:themeColor="text2"/>
              </w:rPr>
              <w:t>:</w:t>
            </w:r>
            <w:r w:rsidR="00645D67" w:rsidRPr="00C45331">
              <w:rPr>
                <w:rFonts w:ascii="Arial" w:hAnsi="Arial" w:cs="Arial"/>
                <w:color w:val="44546A" w:themeColor="text2"/>
              </w:rPr>
              <w:t xml:space="preserve"> exist for a furniture company to differentiate itself from competitors and improve its products and processes. These opportunities include incorporating environmental friendliness and sustainability, utilizing technological advancements in furniture design and production, exploring partnerships or collaborations, and implementing various technologies such as AR, CAD, 3D printing, innovative furniture, IoT, VR, and nanotechnology. Sustainable materials are becoming more feasible and can contribute to eco-friendly and durable furniture production.</w:t>
            </w:r>
          </w:p>
        </w:tc>
      </w:tr>
    </w:tbl>
    <w:p w14:paraId="672DAC46" w14:textId="452230DE" w:rsidR="00D955C5"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 xml:space="preserve">A SWOT analysis provides a valuable starting point for developing strategies that take advantage of the Company's strengths and opportunities while addressing its weaknesses and threats. When designing the strategic plan, it would be essential to </w:t>
      </w:r>
      <w:r w:rsidR="00645D67" w:rsidRPr="00C45331">
        <w:rPr>
          <w:rFonts w:ascii="Arial" w:hAnsi="Arial" w:cs="Arial"/>
          <w:color w:val="44546A" w:themeColor="text2"/>
          <w:kern w:val="0"/>
          <w14:ligatures w14:val="none"/>
        </w:rPr>
        <w:t>consider these factors</w:t>
      </w:r>
      <w:r w:rsidR="007A4004" w:rsidRPr="00C45331">
        <w:rPr>
          <w:rFonts w:ascii="Arial" w:hAnsi="Arial" w:cs="Arial"/>
          <w:color w:val="44546A" w:themeColor="text2"/>
          <w:kern w:val="0"/>
          <w14:ligatures w14:val="none"/>
        </w:rPr>
        <w:t>.</w:t>
      </w:r>
    </w:p>
    <w:p w14:paraId="632DBB2A" w14:textId="21F0455E" w:rsidR="005F7279" w:rsidRPr="00C45331" w:rsidRDefault="005F7279" w:rsidP="005F7279">
      <w:pPr>
        <w:pStyle w:val="ListParagraph"/>
        <w:numPr>
          <w:ilvl w:val="0"/>
          <w:numId w:val="37"/>
        </w:numPr>
        <w:spacing w:line="360" w:lineRule="auto"/>
        <w:jc w:val="both"/>
        <w:rPr>
          <w:rFonts w:ascii="Arial" w:hAnsi="Arial" w:cs="Arial"/>
          <w:b/>
          <w:bCs/>
          <w:color w:val="44546A" w:themeColor="text2"/>
          <w:kern w:val="0"/>
          <w:u w:val="single"/>
          <w14:ligatures w14:val="none"/>
        </w:rPr>
      </w:pPr>
      <w:r w:rsidRPr="00C45331">
        <w:rPr>
          <w:rFonts w:ascii="Arial" w:hAnsi="Arial" w:cs="Arial"/>
          <w:b/>
          <w:bCs/>
          <w:color w:val="44546A" w:themeColor="text2"/>
          <w:u w:val="single"/>
          <w:lang w:val="en-US"/>
        </w:rPr>
        <w:t xml:space="preserve">Based on the research, possible strategies in the future for </w:t>
      </w:r>
      <w:r w:rsidR="005F6A94">
        <w:rPr>
          <w:rFonts w:ascii="Arial" w:hAnsi="Arial" w:cs="Arial"/>
          <w:b/>
          <w:bCs/>
          <w:color w:val="44546A" w:themeColor="text2"/>
          <w:u w:val="single"/>
          <w:lang w:val="en-US"/>
        </w:rPr>
        <w:t xml:space="preserve">Furniture Practice Ltd </w:t>
      </w:r>
    </w:p>
    <w:p w14:paraId="03E8E99B" w14:textId="0B6167C9"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lastRenderedPageBreak/>
        <w:t>Based on the information provided</w:t>
      </w:r>
      <w:r w:rsidR="00E10FEE" w:rsidRPr="00C45331">
        <w:rPr>
          <w:rFonts w:ascii="Arial" w:hAnsi="Arial" w:cs="Arial"/>
          <w:color w:val="44546A" w:themeColor="text2"/>
          <w:kern w:val="0"/>
          <w14:ligatures w14:val="none"/>
        </w:rPr>
        <w:t xml:space="preserve"> on the website</w:t>
      </w:r>
      <w:r w:rsidRPr="00C45331">
        <w:rPr>
          <w:rFonts w:ascii="Arial" w:hAnsi="Arial" w:cs="Arial"/>
          <w:color w:val="44546A" w:themeColor="text2"/>
          <w:kern w:val="0"/>
          <w14:ligatures w14:val="none"/>
        </w:rPr>
        <w:t xml:space="preserve">, </w:t>
      </w:r>
      <w:r w:rsidR="009E1302" w:rsidRPr="00C45331">
        <w:rPr>
          <w:rFonts w:ascii="Arial" w:hAnsi="Arial" w:cs="Arial"/>
          <w:color w:val="44546A" w:themeColor="text2"/>
          <w:kern w:val="0"/>
          <w14:ligatures w14:val="none"/>
        </w:rPr>
        <w:t xml:space="preserve">Furniture Practice Ltd.'s core competence is </w:t>
      </w:r>
      <w:r w:rsidR="00645D67" w:rsidRPr="00C45331">
        <w:rPr>
          <w:rFonts w:ascii="Arial" w:hAnsi="Arial" w:cs="Arial"/>
          <w:color w:val="44546A" w:themeColor="text2"/>
          <w:kern w:val="0"/>
          <w14:ligatures w14:val="none"/>
        </w:rPr>
        <w:t>continuously offering</w:t>
      </w:r>
      <w:r w:rsidR="009E1302" w:rsidRPr="00C45331">
        <w:rPr>
          <w:rFonts w:ascii="Arial" w:hAnsi="Arial" w:cs="Arial"/>
          <w:color w:val="44546A" w:themeColor="text2"/>
          <w:kern w:val="0"/>
          <w14:ligatures w14:val="none"/>
        </w:rPr>
        <w:t xml:space="preserve"> affordable and quality furniture through long-term supplier relationships and</w:t>
      </w:r>
      <w:r w:rsidRPr="00C45331">
        <w:rPr>
          <w:rFonts w:ascii="Arial" w:hAnsi="Arial" w:cs="Arial"/>
          <w:color w:val="44546A" w:themeColor="text2"/>
          <w:kern w:val="0"/>
          <w14:ligatures w14:val="none"/>
        </w:rPr>
        <w:t xml:space="preserve"> a skilled and experienced workforce that can produce unique furniture products. The Company's focus on sustainability and environmentally friendly materials can also be considered a core competency that may represent a growing </w:t>
      </w:r>
      <w:r w:rsidR="00D077B7" w:rsidRPr="00C45331">
        <w:rPr>
          <w:rFonts w:ascii="Arial" w:hAnsi="Arial" w:cs="Arial"/>
          <w:color w:val="44546A" w:themeColor="text2"/>
          <w:kern w:val="0"/>
          <w14:ligatures w14:val="none"/>
        </w:rPr>
        <w:t>consumer trend</w:t>
      </w:r>
      <w:r w:rsidRPr="00C45331">
        <w:rPr>
          <w:rFonts w:ascii="Arial" w:hAnsi="Arial" w:cs="Arial"/>
          <w:color w:val="44546A" w:themeColor="text2"/>
          <w:kern w:val="0"/>
          <w14:ligatures w14:val="none"/>
        </w:rPr>
        <w:t>. Based on the analysis, one of the possible shortcomings of the future strategy is the Company's limited marketing and distribution channels.</w:t>
      </w:r>
    </w:p>
    <w:p w14:paraId="19568620" w14:textId="77777777"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The Company may need to consider expanding its marketing efforts to reach a wider audience and explore new sales channels to increase its market share and profitability. In addition, while the Company's focus on customization and custom design is a strength, it may also limit the ability to produce standardized products at a lower cost, which may be a barrier to entry for some customers. To address this, the Company must explore how to balance customization with the ability to produce standardized products more efficiently.</w:t>
      </w:r>
    </w:p>
    <w:p w14:paraId="2764308D" w14:textId="27D01D32"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Another possible strategy to improve the Company's ability to achieve its mission and vision is to invest in research and development to create innovative, sustainable, and environmentally friendly furniture products. It differentiates the Company from competitors and refers to the growing trend of making consumer goods more environmentally friendly. In addition, the Company may consider exploring partnerships or collaborations with complementary businesses to expand its offerings or reach new markets.</w:t>
      </w:r>
    </w:p>
    <w:p w14:paraId="49A74A2B" w14:textId="77777777"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The risk and return of the two previously mentioned strategies are as follows:</w:t>
      </w:r>
    </w:p>
    <w:p w14:paraId="31D52F42" w14:textId="1A284861" w:rsidR="00CA5D96" w:rsidRPr="00C45331" w:rsidRDefault="00CA5D96" w:rsidP="00CA5D96">
      <w:pPr>
        <w:pStyle w:val="ListParagraph"/>
        <w:numPr>
          <w:ilvl w:val="1"/>
          <w:numId w:val="37"/>
        </w:numPr>
        <w:spacing w:line="360" w:lineRule="auto"/>
        <w:jc w:val="both"/>
        <w:rPr>
          <w:rFonts w:ascii="Arial" w:hAnsi="Arial" w:cs="Arial"/>
          <w:b/>
          <w:bCs/>
          <w:color w:val="44546A" w:themeColor="text2"/>
          <w:kern w:val="0"/>
          <w:u w:val="single"/>
          <w14:ligatures w14:val="none"/>
        </w:rPr>
      </w:pPr>
      <w:r w:rsidRPr="00C45331">
        <w:rPr>
          <w:rFonts w:ascii="Arial" w:hAnsi="Arial" w:cs="Arial"/>
          <w:b/>
          <w:bCs/>
          <w:color w:val="44546A" w:themeColor="text2"/>
          <w:kern w:val="0"/>
          <w14:ligatures w14:val="none"/>
        </w:rPr>
        <w:t xml:space="preserve"> </w:t>
      </w:r>
      <w:r w:rsidRPr="00C45331">
        <w:rPr>
          <w:rFonts w:ascii="Arial" w:hAnsi="Arial" w:cs="Arial"/>
          <w:b/>
          <w:bCs/>
          <w:color w:val="44546A" w:themeColor="text2"/>
          <w:kern w:val="0"/>
          <w:u w:val="single"/>
          <w14:ligatures w14:val="none"/>
        </w:rPr>
        <w:t>Diversification strategy</w:t>
      </w:r>
      <w:r w:rsidR="00E26023" w:rsidRPr="00C45331">
        <w:rPr>
          <w:rFonts w:ascii="Arial" w:hAnsi="Arial" w:cs="Arial"/>
          <w:b/>
          <w:bCs/>
          <w:color w:val="44546A" w:themeColor="text2"/>
          <w:kern w:val="0"/>
          <w:u w:val="single"/>
          <w14:ligatures w14:val="none"/>
        </w:rPr>
        <w:t xml:space="preserve"> ANSOFF </w:t>
      </w:r>
      <w:r w:rsidR="009E3044" w:rsidRPr="00C45331">
        <w:rPr>
          <w:rFonts w:ascii="Arial" w:hAnsi="Arial" w:cs="Arial"/>
          <w:b/>
          <w:bCs/>
          <w:color w:val="44546A" w:themeColor="text2"/>
          <w:kern w:val="0"/>
          <w:u w:val="single"/>
          <w:lang w:val="en-US"/>
          <w14:ligatures w14:val="none"/>
        </w:rPr>
        <w:t>matrix</w:t>
      </w:r>
    </w:p>
    <w:p w14:paraId="7F586CC6" w14:textId="47A4F41A" w:rsidR="00D077B7" w:rsidRPr="00C45331" w:rsidRDefault="00D077B7"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A diversification strategy is a business strategy that involves expanding a company's operations into new markets or products that are different from its existing ones. This strategy aims to reduce the risk of relying on a single call or product and create new growth and profitability opportunities. There are two types of diversification strategies: related diversification and unrelated diversification.</w:t>
      </w:r>
    </w:p>
    <w:p w14:paraId="6AF24C5A" w14:textId="2B32BB36" w:rsidR="00D077B7" w:rsidRPr="00C45331" w:rsidRDefault="00D077B7"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 xml:space="preserve">Related diversification involves expanding into markets or products related to the Company's operations. For example, a furniture company may diversify by expanding its product line to include home decor or office furniture. This type of diversification allows the Company to leverage its existing capabilities and resources. Unrelated diversification involves expanding into markets or products unrelated to the Company's operations. For example, a furniture company may </w:t>
      </w:r>
      <w:r w:rsidRPr="00C45331">
        <w:rPr>
          <w:rFonts w:ascii="Arial" w:hAnsi="Arial" w:cs="Arial"/>
          <w:color w:val="44546A" w:themeColor="text2"/>
          <w:kern w:val="0"/>
          <w14:ligatures w14:val="none"/>
        </w:rPr>
        <w:lastRenderedPageBreak/>
        <w:t>diversify by entering the healthcare or hospitality industry. This type of diversification requires the Company to acquire new capabilities and resources and is often riskier than related diversification. A diversification strategy can help a company to increase its market share, reduce risk, and capitalize on new opportunities. However, it requires careful planning and execution to ensure success.</w:t>
      </w:r>
    </w:p>
    <w:p w14:paraId="5A82D66F" w14:textId="00511AFE"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 Risk</w:t>
      </w:r>
      <w:r w:rsidR="00D077B7" w:rsidRPr="00C45331">
        <w:rPr>
          <w:rFonts w:ascii="Arial" w:hAnsi="Arial" w:cs="Arial"/>
          <w:color w:val="44546A" w:themeColor="text2"/>
          <w:kern w:val="0"/>
          <w14:ligatures w14:val="none"/>
        </w:rPr>
        <w:t>s</w:t>
      </w:r>
      <w:r w:rsidRPr="00C45331">
        <w:rPr>
          <w:rFonts w:ascii="Arial" w:hAnsi="Arial" w:cs="Arial"/>
          <w:color w:val="44546A" w:themeColor="text2"/>
          <w:kern w:val="0"/>
          <w14:ligatures w14:val="none"/>
        </w:rPr>
        <w:t>: A diversification strategy involves investing resources and expanding operations into new markets or products, which can be risky if new ventures do not perform well. There is a risk of losing investments and funds and a negative impact on the Company's reputation and financial stability.</w:t>
      </w:r>
    </w:p>
    <w:p w14:paraId="686949E5" w14:textId="5D6DB37B" w:rsidR="00CA5D96" w:rsidRPr="00C45331" w:rsidRDefault="00CA5D96" w:rsidP="00CA5D96">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 Return</w:t>
      </w:r>
      <w:r w:rsidR="00D077B7" w:rsidRPr="00C45331">
        <w:rPr>
          <w:rFonts w:ascii="Arial" w:hAnsi="Arial" w:cs="Arial"/>
          <w:color w:val="44546A" w:themeColor="text2"/>
          <w:kern w:val="0"/>
          <w14:ligatures w14:val="none"/>
        </w:rPr>
        <w:t xml:space="preserve"> options</w:t>
      </w:r>
      <w:r w:rsidRPr="00C45331">
        <w:rPr>
          <w:rFonts w:ascii="Arial" w:hAnsi="Arial" w:cs="Arial"/>
          <w:color w:val="44546A" w:themeColor="text2"/>
          <w:kern w:val="0"/>
          <w14:ligatures w14:val="none"/>
        </w:rPr>
        <w:t>: A diversification strategy can increase revenue streams and profits by entering new markets and products. By diversifying its operations, the Company can share the risk in several areas and potentially create new growth opportunities.</w:t>
      </w:r>
    </w:p>
    <w:p w14:paraId="6FFE57C8" w14:textId="64194CD2" w:rsidR="00615F35" w:rsidRPr="00C45331" w:rsidRDefault="005F7279" w:rsidP="00D077B7">
      <w:pPr>
        <w:pStyle w:val="ListParagraph"/>
        <w:numPr>
          <w:ilvl w:val="1"/>
          <w:numId w:val="37"/>
        </w:numPr>
        <w:spacing w:line="360" w:lineRule="auto"/>
        <w:jc w:val="both"/>
        <w:rPr>
          <w:rFonts w:ascii="Arial" w:hAnsi="Arial" w:cs="Arial"/>
          <w:b/>
          <w:bCs/>
          <w:color w:val="44546A" w:themeColor="text2"/>
          <w:kern w:val="0"/>
          <w:u w:val="single"/>
          <w14:ligatures w14:val="none"/>
        </w:rPr>
      </w:pPr>
      <w:bookmarkStart w:id="4" w:name="_Hlk133575450"/>
      <w:r w:rsidRPr="00C45331">
        <w:rPr>
          <w:rFonts w:ascii="Arial" w:hAnsi="Arial" w:cs="Arial"/>
          <w:b/>
          <w:bCs/>
          <w:color w:val="44546A" w:themeColor="text2"/>
          <w:kern w:val="0"/>
          <w:u w:val="single"/>
          <w14:ligatures w14:val="none"/>
        </w:rPr>
        <w:t xml:space="preserve">The SFA </w:t>
      </w:r>
      <w:r w:rsidR="00D077B7" w:rsidRPr="00C45331">
        <w:rPr>
          <w:rFonts w:ascii="Arial" w:hAnsi="Arial" w:cs="Arial"/>
          <w:b/>
          <w:bCs/>
          <w:color w:val="44546A" w:themeColor="text2"/>
          <w:kern w:val="0"/>
          <w:u w:val="single"/>
          <w14:ligatures w14:val="none"/>
        </w:rPr>
        <w:t>F</w:t>
      </w:r>
      <w:r w:rsidRPr="00C45331">
        <w:rPr>
          <w:rFonts w:ascii="Arial" w:hAnsi="Arial" w:cs="Arial"/>
          <w:b/>
          <w:bCs/>
          <w:color w:val="44546A" w:themeColor="text2"/>
          <w:kern w:val="0"/>
          <w:u w:val="single"/>
          <w14:ligatures w14:val="none"/>
        </w:rPr>
        <w:t xml:space="preserve">ramework </w:t>
      </w:r>
      <w:r w:rsidR="00D077B7" w:rsidRPr="00C45331">
        <w:rPr>
          <w:rFonts w:ascii="Arial" w:hAnsi="Arial" w:cs="Arial"/>
          <w:b/>
          <w:bCs/>
          <w:color w:val="44546A" w:themeColor="text2"/>
          <w:kern w:val="0"/>
          <w:u w:val="single"/>
          <w14:ligatures w14:val="none"/>
        </w:rPr>
        <w:t xml:space="preserve">for </w:t>
      </w:r>
      <w:r w:rsidRPr="00C45331">
        <w:rPr>
          <w:rFonts w:ascii="Arial" w:hAnsi="Arial" w:cs="Arial"/>
          <w:b/>
          <w:bCs/>
          <w:color w:val="44546A" w:themeColor="text2"/>
          <w:kern w:val="0"/>
          <w:u w:val="single"/>
          <w14:ligatures w14:val="none"/>
        </w:rPr>
        <w:t>sustainability</w:t>
      </w:r>
      <w:r w:rsidR="00D077B7" w:rsidRPr="00C45331">
        <w:rPr>
          <w:rFonts w:ascii="Arial" w:hAnsi="Arial" w:cs="Arial"/>
          <w:b/>
          <w:bCs/>
          <w:color w:val="44546A" w:themeColor="text2"/>
          <w:kern w:val="0"/>
          <w:u w:val="single"/>
          <w14:ligatures w14:val="none"/>
        </w:rPr>
        <w:t xml:space="preserve"> strategy</w:t>
      </w:r>
    </w:p>
    <w:bookmarkEnd w:id="4"/>
    <w:p w14:paraId="475FA126" w14:textId="76E0A0AB" w:rsidR="00D077B7" w:rsidRPr="00C45331" w:rsidRDefault="00D077B7"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 xml:space="preserve">Sales Force Automation </w:t>
      </w:r>
      <w:r w:rsidR="00E10FEE" w:rsidRPr="00C45331">
        <w:rPr>
          <w:rFonts w:ascii="Arial" w:hAnsi="Arial" w:cs="Arial"/>
          <w:color w:val="44546A" w:themeColor="text2"/>
          <w:kern w:val="0"/>
          <w14:ligatures w14:val="none"/>
        </w:rPr>
        <w:t>(1997) Johnson and Scholes state that one of the prime purposes of strategic analysis is to understand the organization and the environment in which it operates. P</w:t>
      </w:r>
      <w:r w:rsidRPr="00C45331">
        <w:rPr>
          <w:rFonts w:ascii="Arial" w:hAnsi="Arial" w:cs="Arial"/>
          <w:color w:val="44546A" w:themeColor="text2"/>
          <w:kern w:val="0"/>
          <w14:ligatures w14:val="none"/>
        </w:rPr>
        <w:t>rovides automated workflows that create a streamlined sales process for managing business leads, sales forecasts, and team performance. SFA can also be called Salesforce Management.</w:t>
      </w:r>
    </w:p>
    <w:p w14:paraId="3AB6141C" w14:textId="6C617C99" w:rsidR="00D077B7" w:rsidRPr="00C45331" w:rsidRDefault="005F6A94" w:rsidP="00D077B7">
      <w:pPr>
        <w:spacing w:line="360" w:lineRule="auto"/>
        <w:jc w:val="both"/>
        <w:rPr>
          <w:rFonts w:ascii="Arial" w:hAnsi="Arial" w:cs="Arial"/>
          <w:color w:val="44546A" w:themeColor="text2"/>
          <w:kern w:val="0"/>
          <w14:ligatures w14:val="none"/>
        </w:rPr>
      </w:pPr>
      <w:r>
        <w:rPr>
          <w:rFonts w:ascii="Arial" w:hAnsi="Arial" w:cs="Arial"/>
          <w:color w:val="44546A" w:themeColor="text2"/>
          <w:kern w:val="0"/>
          <w14:ligatures w14:val="none"/>
        </w:rPr>
        <w:t>The following SFA frameworks can be applied to Furniture Practice Ltd based on the SWOT analysis</w:t>
      </w:r>
      <w:r w:rsidR="00D077B7" w:rsidRPr="00C45331">
        <w:rPr>
          <w:rFonts w:ascii="Arial" w:hAnsi="Arial" w:cs="Arial"/>
          <w:color w:val="44546A" w:themeColor="text2"/>
          <w:kern w:val="0"/>
          <w14:ligatures w14:val="none"/>
        </w:rPr>
        <w:t>. The Company's strengths can be effectively utilized by providing personalized services and quality products, establishing new relationships, and maintaining close contact with existing ones. Fostering a solid organizational culture that encourages creativity and innovation can lead to developing unique and differentiated products—investing in employee training and development programs to keep the workforce skilled and experienced.</w:t>
      </w:r>
    </w:p>
    <w:p w14:paraId="762E3FD3" w14:textId="2E5E84F0" w:rsidR="00D077B7" w:rsidRPr="00C45331" w:rsidRDefault="00D077B7"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Cost-saving measures are recommended, such as optimizing production processes and sourcing materials from cost-effective suppliers without compromising product quality. Partnerships with suppliers, distributors, and distribution channels can be expanded to reach a wider audience. Technology is used to streamline processes and reduce costs, while the Company focuses on customization and unique design.</w:t>
      </w:r>
    </w:p>
    <w:p w14:paraId="675370B2" w14:textId="6F53986C" w:rsidR="00D077B7" w:rsidRPr="00C45331" w:rsidRDefault="00D077B7"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 xml:space="preserve">The Company's most apparent opportunities are developing and promoting environmentally friendly and sustainable furniture products to attract environmentally conscious customers - even 3D printing to create prototypes and quickly and efficiently customize designs. To expand the </w:t>
      </w:r>
      <w:r w:rsidRPr="00C45331">
        <w:rPr>
          <w:rFonts w:ascii="Arial" w:hAnsi="Arial" w:cs="Arial"/>
          <w:color w:val="44546A" w:themeColor="text2"/>
          <w:kern w:val="0"/>
          <w14:ligatures w14:val="none"/>
        </w:rPr>
        <w:lastRenderedPageBreak/>
        <w:t>product range and reach new markets, the Company can partner with complementary businesses, such as interior designers or home furnishing stores.</w:t>
      </w:r>
    </w:p>
    <w:p w14:paraId="21B2379B" w14:textId="77777777" w:rsidR="00D077B7" w:rsidRPr="00C45331" w:rsidRDefault="00D077B7"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Risks:</w:t>
      </w:r>
    </w:p>
    <w:p w14:paraId="00A9D5EB" w14:textId="7194DA90" w:rsidR="00D077B7" w:rsidRPr="00C45331" w:rsidRDefault="005F6A94"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First</w:t>
      </w:r>
      <w:r w:rsidR="007A4004" w:rsidRPr="00C45331">
        <w:rPr>
          <w:rFonts w:ascii="Arial" w:hAnsi="Arial" w:cs="Arial"/>
          <w:color w:val="44546A" w:themeColor="text2"/>
          <w:kern w:val="0"/>
          <w14:ligatures w14:val="none"/>
        </w:rPr>
        <w:t>,</w:t>
      </w:r>
      <w:r w:rsidR="00D077B7" w:rsidRPr="00C45331">
        <w:rPr>
          <w:rFonts w:ascii="Arial" w:hAnsi="Arial" w:cs="Arial"/>
          <w:color w:val="44546A" w:themeColor="text2"/>
          <w:kern w:val="0"/>
          <w14:ligatures w14:val="none"/>
        </w:rPr>
        <w:t xml:space="preserve"> risk of resistance to change from the sales team, who may not want to adopt new software and automated workflows, and implementation costs of SFA software and employee training programs.</w:t>
      </w:r>
      <w:r w:rsidR="007A4004" w:rsidRPr="00C45331">
        <w:rPr>
          <w:rFonts w:ascii="Arial" w:hAnsi="Arial" w:cs="Arial"/>
          <w:color w:val="44546A" w:themeColor="text2"/>
          <w:kern w:val="0"/>
          <w14:ligatures w14:val="none"/>
        </w:rPr>
        <w:t xml:space="preserve"> Dependency</w:t>
      </w:r>
      <w:r w:rsidR="00D077B7" w:rsidRPr="00C45331">
        <w:rPr>
          <w:rFonts w:ascii="Arial" w:hAnsi="Arial" w:cs="Arial"/>
          <w:color w:val="44546A" w:themeColor="text2"/>
          <w:kern w:val="0"/>
          <w14:ligatures w14:val="none"/>
        </w:rPr>
        <w:t xml:space="preserve"> on technology may be subject to failure, hacking, or other security breaches.</w:t>
      </w:r>
    </w:p>
    <w:p w14:paraId="0E804914" w14:textId="6F5A9F61" w:rsidR="00D077B7" w:rsidRPr="00C45331" w:rsidRDefault="00D077B7"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Sustainability risks include potential adverse environmental impacts from the procurement of materials, manufacturing processes, and the delivery of furniture products.</w:t>
      </w:r>
    </w:p>
    <w:p w14:paraId="6A803A4A" w14:textId="77777777" w:rsidR="00D077B7" w:rsidRPr="00C45331" w:rsidRDefault="00D077B7"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Return options:</w:t>
      </w:r>
    </w:p>
    <w:p w14:paraId="54490CCC" w14:textId="2DCFF115" w:rsidR="00D077B7" w:rsidRPr="00C45331" w:rsidRDefault="00D077B7"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The return option is a streamlined sales process that can increase sales, revenue, and customer satisfaction.</w:t>
      </w:r>
    </w:p>
    <w:p w14:paraId="117CE373" w14:textId="77777777" w:rsidR="00D077B7" w:rsidRPr="00C45331" w:rsidRDefault="00D077B7"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Cost savings by optimizing manufacturing processes and sourcing materials from cost-effective suppliers can increase profitability.</w:t>
      </w:r>
    </w:p>
    <w:p w14:paraId="7F2E777C" w14:textId="6BEF9B81" w:rsidR="00D077B7" w:rsidRPr="00C45331" w:rsidRDefault="00D077B7"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Expanding partnerships with suppliers, distributors, and sales channels can increase the Company's distribution and market share.</w:t>
      </w:r>
    </w:p>
    <w:p w14:paraId="5166940E" w14:textId="1ECB2875" w:rsidR="009F6769" w:rsidRPr="00C45331" w:rsidRDefault="00D077B7" w:rsidP="00D077B7">
      <w:pPr>
        <w:spacing w:line="360" w:lineRule="auto"/>
        <w:jc w:val="both"/>
        <w:rPr>
          <w:rFonts w:ascii="Arial" w:hAnsi="Arial" w:cs="Arial"/>
          <w:color w:val="44546A" w:themeColor="text2"/>
          <w:kern w:val="0"/>
          <w14:ligatures w14:val="none"/>
        </w:rPr>
      </w:pPr>
      <w:r w:rsidRPr="00C45331">
        <w:rPr>
          <w:rFonts w:ascii="Arial" w:hAnsi="Arial" w:cs="Arial"/>
          <w:color w:val="44546A" w:themeColor="text2"/>
          <w:kern w:val="0"/>
          <w14:ligatures w14:val="none"/>
        </w:rPr>
        <w:t>Develop and promote environmentally friendly and sustainable furniture products that attract environmentally conscious customers and differentiate the Company from its competitors—produce innovation and differences.</w:t>
      </w:r>
    </w:p>
    <w:p w14:paraId="273D7410" w14:textId="33CB8FD2" w:rsidR="001735CE" w:rsidRPr="00C45331" w:rsidRDefault="00D077B7" w:rsidP="001735CE">
      <w:pPr>
        <w:pStyle w:val="ListParagraph"/>
        <w:numPr>
          <w:ilvl w:val="0"/>
          <w:numId w:val="37"/>
        </w:numPr>
        <w:spacing w:line="360" w:lineRule="auto"/>
        <w:jc w:val="both"/>
        <w:rPr>
          <w:rFonts w:ascii="Arial" w:hAnsi="Arial" w:cs="Arial"/>
          <w:b/>
          <w:bCs/>
          <w:color w:val="44546A" w:themeColor="text2"/>
          <w:u w:val="single"/>
        </w:rPr>
      </w:pPr>
      <w:bookmarkStart w:id="5" w:name="_Hlk133575539"/>
      <w:r w:rsidRPr="00C45331">
        <w:rPr>
          <w:rFonts w:ascii="Arial" w:hAnsi="Arial" w:cs="Arial"/>
          <w:b/>
          <w:bCs/>
          <w:color w:val="44546A" w:themeColor="text2"/>
          <w:u w:val="single"/>
        </w:rPr>
        <w:t xml:space="preserve">SMART </w:t>
      </w:r>
      <w:r w:rsidR="007A4004" w:rsidRPr="00C45331">
        <w:rPr>
          <w:rFonts w:ascii="Arial" w:hAnsi="Arial" w:cs="Arial"/>
          <w:b/>
          <w:bCs/>
          <w:color w:val="44546A" w:themeColor="text2"/>
          <w:u w:val="single"/>
        </w:rPr>
        <w:t>matrix for</w:t>
      </w:r>
      <w:r w:rsidRPr="00C45331">
        <w:rPr>
          <w:rFonts w:ascii="Arial" w:hAnsi="Arial" w:cs="Arial"/>
          <w:b/>
          <w:bCs/>
          <w:color w:val="44546A" w:themeColor="text2"/>
          <w:u w:val="single"/>
        </w:rPr>
        <w:t xml:space="preserve"> </w:t>
      </w:r>
      <w:r w:rsidR="00F16DBD" w:rsidRPr="00C45331">
        <w:rPr>
          <w:rFonts w:ascii="Arial" w:hAnsi="Arial" w:cs="Arial"/>
          <w:b/>
          <w:bCs/>
          <w:color w:val="44546A" w:themeColor="text2"/>
          <w:u w:val="single"/>
        </w:rPr>
        <w:t>strategies</w:t>
      </w:r>
      <w:r w:rsidRPr="00C45331">
        <w:rPr>
          <w:rFonts w:ascii="Arial" w:hAnsi="Arial" w:cs="Arial"/>
          <w:b/>
          <w:bCs/>
          <w:color w:val="44546A" w:themeColor="text2"/>
          <w:u w:val="single"/>
        </w:rPr>
        <w:t xml:space="preserve"> options </w:t>
      </w:r>
    </w:p>
    <w:bookmarkEnd w:id="5"/>
    <w:p w14:paraId="6660FA94" w14:textId="5B2D6194"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To evaluate the best strategy for Furniture Practice Ltd using the SMART matrix, we need to assess the feasibility and effectiveness of each plan based on the following criteria:</w:t>
      </w:r>
    </w:p>
    <w:p w14:paraId="3179E4FF" w14:textId="4138DB36"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Specificity: The strategy must be specific and clearly defined.</w:t>
      </w:r>
    </w:p>
    <w:p w14:paraId="2C52CD53" w14:textId="6E2E73A4"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Measurability: The strategy should be measurable, and there should be a way to track progress toward achieving the goal.</w:t>
      </w:r>
    </w:p>
    <w:p w14:paraId="7F9BB5F3" w14:textId="3588701E"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Availability: Considering the organization's resources and capabilities, the strategy must be available.</w:t>
      </w:r>
    </w:p>
    <w:p w14:paraId="13A03273" w14:textId="0934D49E"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 xml:space="preserve">Relevance: The strategy must </w:t>
      </w:r>
      <w:r w:rsidR="009E1302" w:rsidRPr="00C45331">
        <w:rPr>
          <w:rFonts w:ascii="Arial" w:hAnsi="Arial" w:cs="Arial"/>
          <w:color w:val="44546A" w:themeColor="text2"/>
        </w:rPr>
        <w:t>reflect</w:t>
      </w:r>
      <w:r w:rsidRPr="00C45331">
        <w:rPr>
          <w:rFonts w:ascii="Arial" w:hAnsi="Arial" w:cs="Arial"/>
          <w:color w:val="44546A" w:themeColor="text2"/>
        </w:rPr>
        <w:t xml:space="preserve"> the organization's mission and vision.</w:t>
      </w:r>
    </w:p>
    <w:p w14:paraId="03BC3355" w14:textId="03C735B8"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lastRenderedPageBreak/>
        <w:t>Time-bound: The strategy must have a clear timeline for achieving the goal.</w:t>
      </w:r>
    </w:p>
    <w:p w14:paraId="6609F747" w14:textId="062DADDB" w:rsidR="00D077B7" w:rsidRPr="00A1325E" w:rsidRDefault="00D077B7" w:rsidP="00A1325E">
      <w:pPr>
        <w:pStyle w:val="ListParagraph"/>
        <w:numPr>
          <w:ilvl w:val="1"/>
          <w:numId w:val="49"/>
        </w:numPr>
        <w:spacing w:line="360" w:lineRule="auto"/>
        <w:jc w:val="both"/>
        <w:rPr>
          <w:rFonts w:ascii="Arial" w:hAnsi="Arial" w:cs="Arial"/>
          <w:color w:val="44546A" w:themeColor="text2"/>
        </w:rPr>
      </w:pPr>
      <w:r w:rsidRPr="00A1325E">
        <w:rPr>
          <w:rFonts w:ascii="Arial" w:hAnsi="Arial" w:cs="Arial"/>
          <w:b/>
          <w:bCs/>
          <w:color w:val="44546A" w:themeColor="text2"/>
          <w:u w:val="single"/>
        </w:rPr>
        <w:t xml:space="preserve">Option </w:t>
      </w:r>
      <w:r w:rsidR="00A1325E">
        <w:rPr>
          <w:rFonts w:ascii="Arial" w:hAnsi="Arial" w:cs="Arial"/>
          <w:b/>
          <w:bCs/>
          <w:color w:val="44546A" w:themeColor="text2"/>
          <w:u w:val="single"/>
        </w:rPr>
        <w:t>One</w:t>
      </w:r>
      <w:r w:rsidRPr="00A1325E">
        <w:rPr>
          <w:rFonts w:ascii="Arial" w:hAnsi="Arial" w:cs="Arial"/>
          <w:b/>
          <w:bCs/>
          <w:color w:val="44546A" w:themeColor="text2"/>
        </w:rPr>
        <w:t>:</w:t>
      </w:r>
      <w:r w:rsidRPr="00A1325E">
        <w:rPr>
          <w:rFonts w:ascii="Arial" w:hAnsi="Arial" w:cs="Arial"/>
          <w:color w:val="44546A" w:themeColor="text2"/>
        </w:rPr>
        <w:t xml:space="preserve"> Expand the Company's marketing and distribution channels to reach a wider audience.</w:t>
      </w:r>
    </w:p>
    <w:p w14:paraId="2BAA9D99" w14:textId="5B887F2C"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Specificity: The strategy is specific and focuses on expanding the Company's marketing and distribution channels. Measurability: The system can be measured by tracking sales and market share growth after expansion. Availability: The strategy is feasible, considering the Company's resources and capabilities. Relevance: The process is relevant to the Company's mission and vision to provide innovative and efficient delivery services. Time-bound: The strategy should have a clear roadmap for expanding marketing and distribution channels, which should be implemented within a specific time frame.</w:t>
      </w:r>
    </w:p>
    <w:p w14:paraId="34E4886F" w14:textId="2FABE64E" w:rsidR="00D077B7" w:rsidRPr="00C45331" w:rsidRDefault="00A1325E" w:rsidP="00D077B7">
      <w:pPr>
        <w:spacing w:line="360" w:lineRule="auto"/>
        <w:jc w:val="both"/>
        <w:rPr>
          <w:rFonts w:ascii="Arial" w:hAnsi="Arial" w:cs="Arial"/>
          <w:color w:val="44546A" w:themeColor="text2"/>
        </w:rPr>
      </w:pPr>
      <w:r w:rsidRPr="00A1325E">
        <w:rPr>
          <w:rFonts w:ascii="Arial" w:hAnsi="Arial" w:cs="Arial"/>
          <w:b/>
          <w:bCs/>
          <w:color w:val="44546A" w:themeColor="text2"/>
          <w:u w:val="single"/>
        </w:rPr>
        <w:t xml:space="preserve">3.2 </w:t>
      </w:r>
      <w:r w:rsidR="00D077B7" w:rsidRPr="00A1325E">
        <w:rPr>
          <w:rFonts w:ascii="Arial" w:hAnsi="Arial" w:cs="Arial"/>
          <w:b/>
          <w:bCs/>
          <w:color w:val="44546A" w:themeColor="text2"/>
          <w:u w:val="single"/>
        </w:rPr>
        <w:t xml:space="preserve">Option </w:t>
      </w:r>
      <w:r>
        <w:rPr>
          <w:rFonts w:ascii="Arial" w:hAnsi="Arial" w:cs="Arial"/>
          <w:b/>
          <w:bCs/>
          <w:color w:val="44546A" w:themeColor="text2"/>
          <w:u w:val="single"/>
        </w:rPr>
        <w:t>Two</w:t>
      </w:r>
      <w:r w:rsidR="00D077B7" w:rsidRPr="00C45331">
        <w:rPr>
          <w:rFonts w:ascii="Arial" w:hAnsi="Arial" w:cs="Arial"/>
          <w:b/>
          <w:bCs/>
          <w:color w:val="44546A" w:themeColor="text2"/>
        </w:rPr>
        <w:t>:</w:t>
      </w:r>
      <w:r w:rsidR="00D077B7" w:rsidRPr="00C45331">
        <w:rPr>
          <w:rFonts w:ascii="Arial" w:hAnsi="Arial" w:cs="Arial"/>
          <w:color w:val="44546A" w:themeColor="text2"/>
        </w:rPr>
        <w:t xml:space="preserve"> Invest in sustainable production processes to appeal to environmentally conscious customers.</w:t>
      </w:r>
    </w:p>
    <w:p w14:paraId="3E52D82D" w14:textId="2B2E7DFF"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Specificity: The strategy is specific and focuses on investing in sustainable production processes. Measurability: The design can be measured by monitoring the increase in sales revenue and customer loyalty of environmentally conscious customers. Affordability: The strategy is feasible due to the Company's focus on sustainability and environmentally friendly materials. Relevance: The process is relevant to the Company's mission and vision to provide innovative and efficient delivery services while promoting sustainability. Time-bound: The strategy must have a clear roadmap for implementing sustainable manufacturing processes, achievable within a given time frame.</w:t>
      </w:r>
    </w:p>
    <w:p w14:paraId="0B3C05A0" w14:textId="7CA98501"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 xml:space="preserve">Based on the assessment of the SMART matrix, both options seem feasible and relevant in terms of the Company's mission and vision. However, option </w:t>
      </w:r>
      <w:r w:rsidR="009E1302" w:rsidRPr="00C45331">
        <w:rPr>
          <w:rFonts w:ascii="Arial" w:hAnsi="Arial" w:cs="Arial"/>
          <w:color w:val="44546A" w:themeColor="text2"/>
        </w:rPr>
        <w:t>one</w:t>
      </w:r>
      <w:r w:rsidRPr="00C45331">
        <w:rPr>
          <w:rFonts w:ascii="Arial" w:hAnsi="Arial" w:cs="Arial"/>
          <w:color w:val="44546A" w:themeColor="text2"/>
        </w:rPr>
        <w:t xml:space="preserve"> has higher returns in the short time, while option two may have higher returns in the long term if it appeals to environmentally conscious customers. Therefore, the best strategy depends on the Company's priorities and available resources.</w:t>
      </w:r>
    </w:p>
    <w:p w14:paraId="18B08559" w14:textId="169F65CB"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Based on the evaluation of the SMART matrix, the chosen strategy seems feasible. It aligns with the Company's vision and mission, leverages the Company's strengths, and addresses its weaknesses and threats. The system is specific, measurable, achievable, relevant, and time-bound, giving the Company a clear direction and goals. The SMART analysis also indicates that the strategy is financially feasible, has a high chance of success, and fits well with the Company's core competencies.</w:t>
      </w:r>
    </w:p>
    <w:p w14:paraId="46F85FFA" w14:textId="27591083"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lastRenderedPageBreak/>
        <w:t>However, it is essential to note that feasibility may depend on various external factors such as market conditions, industry trends, and economic factors. These factors may change over time, and the feasibility of the chosen strategy may need to be reassessed periodically to ensure continued success. In addition, implementing the method may require significant resources such as financial investment, technology, and human capital, which should be carefully considered before proceeding.</w:t>
      </w:r>
    </w:p>
    <w:p w14:paraId="5270DAA8" w14:textId="09AB3C1A"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 xml:space="preserve">The acceptability of a strategy depends on many factors—the organization's culture, values, and goals. The plan must be consistent with the organization's mission, vision, deals, and culture. The strategy be positively perceived by the organization's stakeholders, including customers, employees, shareholders, and the community. </w:t>
      </w:r>
      <w:r w:rsidR="007A4004" w:rsidRPr="00C45331">
        <w:rPr>
          <w:rFonts w:ascii="Arial" w:hAnsi="Arial" w:cs="Arial"/>
          <w:color w:val="44546A" w:themeColor="text2"/>
        </w:rPr>
        <w:t>Does</w:t>
      </w:r>
      <w:r w:rsidRPr="00C45331">
        <w:rPr>
          <w:rFonts w:ascii="Arial" w:hAnsi="Arial" w:cs="Arial"/>
          <w:color w:val="44546A" w:themeColor="text2"/>
        </w:rPr>
        <w:t xml:space="preserve"> this comply with legal and ethical standards, and is the strategy financially viable and sustainable for the organization? However, the assessment of the SMART matrix suggests that the process is specific, measurable, achievable, relevant, and time-bound, which is a positive indicator of its acceptability.</w:t>
      </w:r>
    </w:p>
    <w:p w14:paraId="3AE4BCF7" w14:textId="0F79DBD1"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By implementing the Sustainability Strategy, Furniture Practice Ltd. would stand out from its competitors and address the growing number of environmentally conscious consumers. This strategy would benefit the Company and contribute to a more sustainable future for our planet.</w:t>
      </w:r>
    </w:p>
    <w:p w14:paraId="74322871" w14:textId="69CB7617" w:rsidR="00D077B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 xml:space="preserve">Mission: The Company's mission statement emphasizes constant innovation to meet customer needs, create value and differentiate itself from competitors. On the project page, you can view the large-scale innovative projects the Company implemented and planned in the previous period. With several award-winning projects behind it, the Company's creative strategy significantly determines its market presence. Projects: Twickenham East Hospitality transformation at the home of England Rugby, Basf: a collaborative workplace for the world's largest chemical manufacturer. Chicago Booth: The state-of-the-art campus of one of the world's top business schools, Adobe London: A vibrant new workspace for the software giant in London's tech hub. The possible strategies of Furniture Practice </w:t>
      </w:r>
      <w:r w:rsidR="00AA7F53" w:rsidRPr="00C45331">
        <w:rPr>
          <w:rFonts w:ascii="Arial" w:hAnsi="Arial" w:cs="Arial"/>
          <w:color w:val="44546A" w:themeColor="text2"/>
        </w:rPr>
        <w:t>Ltd</w:t>
      </w:r>
      <w:r w:rsidRPr="00C45331">
        <w:rPr>
          <w:rFonts w:ascii="Arial" w:hAnsi="Arial" w:cs="Arial"/>
          <w:color w:val="44546A" w:themeColor="text2"/>
        </w:rPr>
        <w:t>. can be categorized as sustainability and innovation.</w:t>
      </w:r>
    </w:p>
    <w:p w14:paraId="0CCA532B" w14:textId="48E55F6E" w:rsidR="00645D67" w:rsidRPr="00C45331" w:rsidRDefault="00D077B7" w:rsidP="00D077B7">
      <w:pPr>
        <w:spacing w:line="360" w:lineRule="auto"/>
        <w:jc w:val="both"/>
        <w:rPr>
          <w:rFonts w:ascii="Arial" w:hAnsi="Arial" w:cs="Arial"/>
          <w:color w:val="44546A" w:themeColor="text2"/>
        </w:rPr>
      </w:pPr>
      <w:r w:rsidRPr="00C45331">
        <w:rPr>
          <w:rFonts w:ascii="Arial" w:hAnsi="Arial" w:cs="Arial"/>
          <w:color w:val="44546A" w:themeColor="text2"/>
        </w:rPr>
        <w:t>Sustainability strategy:</w:t>
      </w:r>
    </w:p>
    <w:p w14:paraId="74F23D59" w14:textId="45F7D513" w:rsidR="00645D67" w:rsidRPr="00C45331" w:rsidRDefault="00645D67" w:rsidP="00645D67">
      <w:pPr>
        <w:spacing w:line="360" w:lineRule="auto"/>
        <w:jc w:val="both"/>
        <w:rPr>
          <w:rFonts w:ascii="Arial" w:hAnsi="Arial" w:cs="Arial"/>
          <w:color w:val="44546A" w:themeColor="text2"/>
        </w:rPr>
      </w:pPr>
      <w:r w:rsidRPr="00C45331">
        <w:rPr>
          <w:rFonts w:ascii="Arial" w:hAnsi="Arial" w:cs="Arial"/>
          <w:color w:val="44546A" w:themeColor="text2"/>
        </w:rPr>
        <w:t>The essence of this strategy is that the Company introduces environmentally friendly materials, such as bamboo, recycled plastic, or recycled wood, as part of the modern technological production process. In addition, energy-efficient practices can be implemented, and waste reduction can be emphasized through recycling and composting programs.</w:t>
      </w:r>
    </w:p>
    <w:p w14:paraId="0C2878DF" w14:textId="532DB6CA" w:rsidR="00645D67" w:rsidRPr="00C45331" w:rsidRDefault="00645D67" w:rsidP="00645D67">
      <w:pPr>
        <w:spacing w:line="360" w:lineRule="auto"/>
        <w:jc w:val="both"/>
        <w:rPr>
          <w:rFonts w:ascii="Arial" w:hAnsi="Arial" w:cs="Arial"/>
          <w:color w:val="44546A" w:themeColor="text2"/>
        </w:rPr>
      </w:pPr>
      <w:r w:rsidRPr="00C45331">
        <w:rPr>
          <w:rFonts w:ascii="Arial" w:hAnsi="Arial" w:cs="Arial"/>
          <w:color w:val="44546A" w:themeColor="text2"/>
        </w:rPr>
        <w:lastRenderedPageBreak/>
        <w:t>The Company's commitment to sustainability can be highlighted through branding and marketing activities. It provides educational resources to customers on sustainable practices and promoting green behavior at a very high level through promotions and incentives.</w:t>
      </w:r>
    </w:p>
    <w:p w14:paraId="07B1A81B" w14:textId="3F926D82" w:rsidR="00645D67" w:rsidRPr="00C45331" w:rsidRDefault="00645D67" w:rsidP="00645D67">
      <w:pPr>
        <w:spacing w:line="360" w:lineRule="auto"/>
        <w:jc w:val="both"/>
        <w:rPr>
          <w:rFonts w:ascii="Arial" w:hAnsi="Arial" w:cs="Arial"/>
          <w:color w:val="44546A" w:themeColor="text2"/>
        </w:rPr>
      </w:pPr>
      <w:r w:rsidRPr="00C45331">
        <w:rPr>
          <w:rFonts w:ascii="Arial" w:hAnsi="Arial" w:cs="Arial"/>
          <w:color w:val="44546A" w:themeColor="text2"/>
        </w:rPr>
        <w:t>The innovation strategy, which is the Company's primary mission, can be well combined with the previous design and remains focused on satisfying customer needs and creating value. It differentiates the Company from its competitors with large-scale innovative projects that can already be discovered on the website. The Company can present its award-winning projects to establish its market presence.</w:t>
      </w:r>
    </w:p>
    <w:p w14:paraId="41A9794B" w14:textId="0E74704F" w:rsidR="00645D67" w:rsidRPr="00C45331" w:rsidRDefault="00645D67" w:rsidP="00645D67">
      <w:pPr>
        <w:spacing w:line="360" w:lineRule="auto"/>
        <w:jc w:val="both"/>
        <w:rPr>
          <w:rFonts w:ascii="Arial" w:hAnsi="Arial" w:cs="Arial"/>
          <w:color w:val="44546A" w:themeColor="text2"/>
        </w:rPr>
      </w:pPr>
      <w:r w:rsidRPr="00C45331">
        <w:rPr>
          <w:rFonts w:ascii="Arial" w:hAnsi="Arial" w:cs="Arial"/>
          <w:color w:val="44546A" w:themeColor="text2"/>
        </w:rPr>
        <w:t xml:space="preserve">By combining sustainability and innovation strategies, Furniture Practice </w:t>
      </w:r>
      <w:r w:rsidR="005F6A94">
        <w:rPr>
          <w:rFonts w:ascii="Arial" w:hAnsi="Arial" w:cs="Arial"/>
          <w:color w:val="44546A" w:themeColor="text2"/>
        </w:rPr>
        <w:t>Ltd.</w:t>
      </w:r>
      <w:r w:rsidRPr="00C45331">
        <w:rPr>
          <w:rFonts w:ascii="Arial" w:hAnsi="Arial" w:cs="Arial"/>
          <w:color w:val="44546A" w:themeColor="text2"/>
        </w:rPr>
        <w:t xml:space="preserve"> can stand out from its competitors and address the growing number of environmentally conscious consumers. This approach would benefit the Company and contribute to a more sustainable future for our planet while meeting customer needs and creating value.</w:t>
      </w:r>
    </w:p>
    <w:p w14:paraId="4D3F2A96" w14:textId="77777777" w:rsidR="0077572E" w:rsidRPr="00C45331" w:rsidRDefault="0077572E" w:rsidP="00645D67">
      <w:pPr>
        <w:spacing w:line="360" w:lineRule="auto"/>
        <w:jc w:val="both"/>
        <w:rPr>
          <w:rFonts w:ascii="Arial" w:hAnsi="Arial" w:cs="Arial"/>
          <w:color w:val="44546A" w:themeColor="text2"/>
        </w:rPr>
      </w:pPr>
    </w:p>
    <w:p w14:paraId="3461431E" w14:textId="72E95881" w:rsidR="009F6769" w:rsidRPr="00C45331" w:rsidRDefault="009F6769" w:rsidP="005F7279">
      <w:pPr>
        <w:pStyle w:val="ListParagraph"/>
        <w:numPr>
          <w:ilvl w:val="0"/>
          <w:numId w:val="37"/>
        </w:numPr>
        <w:spacing w:line="360" w:lineRule="auto"/>
        <w:jc w:val="both"/>
        <w:rPr>
          <w:rFonts w:ascii="Arial" w:hAnsi="Arial" w:cs="Arial"/>
          <w:b/>
          <w:bCs/>
          <w:color w:val="44546A" w:themeColor="text2"/>
          <w:u w:val="single"/>
        </w:rPr>
      </w:pPr>
      <w:r w:rsidRPr="00C45331">
        <w:rPr>
          <w:rFonts w:ascii="Arial" w:hAnsi="Arial" w:cs="Arial"/>
          <w:b/>
          <w:bCs/>
          <w:color w:val="44546A" w:themeColor="text2"/>
          <w:u w:val="single"/>
        </w:rPr>
        <w:t xml:space="preserve">Conclusion </w:t>
      </w:r>
    </w:p>
    <w:p w14:paraId="084D1C58" w14:textId="2E8837C5" w:rsidR="00D077B7" w:rsidRPr="00C45331" w:rsidRDefault="00AA7F53" w:rsidP="00D077B7">
      <w:pPr>
        <w:spacing w:line="360" w:lineRule="auto"/>
        <w:jc w:val="both"/>
        <w:rPr>
          <w:rFonts w:ascii="Arial" w:hAnsi="Arial" w:cs="Arial"/>
          <w:color w:val="44546A" w:themeColor="text2"/>
        </w:rPr>
      </w:pPr>
      <w:r w:rsidRPr="00C45331">
        <w:rPr>
          <w:rFonts w:ascii="Arial" w:hAnsi="Arial" w:cs="Arial"/>
          <w:color w:val="44546A" w:themeColor="text2"/>
        </w:rPr>
        <w:t>In summary, this</w:t>
      </w:r>
      <w:r w:rsidR="009E1302" w:rsidRPr="00C45331">
        <w:rPr>
          <w:rFonts w:ascii="Arial" w:hAnsi="Arial" w:cs="Arial"/>
          <w:color w:val="44546A" w:themeColor="text2"/>
        </w:rPr>
        <w:t xml:space="preserve"> paper</w:t>
      </w:r>
      <w:r w:rsidRPr="00C45331">
        <w:rPr>
          <w:rFonts w:ascii="Arial" w:hAnsi="Arial" w:cs="Arial"/>
          <w:color w:val="44546A" w:themeColor="text2"/>
        </w:rPr>
        <w:t xml:space="preserve"> discusses two possible strategies for Furniture Practice </w:t>
      </w:r>
      <w:r w:rsidR="009E1302" w:rsidRPr="00C45331">
        <w:rPr>
          <w:rFonts w:ascii="Arial" w:hAnsi="Arial" w:cs="Arial"/>
          <w:color w:val="44546A" w:themeColor="text2"/>
        </w:rPr>
        <w:t>Ltd</w:t>
      </w:r>
      <w:r w:rsidRPr="00C45331">
        <w:rPr>
          <w:rFonts w:ascii="Arial" w:hAnsi="Arial" w:cs="Arial"/>
          <w:color w:val="44546A" w:themeColor="text2"/>
        </w:rPr>
        <w:t>: diversification and a sustainability strategy using the SFA framework</w:t>
      </w:r>
      <w:r w:rsidR="009E1302" w:rsidRPr="00C45331">
        <w:rPr>
          <w:rFonts w:ascii="Arial" w:hAnsi="Arial" w:cs="Arial"/>
          <w:color w:val="44546A" w:themeColor="text2"/>
        </w:rPr>
        <w:t xml:space="preserve"> based on resources and analysis.</w:t>
      </w:r>
      <w:r w:rsidRPr="00C45331">
        <w:rPr>
          <w:rFonts w:ascii="Arial" w:hAnsi="Arial" w:cs="Arial"/>
          <w:color w:val="44546A" w:themeColor="text2"/>
        </w:rPr>
        <w:t xml:space="preserve"> The risks and returns associated with each process are </w:t>
      </w:r>
      <w:r w:rsidR="007A4004" w:rsidRPr="00C45331">
        <w:rPr>
          <w:rFonts w:ascii="Arial" w:hAnsi="Arial" w:cs="Arial"/>
          <w:color w:val="44546A" w:themeColor="text2"/>
        </w:rPr>
        <w:t>analysed</w:t>
      </w:r>
      <w:r w:rsidRPr="00C45331">
        <w:rPr>
          <w:rFonts w:ascii="Arial" w:hAnsi="Arial" w:cs="Arial"/>
          <w:color w:val="44546A" w:themeColor="text2"/>
        </w:rPr>
        <w:t>, and a SMART matrix is used to evaluate their feasibility and effectiveness. The diversification strategy involves expanding into new markets or products, with related diversification being less risky than unrelated diversification. The SFA sustainability strategy focuses on optimizing production processes, partnering with suppliers and distributors, and using technology to reduce costs while offering customization and unique designs. The SMART matrix evaluates each option based on specificity, measurability, availability, relevance, and time-bound criteria. Based on the matrix, both options are feasible and relevant. Still, the diversification strategy may provide higher returns in the short term, while the sustainability strategy can offer long-term benefits, including improved customer loyalty and cost savings.</w:t>
      </w:r>
    </w:p>
    <w:p w14:paraId="5C1F8A59" w14:textId="77777777" w:rsidR="00D077B7" w:rsidRPr="00C45331" w:rsidRDefault="00D077B7" w:rsidP="00D077B7">
      <w:pPr>
        <w:spacing w:line="360" w:lineRule="auto"/>
        <w:jc w:val="both"/>
        <w:rPr>
          <w:rFonts w:ascii="Arial" w:hAnsi="Arial" w:cs="Arial"/>
          <w:color w:val="44546A" w:themeColor="text2"/>
        </w:rPr>
      </w:pPr>
    </w:p>
    <w:p w14:paraId="6F417B44" w14:textId="77777777" w:rsidR="00D077B7" w:rsidRPr="00C45331" w:rsidRDefault="00D077B7" w:rsidP="00D077B7">
      <w:pPr>
        <w:spacing w:line="360" w:lineRule="auto"/>
        <w:jc w:val="both"/>
        <w:rPr>
          <w:rFonts w:ascii="Arial" w:hAnsi="Arial" w:cs="Arial"/>
          <w:b/>
          <w:bCs/>
          <w:color w:val="44546A" w:themeColor="text2"/>
        </w:rPr>
      </w:pPr>
    </w:p>
    <w:p w14:paraId="5BD4CEF0" w14:textId="77777777" w:rsidR="00D077B7" w:rsidRPr="00C45331" w:rsidRDefault="00D077B7" w:rsidP="00D077B7">
      <w:pPr>
        <w:spacing w:line="360" w:lineRule="auto"/>
        <w:jc w:val="both"/>
        <w:rPr>
          <w:rFonts w:ascii="Arial" w:hAnsi="Arial" w:cs="Arial"/>
          <w:b/>
          <w:bCs/>
          <w:color w:val="44546A" w:themeColor="text2"/>
        </w:rPr>
      </w:pPr>
    </w:p>
    <w:p w14:paraId="5D7CFF8F" w14:textId="77777777" w:rsidR="00C45331" w:rsidRPr="00C45331" w:rsidRDefault="00C45331" w:rsidP="00D077B7">
      <w:pPr>
        <w:spacing w:line="360" w:lineRule="auto"/>
        <w:jc w:val="both"/>
        <w:rPr>
          <w:rFonts w:ascii="Arial" w:hAnsi="Arial" w:cs="Arial"/>
          <w:b/>
          <w:bCs/>
          <w:color w:val="44546A" w:themeColor="text2"/>
        </w:rPr>
      </w:pPr>
    </w:p>
    <w:p w14:paraId="20F2639B" w14:textId="27525BDB" w:rsidR="00C45331" w:rsidRPr="00C45331" w:rsidRDefault="00C45331" w:rsidP="00C45331">
      <w:pPr>
        <w:widowControl w:val="0"/>
        <w:autoSpaceDE w:val="0"/>
        <w:autoSpaceDN w:val="0"/>
        <w:adjustRightInd w:val="0"/>
        <w:spacing w:after="240" w:line="360" w:lineRule="auto"/>
        <w:rPr>
          <w:rFonts w:ascii="Arial" w:eastAsiaTheme="minorEastAsia" w:hAnsi="Arial" w:cs="Arial"/>
          <w:b/>
          <w:bCs/>
          <w:color w:val="44546A" w:themeColor="text2"/>
          <w:kern w:val="0"/>
          <w:u w:val="single"/>
          <w:lang w:val="en-US"/>
          <w14:ligatures w14:val="none"/>
        </w:rPr>
      </w:pPr>
      <w:r w:rsidRPr="00C45331">
        <w:rPr>
          <w:rFonts w:ascii="Arial" w:eastAsiaTheme="minorEastAsia" w:hAnsi="Arial" w:cs="Arial"/>
          <w:b/>
          <w:bCs/>
          <w:color w:val="44546A" w:themeColor="text2"/>
          <w:kern w:val="0"/>
          <w:u w:val="single"/>
          <w:lang w:val="en-US"/>
          <w14:ligatures w14:val="none"/>
        </w:rPr>
        <w:lastRenderedPageBreak/>
        <w:t xml:space="preserve">5. Reference list </w:t>
      </w:r>
    </w:p>
    <w:p w14:paraId="0DE3F98B"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Antošová, G. (2017). Strategic Planning in two Border Regions in the Czech Republic – Comparison of Project Impact in Zlín and South Bohemia Regions. </w:t>
      </w:r>
      <w:r w:rsidRPr="00C45331">
        <w:rPr>
          <w:rFonts w:ascii="Arial" w:eastAsiaTheme="minorEastAsia" w:hAnsi="Arial" w:cs="Arial"/>
          <w:i/>
          <w:iCs/>
          <w:color w:val="44546A" w:themeColor="text2"/>
          <w:kern w:val="0"/>
          <w:lang w:val="en-US"/>
          <w14:ligatures w14:val="none"/>
        </w:rPr>
        <w:t xml:space="preserve">Revista»Administratie </w:t>
      </w:r>
      <w:proofErr w:type="spellStart"/>
      <w:r w:rsidRPr="00C45331">
        <w:rPr>
          <w:rFonts w:ascii="Arial" w:eastAsiaTheme="minorEastAsia" w:hAnsi="Arial" w:cs="Arial"/>
          <w:i/>
          <w:iCs/>
          <w:color w:val="44546A" w:themeColor="text2"/>
          <w:kern w:val="0"/>
          <w:lang w:val="en-US"/>
          <w14:ligatures w14:val="none"/>
        </w:rPr>
        <w:t>si</w:t>
      </w:r>
      <w:proofErr w:type="spellEnd"/>
      <w:r w:rsidRPr="00C45331">
        <w:rPr>
          <w:rFonts w:ascii="Arial" w:eastAsiaTheme="minorEastAsia" w:hAnsi="Arial" w:cs="Arial"/>
          <w:i/>
          <w:iCs/>
          <w:color w:val="44546A" w:themeColor="text2"/>
          <w:kern w:val="0"/>
          <w:lang w:val="en-US"/>
          <w14:ligatures w14:val="none"/>
        </w:rPr>
        <w:t xml:space="preserve"> Management Public«(RAMP)</w:t>
      </w:r>
      <w:r w:rsidRPr="00C45331">
        <w:rPr>
          <w:rFonts w:ascii="Arial" w:eastAsiaTheme="minorEastAsia" w:hAnsi="Arial" w:cs="Arial"/>
          <w:color w:val="44546A" w:themeColor="text2"/>
          <w:kern w:val="0"/>
          <w:lang w:val="en-US"/>
          <w14:ligatures w14:val="none"/>
        </w:rPr>
        <w:t xml:space="preserve">, [online] 30(29), pp.128–140. Available at: </w:t>
      </w:r>
      <w:hyperlink r:id="rId8" w:history="1">
        <w:r w:rsidRPr="00C45331">
          <w:rPr>
            <w:rFonts w:ascii="Arial" w:eastAsiaTheme="minorEastAsia" w:hAnsi="Arial" w:cs="Arial"/>
            <w:color w:val="44546A" w:themeColor="text2"/>
            <w:kern w:val="0"/>
            <w:lang w:val="en-US"/>
            <w14:ligatures w14:val="none"/>
          </w:rPr>
          <w:t>https://www.ceeol.com/search/article-detail?id=728400</w:t>
        </w:r>
      </w:hyperlink>
      <w:r w:rsidRPr="00C45331">
        <w:rPr>
          <w:rFonts w:ascii="Arial" w:eastAsiaTheme="minorEastAsia" w:hAnsi="Arial" w:cs="Arial"/>
          <w:color w:val="44546A" w:themeColor="text2"/>
          <w:kern w:val="0"/>
          <w:lang w:val="en-US"/>
          <w14:ligatures w14:val="none"/>
        </w:rPr>
        <w:t xml:space="preserve"> [Accessed 23 Feb. 2023].</w:t>
      </w:r>
    </w:p>
    <w:p w14:paraId="7DE900DD" w14:textId="7AE87BBC"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Barney, J. and Hesterly, W. (2018). </w:t>
      </w:r>
      <w:r w:rsidRPr="00C45331">
        <w:rPr>
          <w:rFonts w:ascii="Arial" w:eastAsiaTheme="minorEastAsia" w:hAnsi="Arial" w:cs="Arial"/>
          <w:i/>
          <w:iCs/>
          <w:color w:val="44546A" w:themeColor="text2"/>
          <w:kern w:val="0"/>
          <w:lang w:val="en-US"/>
          <w14:ligatures w14:val="none"/>
        </w:rPr>
        <w:t xml:space="preserve">Sign </w:t>
      </w:r>
      <w:r w:rsidR="005F6A94" w:rsidRPr="00C45331">
        <w:rPr>
          <w:rFonts w:ascii="Arial" w:eastAsiaTheme="minorEastAsia" w:hAnsi="Arial" w:cs="Arial"/>
          <w:i/>
          <w:iCs/>
          <w:color w:val="44546A" w:themeColor="text2"/>
          <w:kern w:val="0"/>
          <w:lang w:val="en-US"/>
          <w14:ligatures w14:val="none"/>
        </w:rPr>
        <w:t>into</w:t>
      </w:r>
      <w:r w:rsidRPr="00C45331">
        <w:rPr>
          <w:rFonts w:ascii="Arial" w:eastAsiaTheme="minorEastAsia" w:hAnsi="Arial" w:cs="Arial"/>
          <w:i/>
          <w:iCs/>
          <w:color w:val="44546A" w:themeColor="text2"/>
          <w:kern w:val="0"/>
          <w:lang w:val="en-US"/>
          <w14:ligatures w14:val="none"/>
        </w:rPr>
        <w:t xml:space="preserve"> your account</w:t>
      </w:r>
      <w:r w:rsidRPr="00C45331">
        <w:rPr>
          <w:rFonts w:ascii="Arial" w:eastAsiaTheme="minorEastAsia" w:hAnsi="Arial" w:cs="Arial"/>
          <w:color w:val="44546A" w:themeColor="text2"/>
          <w:kern w:val="0"/>
          <w:lang w:val="en-US"/>
          <w14:ligatures w14:val="none"/>
        </w:rPr>
        <w:t xml:space="preserve">. [online] login.microsoftonline.com. Available at: </w:t>
      </w:r>
      <w:hyperlink r:id="rId9" w:history="1">
        <w:r w:rsidRPr="00C45331">
          <w:rPr>
            <w:rFonts w:ascii="Arial" w:eastAsiaTheme="minorEastAsia" w:hAnsi="Arial" w:cs="Arial"/>
            <w:color w:val="44546A" w:themeColor="text2"/>
            <w:kern w:val="0"/>
            <w:lang w:val="en-US"/>
            <w14:ligatures w14:val="none"/>
          </w:rPr>
          <w:t>https://ebookcentral.proquest.com/lib/trinity/detail.action?docID=5573680&amp;pq-origsite=primo</w:t>
        </w:r>
      </w:hyperlink>
      <w:r w:rsidRPr="00C45331">
        <w:rPr>
          <w:rFonts w:ascii="Arial" w:eastAsiaTheme="minorEastAsia" w:hAnsi="Arial" w:cs="Arial"/>
          <w:color w:val="44546A" w:themeColor="text2"/>
          <w:kern w:val="0"/>
          <w:lang w:val="en-US"/>
          <w14:ligatures w14:val="none"/>
        </w:rPr>
        <w:t xml:space="preserve"> [Accessed 10 Apr. 2023].</w:t>
      </w:r>
    </w:p>
    <w:p w14:paraId="6ED32767"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BBC (2023). </w:t>
      </w:r>
      <w:r w:rsidRPr="00C45331">
        <w:rPr>
          <w:rFonts w:ascii="Arial" w:eastAsiaTheme="minorEastAsia" w:hAnsi="Arial" w:cs="Arial"/>
          <w:i/>
          <w:iCs/>
          <w:color w:val="44546A" w:themeColor="text2"/>
          <w:kern w:val="0"/>
          <w:lang w:val="en-US"/>
          <w14:ligatures w14:val="none"/>
        </w:rPr>
        <w:t>Internal factors - Internal factors - Higher Business management Revision</w:t>
      </w:r>
      <w:r w:rsidRPr="00C45331">
        <w:rPr>
          <w:rFonts w:ascii="Arial" w:eastAsiaTheme="minorEastAsia" w:hAnsi="Arial" w:cs="Arial"/>
          <w:color w:val="44546A" w:themeColor="text2"/>
          <w:kern w:val="0"/>
          <w:lang w:val="en-US"/>
          <w14:ligatures w14:val="none"/>
        </w:rPr>
        <w:t xml:space="preserve">. [online] BBC Bitesize. Available at: </w:t>
      </w:r>
      <w:hyperlink r:id="rId10" w:history="1">
        <w:r w:rsidRPr="00C45331">
          <w:rPr>
            <w:rFonts w:ascii="Arial" w:eastAsiaTheme="minorEastAsia" w:hAnsi="Arial" w:cs="Arial"/>
            <w:color w:val="44546A" w:themeColor="text2"/>
            <w:kern w:val="0"/>
            <w:lang w:val="en-US"/>
            <w14:ligatures w14:val="none"/>
          </w:rPr>
          <w:t>https://www.bbc.co.uk/bitesize/guides/z6wc7nb/revision/1</w:t>
        </w:r>
      </w:hyperlink>
      <w:r w:rsidRPr="00C45331">
        <w:rPr>
          <w:rFonts w:ascii="Arial" w:eastAsiaTheme="minorEastAsia" w:hAnsi="Arial" w:cs="Arial"/>
          <w:color w:val="44546A" w:themeColor="text2"/>
          <w:kern w:val="0"/>
          <w:lang w:val="en-US"/>
          <w14:ligatures w14:val="none"/>
        </w:rPr>
        <w:t xml:space="preserve"> [Accessed 28 Apr. 2023].</w:t>
      </w:r>
    </w:p>
    <w:p w14:paraId="359B83D8"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CFI Team (2022). </w:t>
      </w:r>
      <w:r w:rsidRPr="00C45331">
        <w:rPr>
          <w:rFonts w:ascii="Arial" w:eastAsiaTheme="minorEastAsia" w:hAnsi="Arial" w:cs="Arial"/>
          <w:i/>
          <w:iCs/>
          <w:color w:val="44546A" w:themeColor="text2"/>
          <w:kern w:val="0"/>
          <w:lang w:val="en-US"/>
          <w14:ligatures w14:val="none"/>
        </w:rPr>
        <w:t>External Analysis</w:t>
      </w:r>
      <w:r w:rsidRPr="00C45331">
        <w:rPr>
          <w:rFonts w:ascii="Arial" w:eastAsiaTheme="minorEastAsia" w:hAnsi="Arial" w:cs="Arial"/>
          <w:color w:val="44546A" w:themeColor="text2"/>
          <w:kern w:val="0"/>
          <w:lang w:val="en-US"/>
          <w14:ligatures w14:val="none"/>
        </w:rPr>
        <w:t xml:space="preserve">. [online] Corporate Finance Institute. Available at: </w:t>
      </w:r>
      <w:hyperlink r:id="rId11" w:history="1">
        <w:r w:rsidRPr="00C45331">
          <w:rPr>
            <w:rFonts w:ascii="Arial" w:eastAsiaTheme="minorEastAsia" w:hAnsi="Arial" w:cs="Arial"/>
            <w:color w:val="44546A" w:themeColor="text2"/>
            <w:kern w:val="0"/>
            <w:lang w:val="en-US"/>
            <w14:ligatures w14:val="none"/>
          </w:rPr>
          <w:t>https://corporatefinanceinstitute.com/resources/management/external-analysis/</w:t>
        </w:r>
      </w:hyperlink>
      <w:r w:rsidRPr="00C45331">
        <w:rPr>
          <w:rFonts w:ascii="Arial" w:eastAsiaTheme="minorEastAsia" w:hAnsi="Arial" w:cs="Arial"/>
          <w:color w:val="44546A" w:themeColor="text2"/>
          <w:kern w:val="0"/>
          <w:lang w:val="en-US"/>
          <w14:ligatures w14:val="none"/>
        </w:rPr>
        <w:t xml:space="preserve"> [Accessed 28 Apr. 2023].</w:t>
      </w:r>
    </w:p>
    <w:p w14:paraId="2A1DBED3"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Cooper, R. and Slagmulder, R. (1998). The scope of strategic cost management. </w:t>
      </w:r>
      <w:r w:rsidRPr="00C45331">
        <w:rPr>
          <w:rFonts w:ascii="Arial" w:eastAsiaTheme="minorEastAsia" w:hAnsi="Arial" w:cs="Arial"/>
          <w:i/>
          <w:iCs/>
          <w:color w:val="44546A" w:themeColor="text2"/>
          <w:kern w:val="0"/>
          <w:lang w:val="en-US"/>
          <w14:ligatures w14:val="none"/>
        </w:rPr>
        <w:t>Management Accounting (USA)</w:t>
      </w:r>
      <w:r w:rsidRPr="00C45331">
        <w:rPr>
          <w:rFonts w:ascii="Arial" w:eastAsiaTheme="minorEastAsia" w:hAnsi="Arial" w:cs="Arial"/>
          <w:color w:val="44546A" w:themeColor="text2"/>
          <w:kern w:val="0"/>
          <w:lang w:val="en-US"/>
          <w14:ligatures w14:val="none"/>
        </w:rPr>
        <w:t xml:space="preserve">, [online] 79(8), pp.16–18. Available at: </w:t>
      </w:r>
      <w:hyperlink r:id="rId12" w:history="1">
        <w:r w:rsidRPr="00C45331">
          <w:rPr>
            <w:rFonts w:ascii="Arial" w:eastAsiaTheme="minorEastAsia" w:hAnsi="Arial" w:cs="Arial"/>
            <w:color w:val="44546A" w:themeColor="text2"/>
            <w:kern w:val="0"/>
            <w:lang w:val="en-US"/>
            <w14:ligatures w14:val="none"/>
          </w:rPr>
          <w:t>https://go.gale.com/ps/i.do?id=GALE%7CA20509749&amp;sid=googleScholar&amp;v=2.1&amp;it=r&amp;linkaccess=abs&amp;issn=00251690&amp;p=AONE&amp;sw=w&amp;userGroupName=anon%7Ea2361819</w:t>
        </w:r>
      </w:hyperlink>
      <w:r w:rsidRPr="00C45331">
        <w:rPr>
          <w:rFonts w:ascii="Arial" w:eastAsiaTheme="minorEastAsia" w:hAnsi="Arial" w:cs="Arial"/>
          <w:color w:val="44546A" w:themeColor="text2"/>
          <w:kern w:val="0"/>
          <w:lang w:val="en-US"/>
          <w14:ligatures w14:val="none"/>
        </w:rPr>
        <w:t xml:space="preserve"> [Accessed 11 Apr. 2023].</w:t>
      </w:r>
    </w:p>
    <w:p w14:paraId="522E77D2"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Department for International Trade (2020). </w:t>
      </w:r>
      <w:r w:rsidRPr="00C45331">
        <w:rPr>
          <w:rFonts w:ascii="Arial" w:eastAsiaTheme="minorEastAsia" w:hAnsi="Arial" w:cs="Arial"/>
          <w:i/>
          <w:iCs/>
          <w:color w:val="44546A" w:themeColor="text2"/>
          <w:kern w:val="0"/>
          <w:lang w:val="en-US"/>
          <w14:ligatures w14:val="none"/>
        </w:rPr>
        <w:t>Small and medium-sized enterprises action plan</w:t>
      </w:r>
      <w:r w:rsidRPr="00C45331">
        <w:rPr>
          <w:rFonts w:ascii="Arial" w:eastAsiaTheme="minorEastAsia" w:hAnsi="Arial" w:cs="Arial"/>
          <w:color w:val="44546A" w:themeColor="text2"/>
          <w:kern w:val="0"/>
          <w:lang w:val="en-US"/>
          <w14:ligatures w14:val="none"/>
        </w:rPr>
        <w:t xml:space="preserve">. [online] Available at: </w:t>
      </w:r>
      <w:hyperlink r:id="rId13" w:history="1">
        <w:r w:rsidRPr="00C45331">
          <w:rPr>
            <w:rFonts w:ascii="Arial" w:eastAsiaTheme="minorEastAsia" w:hAnsi="Arial" w:cs="Arial"/>
            <w:color w:val="44546A" w:themeColor="text2"/>
            <w:kern w:val="0"/>
            <w:lang w:val="en-US"/>
            <w14:ligatures w14:val="none"/>
          </w:rPr>
          <w:t>https://assets.publishing.service.gov.uk/government/uploads/system/uploads/attachment_data/file/961722/SME-Action-Plan.pdf</w:t>
        </w:r>
      </w:hyperlink>
      <w:r w:rsidRPr="00C45331">
        <w:rPr>
          <w:rFonts w:ascii="Arial" w:eastAsiaTheme="minorEastAsia" w:hAnsi="Arial" w:cs="Arial"/>
          <w:color w:val="44546A" w:themeColor="text2"/>
          <w:kern w:val="0"/>
          <w:lang w:val="en-US"/>
          <w14:ligatures w14:val="none"/>
        </w:rPr>
        <w:t xml:space="preserve"> [Accessed 23 Feb. 2023].</w:t>
      </w:r>
    </w:p>
    <w:p w14:paraId="5BB7A4F4"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Emilia GRZEGORZEWSKA, Magdalena WIĘCKOWSKA (2016). </w:t>
      </w:r>
      <w:r w:rsidRPr="00C45331">
        <w:rPr>
          <w:rFonts w:ascii="Arial" w:eastAsiaTheme="minorEastAsia" w:hAnsi="Arial" w:cs="Arial"/>
          <w:i/>
          <w:iCs/>
          <w:color w:val="44546A" w:themeColor="text2"/>
          <w:kern w:val="0"/>
          <w:lang w:val="en-US"/>
          <w14:ligatures w14:val="none"/>
        </w:rPr>
        <w:t>SELECTED ASPECTS OF INNOVATION IN THE FURNITURE INDUSTRY – EMPIRICAL RESEARCH FINDINGS</w:t>
      </w:r>
      <w:r w:rsidRPr="00C45331">
        <w:rPr>
          <w:rFonts w:ascii="Arial" w:eastAsiaTheme="minorEastAsia" w:hAnsi="Arial" w:cs="Arial"/>
          <w:color w:val="44546A" w:themeColor="text2"/>
          <w:kern w:val="0"/>
          <w:lang w:val="en-US"/>
          <w14:ligatures w14:val="none"/>
        </w:rPr>
        <w:t>.</w:t>
      </w:r>
    </w:p>
    <w:p w14:paraId="2F401389"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Eriksen-Coats, F. (2018). </w:t>
      </w:r>
      <w:r w:rsidRPr="00C45331">
        <w:rPr>
          <w:rFonts w:ascii="Arial" w:eastAsiaTheme="minorEastAsia" w:hAnsi="Arial" w:cs="Arial"/>
          <w:i/>
          <w:iCs/>
          <w:color w:val="44546A" w:themeColor="text2"/>
          <w:kern w:val="0"/>
          <w:lang w:val="en-US"/>
          <w14:ligatures w14:val="none"/>
        </w:rPr>
        <w:t>What Is Mendelow’s Matrix and Why Is It Useful for Marketers?</w:t>
      </w:r>
      <w:r w:rsidRPr="00C45331">
        <w:rPr>
          <w:rFonts w:ascii="Arial" w:eastAsiaTheme="minorEastAsia" w:hAnsi="Arial" w:cs="Arial"/>
          <w:color w:val="44546A" w:themeColor="text2"/>
          <w:kern w:val="0"/>
          <w:lang w:val="en-US"/>
          <w14:ligatures w14:val="none"/>
        </w:rPr>
        <w:t xml:space="preserve"> [online] Oxford College of Marketing. Available at: </w:t>
      </w:r>
      <w:hyperlink r:id="rId14" w:history="1">
        <w:r w:rsidRPr="00C45331">
          <w:rPr>
            <w:rFonts w:ascii="Arial" w:eastAsiaTheme="minorEastAsia" w:hAnsi="Arial" w:cs="Arial"/>
            <w:color w:val="44546A" w:themeColor="text2"/>
            <w:kern w:val="0"/>
            <w:lang w:val="en-US"/>
            <w14:ligatures w14:val="none"/>
          </w:rPr>
          <w:t>https://blog.oxfordcollegeofmarketing.com/2018/04/23/what-is-mendelows-matrix-and-how-is-it-useful/</w:t>
        </w:r>
      </w:hyperlink>
      <w:r w:rsidRPr="00C45331">
        <w:rPr>
          <w:rFonts w:ascii="Arial" w:eastAsiaTheme="minorEastAsia" w:hAnsi="Arial" w:cs="Arial"/>
          <w:color w:val="44546A" w:themeColor="text2"/>
          <w:kern w:val="0"/>
          <w:lang w:val="en-US"/>
          <w14:ligatures w14:val="none"/>
        </w:rPr>
        <w:t xml:space="preserve"> [Accessed 28 Apr. 2023].</w:t>
      </w:r>
    </w:p>
    <w:p w14:paraId="483A4204"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lastRenderedPageBreak/>
        <w:t xml:space="preserve">Feys, B. and Probert, C. (2019). </w:t>
      </w:r>
      <w:r w:rsidRPr="00C45331">
        <w:rPr>
          <w:rFonts w:ascii="Arial" w:eastAsiaTheme="minorEastAsia" w:hAnsi="Arial" w:cs="Arial"/>
          <w:i/>
          <w:iCs/>
          <w:color w:val="44546A" w:themeColor="text2"/>
          <w:kern w:val="0"/>
          <w:lang w:val="en-US"/>
          <w14:ligatures w14:val="none"/>
        </w:rPr>
        <w:t>PESTLE analysis</w:t>
      </w:r>
      <w:r w:rsidRPr="00C45331">
        <w:rPr>
          <w:rFonts w:ascii="Arial" w:eastAsiaTheme="minorEastAsia" w:hAnsi="Arial" w:cs="Arial"/>
          <w:color w:val="44546A" w:themeColor="text2"/>
          <w:kern w:val="0"/>
          <w:lang w:val="en-US"/>
          <w14:ligatures w14:val="none"/>
        </w:rPr>
        <w:t>. 50Minutes.</w:t>
      </w:r>
    </w:p>
    <w:p w14:paraId="7E0365B9"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find-and-update.company-information.service.gov.uk. (2023). </w:t>
      </w:r>
      <w:r w:rsidRPr="00C45331">
        <w:rPr>
          <w:rFonts w:ascii="Arial" w:eastAsiaTheme="minorEastAsia" w:hAnsi="Arial" w:cs="Arial"/>
          <w:i/>
          <w:iCs/>
          <w:color w:val="44546A" w:themeColor="text2"/>
          <w:kern w:val="0"/>
          <w:lang w:val="en-US"/>
          <w14:ligatures w14:val="none"/>
        </w:rPr>
        <w:t>THE FURNITURE PRACTICE LIMITED filing history - Find and update company information - GOV.UK</w:t>
      </w:r>
      <w:r w:rsidRPr="00C45331">
        <w:rPr>
          <w:rFonts w:ascii="Arial" w:eastAsiaTheme="minorEastAsia" w:hAnsi="Arial" w:cs="Arial"/>
          <w:color w:val="44546A" w:themeColor="text2"/>
          <w:kern w:val="0"/>
          <w:lang w:val="en-US"/>
          <w14:ligatures w14:val="none"/>
        </w:rPr>
        <w:t xml:space="preserve">. [online] Available at: </w:t>
      </w:r>
      <w:hyperlink r:id="rId15" w:history="1">
        <w:r w:rsidRPr="00C45331">
          <w:rPr>
            <w:rFonts w:ascii="Arial" w:eastAsiaTheme="minorEastAsia" w:hAnsi="Arial" w:cs="Arial"/>
            <w:color w:val="44546A" w:themeColor="text2"/>
            <w:kern w:val="0"/>
            <w:lang w:val="en-US"/>
            <w14:ligatures w14:val="none"/>
          </w:rPr>
          <w:t>https://find-and-update.company-information.service.gov.uk/company/03470956/filing-history</w:t>
        </w:r>
      </w:hyperlink>
      <w:r w:rsidRPr="00C45331">
        <w:rPr>
          <w:rFonts w:ascii="Arial" w:eastAsiaTheme="minorEastAsia" w:hAnsi="Arial" w:cs="Arial"/>
          <w:color w:val="44546A" w:themeColor="text2"/>
          <w:kern w:val="0"/>
          <w:lang w:val="en-US"/>
          <w14:ligatures w14:val="none"/>
        </w:rPr>
        <w:t xml:space="preserve"> [Accessed 11 Apr. 2023].</w:t>
      </w:r>
    </w:p>
    <w:p w14:paraId="636254FA"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Grundy, T. (2018). Rethinking and Reinventing Michael Porter’s Five Forces Model. </w:t>
      </w:r>
      <w:r w:rsidRPr="00C45331">
        <w:rPr>
          <w:rFonts w:ascii="Arial" w:eastAsiaTheme="minorEastAsia" w:hAnsi="Arial" w:cs="Arial"/>
          <w:i/>
          <w:iCs/>
          <w:color w:val="44546A" w:themeColor="text2"/>
          <w:kern w:val="0"/>
          <w:lang w:val="en-US"/>
          <w14:ligatures w14:val="none"/>
        </w:rPr>
        <w:t>Strategic Change</w:t>
      </w:r>
      <w:r w:rsidRPr="00C45331">
        <w:rPr>
          <w:rFonts w:ascii="Arial" w:eastAsiaTheme="minorEastAsia" w:hAnsi="Arial" w:cs="Arial"/>
          <w:color w:val="44546A" w:themeColor="text2"/>
          <w:kern w:val="0"/>
          <w:lang w:val="en-US"/>
          <w14:ligatures w14:val="none"/>
        </w:rPr>
        <w:t>, [online] 15(5), pp.213–229. doi:</w:t>
      </w:r>
      <w:hyperlink r:id="rId16" w:history="1">
        <w:r w:rsidRPr="00C45331">
          <w:rPr>
            <w:rFonts w:ascii="Arial" w:eastAsiaTheme="minorEastAsia" w:hAnsi="Arial" w:cs="Arial"/>
            <w:color w:val="44546A" w:themeColor="text2"/>
            <w:kern w:val="0"/>
            <w:lang w:val="en-US"/>
            <w14:ligatures w14:val="none"/>
          </w:rPr>
          <w:t>https://doi.org/10.1002/JSC.764</w:t>
        </w:r>
      </w:hyperlink>
      <w:r w:rsidRPr="00C45331">
        <w:rPr>
          <w:rFonts w:ascii="Arial" w:eastAsiaTheme="minorEastAsia" w:hAnsi="Arial" w:cs="Arial"/>
          <w:color w:val="44546A" w:themeColor="text2"/>
          <w:kern w:val="0"/>
          <w:lang w:val="en-US"/>
          <w14:ligatures w14:val="none"/>
        </w:rPr>
        <w:t>.</w:t>
      </w:r>
    </w:p>
    <w:p w14:paraId="4E62F4E1"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Harvard Business School (2023). </w:t>
      </w:r>
      <w:r w:rsidRPr="00C45331">
        <w:rPr>
          <w:rFonts w:ascii="Arial" w:eastAsiaTheme="minorEastAsia" w:hAnsi="Arial" w:cs="Arial"/>
          <w:i/>
          <w:iCs/>
          <w:color w:val="44546A" w:themeColor="text2"/>
          <w:kern w:val="0"/>
          <w:lang w:val="en-US"/>
          <w14:ligatures w14:val="none"/>
        </w:rPr>
        <w:t>The Five Forces</w:t>
      </w:r>
      <w:r w:rsidRPr="00C45331">
        <w:rPr>
          <w:rFonts w:ascii="Arial" w:eastAsiaTheme="minorEastAsia" w:hAnsi="Arial" w:cs="Arial"/>
          <w:color w:val="44546A" w:themeColor="text2"/>
          <w:kern w:val="0"/>
          <w:lang w:val="en-US"/>
          <w14:ligatures w14:val="none"/>
        </w:rPr>
        <w:t xml:space="preserve">. [online] Harvard Business School. Available at: </w:t>
      </w:r>
      <w:hyperlink r:id="rId17" w:history="1">
        <w:r w:rsidRPr="00C45331">
          <w:rPr>
            <w:rFonts w:ascii="Arial" w:eastAsiaTheme="minorEastAsia" w:hAnsi="Arial" w:cs="Arial"/>
            <w:color w:val="44546A" w:themeColor="text2"/>
            <w:kern w:val="0"/>
            <w:lang w:val="en-US"/>
            <w14:ligatures w14:val="none"/>
          </w:rPr>
          <w:t>https://www.isc.hbs.edu/strategy/business-strategy/Pages/the-five-forces.aspx</w:t>
        </w:r>
      </w:hyperlink>
      <w:r w:rsidRPr="00C45331">
        <w:rPr>
          <w:rFonts w:ascii="Arial" w:eastAsiaTheme="minorEastAsia" w:hAnsi="Arial" w:cs="Arial"/>
          <w:color w:val="44546A" w:themeColor="text2"/>
          <w:kern w:val="0"/>
          <w:lang w:val="en-US"/>
          <w14:ligatures w14:val="none"/>
        </w:rPr>
        <w:t xml:space="preserve"> [Accessed 23 Apr. 2023].</w:t>
      </w:r>
    </w:p>
    <w:p w14:paraId="45593175"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Hayes, A. (2022). </w:t>
      </w:r>
      <w:r w:rsidRPr="00C45331">
        <w:rPr>
          <w:rFonts w:ascii="Arial" w:eastAsiaTheme="minorEastAsia" w:hAnsi="Arial" w:cs="Arial"/>
          <w:i/>
          <w:iCs/>
          <w:color w:val="44546A" w:themeColor="text2"/>
          <w:kern w:val="0"/>
          <w:lang w:val="en-US"/>
          <w14:ligatures w14:val="none"/>
        </w:rPr>
        <w:t>Reading the BCG Growth-Share Matrix</w:t>
      </w:r>
      <w:r w:rsidRPr="00C45331">
        <w:rPr>
          <w:rFonts w:ascii="Arial" w:eastAsiaTheme="minorEastAsia" w:hAnsi="Arial" w:cs="Arial"/>
          <w:color w:val="44546A" w:themeColor="text2"/>
          <w:kern w:val="0"/>
          <w:lang w:val="en-US"/>
          <w14:ligatures w14:val="none"/>
        </w:rPr>
        <w:t xml:space="preserve">. [online] Investopedia. Available at: </w:t>
      </w:r>
      <w:hyperlink r:id="rId18" w:history="1">
        <w:r w:rsidRPr="00C45331">
          <w:rPr>
            <w:rFonts w:ascii="Arial" w:eastAsiaTheme="minorEastAsia" w:hAnsi="Arial" w:cs="Arial"/>
            <w:color w:val="44546A" w:themeColor="text2"/>
            <w:kern w:val="0"/>
            <w:lang w:val="en-US"/>
            <w14:ligatures w14:val="none"/>
          </w:rPr>
          <w:t>https://www.investopedia.com/terms/b/bcg.asp</w:t>
        </w:r>
      </w:hyperlink>
      <w:r w:rsidRPr="00C45331">
        <w:rPr>
          <w:rFonts w:ascii="Arial" w:eastAsiaTheme="minorEastAsia" w:hAnsi="Arial" w:cs="Arial"/>
          <w:color w:val="44546A" w:themeColor="text2"/>
          <w:kern w:val="0"/>
          <w:lang w:val="en-US"/>
          <w14:ligatures w14:val="none"/>
        </w:rPr>
        <w:t xml:space="preserve"> [Accessed 28 Apr. 2023].</w:t>
      </w:r>
    </w:p>
    <w:p w14:paraId="09CB278E" w14:textId="611CCD8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Hyunjoo Oh*</w:t>
      </w:r>
      <w:r w:rsidR="005F6A94" w:rsidRPr="00C45331">
        <w:rPr>
          <w:rFonts w:ascii="Cambria Math" w:eastAsiaTheme="minorEastAsia" w:hAnsi="Cambria Math" w:cs="Cambria Math"/>
          <w:color w:val="44546A" w:themeColor="text2"/>
          <w:kern w:val="0"/>
          <w:lang w:val="en-US"/>
          <w14:ligatures w14:val="none"/>
        </w:rPr>
        <w:t>∗</w:t>
      </w:r>
      <w:r w:rsidR="005F6A94" w:rsidRPr="00C45331">
        <w:rPr>
          <w:rFonts w:ascii="Arial" w:eastAsiaTheme="minorEastAsia" w:hAnsi="Arial" w:cs="Arial"/>
          <w:color w:val="44546A" w:themeColor="text2"/>
          <w:kern w:val="0"/>
          <w:lang w:val="en-US"/>
          <w14:ligatures w14:val="none"/>
        </w:rPr>
        <w:t>,</w:t>
      </w:r>
      <w:r w:rsidRPr="00C45331">
        <w:rPr>
          <w:rFonts w:ascii="Arial" w:eastAsiaTheme="minorEastAsia" w:hAnsi="Arial" w:cs="Arial"/>
          <w:color w:val="44546A" w:themeColor="text2"/>
          <w:kern w:val="0"/>
          <w:lang w:val="en-US"/>
          <w14:ligatures w14:val="none"/>
        </w:rPr>
        <w:t xml:space="preserve"> So-Yeon Yoon*, &amp; Jana Hawley, (2004). What virtual reality can offer to the furniture industry. In: </w:t>
      </w:r>
      <w:r w:rsidRPr="00C45331">
        <w:rPr>
          <w:rFonts w:ascii="Arial" w:eastAsiaTheme="minorEastAsia" w:hAnsi="Arial" w:cs="Arial"/>
          <w:i/>
          <w:iCs/>
          <w:color w:val="44546A" w:themeColor="text2"/>
          <w:kern w:val="0"/>
          <w:lang w:val="en-US"/>
          <w14:ligatures w14:val="none"/>
        </w:rPr>
        <w:t>University of Missouri at Columbia</w:t>
      </w:r>
      <w:r w:rsidRPr="00C45331">
        <w:rPr>
          <w:rFonts w:ascii="Arial" w:eastAsiaTheme="minorEastAsia" w:hAnsi="Arial" w:cs="Arial"/>
          <w:color w:val="44546A" w:themeColor="text2"/>
          <w:kern w:val="0"/>
          <w:lang w:val="en-US"/>
          <w14:ligatures w14:val="none"/>
        </w:rPr>
        <w:t>.</w:t>
      </w:r>
    </w:p>
    <w:p w14:paraId="51B92217"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Icons of Denmark (2020). </w:t>
      </w:r>
      <w:r w:rsidRPr="00C45331">
        <w:rPr>
          <w:rFonts w:ascii="Arial" w:eastAsiaTheme="minorEastAsia" w:hAnsi="Arial" w:cs="Arial"/>
          <w:i/>
          <w:iCs/>
          <w:color w:val="44546A" w:themeColor="text2"/>
          <w:kern w:val="0"/>
          <w:lang w:val="en-US"/>
          <w14:ligatures w14:val="none"/>
        </w:rPr>
        <w:t>Sustainability in the Furniture Industry? | Insight</w:t>
      </w:r>
      <w:r w:rsidRPr="00C45331">
        <w:rPr>
          <w:rFonts w:ascii="Arial" w:eastAsiaTheme="minorEastAsia" w:hAnsi="Arial" w:cs="Arial"/>
          <w:color w:val="44546A" w:themeColor="text2"/>
          <w:kern w:val="0"/>
          <w:lang w:val="en-US"/>
          <w14:ligatures w14:val="none"/>
        </w:rPr>
        <w:t xml:space="preserve">. [online] Icons of Denmark. Available at: </w:t>
      </w:r>
      <w:hyperlink r:id="rId19" w:history="1">
        <w:r w:rsidRPr="00C45331">
          <w:rPr>
            <w:rFonts w:ascii="Arial" w:eastAsiaTheme="minorEastAsia" w:hAnsi="Arial" w:cs="Arial"/>
            <w:color w:val="44546A" w:themeColor="text2"/>
            <w:kern w:val="0"/>
            <w:lang w:val="en-US"/>
            <w14:ligatures w14:val="none"/>
          </w:rPr>
          <w:t>https://www.iconsofdenmark.dk/what-is-sustainability-and-how-does-it-affect-the-furniture-industry/</w:t>
        </w:r>
      </w:hyperlink>
      <w:r w:rsidRPr="00C45331">
        <w:rPr>
          <w:rFonts w:ascii="Arial" w:eastAsiaTheme="minorEastAsia" w:hAnsi="Arial" w:cs="Arial"/>
          <w:color w:val="44546A" w:themeColor="text2"/>
          <w:kern w:val="0"/>
          <w:lang w:val="en-US"/>
          <w14:ligatures w14:val="none"/>
        </w:rPr>
        <w:t xml:space="preserve"> [Accessed 18 Apr. 2023].</w:t>
      </w:r>
    </w:p>
    <w:p w14:paraId="465DAC57"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Johnson and Gerry (2016). </w:t>
      </w:r>
      <w:r w:rsidRPr="00C45331">
        <w:rPr>
          <w:rFonts w:ascii="Arial" w:eastAsiaTheme="minorEastAsia" w:hAnsi="Arial" w:cs="Arial"/>
          <w:i/>
          <w:iCs/>
          <w:color w:val="44546A" w:themeColor="text2"/>
          <w:kern w:val="0"/>
          <w:lang w:val="en-US"/>
          <w14:ligatures w14:val="none"/>
        </w:rPr>
        <w:t>Logon Vle Books</w:t>
      </w:r>
      <w:r w:rsidRPr="00C45331">
        <w:rPr>
          <w:rFonts w:ascii="Arial" w:eastAsiaTheme="minorEastAsia" w:hAnsi="Arial" w:cs="Arial"/>
          <w:color w:val="44546A" w:themeColor="text2"/>
          <w:kern w:val="0"/>
          <w:lang w:val="en-US"/>
          <w14:ligatures w14:val="none"/>
        </w:rPr>
        <w:t xml:space="preserve">. [online] r1.vlereader.com. Available at: </w:t>
      </w:r>
      <w:hyperlink r:id="rId20" w:history="1">
        <w:r w:rsidRPr="00C45331">
          <w:rPr>
            <w:rFonts w:ascii="Arial" w:eastAsiaTheme="minorEastAsia" w:hAnsi="Arial" w:cs="Arial"/>
            <w:color w:val="44546A" w:themeColor="text2"/>
            <w:kern w:val="0"/>
            <w:lang w:val="en-US"/>
            <w14:ligatures w14:val="none"/>
          </w:rPr>
          <w:t>https://r1.vlereader.com/Reader?ean=9781292145136#</w:t>
        </w:r>
      </w:hyperlink>
      <w:r w:rsidRPr="00C45331">
        <w:rPr>
          <w:rFonts w:ascii="Arial" w:eastAsiaTheme="minorEastAsia" w:hAnsi="Arial" w:cs="Arial"/>
          <w:color w:val="44546A" w:themeColor="text2"/>
          <w:kern w:val="0"/>
          <w:lang w:val="en-US"/>
          <w14:ligatures w14:val="none"/>
        </w:rPr>
        <w:t xml:space="preserve"> [Accessed 13 Apr. 2023].</w:t>
      </w:r>
    </w:p>
    <w:p w14:paraId="12A9533C"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Johnson, G., Scholes, K. and Whittington, R. (2017). </w:t>
      </w:r>
      <w:r w:rsidRPr="00C45331">
        <w:rPr>
          <w:rFonts w:ascii="Arial" w:eastAsiaTheme="minorEastAsia" w:hAnsi="Arial" w:cs="Arial"/>
          <w:i/>
          <w:iCs/>
          <w:color w:val="44546A" w:themeColor="text2"/>
          <w:kern w:val="0"/>
          <w:lang w:val="en-US"/>
          <w14:ligatures w14:val="none"/>
        </w:rPr>
        <w:t>https://librarysearch.uwtsd.ac.uk/discovery/fulldisplay?docid=alma99100313060102421&amp;context=L&amp;vid=44WHELF_UWTSD:44WHELF_UWTSD_VU1&amp;lang=en&amp;search_scope=Search_ELEC&amp;adaptor=Local%2520Search%2520Engine&amp;tab=Everything&amp;query=any</w:t>
      </w:r>
      <w:r w:rsidRPr="00C45331">
        <w:rPr>
          <w:rFonts w:ascii="Arial" w:eastAsiaTheme="minorEastAsia" w:hAnsi="Arial" w:cs="Arial"/>
          <w:color w:val="44546A" w:themeColor="text2"/>
          <w:kern w:val="0"/>
          <w:lang w:val="en-US"/>
          <w14:ligatures w14:val="none"/>
        </w:rPr>
        <w:t xml:space="preserve">. [online] librarysearch.uwtsd.ac.uk. Available at: </w:t>
      </w:r>
      <w:hyperlink r:id="rId21" w:history="1">
        <w:r w:rsidRPr="00C45331">
          <w:rPr>
            <w:rFonts w:ascii="Arial" w:eastAsiaTheme="minorEastAsia" w:hAnsi="Arial" w:cs="Arial"/>
            <w:color w:val="44546A" w:themeColor="text2"/>
            <w:kern w:val="0"/>
            <w:lang w:val="en-US"/>
            <w14:ligatures w14:val="none"/>
          </w:rPr>
          <w:t>https://librarysearch.uwtsd.ac.uk/discovery/fulldisplay?docid=alma99100313060102421&amp;context=L&amp;vid=44WHELF_UWTSD:44WHELF_UWTSD_VU1&amp;lang=en&amp;search_scope=Search_ELEC&amp;adaptor=Local%20Search%20Engine&amp;tab=Everything&amp;query=any</w:t>
        </w:r>
      </w:hyperlink>
      <w:r w:rsidRPr="00C45331">
        <w:rPr>
          <w:rFonts w:ascii="Arial" w:eastAsiaTheme="minorEastAsia" w:hAnsi="Arial" w:cs="Arial"/>
          <w:color w:val="44546A" w:themeColor="text2"/>
          <w:kern w:val="0"/>
          <w:lang w:val="en-US"/>
          <w14:ligatures w14:val="none"/>
        </w:rPr>
        <w:t xml:space="preserve"> [Accessed 13 Apr. 2023].</w:t>
      </w:r>
    </w:p>
    <w:p w14:paraId="04EADF2C"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Johnson, G., Scholes, K. and Whittington, R. (2008). </w:t>
      </w:r>
      <w:r w:rsidRPr="00C45331">
        <w:rPr>
          <w:rFonts w:ascii="Arial" w:eastAsiaTheme="minorEastAsia" w:hAnsi="Arial" w:cs="Arial"/>
          <w:i/>
          <w:iCs/>
          <w:color w:val="44546A" w:themeColor="text2"/>
          <w:kern w:val="0"/>
          <w:lang w:val="en-US"/>
          <w14:ligatures w14:val="none"/>
        </w:rPr>
        <w:t xml:space="preserve">Exploring Corporate Strategy: Text and </w:t>
      </w:r>
      <w:r w:rsidRPr="00C45331">
        <w:rPr>
          <w:rFonts w:ascii="Arial" w:eastAsiaTheme="minorEastAsia" w:hAnsi="Arial" w:cs="Arial"/>
          <w:i/>
          <w:iCs/>
          <w:color w:val="44546A" w:themeColor="text2"/>
          <w:kern w:val="0"/>
          <w:lang w:val="en-US"/>
          <w14:ligatures w14:val="none"/>
        </w:rPr>
        <w:lastRenderedPageBreak/>
        <w:t>Cases</w:t>
      </w:r>
      <w:r w:rsidRPr="00C45331">
        <w:rPr>
          <w:rFonts w:ascii="Arial" w:eastAsiaTheme="minorEastAsia" w:hAnsi="Arial" w:cs="Arial"/>
          <w:color w:val="44546A" w:themeColor="text2"/>
          <w:kern w:val="0"/>
          <w:lang w:val="en-US"/>
          <w14:ligatures w14:val="none"/>
        </w:rPr>
        <w:t xml:space="preserve">. [online] </w:t>
      </w:r>
      <w:r w:rsidRPr="00C45331">
        <w:rPr>
          <w:rFonts w:ascii="Arial" w:eastAsiaTheme="minorEastAsia" w:hAnsi="Arial" w:cs="Arial"/>
          <w:i/>
          <w:iCs/>
          <w:color w:val="44546A" w:themeColor="text2"/>
          <w:kern w:val="0"/>
          <w:lang w:val="en-US"/>
          <w14:ligatures w14:val="none"/>
        </w:rPr>
        <w:t>Google Books</w:t>
      </w:r>
      <w:r w:rsidRPr="00C45331">
        <w:rPr>
          <w:rFonts w:ascii="Arial" w:eastAsiaTheme="minorEastAsia" w:hAnsi="Arial" w:cs="Arial"/>
          <w:color w:val="44546A" w:themeColor="text2"/>
          <w:kern w:val="0"/>
          <w:lang w:val="en-US"/>
          <w14:ligatures w14:val="none"/>
        </w:rPr>
        <w:t xml:space="preserve">. Financial Times Prentice Hall. Available at: </w:t>
      </w:r>
      <w:hyperlink r:id="rId22" w:anchor="v=onepage&amp;q=Exploring%20strategy%20%3A%20text%20and%20cases&amp;f=false" w:history="1">
        <w:r w:rsidRPr="00C45331">
          <w:rPr>
            <w:rFonts w:ascii="Arial" w:eastAsiaTheme="minorEastAsia" w:hAnsi="Arial" w:cs="Arial"/>
            <w:color w:val="44546A" w:themeColor="text2"/>
            <w:kern w:val="0"/>
            <w:lang w:val="en-US"/>
            <w14:ligatures w14:val="none"/>
          </w:rPr>
          <w:t>https://books.google.co.uk/books?hl=hu&amp;lr=&amp;id=8KS4gKNgLysC&amp;oi=fnd&amp;pg=PA1&amp;dq=Exploring+strategy+:+text+and+cases&amp;ots=ZG_LQ4gJQC&amp;sig=CBFYf8MvVOPO9ew_jMfq-gfdXJY&amp;redir_esc=y#v=onepage&amp;q=Exploring%20strategy%20%3A%20text%20and%20cases&amp;f=false</w:t>
        </w:r>
      </w:hyperlink>
      <w:r w:rsidRPr="00C45331">
        <w:rPr>
          <w:rFonts w:ascii="Arial" w:eastAsiaTheme="minorEastAsia" w:hAnsi="Arial" w:cs="Arial"/>
          <w:color w:val="44546A" w:themeColor="text2"/>
          <w:kern w:val="0"/>
          <w:lang w:val="en-US"/>
          <w14:ligatures w14:val="none"/>
        </w:rPr>
        <w:t xml:space="preserve"> [Accessed 10 Apr. 2023].</w:t>
      </w:r>
    </w:p>
    <w:p w14:paraId="41803B34"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Kingsnorth, S. (2022). </w:t>
      </w:r>
      <w:r w:rsidRPr="00C45331">
        <w:rPr>
          <w:rFonts w:ascii="Arial" w:eastAsiaTheme="minorEastAsia" w:hAnsi="Arial" w:cs="Arial"/>
          <w:i/>
          <w:iCs/>
          <w:color w:val="44546A" w:themeColor="text2"/>
          <w:kern w:val="0"/>
          <w:lang w:val="en-US"/>
          <w14:ligatures w14:val="none"/>
        </w:rPr>
        <w:t>Digital Marketing Strategy: An Integrated Approach to Online Marketing</w:t>
      </w:r>
      <w:r w:rsidRPr="00C45331">
        <w:rPr>
          <w:rFonts w:ascii="Arial" w:eastAsiaTheme="minorEastAsia" w:hAnsi="Arial" w:cs="Arial"/>
          <w:color w:val="44546A" w:themeColor="text2"/>
          <w:kern w:val="0"/>
          <w:lang w:val="en-US"/>
          <w14:ligatures w14:val="none"/>
        </w:rPr>
        <w:t xml:space="preserve">. [online] </w:t>
      </w:r>
      <w:r w:rsidRPr="00C45331">
        <w:rPr>
          <w:rFonts w:ascii="Arial" w:eastAsiaTheme="minorEastAsia" w:hAnsi="Arial" w:cs="Arial"/>
          <w:i/>
          <w:iCs/>
          <w:color w:val="44546A" w:themeColor="text2"/>
          <w:kern w:val="0"/>
          <w:lang w:val="en-US"/>
          <w14:ligatures w14:val="none"/>
        </w:rPr>
        <w:t>Google Books</w:t>
      </w:r>
      <w:r w:rsidRPr="00C45331">
        <w:rPr>
          <w:rFonts w:ascii="Arial" w:eastAsiaTheme="minorEastAsia" w:hAnsi="Arial" w:cs="Arial"/>
          <w:color w:val="44546A" w:themeColor="text2"/>
          <w:kern w:val="0"/>
          <w:lang w:val="en-US"/>
          <w14:ligatures w14:val="none"/>
        </w:rPr>
        <w:t xml:space="preserve">. Kogan Page Publishers. Available at: </w:t>
      </w:r>
      <w:hyperlink r:id="rId23" w:anchor="v=onepage&amp;q=Digital%20Marketing%20Strategy&amp;f=false" w:history="1">
        <w:r w:rsidRPr="00C45331">
          <w:rPr>
            <w:rFonts w:ascii="Arial" w:eastAsiaTheme="minorEastAsia" w:hAnsi="Arial" w:cs="Arial"/>
            <w:color w:val="44546A" w:themeColor="text2"/>
            <w:kern w:val="0"/>
            <w:lang w:val="en-US"/>
            <w14:ligatures w14:val="none"/>
          </w:rPr>
          <w:t>https://books.google.co.uk/books?hl=hu&amp;lr=&amp;id=acdsEAAAQBAJ&amp;oi=fnd&amp;pg=PP1&amp;dq=Digital+Marketing+Strategy&amp;ots=Ztik33GxnS&amp;sig=Vjxsjc0g_y_hd_VUlch8JLNjrh0&amp;redir_esc=y#v=onepage&amp;q=Digital%20Marketing%20Strategy&amp;f=false</w:t>
        </w:r>
      </w:hyperlink>
      <w:r w:rsidRPr="00C45331">
        <w:rPr>
          <w:rFonts w:ascii="Arial" w:eastAsiaTheme="minorEastAsia" w:hAnsi="Arial" w:cs="Arial"/>
          <w:color w:val="44546A" w:themeColor="text2"/>
          <w:kern w:val="0"/>
          <w:lang w:val="en-US"/>
          <w14:ligatures w14:val="none"/>
        </w:rPr>
        <w:t xml:space="preserve"> [Accessed 11 Apr. 2023].</w:t>
      </w:r>
    </w:p>
    <w:p w14:paraId="6F6C17C6" w14:textId="07929EB5"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Lamberti, L. (2013). Customer centricity: the </w:t>
      </w:r>
      <w:r w:rsidR="005F6A94" w:rsidRPr="00C45331">
        <w:rPr>
          <w:rFonts w:ascii="Arial" w:eastAsiaTheme="minorEastAsia" w:hAnsi="Arial" w:cs="Arial"/>
          <w:color w:val="44546A" w:themeColor="text2"/>
          <w:kern w:val="0"/>
          <w:lang w:val="en-US"/>
          <w14:ligatures w14:val="none"/>
        </w:rPr>
        <w:t>construction</w:t>
      </w:r>
      <w:r w:rsidRPr="00C45331">
        <w:rPr>
          <w:rFonts w:ascii="Arial" w:eastAsiaTheme="minorEastAsia" w:hAnsi="Arial" w:cs="Arial"/>
          <w:color w:val="44546A" w:themeColor="text2"/>
          <w:kern w:val="0"/>
          <w:lang w:val="en-US"/>
          <w14:ligatures w14:val="none"/>
        </w:rPr>
        <w:t xml:space="preserve"> and the operational antecedents. </w:t>
      </w:r>
      <w:r w:rsidRPr="00C45331">
        <w:rPr>
          <w:rFonts w:ascii="Arial" w:eastAsiaTheme="minorEastAsia" w:hAnsi="Arial" w:cs="Arial"/>
          <w:i/>
          <w:iCs/>
          <w:color w:val="44546A" w:themeColor="text2"/>
          <w:kern w:val="0"/>
          <w:lang w:val="en-US"/>
          <w14:ligatures w14:val="none"/>
        </w:rPr>
        <w:t>Journal of Strategic Marketing</w:t>
      </w:r>
      <w:r w:rsidRPr="00C45331">
        <w:rPr>
          <w:rFonts w:ascii="Arial" w:eastAsiaTheme="minorEastAsia" w:hAnsi="Arial" w:cs="Arial"/>
          <w:color w:val="44546A" w:themeColor="text2"/>
          <w:kern w:val="0"/>
          <w:lang w:val="en-US"/>
          <w14:ligatures w14:val="none"/>
        </w:rPr>
        <w:t>, 21(7), pp.588–612. doi:</w:t>
      </w:r>
      <w:hyperlink r:id="rId24" w:history="1">
        <w:r w:rsidRPr="00C45331">
          <w:rPr>
            <w:rFonts w:ascii="Arial" w:eastAsiaTheme="minorEastAsia" w:hAnsi="Arial" w:cs="Arial"/>
            <w:color w:val="44546A" w:themeColor="text2"/>
            <w:kern w:val="0"/>
            <w:lang w:val="en-US"/>
            <w14:ligatures w14:val="none"/>
          </w:rPr>
          <w:t>https://doi.org/10.1080/0965254x.2013.817476</w:t>
        </w:r>
      </w:hyperlink>
      <w:r w:rsidRPr="00C45331">
        <w:rPr>
          <w:rFonts w:ascii="Arial" w:eastAsiaTheme="minorEastAsia" w:hAnsi="Arial" w:cs="Arial"/>
          <w:color w:val="44546A" w:themeColor="text2"/>
          <w:kern w:val="0"/>
          <w:lang w:val="en-US"/>
          <w14:ligatures w14:val="none"/>
        </w:rPr>
        <w:t>.</w:t>
      </w:r>
    </w:p>
    <w:p w14:paraId="20D8F7A0"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Lynch L, R. (2018). </w:t>
      </w:r>
      <w:r w:rsidRPr="00C45331">
        <w:rPr>
          <w:rFonts w:ascii="Arial" w:eastAsiaTheme="minorEastAsia" w:hAnsi="Arial" w:cs="Arial"/>
          <w:i/>
          <w:iCs/>
          <w:color w:val="44546A" w:themeColor="text2"/>
          <w:kern w:val="0"/>
          <w:lang w:val="en-US"/>
          <w14:ligatures w14:val="none"/>
        </w:rPr>
        <w:t>ProQuest &amp; Ex Libris Support</w:t>
      </w:r>
      <w:r w:rsidRPr="00C45331">
        <w:rPr>
          <w:rFonts w:ascii="Arial" w:eastAsiaTheme="minorEastAsia" w:hAnsi="Arial" w:cs="Arial"/>
          <w:color w:val="44546A" w:themeColor="text2"/>
          <w:kern w:val="0"/>
          <w:lang w:val="en-US"/>
          <w14:ligatures w14:val="none"/>
        </w:rPr>
        <w:t xml:space="preserve">. [online] support.proquest.com. Available at: </w:t>
      </w:r>
      <w:hyperlink r:id="rId25" w:history="1">
        <w:r w:rsidRPr="00C45331">
          <w:rPr>
            <w:rFonts w:ascii="Arial" w:eastAsiaTheme="minorEastAsia" w:hAnsi="Arial" w:cs="Arial"/>
            <w:color w:val="44546A" w:themeColor="text2"/>
            <w:kern w:val="0"/>
            <w:lang w:val="en-US"/>
            <w14:ligatures w14:val="none"/>
          </w:rPr>
          <w:t>https://support.proquest.com/s/article/Accessibility-Statement-Ebook-Central?language=en_US</w:t>
        </w:r>
      </w:hyperlink>
      <w:r w:rsidRPr="00C45331">
        <w:rPr>
          <w:rFonts w:ascii="Arial" w:eastAsiaTheme="minorEastAsia" w:hAnsi="Arial" w:cs="Arial"/>
          <w:color w:val="44546A" w:themeColor="text2"/>
          <w:kern w:val="0"/>
          <w:lang w:val="en-US"/>
          <w14:ligatures w14:val="none"/>
        </w:rPr>
        <w:t xml:space="preserve"> [Accessed 10 Apr. 2023].</w:t>
      </w:r>
    </w:p>
    <w:p w14:paraId="3EA06FCB"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Mintzberg, H. (1978). Patterns in Strategy Formation. </w:t>
      </w:r>
      <w:r w:rsidRPr="00C45331">
        <w:rPr>
          <w:rFonts w:ascii="Arial" w:eastAsiaTheme="minorEastAsia" w:hAnsi="Arial" w:cs="Arial"/>
          <w:i/>
          <w:iCs/>
          <w:color w:val="44546A" w:themeColor="text2"/>
          <w:kern w:val="0"/>
          <w:lang w:val="en-US"/>
          <w14:ligatures w14:val="none"/>
        </w:rPr>
        <w:t>Management Science</w:t>
      </w:r>
      <w:r w:rsidRPr="00C45331">
        <w:rPr>
          <w:rFonts w:ascii="Arial" w:eastAsiaTheme="minorEastAsia" w:hAnsi="Arial" w:cs="Arial"/>
          <w:color w:val="44546A" w:themeColor="text2"/>
          <w:kern w:val="0"/>
          <w:lang w:val="en-US"/>
          <w14:ligatures w14:val="none"/>
        </w:rPr>
        <w:t>, 24(9), pp.934–948.</w:t>
      </w:r>
    </w:p>
    <w:p w14:paraId="2BEDA134"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Nicholas, J. (2022). </w:t>
      </w:r>
      <w:r w:rsidRPr="00C45331">
        <w:rPr>
          <w:rFonts w:ascii="Arial" w:eastAsiaTheme="minorEastAsia" w:hAnsi="Arial" w:cs="Arial"/>
          <w:i/>
          <w:iCs/>
          <w:color w:val="44546A" w:themeColor="text2"/>
          <w:kern w:val="0"/>
          <w:lang w:val="en-US"/>
          <w14:ligatures w14:val="none"/>
        </w:rPr>
        <w:t>Introduction To VRIN Framework | VRIO Analysis | BusinessAnalystMentor.com</w:t>
      </w:r>
      <w:r w:rsidRPr="00C45331">
        <w:rPr>
          <w:rFonts w:ascii="Arial" w:eastAsiaTheme="minorEastAsia" w:hAnsi="Arial" w:cs="Arial"/>
          <w:color w:val="44546A" w:themeColor="text2"/>
          <w:kern w:val="0"/>
          <w:lang w:val="en-US"/>
          <w14:ligatures w14:val="none"/>
        </w:rPr>
        <w:t xml:space="preserve">. [online] businessanalystmentor.com. Available at: </w:t>
      </w:r>
      <w:hyperlink r:id="rId26" w:history="1">
        <w:r w:rsidRPr="00C45331">
          <w:rPr>
            <w:rFonts w:ascii="Arial" w:eastAsiaTheme="minorEastAsia" w:hAnsi="Arial" w:cs="Arial"/>
            <w:color w:val="44546A" w:themeColor="text2"/>
            <w:kern w:val="0"/>
            <w:lang w:val="en-US"/>
            <w14:ligatures w14:val="none"/>
          </w:rPr>
          <w:t>https://businessanalystmentor.com/vrin-framework-vrio-analysis/</w:t>
        </w:r>
      </w:hyperlink>
      <w:r w:rsidRPr="00C45331">
        <w:rPr>
          <w:rFonts w:ascii="Arial" w:eastAsiaTheme="minorEastAsia" w:hAnsi="Arial" w:cs="Arial"/>
          <w:color w:val="44546A" w:themeColor="text2"/>
          <w:kern w:val="0"/>
          <w:lang w:val="en-US"/>
          <w14:ligatures w14:val="none"/>
        </w:rPr>
        <w:t xml:space="preserve"> [Accessed 23 Feb. 2023].</w:t>
      </w:r>
    </w:p>
    <w:p w14:paraId="564E154A"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Oly, N., Nelson (2013). </w:t>
      </w:r>
      <w:r w:rsidRPr="00C45331">
        <w:rPr>
          <w:rFonts w:ascii="Arial" w:eastAsiaTheme="minorEastAsia" w:hAnsi="Arial" w:cs="Arial"/>
          <w:i/>
          <w:iCs/>
          <w:color w:val="44546A" w:themeColor="text2"/>
          <w:kern w:val="0"/>
          <w:lang w:val="en-US"/>
          <w14:ligatures w14:val="none"/>
        </w:rPr>
        <w:t>Enterprise Development in SMEs and Entrepreneurial Firms: Dynamic Processes: Dynamic Processes</w:t>
      </w:r>
      <w:r w:rsidRPr="00C45331">
        <w:rPr>
          <w:rFonts w:ascii="Arial" w:eastAsiaTheme="minorEastAsia" w:hAnsi="Arial" w:cs="Arial"/>
          <w:color w:val="44546A" w:themeColor="text2"/>
          <w:kern w:val="0"/>
          <w:lang w:val="en-US"/>
          <w14:ligatures w14:val="none"/>
        </w:rPr>
        <w:t xml:space="preserve">. [online] </w:t>
      </w:r>
      <w:r w:rsidRPr="00C45331">
        <w:rPr>
          <w:rFonts w:ascii="Arial" w:eastAsiaTheme="minorEastAsia" w:hAnsi="Arial" w:cs="Arial"/>
          <w:i/>
          <w:iCs/>
          <w:color w:val="44546A" w:themeColor="text2"/>
          <w:kern w:val="0"/>
          <w:lang w:val="en-US"/>
          <w14:ligatures w14:val="none"/>
        </w:rPr>
        <w:t>Google Books</w:t>
      </w:r>
      <w:r w:rsidRPr="00C45331">
        <w:rPr>
          <w:rFonts w:ascii="Arial" w:eastAsiaTheme="minorEastAsia" w:hAnsi="Arial" w:cs="Arial"/>
          <w:color w:val="44546A" w:themeColor="text2"/>
          <w:kern w:val="0"/>
          <w:lang w:val="en-US"/>
          <w14:ligatures w14:val="none"/>
        </w:rPr>
        <w:t xml:space="preserve">. IGI Global. Available at: </w:t>
      </w:r>
      <w:hyperlink r:id="rId27" w:history="1">
        <w:r w:rsidRPr="00C45331">
          <w:rPr>
            <w:rFonts w:ascii="Arial" w:eastAsiaTheme="minorEastAsia" w:hAnsi="Arial" w:cs="Arial"/>
            <w:color w:val="44546A" w:themeColor="text2"/>
            <w:kern w:val="0"/>
            <w:lang w:val="en-US"/>
            <w14:ligatures w14:val="none"/>
          </w:rPr>
          <w:t>https://books.google.com/books?hl=hu&amp;lr=&amp;id=hsqeBQAAQBAJ&amp;oi=fnd&amp;pg=PR1&amp;dq=Enterprise+development+in+SMEs+and+entrepreneurial+firms+%5Belectronic+resource%5D+:+dynamic+processe&amp;ots=8wMHl4_v8p&amp;sig=jzZPTpVtl8hvD4jhYHQHWdFjrDg</w:t>
        </w:r>
      </w:hyperlink>
      <w:r w:rsidRPr="00C45331">
        <w:rPr>
          <w:rFonts w:ascii="Arial" w:eastAsiaTheme="minorEastAsia" w:hAnsi="Arial" w:cs="Arial"/>
          <w:color w:val="44546A" w:themeColor="text2"/>
          <w:kern w:val="0"/>
          <w:lang w:val="en-US"/>
          <w14:ligatures w14:val="none"/>
        </w:rPr>
        <w:t xml:space="preserve"> [Accessed 10 Apr. 2023].</w:t>
      </w:r>
    </w:p>
    <w:p w14:paraId="0C93AA14"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Papulova, Z. (2014). </w:t>
      </w:r>
      <w:r w:rsidRPr="00C45331">
        <w:rPr>
          <w:rFonts w:ascii="Arial" w:eastAsiaTheme="minorEastAsia" w:hAnsi="Arial" w:cs="Arial"/>
          <w:i/>
          <w:iCs/>
          <w:color w:val="44546A" w:themeColor="text2"/>
          <w:kern w:val="0"/>
          <w:lang w:val="en-US"/>
          <w14:ligatures w14:val="none"/>
        </w:rPr>
        <w:t>(PDF) The Significance of Vision and Mission Development for Enterprises in Slovak Republic</w:t>
      </w:r>
      <w:r w:rsidRPr="00C45331">
        <w:rPr>
          <w:rFonts w:ascii="Arial" w:eastAsiaTheme="minorEastAsia" w:hAnsi="Arial" w:cs="Arial"/>
          <w:color w:val="44546A" w:themeColor="text2"/>
          <w:kern w:val="0"/>
          <w:lang w:val="en-US"/>
          <w14:ligatures w14:val="none"/>
        </w:rPr>
        <w:t xml:space="preserve">. [online] ResearchGate. Available at: </w:t>
      </w:r>
      <w:hyperlink r:id="rId28" w:history="1">
        <w:r w:rsidRPr="00C45331">
          <w:rPr>
            <w:rFonts w:ascii="Arial" w:eastAsiaTheme="minorEastAsia" w:hAnsi="Arial" w:cs="Arial"/>
            <w:color w:val="44546A" w:themeColor="text2"/>
            <w:kern w:val="0"/>
            <w:lang w:val="en-US"/>
            <w14:ligatures w14:val="none"/>
          </w:rPr>
          <w:t>https://www.researchgate.net/publication/271293375_The_Significance_of_Vision_and_Mission_Development_for_Enterprises_in_Slovak_Republic</w:t>
        </w:r>
      </w:hyperlink>
      <w:r w:rsidRPr="00C45331">
        <w:rPr>
          <w:rFonts w:ascii="Arial" w:eastAsiaTheme="minorEastAsia" w:hAnsi="Arial" w:cs="Arial"/>
          <w:color w:val="44546A" w:themeColor="text2"/>
          <w:kern w:val="0"/>
          <w:lang w:val="en-US"/>
          <w14:ligatures w14:val="none"/>
        </w:rPr>
        <w:t xml:space="preserve"> [Accessed 23 Feb. 2023].</w:t>
      </w:r>
    </w:p>
    <w:p w14:paraId="17F06DDA"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lastRenderedPageBreak/>
        <w:t xml:space="preserve">Peng, X., Prybutok, V. and Xie, H. (2019). Integration of supply chain management and quality management within a quality focused organizational framework. </w:t>
      </w:r>
      <w:r w:rsidRPr="00C45331">
        <w:rPr>
          <w:rFonts w:ascii="Arial" w:eastAsiaTheme="minorEastAsia" w:hAnsi="Arial" w:cs="Arial"/>
          <w:i/>
          <w:iCs/>
          <w:color w:val="44546A" w:themeColor="text2"/>
          <w:kern w:val="0"/>
          <w:lang w:val="en-US"/>
          <w14:ligatures w14:val="none"/>
        </w:rPr>
        <w:t>International Journal of Production Research</w:t>
      </w:r>
      <w:r w:rsidRPr="00C45331">
        <w:rPr>
          <w:rFonts w:ascii="Arial" w:eastAsiaTheme="minorEastAsia" w:hAnsi="Arial" w:cs="Arial"/>
          <w:color w:val="44546A" w:themeColor="text2"/>
          <w:kern w:val="0"/>
          <w:lang w:val="en-US"/>
          <w14:ligatures w14:val="none"/>
        </w:rPr>
        <w:t>, pp.1–19. doi:</w:t>
      </w:r>
      <w:hyperlink r:id="rId29" w:history="1">
        <w:r w:rsidRPr="00C45331">
          <w:rPr>
            <w:rFonts w:ascii="Arial" w:eastAsiaTheme="minorEastAsia" w:hAnsi="Arial" w:cs="Arial"/>
            <w:color w:val="44546A" w:themeColor="text2"/>
            <w:kern w:val="0"/>
            <w:lang w:val="en-US"/>
            <w14:ligatures w14:val="none"/>
          </w:rPr>
          <w:t>https://doi.org/10.1080/00207543.2019.1593548</w:t>
        </w:r>
      </w:hyperlink>
      <w:r w:rsidRPr="00C45331">
        <w:rPr>
          <w:rFonts w:ascii="Arial" w:eastAsiaTheme="minorEastAsia" w:hAnsi="Arial" w:cs="Arial"/>
          <w:color w:val="44546A" w:themeColor="text2"/>
          <w:kern w:val="0"/>
          <w:lang w:val="en-US"/>
          <w14:ligatures w14:val="none"/>
        </w:rPr>
        <w:t>.</w:t>
      </w:r>
    </w:p>
    <w:p w14:paraId="7DB2FA97"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PESTLE analysis Contributor (2015). </w:t>
      </w:r>
      <w:r w:rsidRPr="00C45331">
        <w:rPr>
          <w:rFonts w:ascii="Arial" w:eastAsiaTheme="minorEastAsia" w:hAnsi="Arial" w:cs="Arial"/>
          <w:i/>
          <w:iCs/>
          <w:color w:val="44546A" w:themeColor="text2"/>
          <w:kern w:val="0"/>
          <w:lang w:val="en-US"/>
          <w14:ligatures w14:val="none"/>
        </w:rPr>
        <w:t>Internal Factors that May Affect the Business Organization</w:t>
      </w:r>
      <w:r w:rsidRPr="00C45331">
        <w:rPr>
          <w:rFonts w:ascii="Arial" w:eastAsiaTheme="minorEastAsia" w:hAnsi="Arial" w:cs="Arial"/>
          <w:color w:val="44546A" w:themeColor="text2"/>
          <w:kern w:val="0"/>
          <w:lang w:val="en-US"/>
          <w14:ligatures w14:val="none"/>
        </w:rPr>
        <w:t xml:space="preserve">. [online] PESTLE Analysis. Available at: </w:t>
      </w:r>
      <w:hyperlink r:id="rId30" w:history="1">
        <w:r w:rsidRPr="00C45331">
          <w:rPr>
            <w:rFonts w:ascii="Arial" w:eastAsiaTheme="minorEastAsia" w:hAnsi="Arial" w:cs="Arial"/>
            <w:color w:val="44546A" w:themeColor="text2"/>
            <w:kern w:val="0"/>
            <w:lang w:val="en-US"/>
            <w14:ligatures w14:val="none"/>
          </w:rPr>
          <w:t>https://pestleanalysis.com/internal-factors-affect-business-organization/</w:t>
        </w:r>
      </w:hyperlink>
      <w:r w:rsidRPr="00C45331">
        <w:rPr>
          <w:rFonts w:ascii="Arial" w:eastAsiaTheme="minorEastAsia" w:hAnsi="Arial" w:cs="Arial"/>
          <w:color w:val="44546A" w:themeColor="text2"/>
          <w:kern w:val="0"/>
          <w:lang w:val="en-US"/>
          <w14:ligatures w14:val="none"/>
        </w:rPr>
        <w:t xml:space="preserve"> [Accessed 28 Apr. 2023].</w:t>
      </w:r>
    </w:p>
    <w:p w14:paraId="56446E1D"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Practice ltd, F. (2022). </w:t>
      </w:r>
      <w:r w:rsidRPr="00C45331">
        <w:rPr>
          <w:rFonts w:ascii="Arial" w:eastAsiaTheme="minorEastAsia" w:hAnsi="Arial" w:cs="Arial"/>
          <w:i/>
          <w:iCs/>
          <w:color w:val="44546A" w:themeColor="text2"/>
          <w:kern w:val="0"/>
          <w:lang w:val="en-US"/>
          <w14:ligatures w14:val="none"/>
        </w:rPr>
        <w:t>The Furniture Practice</w:t>
      </w:r>
      <w:r w:rsidRPr="00C45331">
        <w:rPr>
          <w:rFonts w:ascii="Arial" w:eastAsiaTheme="minorEastAsia" w:hAnsi="Arial" w:cs="Arial"/>
          <w:color w:val="44546A" w:themeColor="text2"/>
          <w:kern w:val="0"/>
          <w:lang w:val="en-US"/>
          <w14:ligatures w14:val="none"/>
        </w:rPr>
        <w:t xml:space="preserve">. [online] The Furniture Practice. Available at: </w:t>
      </w:r>
      <w:hyperlink r:id="rId31" w:history="1">
        <w:r w:rsidRPr="00C45331">
          <w:rPr>
            <w:rFonts w:ascii="Arial" w:eastAsiaTheme="minorEastAsia" w:hAnsi="Arial" w:cs="Arial"/>
            <w:color w:val="44546A" w:themeColor="text2"/>
            <w:kern w:val="0"/>
            <w:lang w:val="en-US"/>
            <w14:ligatures w14:val="none"/>
          </w:rPr>
          <w:t>https://www.thefurniturepractice.com/journal/the-furniture-practice-report-spring-summer-fairs-2022</w:t>
        </w:r>
      </w:hyperlink>
      <w:r w:rsidRPr="00C45331">
        <w:rPr>
          <w:rFonts w:ascii="Arial" w:eastAsiaTheme="minorEastAsia" w:hAnsi="Arial" w:cs="Arial"/>
          <w:color w:val="44546A" w:themeColor="text2"/>
          <w:kern w:val="0"/>
          <w:lang w:val="en-US"/>
          <w14:ligatures w14:val="none"/>
        </w:rPr>
        <w:t xml:space="preserve"> [Accessed 15 Apr. 2023].</w:t>
      </w:r>
    </w:p>
    <w:p w14:paraId="1A4120BC" w14:textId="771EA185" w:rsidR="00C45331" w:rsidRPr="00C45331" w:rsidRDefault="005F6A94"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Prodromos,</w:t>
      </w:r>
      <w:r w:rsidR="00C45331" w:rsidRPr="00C45331">
        <w:rPr>
          <w:rFonts w:ascii="Arial" w:eastAsiaTheme="minorEastAsia" w:hAnsi="Arial" w:cs="Arial"/>
          <w:color w:val="44546A" w:themeColor="text2"/>
          <w:kern w:val="0"/>
          <w:lang w:val="en-US"/>
          <w14:ligatures w14:val="none"/>
        </w:rPr>
        <w:t xml:space="preserve"> C., Dimitrios, C., Dimitrios, lazaros, S., Lazaros and Georgios, T., Georgios (2018). </w:t>
      </w:r>
      <w:r w:rsidR="00C45331" w:rsidRPr="00C45331">
        <w:rPr>
          <w:rFonts w:ascii="Arial" w:eastAsiaTheme="minorEastAsia" w:hAnsi="Arial" w:cs="Arial"/>
          <w:i/>
          <w:iCs/>
          <w:color w:val="44546A" w:themeColor="text2"/>
          <w:kern w:val="0"/>
          <w:lang w:val="en-US"/>
          <w14:ligatures w14:val="none"/>
        </w:rPr>
        <w:t>https://librarysearch.uwtsd.ac.uk/discovery/fulldisplay?docid=cdi_crossref_primary_10_1108_MRR_10_2016_0243&amp;context=PC&amp;vid=44WHELF_UWTSD:44WHELF_UWTSD_VU1&amp;lang=en&amp;search_scope=Search_ELEC&amp;adaptor=Primo%2520Central&amp;tab=Everything&amp;query=any</w:t>
      </w:r>
      <w:r w:rsidR="00C45331" w:rsidRPr="00C45331">
        <w:rPr>
          <w:rFonts w:ascii="Arial" w:eastAsiaTheme="minorEastAsia" w:hAnsi="Arial" w:cs="Arial"/>
          <w:color w:val="44546A" w:themeColor="text2"/>
          <w:kern w:val="0"/>
          <w:lang w:val="en-US"/>
          <w14:ligatures w14:val="none"/>
        </w:rPr>
        <w:t xml:space="preserve">. [online] librarysearch.uwtsd.ac.uk. Available at: </w:t>
      </w:r>
      <w:hyperlink r:id="rId32" w:history="1">
        <w:r w:rsidR="00C45331" w:rsidRPr="00C45331">
          <w:rPr>
            <w:rFonts w:ascii="Arial" w:eastAsiaTheme="minorEastAsia" w:hAnsi="Arial" w:cs="Arial"/>
            <w:color w:val="44546A" w:themeColor="text2"/>
            <w:kern w:val="0"/>
            <w:lang w:val="en-US"/>
            <w14:ligatures w14:val="none"/>
          </w:rPr>
          <w:t>https://librarysearch.uwtsd.ac.uk/discovery/fulldisplay?docid=cdi_crossref_primary_10_1108_MRR_10_2016_0243&amp;context=PC&amp;vid=44WHELF_UWTSD:44WHELF_UWTSD_VU1&amp;lang=en&amp;search_scope=Search_ELEC&amp;adaptor=Primo%20Central&amp;tab=Everything&amp;query=any</w:t>
        </w:r>
      </w:hyperlink>
      <w:r w:rsidR="00C45331" w:rsidRPr="00C45331">
        <w:rPr>
          <w:rFonts w:ascii="Arial" w:eastAsiaTheme="minorEastAsia" w:hAnsi="Arial" w:cs="Arial"/>
          <w:color w:val="44546A" w:themeColor="text2"/>
          <w:kern w:val="0"/>
          <w:lang w:val="en-US"/>
          <w14:ligatures w14:val="none"/>
        </w:rPr>
        <w:t xml:space="preserve"> [Accessed 13 Apr. 2023].</w:t>
      </w:r>
    </w:p>
    <w:p w14:paraId="4F9189BD"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Salzmann, O., Ionescu-somers, A. and Steger, U. (2005). The Business Case for Corporate Sustainability: </w:t>
      </w:r>
      <w:r w:rsidRPr="00C45331">
        <w:rPr>
          <w:rFonts w:ascii="Arial" w:eastAsiaTheme="minorEastAsia" w:hAnsi="Arial" w:cs="Arial"/>
          <w:i/>
          <w:iCs/>
          <w:color w:val="44546A" w:themeColor="text2"/>
          <w:kern w:val="0"/>
          <w:lang w:val="en-US"/>
          <w14:ligatures w14:val="none"/>
        </w:rPr>
        <w:t>European Management Journal</w:t>
      </w:r>
      <w:r w:rsidRPr="00C45331">
        <w:rPr>
          <w:rFonts w:ascii="Arial" w:eastAsiaTheme="minorEastAsia" w:hAnsi="Arial" w:cs="Arial"/>
          <w:color w:val="44546A" w:themeColor="text2"/>
          <w:kern w:val="0"/>
          <w:lang w:val="en-US"/>
          <w14:ligatures w14:val="none"/>
        </w:rPr>
        <w:t>, [online] 23(1), pp.27–36. doi:</w:t>
      </w:r>
      <w:hyperlink r:id="rId33" w:history="1">
        <w:r w:rsidRPr="00C45331">
          <w:rPr>
            <w:rFonts w:ascii="Arial" w:eastAsiaTheme="minorEastAsia" w:hAnsi="Arial" w:cs="Arial"/>
            <w:color w:val="44546A" w:themeColor="text2"/>
            <w:kern w:val="0"/>
            <w:lang w:val="en-US"/>
            <w14:ligatures w14:val="none"/>
          </w:rPr>
          <w:t>https://doi.org/10.1016/j.emj.2004.12.007</w:t>
        </w:r>
      </w:hyperlink>
      <w:r w:rsidRPr="00C45331">
        <w:rPr>
          <w:rFonts w:ascii="Arial" w:eastAsiaTheme="minorEastAsia" w:hAnsi="Arial" w:cs="Arial"/>
          <w:color w:val="44546A" w:themeColor="text2"/>
          <w:kern w:val="0"/>
          <w:lang w:val="en-US"/>
          <w14:ligatures w14:val="none"/>
        </w:rPr>
        <w:t>.</w:t>
      </w:r>
    </w:p>
    <w:p w14:paraId="1D5DEF67"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Spencer, T. (2016). </w:t>
      </w:r>
      <w:r w:rsidRPr="00C45331">
        <w:rPr>
          <w:rFonts w:ascii="Arial" w:eastAsiaTheme="minorEastAsia" w:hAnsi="Arial" w:cs="Arial"/>
          <w:i/>
          <w:iCs/>
          <w:color w:val="44546A" w:themeColor="text2"/>
          <w:kern w:val="0"/>
          <w:lang w:val="en-US"/>
          <w14:ligatures w14:val="none"/>
        </w:rPr>
        <w:t>9 M’s Resource Audit Checklist</w:t>
      </w:r>
      <w:r w:rsidRPr="00C45331">
        <w:rPr>
          <w:rFonts w:ascii="Arial" w:eastAsiaTheme="minorEastAsia" w:hAnsi="Arial" w:cs="Arial"/>
          <w:color w:val="44546A" w:themeColor="text2"/>
          <w:kern w:val="0"/>
          <w:lang w:val="en-US"/>
          <w14:ligatures w14:val="none"/>
        </w:rPr>
        <w:t xml:space="preserve">. [online] Tom Spencer. Available at: </w:t>
      </w:r>
      <w:hyperlink r:id="rId34" w:history="1">
        <w:r w:rsidRPr="00C45331">
          <w:rPr>
            <w:rFonts w:ascii="Arial" w:eastAsiaTheme="minorEastAsia" w:hAnsi="Arial" w:cs="Arial"/>
            <w:color w:val="44546A" w:themeColor="text2"/>
            <w:kern w:val="0"/>
            <w:lang w:val="en-US"/>
            <w14:ligatures w14:val="none"/>
          </w:rPr>
          <w:t>https://www.spencertom.com/2016/04/04/9-ms-resource-audit-checklist/</w:t>
        </w:r>
      </w:hyperlink>
      <w:r w:rsidRPr="00C45331">
        <w:rPr>
          <w:rFonts w:ascii="Arial" w:eastAsiaTheme="minorEastAsia" w:hAnsi="Arial" w:cs="Arial"/>
          <w:color w:val="44546A" w:themeColor="text2"/>
          <w:kern w:val="0"/>
          <w:lang w:val="en-US"/>
          <w14:ligatures w14:val="none"/>
        </w:rPr>
        <w:t xml:space="preserve"> [Accessed 28 Apr. 2023].</w:t>
      </w:r>
    </w:p>
    <w:p w14:paraId="37B610CB" w14:textId="77777777"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Website (2023). </w:t>
      </w:r>
      <w:r w:rsidRPr="00C45331">
        <w:rPr>
          <w:rFonts w:ascii="Arial" w:eastAsiaTheme="minorEastAsia" w:hAnsi="Arial" w:cs="Arial"/>
          <w:i/>
          <w:iCs/>
          <w:color w:val="44546A" w:themeColor="text2"/>
          <w:kern w:val="0"/>
          <w:lang w:val="en-US"/>
          <w14:ligatures w14:val="none"/>
        </w:rPr>
        <w:t>The Furniture Practice</w:t>
      </w:r>
      <w:r w:rsidRPr="00C45331">
        <w:rPr>
          <w:rFonts w:ascii="Arial" w:eastAsiaTheme="minorEastAsia" w:hAnsi="Arial" w:cs="Arial"/>
          <w:color w:val="44546A" w:themeColor="text2"/>
          <w:kern w:val="0"/>
          <w:lang w:val="en-US"/>
          <w14:ligatures w14:val="none"/>
        </w:rPr>
        <w:t xml:space="preserve">. [online] The Furniture Practice. Available at: </w:t>
      </w:r>
      <w:hyperlink r:id="rId35" w:history="1">
        <w:r w:rsidRPr="00C45331">
          <w:rPr>
            <w:rFonts w:ascii="Arial" w:eastAsiaTheme="minorEastAsia" w:hAnsi="Arial" w:cs="Arial"/>
            <w:color w:val="44546A" w:themeColor="text2"/>
            <w:kern w:val="0"/>
            <w:lang w:val="en-US"/>
            <w14:ligatures w14:val="none"/>
          </w:rPr>
          <w:t>https://www.thefurniturepractice.com/</w:t>
        </w:r>
      </w:hyperlink>
      <w:r w:rsidRPr="00C45331">
        <w:rPr>
          <w:rFonts w:ascii="Arial" w:eastAsiaTheme="minorEastAsia" w:hAnsi="Arial" w:cs="Arial"/>
          <w:color w:val="44546A" w:themeColor="text2"/>
          <w:kern w:val="0"/>
          <w:lang w:val="en-US"/>
          <w14:ligatures w14:val="none"/>
        </w:rPr>
        <w:t xml:space="preserve"> [Accessed 23 Feb. 2023].</w:t>
      </w:r>
    </w:p>
    <w:p w14:paraId="5EAF156F" w14:textId="464ED2E9" w:rsidR="00C45331" w:rsidRPr="00C45331" w:rsidRDefault="00C45331" w:rsidP="00C45331">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C45331">
        <w:rPr>
          <w:rFonts w:ascii="Arial" w:eastAsiaTheme="minorEastAsia" w:hAnsi="Arial" w:cs="Arial"/>
          <w:color w:val="44546A" w:themeColor="text2"/>
          <w:kern w:val="0"/>
          <w:lang w:val="en-US"/>
          <w14:ligatures w14:val="none"/>
        </w:rPr>
        <w:t xml:space="preserve">Wille, E. (2004). </w:t>
      </w:r>
      <w:r w:rsidRPr="00C45331">
        <w:rPr>
          <w:rFonts w:ascii="Arial" w:eastAsiaTheme="minorEastAsia" w:hAnsi="Arial" w:cs="Arial"/>
          <w:i/>
          <w:iCs/>
          <w:color w:val="44546A" w:themeColor="text2"/>
          <w:kern w:val="0"/>
          <w:lang w:val="en-US"/>
          <w14:ligatures w14:val="none"/>
        </w:rPr>
        <w:t>What is strategy - and does it matter by Richard Whittington, 2001</w:t>
      </w:r>
      <w:r w:rsidRPr="00C45331">
        <w:rPr>
          <w:rFonts w:ascii="Arial" w:eastAsiaTheme="minorEastAsia" w:hAnsi="Arial" w:cs="Arial"/>
          <w:color w:val="44546A" w:themeColor="text2"/>
          <w:kern w:val="0"/>
          <w:lang w:val="en-US"/>
          <w14:ligatures w14:val="none"/>
        </w:rPr>
        <w:t xml:space="preserve">. [online] www.bd-cons.com. Available at: </w:t>
      </w:r>
      <w:hyperlink r:id="rId36" w:history="1">
        <w:r w:rsidRPr="00C45331">
          <w:rPr>
            <w:rFonts w:ascii="Arial" w:eastAsiaTheme="minorEastAsia" w:hAnsi="Arial" w:cs="Arial"/>
            <w:color w:val="44546A" w:themeColor="text2"/>
            <w:kern w:val="0"/>
            <w:lang w:val="en-US"/>
            <w14:ligatures w14:val="none"/>
          </w:rPr>
          <w:t>http://www.bd-cons.com/site/brwhatisstrategy.htm@opendocument.htm</w:t>
        </w:r>
      </w:hyperlink>
      <w:r w:rsidRPr="00C45331">
        <w:rPr>
          <w:rFonts w:ascii="Arial" w:eastAsiaTheme="minorEastAsia" w:hAnsi="Arial" w:cs="Arial"/>
          <w:color w:val="44546A" w:themeColor="text2"/>
          <w:kern w:val="0"/>
          <w:lang w:val="en-US"/>
          <w14:ligatures w14:val="none"/>
        </w:rPr>
        <w:t xml:space="preserve"> [Accessed 11 Apr. 2023].</w:t>
      </w:r>
    </w:p>
    <w:p w14:paraId="0013FC17" w14:textId="77777777" w:rsidR="00C45331" w:rsidRPr="00C45331" w:rsidRDefault="00C45331" w:rsidP="00D077B7">
      <w:pPr>
        <w:spacing w:line="360" w:lineRule="auto"/>
        <w:jc w:val="both"/>
        <w:rPr>
          <w:rFonts w:ascii="Arial" w:hAnsi="Arial" w:cs="Arial"/>
          <w:b/>
          <w:bCs/>
          <w:color w:val="44546A" w:themeColor="text2"/>
        </w:rPr>
      </w:pPr>
    </w:p>
    <w:sectPr w:rsidR="00C45331" w:rsidRPr="00C45331" w:rsidSect="00A8302E">
      <w:footerReference w:type="default" r:id="rId3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2A8C5" w14:textId="77777777" w:rsidR="006F3853" w:rsidRDefault="006F3853" w:rsidP="00115686">
      <w:pPr>
        <w:spacing w:after="0" w:line="240" w:lineRule="auto"/>
      </w:pPr>
      <w:r>
        <w:separator/>
      </w:r>
    </w:p>
  </w:endnote>
  <w:endnote w:type="continuationSeparator" w:id="0">
    <w:p w14:paraId="09A4EF6D" w14:textId="77777777" w:rsidR="006F3853" w:rsidRDefault="006F3853" w:rsidP="00115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3333446"/>
      <w:docPartObj>
        <w:docPartGallery w:val="Page Numbers (Bottom of Page)"/>
        <w:docPartUnique/>
      </w:docPartObj>
    </w:sdtPr>
    <w:sdtEndPr>
      <w:rPr>
        <w:noProof/>
      </w:rPr>
    </w:sdtEndPr>
    <w:sdtContent>
      <w:p w14:paraId="0B5B92DB" w14:textId="702BD7F4" w:rsidR="00115686" w:rsidRDefault="001156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59184E" w14:textId="77777777" w:rsidR="00115686" w:rsidRDefault="00115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DA14D" w14:textId="77777777" w:rsidR="006F3853" w:rsidRDefault="006F3853" w:rsidP="00115686">
      <w:pPr>
        <w:spacing w:after="0" w:line="240" w:lineRule="auto"/>
      </w:pPr>
      <w:r>
        <w:separator/>
      </w:r>
    </w:p>
  </w:footnote>
  <w:footnote w:type="continuationSeparator" w:id="0">
    <w:p w14:paraId="345F2A5F" w14:textId="77777777" w:rsidR="006F3853" w:rsidRDefault="006F3853" w:rsidP="00115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70F6"/>
    <w:multiLevelType w:val="multilevel"/>
    <w:tmpl w:val="BCDCF6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137C05"/>
    <w:multiLevelType w:val="multilevel"/>
    <w:tmpl w:val="313E9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24219F"/>
    <w:multiLevelType w:val="hybridMultilevel"/>
    <w:tmpl w:val="F984D9FA"/>
    <w:lvl w:ilvl="0" w:tplc="0D2250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52F17"/>
    <w:multiLevelType w:val="hybridMultilevel"/>
    <w:tmpl w:val="0F2E9972"/>
    <w:lvl w:ilvl="0" w:tplc="F9F6D752">
      <w:start w:val="2023"/>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715D96"/>
    <w:multiLevelType w:val="multilevel"/>
    <w:tmpl w:val="296EE9E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860182"/>
    <w:multiLevelType w:val="multilevel"/>
    <w:tmpl w:val="13283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8E7DC4"/>
    <w:multiLevelType w:val="multilevel"/>
    <w:tmpl w:val="2C122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E21534"/>
    <w:multiLevelType w:val="multilevel"/>
    <w:tmpl w:val="2C203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D44010"/>
    <w:multiLevelType w:val="hybridMultilevel"/>
    <w:tmpl w:val="C4A23294"/>
    <w:lvl w:ilvl="0" w:tplc="C22C951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3D4C31"/>
    <w:multiLevelType w:val="multilevel"/>
    <w:tmpl w:val="7720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D0731C9"/>
    <w:multiLevelType w:val="multilevel"/>
    <w:tmpl w:val="4FD03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652507"/>
    <w:multiLevelType w:val="multilevel"/>
    <w:tmpl w:val="70000B4E"/>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F99309D"/>
    <w:multiLevelType w:val="multilevel"/>
    <w:tmpl w:val="83BEB0EA"/>
    <w:lvl w:ilvl="0">
      <w:start w:val="3"/>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3" w15:restartNumberingAfterBreak="0">
    <w:nsid w:val="2FD24B03"/>
    <w:multiLevelType w:val="multilevel"/>
    <w:tmpl w:val="E032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E0071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A452D17"/>
    <w:multiLevelType w:val="hybridMultilevel"/>
    <w:tmpl w:val="3AF4F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C128C7"/>
    <w:multiLevelType w:val="multilevel"/>
    <w:tmpl w:val="416EA0C6"/>
    <w:lvl w:ilvl="0">
      <w:start w:val="1"/>
      <w:numFmt w:val="decimal"/>
      <w:lvlText w:val="%1."/>
      <w:lvlJc w:val="left"/>
      <w:pPr>
        <w:ind w:left="540" w:hanging="540"/>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0070FFB"/>
    <w:multiLevelType w:val="multilevel"/>
    <w:tmpl w:val="E20A4246"/>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12B5B01"/>
    <w:multiLevelType w:val="multilevel"/>
    <w:tmpl w:val="1AD4A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3B12B4"/>
    <w:multiLevelType w:val="multilevel"/>
    <w:tmpl w:val="573276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737F98"/>
    <w:multiLevelType w:val="hybridMultilevel"/>
    <w:tmpl w:val="FC76ECF6"/>
    <w:lvl w:ilvl="0" w:tplc="50C85E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4C2CE9"/>
    <w:multiLevelType w:val="multilevel"/>
    <w:tmpl w:val="0FF69DB2"/>
    <w:lvl w:ilvl="0">
      <w:start w:val="1"/>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BAC5202"/>
    <w:multiLevelType w:val="multilevel"/>
    <w:tmpl w:val="D0DA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F0023B"/>
    <w:multiLevelType w:val="multilevel"/>
    <w:tmpl w:val="5B647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2C02BF"/>
    <w:multiLevelType w:val="multilevel"/>
    <w:tmpl w:val="0172C0C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5961451"/>
    <w:multiLevelType w:val="multilevel"/>
    <w:tmpl w:val="5C42AB7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CC1B1B"/>
    <w:multiLevelType w:val="multilevel"/>
    <w:tmpl w:val="01FEC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5C3367"/>
    <w:multiLevelType w:val="multilevel"/>
    <w:tmpl w:val="7A860718"/>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DB40277"/>
    <w:multiLevelType w:val="hybridMultilevel"/>
    <w:tmpl w:val="BAF8399C"/>
    <w:lvl w:ilvl="0" w:tplc="7C4832AE">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DC355C9"/>
    <w:multiLevelType w:val="multilevel"/>
    <w:tmpl w:val="AC908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035093"/>
    <w:multiLevelType w:val="multilevel"/>
    <w:tmpl w:val="97CE257A"/>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5F8C3F6F"/>
    <w:multiLevelType w:val="multilevel"/>
    <w:tmpl w:val="A0E27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EC7E3E"/>
    <w:multiLevelType w:val="multilevel"/>
    <w:tmpl w:val="A8E26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C92BB2"/>
    <w:multiLevelType w:val="multilevel"/>
    <w:tmpl w:val="33E2E36E"/>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696F0AFB"/>
    <w:multiLevelType w:val="hybridMultilevel"/>
    <w:tmpl w:val="B36EFBB6"/>
    <w:lvl w:ilvl="0" w:tplc="B976982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B48001E"/>
    <w:multiLevelType w:val="multilevel"/>
    <w:tmpl w:val="4A66926A"/>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BA27B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CB81A47"/>
    <w:multiLevelType w:val="multilevel"/>
    <w:tmpl w:val="B3AA0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936734"/>
    <w:multiLevelType w:val="multilevel"/>
    <w:tmpl w:val="ED80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DD30CFD"/>
    <w:multiLevelType w:val="multilevel"/>
    <w:tmpl w:val="E638A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990BFF"/>
    <w:multiLevelType w:val="multilevel"/>
    <w:tmpl w:val="ED72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68D5ADA"/>
    <w:multiLevelType w:val="multilevel"/>
    <w:tmpl w:val="C4BCF7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8BF1C92"/>
    <w:multiLevelType w:val="multilevel"/>
    <w:tmpl w:val="89DEA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94A5F15"/>
    <w:multiLevelType w:val="multilevel"/>
    <w:tmpl w:val="EB0A9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B8394E"/>
    <w:multiLevelType w:val="multilevel"/>
    <w:tmpl w:val="BCDCF6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D9331B2"/>
    <w:multiLevelType w:val="multilevel"/>
    <w:tmpl w:val="5E960A3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E8172CC"/>
    <w:multiLevelType w:val="hybridMultilevel"/>
    <w:tmpl w:val="9CDE6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CD4F04"/>
    <w:multiLevelType w:val="multilevel"/>
    <w:tmpl w:val="8E18D8F6"/>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7FE26390"/>
    <w:multiLevelType w:val="multilevel"/>
    <w:tmpl w:val="D20A5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3304412">
    <w:abstractNumId w:val="7"/>
  </w:num>
  <w:num w:numId="2" w16cid:durableId="1367678776">
    <w:abstractNumId w:val="6"/>
  </w:num>
  <w:num w:numId="3" w16cid:durableId="1378969041">
    <w:abstractNumId w:val="39"/>
  </w:num>
  <w:num w:numId="4" w16cid:durableId="1529172280">
    <w:abstractNumId w:val="43"/>
  </w:num>
  <w:num w:numId="5" w16cid:durableId="639386263">
    <w:abstractNumId w:val="26"/>
  </w:num>
  <w:num w:numId="6" w16cid:durableId="1876652407">
    <w:abstractNumId w:val="1"/>
  </w:num>
  <w:num w:numId="7" w16cid:durableId="745423496">
    <w:abstractNumId w:val="18"/>
  </w:num>
  <w:num w:numId="8" w16cid:durableId="619650593">
    <w:abstractNumId w:val="23"/>
  </w:num>
  <w:num w:numId="9" w16cid:durableId="416023811">
    <w:abstractNumId w:val="48"/>
  </w:num>
  <w:num w:numId="10" w16cid:durableId="1650283249">
    <w:abstractNumId w:val="37"/>
  </w:num>
  <w:num w:numId="11" w16cid:durableId="505289442">
    <w:abstractNumId w:val="31"/>
  </w:num>
  <w:num w:numId="12" w16cid:durableId="1121996388">
    <w:abstractNumId w:val="2"/>
  </w:num>
  <w:num w:numId="13" w16cid:durableId="1804618926">
    <w:abstractNumId w:val="3"/>
  </w:num>
  <w:num w:numId="14" w16cid:durableId="2014992731">
    <w:abstractNumId w:val="28"/>
  </w:num>
  <w:num w:numId="15" w16cid:durableId="1346441571">
    <w:abstractNumId w:val="25"/>
  </w:num>
  <w:num w:numId="16" w16cid:durableId="10646638">
    <w:abstractNumId w:val="8"/>
  </w:num>
  <w:num w:numId="17" w16cid:durableId="1133644420">
    <w:abstractNumId w:val="4"/>
  </w:num>
  <w:num w:numId="18" w16cid:durableId="1452817920">
    <w:abstractNumId w:val="45"/>
  </w:num>
  <w:num w:numId="19" w16cid:durableId="1995448999">
    <w:abstractNumId w:val="20"/>
  </w:num>
  <w:num w:numId="20" w16cid:durableId="2016767212">
    <w:abstractNumId w:val="36"/>
  </w:num>
  <w:num w:numId="21" w16cid:durableId="1484002214">
    <w:abstractNumId w:val="0"/>
  </w:num>
  <w:num w:numId="22" w16cid:durableId="935023219">
    <w:abstractNumId w:val="44"/>
  </w:num>
  <w:num w:numId="23" w16cid:durableId="346369145">
    <w:abstractNumId w:val="5"/>
  </w:num>
  <w:num w:numId="24" w16cid:durableId="903370394">
    <w:abstractNumId w:val="15"/>
  </w:num>
  <w:num w:numId="25" w16cid:durableId="89859780">
    <w:abstractNumId w:val="47"/>
  </w:num>
  <w:num w:numId="26" w16cid:durableId="62217317">
    <w:abstractNumId w:val="24"/>
  </w:num>
  <w:num w:numId="27" w16cid:durableId="1252154110">
    <w:abstractNumId w:val="33"/>
  </w:num>
  <w:num w:numId="28" w16cid:durableId="1160345874">
    <w:abstractNumId w:val="41"/>
  </w:num>
  <w:num w:numId="29" w16cid:durableId="701054324">
    <w:abstractNumId w:val="35"/>
  </w:num>
  <w:num w:numId="30" w16cid:durableId="455560362">
    <w:abstractNumId w:val="30"/>
  </w:num>
  <w:num w:numId="31" w16cid:durableId="970861108">
    <w:abstractNumId w:val="27"/>
  </w:num>
  <w:num w:numId="32" w16cid:durableId="852767434">
    <w:abstractNumId w:val="16"/>
  </w:num>
  <w:num w:numId="33" w16cid:durableId="194581321">
    <w:abstractNumId w:val="11"/>
  </w:num>
  <w:num w:numId="34" w16cid:durableId="877280578">
    <w:abstractNumId w:val="21"/>
  </w:num>
  <w:num w:numId="35" w16cid:durableId="1488859957">
    <w:abstractNumId w:val="14"/>
  </w:num>
  <w:num w:numId="36" w16cid:durableId="326326122">
    <w:abstractNumId w:val="46"/>
  </w:num>
  <w:num w:numId="37" w16cid:durableId="1716542023">
    <w:abstractNumId w:val="17"/>
  </w:num>
  <w:num w:numId="38" w16cid:durableId="1923483812">
    <w:abstractNumId w:val="32"/>
  </w:num>
  <w:num w:numId="39" w16cid:durableId="895706214">
    <w:abstractNumId w:val="42"/>
  </w:num>
  <w:num w:numId="40" w16cid:durableId="1815757275">
    <w:abstractNumId w:val="19"/>
  </w:num>
  <w:num w:numId="41" w16cid:durableId="1004090850">
    <w:abstractNumId w:val="38"/>
  </w:num>
  <w:num w:numId="42" w16cid:durableId="79570685">
    <w:abstractNumId w:val="29"/>
  </w:num>
  <w:num w:numId="43" w16cid:durableId="1348600948">
    <w:abstractNumId w:val="9"/>
  </w:num>
  <w:num w:numId="44" w16cid:durableId="1054637">
    <w:abstractNumId w:val="22"/>
  </w:num>
  <w:num w:numId="45" w16cid:durableId="2136093648">
    <w:abstractNumId w:val="10"/>
  </w:num>
  <w:num w:numId="46" w16cid:durableId="2016033982">
    <w:abstractNumId w:val="40"/>
  </w:num>
  <w:num w:numId="47" w16cid:durableId="2014604989">
    <w:abstractNumId w:val="13"/>
  </w:num>
  <w:num w:numId="48" w16cid:durableId="1209681933">
    <w:abstractNumId w:val="34"/>
  </w:num>
  <w:num w:numId="49" w16cid:durableId="10960567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U0NbUwNjU2NDczMLJU0lEKTi0uzszPAykwNKgFAEHSmLAtAAAA"/>
  </w:docVars>
  <w:rsids>
    <w:rsidRoot w:val="00580386"/>
    <w:rsid w:val="0006072A"/>
    <w:rsid w:val="000947D6"/>
    <w:rsid w:val="000C6BB4"/>
    <w:rsid w:val="00115686"/>
    <w:rsid w:val="001442B9"/>
    <w:rsid w:val="001735CE"/>
    <w:rsid w:val="001951DE"/>
    <w:rsid w:val="001B3553"/>
    <w:rsid w:val="00203FD8"/>
    <w:rsid w:val="00223642"/>
    <w:rsid w:val="00276055"/>
    <w:rsid w:val="00296521"/>
    <w:rsid w:val="004D5266"/>
    <w:rsid w:val="004E4C89"/>
    <w:rsid w:val="00542F30"/>
    <w:rsid w:val="00563973"/>
    <w:rsid w:val="00572D61"/>
    <w:rsid w:val="00580386"/>
    <w:rsid w:val="00593088"/>
    <w:rsid w:val="005977EE"/>
    <w:rsid w:val="005B1921"/>
    <w:rsid w:val="005F520C"/>
    <w:rsid w:val="005F6A94"/>
    <w:rsid w:val="005F7279"/>
    <w:rsid w:val="00615F35"/>
    <w:rsid w:val="00642F44"/>
    <w:rsid w:val="00645D67"/>
    <w:rsid w:val="006F3853"/>
    <w:rsid w:val="00703B4C"/>
    <w:rsid w:val="007044EB"/>
    <w:rsid w:val="0077572E"/>
    <w:rsid w:val="00782842"/>
    <w:rsid w:val="007A4004"/>
    <w:rsid w:val="007C4348"/>
    <w:rsid w:val="008970B0"/>
    <w:rsid w:val="008E605F"/>
    <w:rsid w:val="009C7A01"/>
    <w:rsid w:val="009E1302"/>
    <w:rsid w:val="009E3044"/>
    <w:rsid w:val="009F6769"/>
    <w:rsid w:val="00A10D3C"/>
    <w:rsid w:val="00A1325E"/>
    <w:rsid w:val="00A64C70"/>
    <w:rsid w:val="00A8302E"/>
    <w:rsid w:val="00AA7F53"/>
    <w:rsid w:val="00AC4A06"/>
    <w:rsid w:val="00B66D7E"/>
    <w:rsid w:val="00C20BB0"/>
    <w:rsid w:val="00C45331"/>
    <w:rsid w:val="00CA5D96"/>
    <w:rsid w:val="00D077B7"/>
    <w:rsid w:val="00D11F1A"/>
    <w:rsid w:val="00D24809"/>
    <w:rsid w:val="00D955C5"/>
    <w:rsid w:val="00E10FEE"/>
    <w:rsid w:val="00E26023"/>
    <w:rsid w:val="00E519C1"/>
    <w:rsid w:val="00E57419"/>
    <w:rsid w:val="00E758C0"/>
    <w:rsid w:val="00ED55BB"/>
    <w:rsid w:val="00F16DBD"/>
    <w:rsid w:val="00F75594"/>
    <w:rsid w:val="00FE0310"/>
    <w:rsid w:val="00FF4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77D4D"/>
  <w15:chartTrackingRefBased/>
  <w15:docId w15:val="{62F81ADC-0F14-4F5F-A2EF-964703F0B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828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769"/>
    <w:pPr>
      <w:ind w:left="720"/>
      <w:contextualSpacing/>
    </w:pPr>
  </w:style>
  <w:style w:type="table" w:styleId="TableGrid">
    <w:name w:val="Table Grid"/>
    <w:basedOn w:val="TableNormal"/>
    <w:uiPriority w:val="39"/>
    <w:rsid w:val="00615F3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758C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1156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686"/>
    <w:rPr>
      <w:lang w:val="en-GB"/>
    </w:rPr>
  </w:style>
  <w:style w:type="paragraph" w:styleId="Footer">
    <w:name w:val="footer"/>
    <w:basedOn w:val="Normal"/>
    <w:link w:val="FooterChar"/>
    <w:uiPriority w:val="99"/>
    <w:unhideWhenUsed/>
    <w:rsid w:val="001156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686"/>
    <w:rPr>
      <w:lang w:val="en-GB"/>
    </w:rPr>
  </w:style>
  <w:style w:type="character" w:customStyle="1" w:styleId="Heading1Char">
    <w:name w:val="Heading 1 Char"/>
    <w:basedOn w:val="DefaultParagraphFont"/>
    <w:link w:val="Heading1"/>
    <w:uiPriority w:val="9"/>
    <w:rsid w:val="00782842"/>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782842"/>
    <w:pPr>
      <w:outlineLvl w:val="9"/>
    </w:pPr>
    <w:rPr>
      <w:kern w:val="0"/>
      <w:lang w:val="en-US"/>
      <w14:ligatures w14:val="none"/>
    </w:rPr>
  </w:style>
  <w:style w:type="paragraph" w:styleId="TOC2">
    <w:name w:val="toc 2"/>
    <w:basedOn w:val="Normal"/>
    <w:next w:val="Normal"/>
    <w:autoRedefine/>
    <w:uiPriority w:val="39"/>
    <w:unhideWhenUsed/>
    <w:rsid w:val="00203FD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03FD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03FD8"/>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7740">
      <w:bodyDiv w:val="1"/>
      <w:marLeft w:val="0"/>
      <w:marRight w:val="0"/>
      <w:marTop w:val="0"/>
      <w:marBottom w:val="0"/>
      <w:divBdr>
        <w:top w:val="none" w:sz="0" w:space="0" w:color="auto"/>
        <w:left w:val="none" w:sz="0" w:space="0" w:color="auto"/>
        <w:bottom w:val="none" w:sz="0" w:space="0" w:color="auto"/>
        <w:right w:val="none" w:sz="0" w:space="0" w:color="auto"/>
      </w:divBdr>
    </w:div>
    <w:div w:id="120151045">
      <w:bodyDiv w:val="1"/>
      <w:marLeft w:val="0"/>
      <w:marRight w:val="0"/>
      <w:marTop w:val="0"/>
      <w:marBottom w:val="0"/>
      <w:divBdr>
        <w:top w:val="none" w:sz="0" w:space="0" w:color="auto"/>
        <w:left w:val="none" w:sz="0" w:space="0" w:color="auto"/>
        <w:bottom w:val="none" w:sz="0" w:space="0" w:color="auto"/>
        <w:right w:val="none" w:sz="0" w:space="0" w:color="auto"/>
      </w:divBdr>
    </w:div>
    <w:div w:id="162136488">
      <w:bodyDiv w:val="1"/>
      <w:marLeft w:val="0"/>
      <w:marRight w:val="0"/>
      <w:marTop w:val="0"/>
      <w:marBottom w:val="0"/>
      <w:divBdr>
        <w:top w:val="none" w:sz="0" w:space="0" w:color="auto"/>
        <w:left w:val="none" w:sz="0" w:space="0" w:color="auto"/>
        <w:bottom w:val="none" w:sz="0" w:space="0" w:color="auto"/>
        <w:right w:val="none" w:sz="0" w:space="0" w:color="auto"/>
      </w:divBdr>
    </w:div>
    <w:div w:id="501818249">
      <w:bodyDiv w:val="1"/>
      <w:marLeft w:val="0"/>
      <w:marRight w:val="0"/>
      <w:marTop w:val="0"/>
      <w:marBottom w:val="0"/>
      <w:divBdr>
        <w:top w:val="none" w:sz="0" w:space="0" w:color="auto"/>
        <w:left w:val="none" w:sz="0" w:space="0" w:color="auto"/>
        <w:bottom w:val="none" w:sz="0" w:space="0" w:color="auto"/>
        <w:right w:val="none" w:sz="0" w:space="0" w:color="auto"/>
      </w:divBdr>
    </w:div>
    <w:div w:id="553545790">
      <w:bodyDiv w:val="1"/>
      <w:marLeft w:val="0"/>
      <w:marRight w:val="0"/>
      <w:marTop w:val="0"/>
      <w:marBottom w:val="0"/>
      <w:divBdr>
        <w:top w:val="none" w:sz="0" w:space="0" w:color="auto"/>
        <w:left w:val="none" w:sz="0" w:space="0" w:color="auto"/>
        <w:bottom w:val="none" w:sz="0" w:space="0" w:color="auto"/>
        <w:right w:val="none" w:sz="0" w:space="0" w:color="auto"/>
      </w:divBdr>
      <w:divsChild>
        <w:div w:id="39135027">
          <w:marLeft w:val="0"/>
          <w:marRight w:val="0"/>
          <w:marTop w:val="0"/>
          <w:marBottom w:val="0"/>
          <w:divBdr>
            <w:top w:val="single" w:sz="2" w:space="0" w:color="C4CBD4"/>
            <w:left w:val="single" w:sz="2" w:space="0" w:color="C4CBD4"/>
            <w:bottom w:val="single" w:sz="2" w:space="0" w:color="C4CBD4"/>
            <w:right w:val="single" w:sz="2" w:space="0" w:color="C4CBD4"/>
          </w:divBdr>
        </w:div>
        <w:div w:id="1835801226">
          <w:marLeft w:val="0"/>
          <w:marRight w:val="0"/>
          <w:marTop w:val="0"/>
          <w:marBottom w:val="0"/>
          <w:divBdr>
            <w:top w:val="single" w:sz="2" w:space="0" w:color="C4CBD4"/>
            <w:left w:val="single" w:sz="2" w:space="0" w:color="C4CBD4"/>
            <w:bottom w:val="single" w:sz="2" w:space="0" w:color="C4CBD4"/>
            <w:right w:val="single" w:sz="2" w:space="0" w:color="C4CBD4"/>
          </w:divBdr>
        </w:div>
      </w:divsChild>
    </w:div>
    <w:div w:id="556816553">
      <w:bodyDiv w:val="1"/>
      <w:marLeft w:val="0"/>
      <w:marRight w:val="0"/>
      <w:marTop w:val="0"/>
      <w:marBottom w:val="0"/>
      <w:divBdr>
        <w:top w:val="none" w:sz="0" w:space="0" w:color="auto"/>
        <w:left w:val="none" w:sz="0" w:space="0" w:color="auto"/>
        <w:bottom w:val="none" w:sz="0" w:space="0" w:color="auto"/>
        <w:right w:val="none" w:sz="0" w:space="0" w:color="auto"/>
      </w:divBdr>
    </w:div>
    <w:div w:id="663120614">
      <w:bodyDiv w:val="1"/>
      <w:marLeft w:val="0"/>
      <w:marRight w:val="0"/>
      <w:marTop w:val="0"/>
      <w:marBottom w:val="0"/>
      <w:divBdr>
        <w:top w:val="none" w:sz="0" w:space="0" w:color="auto"/>
        <w:left w:val="none" w:sz="0" w:space="0" w:color="auto"/>
        <w:bottom w:val="none" w:sz="0" w:space="0" w:color="auto"/>
        <w:right w:val="none" w:sz="0" w:space="0" w:color="auto"/>
      </w:divBdr>
    </w:div>
    <w:div w:id="672954806">
      <w:bodyDiv w:val="1"/>
      <w:marLeft w:val="0"/>
      <w:marRight w:val="0"/>
      <w:marTop w:val="0"/>
      <w:marBottom w:val="0"/>
      <w:divBdr>
        <w:top w:val="none" w:sz="0" w:space="0" w:color="auto"/>
        <w:left w:val="none" w:sz="0" w:space="0" w:color="auto"/>
        <w:bottom w:val="none" w:sz="0" w:space="0" w:color="auto"/>
        <w:right w:val="none" w:sz="0" w:space="0" w:color="auto"/>
      </w:divBdr>
    </w:div>
    <w:div w:id="771705890">
      <w:bodyDiv w:val="1"/>
      <w:marLeft w:val="0"/>
      <w:marRight w:val="0"/>
      <w:marTop w:val="0"/>
      <w:marBottom w:val="0"/>
      <w:divBdr>
        <w:top w:val="none" w:sz="0" w:space="0" w:color="auto"/>
        <w:left w:val="none" w:sz="0" w:space="0" w:color="auto"/>
        <w:bottom w:val="none" w:sz="0" w:space="0" w:color="auto"/>
        <w:right w:val="none" w:sz="0" w:space="0" w:color="auto"/>
      </w:divBdr>
    </w:div>
    <w:div w:id="795293396">
      <w:bodyDiv w:val="1"/>
      <w:marLeft w:val="0"/>
      <w:marRight w:val="0"/>
      <w:marTop w:val="0"/>
      <w:marBottom w:val="0"/>
      <w:divBdr>
        <w:top w:val="none" w:sz="0" w:space="0" w:color="auto"/>
        <w:left w:val="none" w:sz="0" w:space="0" w:color="auto"/>
        <w:bottom w:val="none" w:sz="0" w:space="0" w:color="auto"/>
        <w:right w:val="none" w:sz="0" w:space="0" w:color="auto"/>
      </w:divBdr>
    </w:div>
    <w:div w:id="972827651">
      <w:bodyDiv w:val="1"/>
      <w:marLeft w:val="0"/>
      <w:marRight w:val="0"/>
      <w:marTop w:val="0"/>
      <w:marBottom w:val="0"/>
      <w:divBdr>
        <w:top w:val="none" w:sz="0" w:space="0" w:color="auto"/>
        <w:left w:val="none" w:sz="0" w:space="0" w:color="auto"/>
        <w:bottom w:val="none" w:sz="0" w:space="0" w:color="auto"/>
        <w:right w:val="none" w:sz="0" w:space="0" w:color="auto"/>
      </w:divBdr>
    </w:div>
    <w:div w:id="1213886783">
      <w:bodyDiv w:val="1"/>
      <w:marLeft w:val="0"/>
      <w:marRight w:val="0"/>
      <w:marTop w:val="0"/>
      <w:marBottom w:val="0"/>
      <w:divBdr>
        <w:top w:val="none" w:sz="0" w:space="0" w:color="auto"/>
        <w:left w:val="none" w:sz="0" w:space="0" w:color="auto"/>
        <w:bottom w:val="none" w:sz="0" w:space="0" w:color="auto"/>
        <w:right w:val="none" w:sz="0" w:space="0" w:color="auto"/>
      </w:divBdr>
    </w:div>
    <w:div w:id="1444378318">
      <w:bodyDiv w:val="1"/>
      <w:marLeft w:val="0"/>
      <w:marRight w:val="0"/>
      <w:marTop w:val="0"/>
      <w:marBottom w:val="0"/>
      <w:divBdr>
        <w:top w:val="none" w:sz="0" w:space="0" w:color="auto"/>
        <w:left w:val="none" w:sz="0" w:space="0" w:color="auto"/>
        <w:bottom w:val="none" w:sz="0" w:space="0" w:color="auto"/>
        <w:right w:val="none" w:sz="0" w:space="0" w:color="auto"/>
      </w:divBdr>
    </w:div>
    <w:div w:id="1605382478">
      <w:bodyDiv w:val="1"/>
      <w:marLeft w:val="0"/>
      <w:marRight w:val="0"/>
      <w:marTop w:val="0"/>
      <w:marBottom w:val="0"/>
      <w:divBdr>
        <w:top w:val="none" w:sz="0" w:space="0" w:color="auto"/>
        <w:left w:val="none" w:sz="0" w:space="0" w:color="auto"/>
        <w:bottom w:val="none" w:sz="0" w:space="0" w:color="auto"/>
        <w:right w:val="none" w:sz="0" w:space="0" w:color="auto"/>
      </w:divBdr>
    </w:div>
    <w:div w:id="1779595047">
      <w:bodyDiv w:val="1"/>
      <w:marLeft w:val="0"/>
      <w:marRight w:val="0"/>
      <w:marTop w:val="0"/>
      <w:marBottom w:val="0"/>
      <w:divBdr>
        <w:top w:val="none" w:sz="0" w:space="0" w:color="auto"/>
        <w:left w:val="none" w:sz="0" w:space="0" w:color="auto"/>
        <w:bottom w:val="none" w:sz="0" w:space="0" w:color="auto"/>
        <w:right w:val="none" w:sz="0" w:space="0" w:color="auto"/>
      </w:divBdr>
    </w:div>
    <w:div w:id="1832984924">
      <w:bodyDiv w:val="1"/>
      <w:marLeft w:val="0"/>
      <w:marRight w:val="0"/>
      <w:marTop w:val="0"/>
      <w:marBottom w:val="0"/>
      <w:divBdr>
        <w:top w:val="none" w:sz="0" w:space="0" w:color="auto"/>
        <w:left w:val="none" w:sz="0" w:space="0" w:color="auto"/>
        <w:bottom w:val="none" w:sz="0" w:space="0" w:color="auto"/>
        <w:right w:val="none" w:sz="0" w:space="0" w:color="auto"/>
      </w:divBdr>
    </w:div>
    <w:div w:id="188278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961722/SME-Action-Plan.pdf" TargetMode="External"/><Relationship Id="rId18" Type="http://schemas.openxmlformats.org/officeDocument/2006/relationships/hyperlink" Target="https://www.investopedia.com/terms/b/bcg.asp" TargetMode="External"/><Relationship Id="rId26" Type="http://schemas.openxmlformats.org/officeDocument/2006/relationships/hyperlink" Target="https://businessanalystmentor.com/vrin-framework-vrio-analysis/" TargetMode="External"/><Relationship Id="rId39" Type="http://schemas.openxmlformats.org/officeDocument/2006/relationships/theme" Target="theme/theme1.xml"/><Relationship Id="rId21" Type="http://schemas.openxmlformats.org/officeDocument/2006/relationships/hyperlink" Target="https://librarysearch.uwtsd.ac.uk/discovery/fulldisplay?docid=alma99100313060102421&amp;context=L&amp;vid=44WHELF_UWTSD:44WHELF_UWTSD_VU1&amp;lang=en&amp;search_scope=Search_ELEC&amp;adaptor=Local%20Search%20Engine&amp;tab=Everything&amp;query=any" TargetMode="External"/><Relationship Id="rId34" Type="http://schemas.openxmlformats.org/officeDocument/2006/relationships/hyperlink" Target="https://www.spencertom.com/2016/04/04/9-ms-resource-audit-checklist/" TargetMode="External"/><Relationship Id="rId7" Type="http://schemas.openxmlformats.org/officeDocument/2006/relationships/endnotes" Target="endnotes.xml"/><Relationship Id="rId12" Type="http://schemas.openxmlformats.org/officeDocument/2006/relationships/hyperlink" Target="https://go.gale.com/ps/i.do?id=GALE%7CA20509749&amp;sid=googleScholar&amp;v=2.1&amp;it=r&amp;linkaccess=abs&amp;issn=00251690&amp;p=AONE&amp;sw=w&amp;userGroupName=anon%7Ea2361819" TargetMode="External"/><Relationship Id="rId17" Type="http://schemas.openxmlformats.org/officeDocument/2006/relationships/hyperlink" Target="https://www.isc.hbs.edu/strategy/business-strategy/Pages/the-five-forces.aspx" TargetMode="External"/><Relationship Id="rId25" Type="http://schemas.openxmlformats.org/officeDocument/2006/relationships/hyperlink" Target="https://support.proquest.com/s/article/Accessibility-Statement-Ebook-Central?language=en_US" TargetMode="External"/><Relationship Id="rId33" Type="http://schemas.openxmlformats.org/officeDocument/2006/relationships/hyperlink" Target="https://doi.org/10.1016/j.emj.2004.12.007"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2/JSC.764" TargetMode="External"/><Relationship Id="rId20" Type="http://schemas.openxmlformats.org/officeDocument/2006/relationships/hyperlink" Target="https://r1.vlereader.com/Reader?ean=9781292145136" TargetMode="External"/><Relationship Id="rId29" Type="http://schemas.openxmlformats.org/officeDocument/2006/relationships/hyperlink" Target="https://doi.org/10.1080/00207543.2019.15935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management/external-analysis/" TargetMode="External"/><Relationship Id="rId24" Type="http://schemas.openxmlformats.org/officeDocument/2006/relationships/hyperlink" Target="https://doi.org/10.1080/0965254x.2013.817476" TargetMode="External"/><Relationship Id="rId32" Type="http://schemas.openxmlformats.org/officeDocument/2006/relationships/hyperlink" Target="https://librarysearch.uwtsd.ac.uk/discovery/fulldisplay?docid=cdi_crossref_primary_10_1108_MRR_10_2016_0243&amp;context=PC&amp;vid=44WHELF_UWTSD:44WHELF_UWTSD_VU1&amp;lang=en&amp;search_scope=Search_ELEC&amp;adaptor=Primo%20Central&amp;tab=Everything&amp;query=any"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find-and-update.company-information.service.gov.uk/company/03470956/filing-history" TargetMode="External"/><Relationship Id="rId23" Type="http://schemas.openxmlformats.org/officeDocument/2006/relationships/hyperlink" Target="https://books.google.co.uk/books?hl=hu&amp;lr=&amp;id=acdsEAAAQBAJ&amp;oi=fnd&amp;pg=PP1&amp;dq=Digital+Marketing+Strategy&amp;ots=Ztik33GxnS&amp;sig=Vjxsjc0g_y_hd_VUlch8JLNjrh0&amp;redir_esc=y" TargetMode="External"/><Relationship Id="rId28" Type="http://schemas.openxmlformats.org/officeDocument/2006/relationships/hyperlink" Target="https://www.researchgate.net/publication/271293375_The_Significance_of_Vision_and_Mission_Development_for_Enterprises_in_Slovak_Republic" TargetMode="External"/><Relationship Id="rId36" Type="http://schemas.openxmlformats.org/officeDocument/2006/relationships/hyperlink" Target="http://www.bd-cons.com/site/brwhatisstrategy.htm@opendocument.htm" TargetMode="External"/><Relationship Id="rId10" Type="http://schemas.openxmlformats.org/officeDocument/2006/relationships/hyperlink" Target="https://www.bbc.co.uk/bitesize/guides/z6wc7nb/revision/1" TargetMode="External"/><Relationship Id="rId19" Type="http://schemas.openxmlformats.org/officeDocument/2006/relationships/hyperlink" Target="https://www.iconsofdenmark.dk/what-is-sustainability-and-how-does-it-affect-the-furniture-industry/" TargetMode="External"/><Relationship Id="rId31" Type="http://schemas.openxmlformats.org/officeDocument/2006/relationships/hyperlink" Target="https://www.thefurniturepractice.com/journal/the-furniture-practice-report-spring-summer-fairs-2022" TargetMode="External"/><Relationship Id="rId4" Type="http://schemas.openxmlformats.org/officeDocument/2006/relationships/settings" Target="settings.xml"/><Relationship Id="rId9" Type="http://schemas.openxmlformats.org/officeDocument/2006/relationships/hyperlink" Target="https://ebookcentral.proquest.com/lib/trinity/detail.action?docID=5573680&amp;pq-origsite=primo" TargetMode="External"/><Relationship Id="rId14" Type="http://schemas.openxmlformats.org/officeDocument/2006/relationships/hyperlink" Target="https://blog.oxfordcollegeofmarketing.com/2018/04/23/what-is-mendelows-matrix-and-how-is-it-useful/" TargetMode="External"/><Relationship Id="rId22" Type="http://schemas.openxmlformats.org/officeDocument/2006/relationships/hyperlink" Target="https://books.google.co.uk/books?hl=hu&amp;lr=&amp;id=8KS4gKNgLysC&amp;oi=fnd&amp;pg=PA1&amp;dq=Exploring+strategy+:+text+and+cases&amp;ots=ZG_LQ4gJQC&amp;sig=CBFYf8MvVOPO9ew_jMfq-gfdXJY&amp;redir_esc=y" TargetMode="External"/><Relationship Id="rId27" Type="http://schemas.openxmlformats.org/officeDocument/2006/relationships/hyperlink" Target="https://books.google.com/books?hl=hu&amp;lr=&amp;id=hsqeBQAAQBAJ&amp;oi=fnd&amp;pg=PR1&amp;dq=Enterprise+development+in+SMEs+and+entrepreneurial+firms+%5Belectronic+resource%5D+:+dynamic+processe&amp;ots=8wMHl4_v8p&amp;sig=jzZPTpVtl8hvD4jhYHQHWdFjrDg" TargetMode="External"/><Relationship Id="rId30" Type="http://schemas.openxmlformats.org/officeDocument/2006/relationships/hyperlink" Target="https://pestleanalysis.com/internal-factors-affect-business-organization/" TargetMode="External"/><Relationship Id="rId35" Type="http://schemas.openxmlformats.org/officeDocument/2006/relationships/hyperlink" Target="https://www.thefurniturepractice.com/" TargetMode="External"/><Relationship Id="rId8" Type="http://schemas.openxmlformats.org/officeDocument/2006/relationships/hyperlink" Target="https://www.ceeol.com/search/article-detail?id=728400"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F3088-BE7B-428B-AC7C-9B759FFF4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23</Pages>
  <Words>7697</Words>
  <Characters>43874</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Varga (2009456)</dc:creator>
  <cp:keywords/>
  <dc:description/>
  <cp:lastModifiedBy>Valeria Varga (2009456)</cp:lastModifiedBy>
  <cp:revision>46</cp:revision>
  <dcterms:created xsi:type="dcterms:W3CDTF">2023-04-14T14:23:00Z</dcterms:created>
  <dcterms:modified xsi:type="dcterms:W3CDTF">2023-04-28T19:04:00Z</dcterms:modified>
</cp:coreProperties>
</file>