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4616538" w:rsidR="00986B43" w:rsidRPr="00670279"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670279">
              <w:rPr>
                <w:rFonts w:ascii="Times New Roman" w:hAnsi="Times New Roman" w:cs="Times New Roman"/>
                <w:b/>
                <w:color w:val="auto"/>
                <w:sz w:val="44"/>
                <w:szCs w:val="18"/>
              </w:rPr>
              <w:t>Learner’s name:</w:t>
            </w:r>
            <w:r w:rsidR="00247265" w:rsidRPr="00670279">
              <w:rPr>
                <w:rFonts w:ascii="Times New Roman" w:hAnsi="Times New Roman" w:cs="Times New Roman"/>
                <w:b/>
                <w:color w:val="auto"/>
                <w:sz w:val="44"/>
                <w:szCs w:val="18"/>
              </w:rPr>
              <w:t xml:space="preserve"> </w:t>
            </w:r>
            <w:r w:rsidR="00670279" w:rsidRPr="00670279">
              <w:rPr>
                <w:rFonts w:ascii="Times New Roman" w:hAnsi="Times New Roman" w:cs="Times New Roman"/>
                <w:b/>
                <w:color w:val="auto"/>
                <w:sz w:val="44"/>
                <w:szCs w:val="18"/>
              </w:rPr>
              <w:t xml:space="preserve">Jonathan White </w:t>
            </w:r>
          </w:p>
          <w:p w14:paraId="0B6CD0DB" w14:textId="689515B5" w:rsidR="009C337F" w:rsidRPr="00670279"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349F31A2" w:rsidR="009C337F" w:rsidRPr="00670279"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670279">
              <w:rPr>
                <w:rFonts w:ascii="Times New Roman" w:hAnsi="Times New Roman" w:cs="Times New Roman"/>
                <w:b/>
                <w:color w:val="auto"/>
                <w:sz w:val="44"/>
                <w:szCs w:val="18"/>
              </w:rPr>
              <w:t>Email address:</w:t>
            </w:r>
            <w:r w:rsidR="00670279" w:rsidRPr="00670279">
              <w:rPr>
                <w:rFonts w:ascii="Times New Roman" w:hAnsi="Times New Roman" w:cs="Times New Roman"/>
                <w:b/>
                <w:color w:val="auto"/>
                <w:sz w:val="44"/>
                <w:szCs w:val="18"/>
              </w:rPr>
              <w:t xml:space="preserve"> Jonathan.white@ceredigion.gov.uk</w:t>
            </w:r>
          </w:p>
          <w:p w14:paraId="22E38809" w14:textId="77777777" w:rsidR="00986B43" w:rsidRPr="00670279"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2AB7677D" w:rsidR="00F927A1" w:rsidRPr="00670279"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670279">
              <w:rPr>
                <w:rFonts w:ascii="Times New Roman" w:hAnsi="Times New Roman" w:cs="Times New Roman"/>
                <w:b/>
                <w:color w:val="auto"/>
                <w:sz w:val="44"/>
                <w:szCs w:val="18"/>
              </w:rPr>
              <w:t>Learner’s University Registration</w:t>
            </w:r>
            <w:r w:rsidR="00F927A1" w:rsidRPr="00670279">
              <w:rPr>
                <w:rFonts w:ascii="Times New Roman" w:hAnsi="Times New Roman" w:cs="Times New Roman"/>
                <w:b/>
                <w:color w:val="auto"/>
                <w:sz w:val="44"/>
                <w:szCs w:val="18"/>
              </w:rPr>
              <w:t xml:space="preserve"> Number:</w:t>
            </w:r>
            <w:r w:rsidR="00670279">
              <w:rPr>
                <w:rFonts w:ascii="Times New Roman" w:hAnsi="Times New Roman" w:cs="Times New Roman"/>
                <w:b/>
                <w:color w:val="auto"/>
                <w:sz w:val="44"/>
                <w:szCs w:val="18"/>
              </w:rPr>
              <w:t xml:space="preserve"> 1104145</w:t>
            </w:r>
          </w:p>
          <w:p w14:paraId="622FD17A" w14:textId="77777777" w:rsidR="0085230E" w:rsidRPr="00670279"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670279">
              <w:rPr>
                <w:rFonts w:ascii="Times New Roman" w:hAnsi="Times New Roman" w:cs="Times New Roman"/>
                <w:b/>
                <w:color w:val="auto"/>
                <w:sz w:val="44"/>
                <w:szCs w:val="18"/>
              </w:rPr>
              <w:t xml:space="preserve">Cohort: </w:t>
            </w:r>
            <w:r w:rsidR="00B037B0" w:rsidRPr="00670279">
              <w:rPr>
                <w:rFonts w:ascii="Times New Roman" w:hAnsi="Times New Roman" w:cs="Times New Roman"/>
                <w:b/>
                <w:color w:val="auto"/>
                <w:sz w:val="44"/>
                <w:szCs w:val="18"/>
              </w:rPr>
              <w:t>21</w:t>
            </w:r>
            <w:r w:rsidR="00AE6231" w:rsidRPr="00670279">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3E926F4C" w:rsidR="00D3203C" w:rsidRDefault="0061253E" w:rsidP="00FF7EBB">
            <w:pPr>
              <w:jc w:val="both"/>
              <w:rPr>
                <w:iCs/>
                <w:sz w:val="24"/>
                <w:szCs w:val="24"/>
              </w:rPr>
            </w:pPr>
            <w:r>
              <w:rPr>
                <w:iCs/>
                <w:sz w:val="24"/>
                <w:szCs w:val="24"/>
              </w:rPr>
              <w:t>This essay presents a critically reflective case study of an assessment I undertook as a newly qualified social worker in a hospital discharge team within a local authority in Wales. The person at the centre of the case is a 91-year-old woman, referred to throughout as 7 to protect her identity in accordance with the Data Protection Act 2018 and the Practice Guidance for the Code of Professional Practice for Social Care (Social Care Wales, 2026). 7 was admitted to hospital following a fall at home, shortly after the sudden death of her eldest son who had been her primary carer. The central safeguarding question was not whether 7 needed protecting from an identified abuser, but how the duty to protect an older, grieving and increasingly isolated woman would be balanced against her right</w:t>
            </w:r>
            <w:r w:rsidR="00615D68">
              <w:rPr>
                <w:iCs/>
                <w:sz w:val="24"/>
                <w:szCs w:val="24"/>
              </w:rPr>
              <w:t xml:space="preserve"> </w:t>
            </w:r>
            <w:r>
              <w:rPr>
                <w:iCs/>
                <w:sz w:val="24"/>
                <w:szCs w:val="24"/>
              </w:rPr>
              <w:t>as a person with capacity to make decisions</w:t>
            </w:r>
            <w:r w:rsidR="005B0B83">
              <w:rPr>
                <w:iCs/>
                <w:sz w:val="24"/>
                <w:szCs w:val="24"/>
              </w:rPr>
              <w:t xml:space="preserve"> that</w:t>
            </w:r>
            <w:r>
              <w:rPr>
                <w:iCs/>
                <w:sz w:val="24"/>
                <w:szCs w:val="24"/>
              </w:rPr>
              <w:t xml:space="preserve"> others regarded as unsafe. </w:t>
            </w:r>
            <w:r w:rsidR="00774C2D">
              <w:rPr>
                <w:iCs/>
                <w:sz w:val="24"/>
                <w:szCs w:val="24"/>
              </w:rPr>
              <w:t xml:space="preserve">This essay critically reflects on how safeguarding legislation shaped my judgements, including where the threshold for intervention was, and was not, met. </w:t>
            </w:r>
            <w:r>
              <w:rPr>
                <w:iCs/>
                <w:sz w:val="24"/>
                <w:szCs w:val="24"/>
              </w:rPr>
              <w:t xml:space="preserve">It also considers how the case could have progressed had circumstances been different while drawing on Welsh, UK, European and international frameworks, the rural Welsh context, theory and research, and the collaboration and supervision that supported my judgement. </w:t>
            </w:r>
          </w:p>
          <w:p w14:paraId="14B01CE8" w14:textId="77777777" w:rsidR="0061253E" w:rsidRDefault="0061253E" w:rsidP="00FF7EBB">
            <w:pPr>
              <w:jc w:val="both"/>
              <w:rPr>
                <w:iCs/>
                <w:sz w:val="24"/>
                <w:szCs w:val="24"/>
              </w:rPr>
            </w:pPr>
          </w:p>
          <w:p w14:paraId="12DC2F24" w14:textId="5D20C72A" w:rsidR="00D3203C" w:rsidRDefault="0061253E" w:rsidP="00FF7EBB">
            <w:pPr>
              <w:jc w:val="both"/>
              <w:rPr>
                <w:iCs/>
                <w:sz w:val="24"/>
                <w:szCs w:val="24"/>
              </w:rPr>
            </w:pPr>
            <w:r>
              <w:rPr>
                <w:iCs/>
                <w:sz w:val="24"/>
                <w:szCs w:val="24"/>
              </w:rPr>
              <w:t xml:space="preserve">7 had macular degeneration leaving her significantly visually </w:t>
            </w:r>
            <w:r w:rsidR="00F90359">
              <w:rPr>
                <w:iCs/>
                <w:sz w:val="24"/>
                <w:szCs w:val="24"/>
              </w:rPr>
              <w:t>impaired and</w:t>
            </w:r>
            <w:r>
              <w:rPr>
                <w:iCs/>
                <w:sz w:val="24"/>
                <w:szCs w:val="24"/>
              </w:rPr>
              <w:t xml:space="preserve"> was experiencing some short-term memory difficulties without any diagnosed cognitive impairment. Her son had lived with her managing her bills, property, shopping, and meals and providing daily emotional support. His sudden death from a cardiac arrest removed without warning the entire structure of care on which she depended. She attempted to manage alone but fell and was admitted to hospital. I undertook an assessment of her care and support needs under Section 19 of the Social Services and Well-being (Wales) Act 2014 (SSW(W)A 2014), guided by the Part 3 </w:t>
            </w:r>
            <w:r>
              <w:rPr>
                <w:iCs/>
                <w:sz w:val="24"/>
                <w:szCs w:val="24"/>
              </w:rPr>
              <w:lastRenderedPageBreak/>
              <w:t>Code of Practice, which requires assessment to be proportionate and to begin with a “what matters” conversation identifying the person’s personal outcomes, strengths, and the barriers to achieving them (Welsh Government, 201</w:t>
            </w:r>
            <w:r w:rsidR="00F90359">
              <w:rPr>
                <w:iCs/>
                <w:sz w:val="24"/>
                <w:szCs w:val="24"/>
              </w:rPr>
              <w:t>9a</w:t>
            </w:r>
            <w:r>
              <w:rPr>
                <w:iCs/>
                <w:sz w:val="24"/>
                <w:szCs w:val="24"/>
              </w:rPr>
              <w:t xml:space="preserve">). </w:t>
            </w:r>
            <w:r w:rsidR="00F90359">
              <w:rPr>
                <w:iCs/>
                <w:sz w:val="24"/>
                <w:szCs w:val="24"/>
              </w:rPr>
              <w:t>What mattered most to 7 was returning to her own home. The assessment was undertaken with supporting documentation from the ward staff and the Occupational Therapist’s functional assessment which concluded that she could live independently. This collaboration meant that my judgement rested on a shared, evidence</w:t>
            </w:r>
            <w:r w:rsidR="00774C2D">
              <w:rPr>
                <w:iCs/>
                <w:sz w:val="24"/>
                <w:szCs w:val="24"/>
              </w:rPr>
              <w:t>d</w:t>
            </w:r>
            <w:r w:rsidR="00F90359">
              <w:rPr>
                <w:iCs/>
                <w:sz w:val="24"/>
                <w:szCs w:val="24"/>
              </w:rPr>
              <w:t xml:space="preserve"> picture of her abilities rather than on assumptions about age or risk (Social Care Wales, 2026b). </w:t>
            </w:r>
          </w:p>
          <w:p w14:paraId="35AC37B9" w14:textId="77777777" w:rsidR="006D6A95" w:rsidRDefault="006D6A95" w:rsidP="00FF7EBB">
            <w:pPr>
              <w:jc w:val="both"/>
              <w:rPr>
                <w:iCs/>
                <w:sz w:val="24"/>
                <w:szCs w:val="24"/>
              </w:rPr>
            </w:pPr>
          </w:p>
          <w:p w14:paraId="398A02F1" w14:textId="4EC05770" w:rsidR="009125EB" w:rsidRDefault="006D6A95" w:rsidP="00FF7EBB">
            <w:pPr>
              <w:jc w:val="both"/>
              <w:rPr>
                <w:iCs/>
                <w:sz w:val="24"/>
                <w:szCs w:val="24"/>
              </w:rPr>
            </w:pPr>
            <w:r>
              <w:rPr>
                <w:iCs/>
                <w:sz w:val="24"/>
                <w:szCs w:val="24"/>
              </w:rPr>
              <w:t xml:space="preserve">The legislative framework of </w:t>
            </w:r>
            <w:r w:rsidR="009125EB">
              <w:rPr>
                <w:iCs/>
                <w:sz w:val="24"/>
                <w:szCs w:val="24"/>
              </w:rPr>
              <w:t xml:space="preserve">the </w:t>
            </w:r>
            <w:r>
              <w:rPr>
                <w:iCs/>
                <w:sz w:val="24"/>
                <w:szCs w:val="24"/>
              </w:rPr>
              <w:t xml:space="preserve">SSW(W)A 2014 represents a significant shift in Welsh social care law, moving away from service-led provision towards a model that centres the individual’s wellbeing, voice and control (Welsh Government, 2024). Section </w:t>
            </w:r>
            <w:r w:rsidR="009125EB">
              <w:rPr>
                <w:iCs/>
                <w:sz w:val="24"/>
                <w:szCs w:val="24"/>
              </w:rPr>
              <w:t>5</w:t>
            </w:r>
            <w:r>
              <w:rPr>
                <w:iCs/>
                <w:sz w:val="24"/>
                <w:szCs w:val="24"/>
              </w:rPr>
              <w:t xml:space="preserve"> SSW(W)A 2014 places a general duty on local authorities to promote the wellbeing of people who need care and support, and Part 7 establishes the safeguarding framework that replaced the earlier In Safe Hands guidance (National Assembly for Wales, 2000). </w:t>
            </w:r>
            <w:r w:rsidR="009125EB">
              <w:rPr>
                <w:iCs/>
                <w:sz w:val="24"/>
                <w:szCs w:val="24"/>
              </w:rPr>
              <w:t>Within this framework, Section 126 defines an adult at risk as</w:t>
            </w:r>
            <w:r w:rsidR="00774C2D">
              <w:rPr>
                <w:iCs/>
                <w:sz w:val="24"/>
                <w:szCs w:val="24"/>
              </w:rPr>
              <w:t xml:space="preserve"> a person who is experiencing or is at risk of abuse or neglect, has needs for care and support</w:t>
            </w:r>
            <w:r w:rsidR="009125EB">
              <w:rPr>
                <w:iCs/>
                <w:sz w:val="24"/>
                <w:szCs w:val="24"/>
              </w:rPr>
              <w:t xml:space="preserve"> and as a result of those needs is unable to protect themselves. Where there is reasonable cause to suspect this, the local authority must make enquiries to decide whether action is needed, and Section 128 places a duty on relevant partners to report concerns. These duties are applied through the Wales Safeguarding Procedures (Wales Safeguarding Procedures Project Board, 2019) and overseen by Regional Safeguarding Boards. Critically, the SSW(W)A 2014 requires any safeguarding responses to balance the duty to protect with an equal commitment to respecting the individual’s right to self-determination. On admission, 7 clearly had care and support needs, but the risks she faced arose from the loss of her carer rather than from abuse or neglect by another person so the threshold for a safeguarding enquiry was not met and a care and support assessment was the proportionate response. </w:t>
            </w:r>
          </w:p>
          <w:p w14:paraId="4C6E3D24" w14:textId="77777777" w:rsidR="009125EB" w:rsidRDefault="009125EB" w:rsidP="00FF7EBB">
            <w:pPr>
              <w:jc w:val="both"/>
              <w:rPr>
                <w:iCs/>
                <w:sz w:val="24"/>
                <w:szCs w:val="24"/>
              </w:rPr>
            </w:pPr>
          </w:p>
          <w:p w14:paraId="1225D23D" w14:textId="5BD72A5F" w:rsidR="00D3203C" w:rsidRDefault="006D6A95" w:rsidP="00FF7EBB">
            <w:pPr>
              <w:jc w:val="both"/>
              <w:rPr>
                <w:iCs/>
                <w:sz w:val="24"/>
                <w:szCs w:val="24"/>
              </w:rPr>
            </w:pPr>
            <w:r>
              <w:rPr>
                <w:iCs/>
                <w:sz w:val="24"/>
                <w:szCs w:val="24"/>
              </w:rPr>
              <w:t>Alongside the SSW(W)A 2014, the Well-being of Future Generations (Wales) Act 2015</w:t>
            </w:r>
            <w:r w:rsidR="002B747F">
              <w:rPr>
                <w:iCs/>
                <w:sz w:val="24"/>
                <w:szCs w:val="24"/>
              </w:rPr>
              <w:t xml:space="preserve"> (WFG(W)A 2015)</w:t>
            </w:r>
            <w:r>
              <w:rPr>
                <w:iCs/>
                <w:sz w:val="24"/>
                <w:szCs w:val="24"/>
              </w:rPr>
              <w:t xml:space="preserve"> shapes the wider context within which public services operate in Wales. </w:t>
            </w:r>
            <w:r w:rsidR="002B747F">
              <w:rPr>
                <w:iCs/>
                <w:sz w:val="24"/>
                <w:szCs w:val="24"/>
              </w:rPr>
              <w:t>It places a statutory responsibility on public bodies, including local authorities, to promote sustainable development by considering not only present needs but also the long-term consequences of decisions for future generations. Although its direct relevance to individual case work might be limited, it underpins key principles such as prevention, collaboration, and long-term planning, all of which are central to effective social work practice in Wales. It also reflects the Welsh Government’s broader commitment to embedding wellbeing at the heart of public service delivery. In the case of 7, the principles of voice and control, prevention and early intervention, and co-production within the SSW(W)A 2014, alongside the long-term and preventative ways of working set out in the WFG(W)A 2015 informed the assessment process, encouraging a holistic understanding of her circumstances. This approach ensured that attention was given to her relationship</w:t>
            </w:r>
            <w:r w:rsidR="00774C2D">
              <w:rPr>
                <w:iCs/>
                <w:sz w:val="24"/>
                <w:szCs w:val="24"/>
              </w:rPr>
              <w:t>s</w:t>
            </w:r>
            <w:r w:rsidR="002B747F">
              <w:rPr>
                <w:iCs/>
                <w:sz w:val="24"/>
                <w:szCs w:val="24"/>
              </w:rPr>
              <w:t>, living environment, and sense of identi</w:t>
            </w:r>
            <w:r w:rsidR="006069B9">
              <w:rPr>
                <w:iCs/>
                <w:sz w:val="24"/>
                <w:szCs w:val="24"/>
              </w:rPr>
              <w:t xml:space="preserve">ty </w:t>
            </w:r>
            <w:r w:rsidR="002B747F">
              <w:rPr>
                <w:iCs/>
                <w:sz w:val="24"/>
                <w:szCs w:val="24"/>
              </w:rPr>
              <w:t xml:space="preserve">and purpose rather than focusing solely on her care and support needs from a narrow functional perspective. </w:t>
            </w:r>
          </w:p>
          <w:p w14:paraId="14BD5E0B" w14:textId="77777777" w:rsidR="002B747F" w:rsidRDefault="002B747F" w:rsidP="00FF7EBB">
            <w:pPr>
              <w:jc w:val="both"/>
              <w:rPr>
                <w:iCs/>
                <w:sz w:val="24"/>
                <w:szCs w:val="24"/>
              </w:rPr>
            </w:pPr>
          </w:p>
          <w:p w14:paraId="4D65EB2D" w14:textId="161AF796" w:rsidR="002B747F" w:rsidRDefault="002B747F" w:rsidP="00FF7EBB">
            <w:pPr>
              <w:jc w:val="both"/>
              <w:rPr>
                <w:iCs/>
                <w:sz w:val="24"/>
                <w:szCs w:val="24"/>
              </w:rPr>
            </w:pPr>
            <w:r>
              <w:rPr>
                <w:iCs/>
                <w:sz w:val="24"/>
                <w:szCs w:val="24"/>
              </w:rPr>
              <w:t xml:space="preserve">The Equality Act 2010 was also relevant to 7’s situation. She had several protected characteristics under the Act, including her age, her disability as the result of her visual </w:t>
            </w:r>
            <w:r>
              <w:rPr>
                <w:iCs/>
                <w:sz w:val="24"/>
                <w:szCs w:val="24"/>
              </w:rPr>
              <w:lastRenderedPageBreak/>
              <w:t xml:space="preserve">impairment and memory difficulties, and her </w:t>
            </w:r>
            <w:r w:rsidR="00CE12DB">
              <w:rPr>
                <w:iCs/>
                <w:sz w:val="24"/>
                <w:szCs w:val="24"/>
              </w:rPr>
              <w:t>sex</w:t>
            </w:r>
            <w:r>
              <w:rPr>
                <w:iCs/>
                <w:sz w:val="24"/>
                <w:szCs w:val="24"/>
              </w:rPr>
              <w:t>. These all meant that there was a potential risk of discrimination in how services were provided. The Act also places a duty on the local authority and services to make reasonable adjustments so she c</w:t>
            </w:r>
            <w:r w:rsidR="00774C2D">
              <w:rPr>
                <w:iCs/>
                <w:sz w:val="24"/>
                <w:szCs w:val="24"/>
              </w:rPr>
              <w:t xml:space="preserve">ould </w:t>
            </w:r>
            <w:r>
              <w:rPr>
                <w:iCs/>
                <w:sz w:val="24"/>
                <w:szCs w:val="24"/>
              </w:rPr>
              <w:t xml:space="preserve">access support fairly. In practice this meant making sure that written information was accessible for her, that support services took account of her visual impairment, and that the assessment did not make assumptions about her capabilities based on her age. I was mindful of this when undertaking 7’s assessment, as I was aware of how easy it is to focus on age related assumptions, both within the family and in professional practice which could mean 7’s views are overlooked or taken less seriously than those of someone younger. </w:t>
            </w:r>
          </w:p>
          <w:p w14:paraId="102E795C" w14:textId="77777777" w:rsidR="00FD22E3" w:rsidRDefault="00FD22E3" w:rsidP="00FF7EBB">
            <w:pPr>
              <w:jc w:val="both"/>
              <w:rPr>
                <w:iCs/>
                <w:sz w:val="24"/>
                <w:szCs w:val="24"/>
              </w:rPr>
            </w:pPr>
          </w:p>
          <w:p w14:paraId="4E901EA7" w14:textId="312BDF71" w:rsidR="00FD22E3" w:rsidRDefault="00FD22E3" w:rsidP="00FF7EBB">
            <w:pPr>
              <w:jc w:val="both"/>
              <w:rPr>
                <w:iCs/>
                <w:sz w:val="24"/>
                <w:szCs w:val="24"/>
              </w:rPr>
            </w:pPr>
            <w:r>
              <w:rPr>
                <w:iCs/>
                <w:sz w:val="24"/>
                <w:szCs w:val="24"/>
              </w:rPr>
              <w:t>7’s situation was also shaped by wider UK legislation, particularly the Mental Capacity Act 2005 (MCA 2005), which was central in guiding decisions throughout my involvement with 7. I</w:t>
            </w:r>
            <w:r w:rsidR="00774C2D">
              <w:rPr>
                <w:iCs/>
                <w:sz w:val="24"/>
                <w:szCs w:val="24"/>
              </w:rPr>
              <w:t xml:space="preserve">n </w:t>
            </w:r>
            <w:r>
              <w:rPr>
                <w:iCs/>
                <w:sz w:val="24"/>
                <w:szCs w:val="24"/>
              </w:rPr>
              <w:t xml:space="preserve">line with the Act, 7 was assumed to have capacity. The five principles of the Act were central to the assessment, including starting from the assumption that she had capacity, supporting her to make her own decisions, recognising that people can make unwise decisions and ensuring that any decisions made on someone’s behalf are in their best interests and as least restrictive as possible. 7’s decision to return home after her hospital stay was seen by others as unwise, especially as </w:t>
            </w:r>
            <w:r w:rsidR="00774C2D">
              <w:rPr>
                <w:iCs/>
                <w:sz w:val="24"/>
                <w:szCs w:val="24"/>
              </w:rPr>
              <w:t xml:space="preserve">all </w:t>
            </w:r>
            <w:r>
              <w:rPr>
                <w:iCs/>
                <w:sz w:val="24"/>
                <w:szCs w:val="24"/>
              </w:rPr>
              <w:t>three of her children strongly disagreed with it. However, under the MCA 2005, a person with capacity has the right to make decisions that others might not agree with. The MCA 2005 Code of Practice explains that a person’s capacity should not be questioned simply because others view their decision as unwise, and this principle applies even when relatives, friends or professionals disagree with the choice being made (Department for Constitutional Affairs, 2007).</w:t>
            </w:r>
            <w:r w:rsidR="002C58B0">
              <w:rPr>
                <w:iCs/>
                <w:sz w:val="24"/>
                <w:szCs w:val="24"/>
              </w:rPr>
              <w:t xml:space="preserve"> Respecting this was important, even though it was difficult. Holding onto this position, especially in the face of strong and emotional pressure from the family was one of the most challenging parts of this case.</w:t>
            </w:r>
            <w:r>
              <w:rPr>
                <w:iCs/>
                <w:sz w:val="24"/>
                <w:szCs w:val="24"/>
              </w:rPr>
              <w:t xml:space="preserve"> </w:t>
            </w:r>
            <w:r w:rsidR="001B4561">
              <w:rPr>
                <w:iCs/>
                <w:sz w:val="24"/>
                <w:szCs w:val="24"/>
              </w:rPr>
              <w:t xml:space="preserve">Had there been reason to doubt 7’s capacity then a decision specific assessment would have been required and had she lacked capacity then the decision about where she lived would have been made in her best interests under Section 4 of the MCA 2005, consulting her family and instructing an Independent Mental Capacity Advocate if required. </w:t>
            </w:r>
          </w:p>
          <w:p w14:paraId="12111225" w14:textId="77777777" w:rsidR="00FD22E3" w:rsidRDefault="00FD22E3" w:rsidP="00FF7EBB">
            <w:pPr>
              <w:jc w:val="both"/>
              <w:rPr>
                <w:iCs/>
                <w:sz w:val="24"/>
                <w:szCs w:val="24"/>
              </w:rPr>
            </w:pPr>
          </w:p>
          <w:p w14:paraId="0C1020FE" w14:textId="66BC0BE4" w:rsidR="00D3203C" w:rsidRDefault="008C3501" w:rsidP="00FF7EBB">
            <w:pPr>
              <w:jc w:val="both"/>
              <w:rPr>
                <w:iCs/>
                <w:sz w:val="24"/>
                <w:szCs w:val="24"/>
              </w:rPr>
            </w:pPr>
            <w:r>
              <w:rPr>
                <w:iCs/>
                <w:sz w:val="24"/>
                <w:szCs w:val="24"/>
              </w:rPr>
              <w:t>The Human Rights Act 1998 incorporates the European Convention on Human Rights (ECHR) into UK law. Article 8, protecting the right to respect for private and family life and home (Equality and Human Rights Commission, 2021), was engaged in two directions. Returning home was an exercise of 7’s right to respect for her home and private life and preventing her return would have be</w:t>
            </w:r>
            <w:r w:rsidR="00774C2D">
              <w:rPr>
                <w:iCs/>
                <w:sz w:val="24"/>
                <w:szCs w:val="24"/>
              </w:rPr>
              <w:t>en</w:t>
            </w:r>
            <w:r>
              <w:rPr>
                <w:iCs/>
                <w:sz w:val="24"/>
                <w:szCs w:val="24"/>
              </w:rPr>
              <w:t xml:space="preserve"> an interference requiring justification as lawful, necessary and proportionate. At the same time, Article 8 protects family life, and I was conscious that upholding her choice was contributing to the breakdown of her relationships with her children. I was therefore not weighing a straightforward tension between safety and liberty but considering whether any proportionate intervention could safeguard her wellbeing without undermining the self-determination the </w:t>
            </w:r>
            <w:r w:rsidR="00774C2D">
              <w:rPr>
                <w:iCs/>
                <w:sz w:val="24"/>
                <w:szCs w:val="24"/>
              </w:rPr>
              <w:t>C</w:t>
            </w:r>
            <w:r>
              <w:rPr>
                <w:iCs/>
                <w:sz w:val="24"/>
                <w:szCs w:val="24"/>
              </w:rPr>
              <w:t xml:space="preserve">onvention is designed to uphold. I concluded that in the absence of abuse or a lack of capacity, there was no lawful basis for overriding her decision, and that my role was to support her choice while working to reduce the risks it carried. </w:t>
            </w:r>
            <w:r w:rsidR="003439CF">
              <w:rPr>
                <w:iCs/>
                <w:sz w:val="24"/>
                <w:szCs w:val="24"/>
              </w:rPr>
              <w:t xml:space="preserve">The ECHR derives from the Council of Europe rather than the European Union, so it continues to apply in the UK following Brexit. Beyond Europe, Section 7 of the SSW(W)A 2014 requires due regard to the United Nations Principles for Older Persons (United Nations, 1991), </w:t>
            </w:r>
            <w:r w:rsidR="003439CF">
              <w:rPr>
                <w:iCs/>
                <w:sz w:val="24"/>
                <w:szCs w:val="24"/>
              </w:rPr>
              <w:lastRenderedPageBreak/>
              <w:t xml:space="preserve">which emphasise independence, participation, and dignity, principles directly reflected in 7’s wish to return home. </w:t>
            </w:r>
          </w:p>
          <w:p w14:paraId="62AB168F" w14:textId="77777777" w:rsidR="003439CF" w:rsidRDefault="003439CF" w:rsidP="00FF7EBB">
            <w:pPr>
              <w:jc w:val="both"/>
              <w:rPr>
                <w:iCs/>
                <w:sz w:val="24"/>
                <w:szCs w:val="24"/>
              </w:rPr>
            </w:pPr>
          </w:p>
          <w:p w14:paraId="439D8FCC" w14:textId="2B7C3532" w:rsidR="003439CF" w:rsidRDefault="003439CF" w:rsidP="00FF7EBB">
            <w:pPr>
              <w:jc w:val="both"/>
              <w:rPr>
                <w:iCs/>
                <w:sz w:val="24"/>
                <w:szCs w:val="24"/>
              </w:rPr>
            </w:pPr>
            <w:r>
              <w:rPr>
                <w:iCs/>
                <w:sz w:val="24"/>
                <w:szCs w:val="24"/>
              </w:rPr>
              <w:t xml:space="preserve">The case also highlights how Welsh provision interacts with services and frameworks used across the other UK nations. In England, the Care Act 2014 imposes a comparable enquiry duty under Section 42, and its statutory guidance includes self-neglect within the scope of adult </w:t>
            </w:r>
            <w:r w:rsidR="00F07818">
              <w:rPr>
                <w:iCs/>
                <w:sz w:val="24"/>
                <w:szCs w:val="24"/>
              </w:rPr>
              <w:t>safeguarding, whereas in Wales self-neglect is ordinarily addressed through mainstream assessment of care and support needs. Wales is also distinct in providing Adult Protection and Support Orders under Section 127 SSW(W)A 2014, which permit entry to premises to speak privately with a suspected adult at risk. Scotland’s Adult Support and Protection (Scotland) Act 2007 provides banning orders, while Northern Ireland relies on policy rather than a dedicated statutory framework. These differences had practical relevance. On</w:t>
            </w:r>
            <w:r w:rsidR="00774C2D">
              <w:rPr>
                <w:iCs/>
                <w:sz w:val="24"/>
                <w:szCs w:val="24"/>
              </w:rPr>
              <w:t>e</w:t>
            </w:r>
            <w:r w:rsidR="00F07818">
              <w:rPr>
                <w:iCs/>
                <w:sz w:val="24"/>
                <w:szCs w:val="24"/>
              </w:rPr>
              <w:t xml:space="preserve"> of 7’s daughters lived in England, and had 7 chosen, or been persuaded to move closer to her, her care and any future safeguarding concern would have fallen under a different legal system with cross border provisions determining which authority remained responsible. </w:t>
            </w:r>
          </w:p>
          <w:p w14:paraId="06838E76" w14:textId="77777777" w:rsidR="00F07818" w:rsidRDefault="00F07818" w:rsidP="00FF7EBB">
            <w:pPr>
              <w:jc w:val="both"/>
              <w:rPr>
                <w:iCs/>
                <w:sz w:val="24"/>
                <w:szCs w:val="24"/>
              </w:rPr>
            </w:pPr>
          </w:p>
          <w:p w14:paraId="24E76FA1" w14:textId="4FA4F555" w:rsidR="00F07818" w:rsidRDefault="00F07818" w:rsidP="00FF7EBB">
            <w:pPr>
              <w:jc w:val="both"/>
              <w:rPr>
                <w:iCs/>
                <w:sz w:val="24"/>
                <w:szCs w:val="24"/>
              </w:rPr>
            </w:pPr>
            <w:r>
              <w:rPr>
                <w:iCs/>
                <w:sz w:val="24"/>
                <w:szCs w:val="24"/>
              </w:rPr>
              <w:t>The local authority in which I work covers a large and predominantly rural area with a dispersed and ag</w:t>
            </w:r>
            <w:r w:rsidR="00774C2D">
              <w:rPr>
                <w:iCs/>
                <w:sz w:val="24"/>
                <w:szCs w:val="24"/>
              </w:rPr>
              <w:t>e</w:t>
            </w:r>
            <w:r>
              <w:rPr>
                <w:iCs/>
                <w:sz w:val="24"/>
                <w:szCs w:val="24"/>
              </w:rPr>
              <w:t xml:space="preserve">ing population, in which services are concentrated in a small number of towns and public transport is limited. This context was central to 7’s situation rather than background detail. Day opportunities, </w:t>
            </w:r>
            <w:r w:rsidR="00774C2D">
              <w:rPr>
                <w:iCs/>
                <w:sz w:val="24"/>
                <w:szCs w:val="24"/>
              </w:rPr>
              <w:t>b</w:t>
            </w:r>
            <w:r>
              <w:rPr>
                <w:iCs/>
                <w:sz w:val="24"/>
                <w:szCs w:val="24"/>
              </w:rPr>
              <w:t>efriending and community groups that would be accessible in an urban area were absent or out of reach for a 91-year-old woman with sight loss and no family transport. Research by Burholt and Morgan (2017)</w:t>
            </w:r>
            <w:r w:rsidR="00097237">
              <w:rPr>
                <w:iCs/>
                <w:sz w:val="24"/>
                <w:szCs w:val="24"/>
              </w:rPr>
              <w:t xml:space="preserve"> using nationally representative Welsh data found that rurality shapes the pathway from poor health to social isolation and loneliness, reinforcing the importance of place in understanding older people’s risk. The Older People’s Commissioner for Wales (2023) similarly reports that almost three quarters of people over 65 in Wales feel lonely at least sometimes. The Welsh Government’s strategy ‘Connec</w:t>
            </w:r>
            <w:r w:rsidR="00774C2D">
              <w:rPr>
                <w:iCs/>
                <w:sz w:val="24"/>
                <w:szCs w:val="24"/>
              </w:rPr>
              <w:t>ted</w:t>
            </w:r>
            <w:r w:rsidR="00097237">
              <w:rPr>
                <w:iCs/>
                <w:sz w:val="24"/>
                <w:szCs w:val="24"/>
              </w:rPr>
              <w:t xml:space="preserve"> Communities’ (Welsh Government, 2020) commits to tackling loneliness, yet in practice there remains a clear gap between the preventative intent of the SSW(W)A 2014 and what is available in rural areas. </w:t>
            </w:r>
            <w:r w:rsidR="00B6397F">
              <w:rPr>
                <w:iCs/>
                <w:sz w:val="24"/>
                <w:szCs w:val="24"/>
              </w:rPr>
              <w:t xml:space="preserve">This created a challenging professional dilemma because assessment can reveal needs, such as meaningful social contact, that the local authority already know it cannot fully meet. </w:t>
            </w:r>
          </w:p>
          <w:p w14:paraId="2AA097D9" w14:textId="77777777" w:rsidR="00723737" w:rsidRDefault="00723737" w:rsidP="00FF7EBB">
            <w:pPr>
              <w:jc w:val="both"/>
              <w:rPr>
                <w:iCs/>
                <w:sz w:val="24"/>
                <w:szCs w:val="24"/>
              </w:rPr>
            </w:pPr>
          </w:p>
          <w:p w14:paraId="67554B16" w14:textId="3769C853" w:rsidR="00723737" w:rsidRDefault="00723737" w:rsidP="00FF7EBB">
            <w:pPr>
              <w:jc w:val="both"/>
              <w:rPr>
                <w:iCs/>
                <w:sz w:val="24"/>
                <w:szCs w:val="24"/>
              </w:rPr>
            </w:pPr>
            <w:r>
              <w:rPr>
                <w:iCs/>
                <w:sz w:val="24"/>
                <w:szCs w:val="24"/>
              </w:rPr>
              <w:t>The Welsh Language (Wales) Measure 2011 gives Welsh official status, and the ‘More Than Just Words’ framework (Welsh Government, 2022b) requires services to make an Active Offer. 7 was an English speaker who preferred to communicate in English, but her language preference still had to be explored and recorded rather than assumed from her age or location. Had 7 been a Welsh speaker, assessment, capacity and safeguarding conversations would have needed to be offered in Welsh since a person’s ability to express their wishes, particularly when distressed or bereaved, can be si</w:t>
            </w:r>
            <w:r w:rsidR="002E56E8">
              <w:rPr>
                <w:iCs/>
                <w:sz w:val="24"/>
                <w:szCs w:val="24"/>
              </w:rPr>
              <w:t>gnificantly</w:t>
            </w:r>
            <w:r>
              <w:rPr>
                <w:iCs/>
                <w:sz w:val="24"/>
                <w:szCs w:val="24"/>
              </w:rPr>
              <w:t xml:space="preserve"> reduced in a second language and this need is heightened for older people with memory difficulties. </w:t>
            </w:r>
          </w:p>
          <w:p w14:paraId="46441D3B" w14:textId="77777777" w:rsidR="00723737" w:rsidRDefault="00723737" w:rsidP="00FF7EBB">
            <w:pPr>
              <w:jc w:val="both"/>
              <w:rPr>
                <w:iCs/>
                <w:sz w:val="24"/>
                <w:szCs w:val="24"/>
              </w:rPr>
            </w:pPr>
          </w:p>
          <w:p w14:paraId="40ACB1EA" w14:textId="4FDE7E2E" w:rsidR="00723737" w:rsidRDefault="00D45A16" w:rsidP="00FF7EBB">
            <w:pPr>
              <w:jc w:val="both"/>
              <w:rPr>
                <w:iCs/>
                <w:sz w:val="24"/>
                <w:szCs w:val="24"/>
              </w:rPr>
            </w:pPr>
            <w:r>
              <w:rPr>
                <w:iCs/>
                <w:sz w:val="24"/>
                <w:szCs w:val="24"/>
              </w:rPr>
              <w:t xml:space="preserve">Following discharge, the initial package of support was deliberately limited which reflected 7’s clearly expressed wish for independence and the evidence that she could manage with a degree of autonomy. Rather than protecting 7 by restricting her choices, the plan aimed to manage risk by building protective factors around her. I worked with several agencies, each with distinct roles. A housing support service helped her to take over the household finances </w:t>
            </w:r>
            <w:r>
              <w:rPr>
                <w:iCs/>
                <w:sz w:val="24"/>
                <w:szCs w:val="24"/>
              </w:rPr>
              <w:lastRenderedPageBreak/>
              <w:t>previously managed by her son, including a financial assessment and benefit applications, which also reduced her vulnerability to financial exploitation as she managed money for the first time. A visual impairment officer introduced aids such as a talking clock and a large-button telephone, reducing everyday risks at home and 7 was supported to arrange food shopping deliveries and a private domestic support service. Bronfenbrenner’s ecological systems theory (Guy-Evans, 2026; Payne, 2021) helped me to understand why this network mattered</w:t>
            </w:r>
            <w:r w:rsidR="001B4561">
              <w:rPr>
                <w:iCs/>
                <w:sz w:val="24"/>
                <w:szCs w:val="24"/>
              </w:rPr>
              <w:t xml:space="preserve">. At the ‘micro’ level, the loss of her son had disrupted both practical and emotional support. At the ‘meso’ level relationships between 7, her family and professionals became characterised by tension, and at the ‘exo’ level the rural setting limited what could realistically be put in place. </w:t>
            </w:r>
            <w:r>
              <w:rPr>
                <w:iCs/>
                <w:sz w:val="24"/>
                <w:szCs w:val="24"/>
              </w:rPr>
              <w:t xml:space="preserve">This perspective showed that the formal network was attempting to replace a single relationship that had previously met many needs at once. In hindsight, the network met her practical needs effectively but was not sustainable in meeting her </w:t>
            </w:r>
            <w:r w:rsidR="002E56E8">
              <w:rPr>
                <w:iCs/>
                <w:sz w:val="24"/>
                <w:szCs w:val="24"/>
              </w:rPr>
              <w:t>e</w:t>
            </w:r>
            <w:r>
              <w:rPr>
                <w:iCs/>
                <w:sz w:val="24"/>
                <w:szCs w:val="24"/>
              </w:rPr>
              <w:t xml:space="preserve">motional and social needs, for which no single agency held responsibility, and it was this gap that later gave rise to the most significant safeguarding concerns.  </w:t>
            </w:r>
          </w:p>
          <w:p w14:paraId="0A8B6F59" w14:textId="77777777" w:rsidR="00C76540" w:rsidRDefault="00C76540" w:rsidP="00FF7EBB">
            <w:pPr>
              <w:jc w:val="both"/>
              <w:rPr>
                <w:iCs/>
                <w:sz w:val="24"/>
                <w:szCs w:val="24"/>
              </w:rPr>
            </w:pPr>
          </w:p>
          <w:p w14:paraId="5A8C810F" w14:textId="01180723" w:rsidR="00C76540" w:rsidRDefault="00C76540" w:rsidP="00FF7EBB">
            <w:pPr>
              <w:jc w:val="both"/>
              <w:rPr>
                <w:iCs/>
                <w:sz w:val="24"/>
                <w:szCs w:val="24"/>
              </w:rPr>
            </w:pPr>
            <w:r>
              <w:rPr>
                <w:iCs/>
                <w:sz w:val="24"/>
                <w:szCs w:val="24"/>
              </w:rPr>
              <w:t xml:space="preserve">Understanding what was happening for 7 beyond the practical arrangements required me to draw on Bowlby’s attachment theory (McLeod, 2025a). Although developed to explain childhood relationships, it has been widely applied to adult relationships and loss (Mikulincer and Shaver, 2019). </w:t>
            </w:r>
            <w:r w:rsidR="00C9002E">
              <w:rPr>
                <w:iCs/>
                <w:sz w:val="24"/>
                <w:szCs w:val="24"/>
              </w:rPr>
              <w:t xml:space="preserve">7 had lived with her son for many years, and their relationship combined emotional closeness with daily dependence, so his sudden death represented the loss of a significant attachment figure. From this perspective, her strong wish to return home can be understood as more than a preference for a place, since the home she had shared with her son held emotional meaning, and returning there may have been a way of maintaining a connection with what had been lost. Worden’s (1991) tasks of mourning which frame grief as a series of tasks rather than fixed stages supported this understanding. These involve accepting the reality of the loss, working through its pain, adjusting to an environment without the deceased, and emotionally relocating the deceased while moving on with life. It is significant that 7 was admitted to hospital shortly after her son’s death. Her admission removed her from the home and routines through which she might have begun these tasks, and she was grieving in an unfamiliar clinical environment while being asked to make a major decision about her future. The theory therefore informed a safeguarding judgement, helping me to distinguish between risk taking that reflected her values and grief, and risk that might indicate she was unable to protect herself. </w:t>
            </w:r>
          </w:p>
          <w:p w14:paraId="6B402179" w14:textId="77777777" w:rsidR="00C9002E" w:rsidRDefault="00C9002E" w:rsidP="00FF7EBB">
            <w:pPr>
              <w:jc w:val="both"/>
              <w:rPr>
                <w:iCs/>
                <w:sz w:val="24"/>
                <w:szCs w:val="24"/>
              </w:rPr>
            </w:pPr>
          </w:p>
          <w:p w14:paraId="4CBCE2ED" w14:textId="2C3FB14F" w:rsidR="00F40E0D" w:rsidRDefault="00C9002E" w:rsidP="00FF7EBB">
            <w:pPr>
              <w:jc w:val="both"/>
              <w:rPr>
                <w:iCs/>
                <w:sz w:val="24"/>
                <w:szCs w:val="24"/>
              </w:rPr>
            </w:pPr>
            <w:r>
              <w:rPr>
                <w:iCs/>
                <w:sz w:val="24"/>
                <w:szCs w:val="24"/>
              </w:rPr>
              <w:t>The involvement of 7’s family created the most difficult safeguarding dilemma in the case as I was repeatedly required to justify my professional judgement to the family united in disagreeing with it. 7 had three surviving children, a daughter living locally, another in England and a son who divided his time between Wales and overseas, and all three believed that 7 should move into residential care. On reflection, their position was understandable as they</w:t>
            </w:r>
            <w:r w:rsidR="002E56E8">
              <w:rPr>
                <w:iCs/>
                <w:sz w:val="24"/>
                <w:szCs w:val="24"/>
              </w:rPr>
              <w:t xml:space="preserve"> too were grieving</w:t>
            </w:r>
            <w:r>
              <w:rPr>
                <w:iCs/>
                <w:sz w:val="24"/>
                <w:szCs w:val="24"/>
              </w:rPr>
              <w:t xml:space="preserve"> their brother and their anxiety about their mother falling again, alone and undiscovered, was likely heightened by that loss.</w:t>
            </w:r>
            <w:r w:rsidR="00EA2224">
              <w:rPr>
                <w:iCs/>
                <w:sz w:val="24"/>
                <w:szCs w:val="24"/>
              </w:rPr>
              <w:t xml:space="preserve"> A trauma informed approach, as promoted by the Trauma-Informed Wales framework (ACEs Hub Wales and Traumatic Stress Wales, 2022) would recognise that their insistence on residential care may have reflected a need for certainty and reassurance after a traumatic event. However, when it became clear that 7’s decision would be upheld they withdrew entirely from contact, with some refusing to answer her calls, so that she experienced a further loss as a consequence of her decision. I </w:t>
            </w:r>
            <w:r w:rsidR="00EA2224">
              <w:rPr>
                <w:iCs/>
                <w:sz w:val="24"/>
                <w:szCs w:val="24"/>
              </w:rPr>
              <w:lastRenderedPageBreak/>
              <w:t xml:space="preserve">considered whether this withdrawal amounted to emotional abuse or neglect under Section 197 SSW(W)A 2014 and discussed it directly with the safeguarding team. The team’s view was that the family had not been acting as her informal carers, so their withdrawal could not be defined as a failure to meet needs for which they held responsibility, and </w:t>
            </w:r>
            <w:r w:rsidR="002E56E8">
              <w:rPr>
                <w:iCs/>
                <w:sz w:val="24"/>
                <w:szCs w:val="24"/>
              </w:rPr>
              <w:t xml:space="preserve">that </w:t>
            </w:r>
            <w:r w:rsidR="00EA2224">
              <w:rPr>
                <w:iCs/>
                <w:sz w:val="24"/>
                <w:szCs w:val="24"/>
              </w:rPr>
              <w:t>while the emotional impact on 7 was profound, withdrawing contact did not in itself constitute abuse. Recording this rationale was important, as a clear record of why a threshold is not met is as much a part of acc</w:t>
            </w:r>
            <w:r w:rsidR="00F40E0D">
              <w:rPr>
                <w:iCs/>
                <w:sz w:val="24"/>
                <w:szCs w:val="24"/>
              </w:rPr>
              <w:t xml:space="preserve">ountable practice as a referral. Had the circumstances been different, the outcome could also have changed. If any of her children had been providing care and then withdrawn it in a way that left her basic needs unmet this could have met the threshold for neglect and required a report under the Wales Safeguarding Procedures. Likewise, if the family had used threats, conditions, or sustained pressure to override her choice, this could have indicated coercion or undue influence. </w:t>
            </w:r>
          </w:p>
          <w:p w14:paraId="78E658CF" w14:textId="77777777" w:rsidR="00F40E0D" w:rsidRDefault="00F40E0D" w:rsidP="00FF7EBB">
            <w:pPr>
              <w:jc w:val="both"/>
              <w:rPr>
                <w:iCs/>
                <w:sz w:val="24"/>
                <w:szCs w:val="24"/>
              </w:rPr>
            </w:pPr>
          </w:p>
          <w:p w14:paraId="3FB3DA4C" w14:textId="59D7D079" w:rsidR="00C9002E" w:rsidRDefault="00F40E0D" w:rsidP="00FF7EBB">
            <w:pPr>
              <w:jc w:val="both"/>
              <w:rPr>
                <w:iCs/>
                <w:sz w:val="24"/>
                <w:szCs w:val="24"/>
              </w:rPr>
            </w:pPr>
            <w:r>
              <w:rPr>
                <w:iCs/>
                <w:sz w:val="24"/>
                <w:szCs w:val="24"/>
              </w:rPr>
              <w:t xml:space="preserve">The family also appeared to interpret my reliance on the multidisciplinary evidence and 7’s stated wishes as bias against them, and as a newly qualified Social </w:t>
            </w:r>
            <w:r w:rsidR="002C58B0">
              <w:rPr>
                <w:iCs/>
                <w:sz w:val="24"/>
                <w:szCs w:val="24"/>
              </w:rPr>
              <w:t>Worker,</w:t>
            </w:r>
            <w:r w:rsidR="00B46CEE">
              <w:rPr>
                <w:iCs/>
                <w:sz w:val="24"/>
                <w:szCs w:val="24"/>
              </w:rPr>
              <w:t xml:space="preserve"> </w:t>
            </w:r>
            <w:r>
              <w:rPr>
                <w:iCs/>
                <w:sz w:val="24"/>
                <w:szCs w:val="24"/>
              </w:rPr>
              <w:t>I found myself repeatedly questioning my judgement. Supervision became essential. My supervisor helped me to separate the emotional weight of the family’s opposition from the legal and ethical basis of the decision, and to explore the complexity of the situation while reminding me that my responsibility was to uphold 7’s rights and promote her wellbeing. This reassured me that my discomfort reflected a genuine ethical tension rather than poor practice, consistent with Coulshed and Orme’s (1998) observation that complex decision-making inevitably generates anxiety for practitioners.</w:t>
            </w:r>
            <w:r w:rsidR="009005E8">
              <w:rPr>
                <w:iCs/>
                <w:sz w:val="24"/>
                <w:szCs w:val="24"/>
              </w:rPr>
              <w:t xml:space="preserve"> </w:t>
            </w:r>
            <w:r>
              <w:rPr>
                <w:iCs/>
                <w:sz w:val="24"/>
                <w:szCs w:val="24"/>
              </w:rPr>
              <w:t xml:space="preserve">Kemshall’s (2010) distinction between defensible and defensive decision making was also helpful. </w:t>
            </w:r>
            <w:r w:rsidR="007E18AB">
              <w:rPr>
                <w:iCs/>
                <w:sz w:val="24"/>
                <w:szCs w:val="24"/>
              </w:rPr>
              <w:t xml:space="preserve">A defensive decision, driven by fear of blame should 7 fall again might have led me to support the family’s view, whereas a defensible decision was one based on evidence, consistent with the law, made collaboratively and clearly recorded, even if an adverse outcome happened later. </w:t>
            </w:r>
          </w:p>
          <w:p w14:paraId="5ED9AE05" w14:textId="77777777" w:rsidR="00C0029F" w:rsidRDefault="00C0029F" w:rsidP="00FF7EBB">
            <w:pPr>
              <w:jc w:val="both"/>
              <w:rPr>
                <w:iCs/>
                <w:sz w:val="24"/>
                <w:szCs w:val="24"/>
              </w:rPr>
            </w:pPr>
          </w:p>
          <w:p w14:paraId="4E96C022" w14:textId="6D1720ED" w:rsidR="007C651F" w:rsidRDefault="00B46CEE" w:rsidP="00FF7EBB">
            <w:pPr>
              <w:jc w:val="both"/>
              <w:rPr>
                <w:iCs/>
                <w:sz w:val="24"/>
                <w:szCs w:val="24"/>
              </w:rPr>
            </w:pPr>
            <w:r>
              <w:rPr>
                <w:iCs/>
                <w:sz w:val="24"/>
                <w:szCs w:val="24"/>
              </w:rPr>
              <w:t xml:space="preserve">After about three months, 7’s situation began to deteriorate. This was not driven by medical change but by increasing isolation, as her only contact consisted of brief, task focused visits from paid support and efforts to maintain social opportunities were difficult to sustain in her rural setting. She became low in mood and withdrawn, telling me that she saw no reason to get up and dressed in the morning, and her personal care declined. Her sight loss also meant that she could not read use-by dates and was eating spoiled food. </w:t>
            </w:r>
            <w:r w:rsidR="007C651F">
              <w:rPr>
                <w:iCs/>
                <w:sz w:val="24"/>
                <w:szCs w:val="24"/>
              </w:rPr>
              <w:t xml:space="preserve">Research with adult safeguarding managers in England </w:t>
            </w:r>
            <w:r w:rsidR="00543D2F">
              <w:rPr>
                <w:iCs/>
                <w:sz w:val="24"/>
                <w:szCs w:val="24"/>
              </w:rPr>
              <w:t xml:space="preserve">highlights </w:t>
            </w:r>
            <w:r w:rsidR="007C651F">
              <w:rPr>
                <w:iCs/>
                <w:sz w:val="24"/>
                <w:szCs w:val="24"/>
              </w:rPr>
              <w:t xml:space="preserve">how difficult it can be to interpret self-neglect and decide whether it warrants a safeguarding response (Owen et al., 2022). This sits within a legal framework that includes a duty under Section 42 of the Care Act 2014 to make safeguarding enquiries, whereas in Wales the proportionate response in this case was a reassessment of 7’s care and support needs. A domiciliary care package of three daily visits was introduced to support her personal care, meals and </w:t>
            </w:r>
            <w:r w:rsidR="00895A8A">
              <w:rPr>
                <w:iCs/>
                <w:sz w:val="24"/>
                <w:szCs w:val="24"/>
              </w:rPr>
              <w:t xml:space="preserve">medication and 7 was advised to speak to her GP about her low mood. </w:t>
            </w:r>
            <w:r w:rsidR="00F7449A">
              <w:rPr>
                <w:iCs/>
                <w:sz w:val="24"/>
                <w:szCs w:val="24"/>
              </w:rPr>
              <w:t>Introducing care into 7’s home also engaged the Health and Safety at Work etc. Act 1974</w:t>
            </w:r>
            <w:r w:rsidR="00BE70BE">
              <w:rPr>
                <w:iCs/>
                <w:sz w:val="24"/>
                <w:szCs w:val="24"/>
              </w:rPr>
              <w:t xml:space="preserve">, </w:t>
            </w:r>
            <w:r w:rsidR="00F7449A">
              <w:rPr>
                <w:iCs/>
                <w:sz w:val="24"/>
                <w:szCs w:val="24"/>
              </w:rPr>
              <w:t>which requires care providers to assess</w:t>
            </w:r>
            <w:r w:rsidR="00BE70BE">
              <w:rPr>
                <w:iCs/>
                <w:sz w:val="24"/>
                <w:szCs w:val="24"/>
              </w:rPr>
              <w:t xml:space="preserve"> risks</w:t>
            </w:r>
            <w:r w:rsidR="00F7449A">
              <w:rPr>
                <w:iCs/>
                <w:sz w:val="24"/>
                <w:szCs w:val="24"/>
              </w:rPr>
              <w:t xml:space="preserve"> within the home, protecting both the person and the staff supporting</w:t>
            </w:r>
            <w:r w:rsidR="00BE70BE">
              <w:rPr>
                <w:iCs/>
                <w:sz w:val="24"/>
                <w:szCs w:val="24"/>
              </w:rPr>
              <w:t xml:space="preserve"> them</w:t>
            </w:r>
            <w:r w:rsidR="00F7449A">
              <w:rPr>
                <w:iCs/>
                <w:sz w:val="24"/>
                <w:szCs w:val="24"/>
              </w:rPr>
              <w:t xml:space="preserve">. </w:t>
            </w:r>
            <w:r w:rsidR="00895A8A">
              <w:rPr>
                <w:iCs/>
                <w:sz w:val="24"/>
                <w:szCs w:val="24"/>
              </w:rPr>
              <w:t xml:space="preserve">Had 7 declined the care package while her self-neglect continued, I would have convened a multi-agency meeting with her GP and care provider to share information in line with the Data Protection Act 2018, agree a risk management plan and consider whether the Section 126 SSW(W)A 2014 criteria had been met. Had her low mood extended to hopelessness or suicidal thoughts, I would have </w:t>
            </w:r>
            <w:r w:rsidR="00895A8A">
              <w:rPr>
                <w:iCs/>
                <w:sz w:val="24"/>
                <w:szCs w:val="24"/>
              </w:rPr>
              <w:lastRenderedPageBreak/>
              <w:t xml:space="preserve">sought an urgent GP review and referral to Local Primary Mental Health Support Services under the Mental Health (Wales) Measure 2010.  </w:t>
            </w:r>
          </w:p>
          <w:p w14:paraId="726C20B6" w14:textId="77777777" w:rsidR="00895A8A" w:rsidRDefault="00895A8A" w:rsidP="00FF7EBB">
            <w:pPr>
              <w:jc w:val="both"/>
              <w:rPr>
                <w:iCs/>
                <w:sz w:val="24"/>
                <w:szCs w:val="24"/>
              </w:rPr>
            </w:pPr>
          </w:p>
          <w:p w14:paraId="7939FC6F" w14:textId="4E140A59" w:rsidR="00895A8A" w:rsidRDefault="00895A8A" w:rsidP="00FF7EBB">
            <w:pPr>
              <w:jc w:val="both"/>
              <w:rPr>
                <w:iCs/>
                <w:sz w:val="24"/>
                <w:szCs w:val="24"/>
              </w:rPr>
            </w:pPr>
            <w:r>
              <w:rPr>
                <w:iCs/>
                <w:sz w:val="24"/>
                <w:szCs w:val="24"/>
              </w:rPr>
              <w:t xml:space="preserve">Maslow’s (1943) hierarchy of need helps to explain this trajectory (McLeod, 2026). While the care package met her physiological and safety needs, her need for love and belonging previously met by her son remained unmet, and her motivation and sense of purpose declined accordingly. The self-neglect that emerged was therefore better understood as a response to grief and abandonment than as a deliberate choice, highlighting the limits of formal services in meeting relational needs. </w:t>
            </w:r>
          </w:p>
          <w:p w14:paraId="66CEC867" w14:textId="77777777" w:rsidR="00895A8A" w:rsidRDefault="00895A8A" w:rsidP="00FF7EBB">
            <w:pPr>
              <w:jc w:val="both"/>
              <w:rPr>
                <w:iCs/>
                <w:sz w:val="24"/>
                <w:szCs w:val="24"/>
              </w:rPr>
            </w:pPr>
          </w:p>
          <w:p w14:paraId="44EAD7F9" w14:textId="65B6B5DB" w:rsidR="00895A8A" w:rsidRDefault="00895A8A" w:rsidP="00FF7EBB">
            <w:pPr>
              <w:jc w:val="both"/>
              <w:rPr>
                <w:iCs/>
                <w:sz w:val="24"/>
                <w:szCs w:val="24"/>
              </w:rPr>
            </w:pPr>
            <w:r>
              <w:rPr>
                <w:iCs/>
                <w:sz w:val="24"/>
                <w:szCs w:val="24"/>
              </w:rPr>
              <w:t>As 7’s isolation and low mood intensified, she began to express agreement with her family’s views that residential care might now be appropriate. This presented a significant values dilemma. Respecting her autonomy meant taking her change of view seriously, but I also needed to be satisfied that the decision was genuinely her own, rather than a product of low mood, loneliness or the lingering pressure</w:t>
            </w:r>
            <w:r w:rsidR="00F96402">
              <w:rPr>
                <w:iCs/>
                <w:sz w:val="24"/>
                <w:szCs w:val="24"/>
              </w:rPr>
              <w:t>, whether f</w:t>
            </w:r>
            <w:r w:rsidR="002E56E8">
              <w:rPr>
                <w:iCs/>
                <w:sz w:val="24"/>
                <w:szCs w:val="24"/>
              </w:rPr>
              <w:t xml:space="preserve">rom </w:t>
            </w:r>
            <w:r w:rsidR="00F96402">
              <w:rPr>
                <w:iCs/>
                <w:sz w:val="24"/>
                <w:szCs w:val="24"/>
              </w:rPr>
              <w:t xml:space="preserve">her family’s disapproval or from my own earlier position. Festinger’s (1957) theory of </w:t>
            </w:r>
            <w:r w:rsidR="00BC4D1B">
              <w:rPr>
                <w:iCs/>
                <w:sz w:val="24"/>
                <w:szCs w:val="24"/>
              </w:rPr>
              <w:t xml:space="preserve">cognitive dissonance provided a useful framework (McLeod, 2025b). 7 had a long-standing identity rooted in independence, yet she was increasingly confronted with evidence from her family and from her own declining self-care that she was not coping, and her change of view could therefore have been a way of resolving that discomfort rather than a settled preference. To test this, I revisited her wishes across several conversations over a period of weeks, approaching the question from different perspectives to assess consistency and underlying meaning, and reflected on this in supervision. Over time, her preference became settled and internally consistent, and she expressed it with a sense of relief rather than resignation. I was therefore satisfied that it reflected a genuine change in her wishes, and the search for a suitable placement began. This demonstrated the importance of modifying professional judgement when new evidence emerges. </w:t>
            </w:r>
          </w:p>
          <w:p w14:paraId="3A201B9E" w14:textId="77777777" w:rsidR="00BC4D1B" w:rsidRDefault="00BC4D1B" w:rsidP="00FF7EBB">
            <w:pPr>
              <w:jc w:val="both"/>
              <w:rPr>
                <w:iCs/>
                <w:sz w:val="24"/>
                <w:szCs w:val="24"/>
              </w:rPr>
            </w:pPr>
          </w:p>
          <w:p w14:paraId="5FAE9226" w14:textId="2D6B91F0" w:rsidR="00BC4D1B" w:rsidRDefault="00BC4D1B" w:rsidP="00FF7EBB">
            <w:pPr>
              <w:jc w:val="both"/>
              <w:rPr>
                <w:iCs/>
                <w:sz w:val="24"/>
                <w:szCs w:val="24"/>
              </w:rPr>
            </w:pPr>
            <w:r>
              <w:rPr>
                <w:iCs/>
                <w:sz w:val="24"/>
                <w:szCs w:val="24"/>
              </w:rPr>
              <w:t>Holding onto the case after discharge was unusual for a hospital team and was agreed in supervision for three reasons. Firstly, 7 remained at risk of financial exploitation since she was managing her finances for the first time, was visually impaired and</w:t>
            </w:r>
            <w:r w:rsidR="001E3896">
              <w:rPr>
                <w:iCs/>
                <w:sz w:val="24"/>
                <w:szCs w:val="24"/>
              </w:rPr>
              <w:t xml:space="preserve"> had short-term memory difficulties, and was increasingly isolated. Secondly, the tense family relationships meant that continuity was important. Thirdly, her memory difficulties made consistent involvement from a familiar worker especially important for her sense of security and for the reliability of ongoing assessment. Although no financial abuse was identified, had it been, a reasonable suspicion would have required a report under the Wales Safeguarding Procedures and an enquiry under Section 126 SSW(W)A 2014 in which establishing 7’s own preferred outcome would have been central. Depending on the circumstances, the response might have involved the police, her bank and the Department for Work and Pensions, for example in relation to an </w:t>
            </w:r>
            <w:r w:rsidR="002C58B0">
              <w:rPr>
                <w:iCs/>
                <w:sz w:val="24"/>
                <w:szCs w:val="24"/>
              </w:rPr>
              <w:t>appointeeship</w:t>
            </w:r>
            <w:r w:rsidR="001E3896">
              <w:rPr>
                <w:iCs/>
                <w:sz w:val="24"/>
                <w:szCs w:val="24"/>
              </w:rPr>
              <w:t xml:space="preserve"> and had a suspected perpetrator prevented access to her, </w:t>
            </w:r>
            <w:r w:rsidR="00543D2F">
              <w:rPr>
                <w:iCs/>
                <w:sz w:val="24"/>
                <w:szCs w:val="24"/>
              </w:rPr>
              <w:t xml:space="preserve">an application for an Adult Protection and Support Order under Section 127 SSW(W)A 2014 could have been considered. </w:t>
            </w:r>
          </w:p>
          <w:p w14:paraId="2C9E905A" w14:textId="77777777" w:rsidR="00906297" w:rsidRDefault="00906297" w:rsidP="00FF7EBB">
            <w:pPr>
              <w:jc w:val="both"/>
              <w:rPr>
                <w:iCs/>
                <w:sz w:val="24"/>
                <w:szCs w:val="24"/>
              </w:rPr>
            </w:pPr>
          </w:p>
          <w:p w14:paraId="62126C4C" w14:textId="1ADFE654" w:rsidR="00906297" w:rsidRDefault="00906297" w:rsidP="00FF7EBB">
            <w:pPr>
              <w:jc w:val="both"/>
              <w:rPr>
                <w:iCs/>
                <w:sz w:val="24"/>
                <w:szCs w:val="24"/>
              </w:rPr>
            </w:pPr>
            <w:r>
              <w:rPr>
                <w:iCs/>
                <w:sz w:val="24"/>
                <w:szCs w:val="24"/>
              </w:rPr>
              <w:t xml:space="preserve">On reflection the most striking issue was the challenge of upholding a person’s right to make decisions that others consider unsafe. Protecting rights requires practitioners to stand by them even when doing so feels uncomfortable. I also reflect limits in my own practice because </w:t>
            </w:r>
            <w:r>
              <w:rPr>
                <w:iCs/>
                <w:sz w:val="24"/>
                <w:szCs w:val="24"/>
              </w:rPr>
              <w:lastRenderedPageBreak/>
              <w:t xml:space="preserve">although the safeguarding threshold was not met, I could have explored the emotional impact of the family’s withdrawal earlier, and a more structured approach to engaging them like arranging a family meeting might have helped address their anxiety without requiring 7 to leave her home. I could have also acted more </w:t>
            </w:r>
            <w:r w:rsidR="00F534F5">
              <w:rPr>
                <w:iCs/>
                <w:sz w:val="24"/>
                <w:szCs w:val="24"/>
              </w:rPr>
              <w:t xml:space="preserve">proactively in arranging socialisation support before isolation took hold and considered earlier whether independent professional advocacy under the SSW(W)A 2014 would have helped 7 to express her views once her family were no longer involved. Critical reflection is not about presenting practice positively but about identifying learning (Rolfe, Jasper and Freshwater, 2011). The most important learning for me is that safeguarding in adult social care is not limited to identifying abuse. It also involves recognising when a situation falls below the statutory threshold while still carrying significant risk, recording that judgement clearly, and planning for how the response would change if circumstances change. </w:t>
            </w:r>
          </w:p>
          <w:p w14:paraId="505F6D73" w14:textId="77777777" w:rsidR="00B6397F" w:rsidRDefault="00B6397F" w:rsidP="00FF7EBB">
            <w:pPr>
              <w:jc w:val="both"/>
              <w:rPr>
                <w:iCs/>
                <w:sz w:val="24"/>
                <w:szCs w:val="24"/>
              </w:rPr>
            </w:pPr>
          </w:p>
          <w:p w14:paraId="520D4704" w14:textId="01ED6ECC" w:rsidR="00F534F5" w:rsidRDefault="00F534F5" w:rsidP="00FF7EBB">
            <w:pPr>
              <w:jc w:val="both"/>
              <w:rPr>
                <w:iCs/>
                <w:sz w:val="24"/>
                <w:szCs w:val="24"/>
              </w:rPr>
            </w:pPr>
            <w:r>
              <w:rPr>
                <w:iCs/>
                <w:sz w:val="24"/>
                <w:szCs w:val="24"/>
              </w:rPr>
              <w:t>7 moved into a residential care home after approximately five months. The placement was identified using a person-centred approach, considering her preferences for location, social opportunities and environment, and I continued to hold the case for a further month</w:t>
            </w:r>
            <w:r w:rsidR="001B4561">
              <w:rPr>
                <w:iCs/>
                <w:sz w:val="24"/>
                <w:szCs w:val="24"/>
              </w:rPr>
              <w:t xml:space="preserve">. The outcome was the one that 7’s family had wanted from the outset but reached through 7’s own settled decision rather than imposed upon her, which I consider the most important safeguarding achievement of the case. It reinforced that safeguarding older people in rural Wales extends beyond identifying abuse, requiring practitioners to keep the person at the centre, ensuring their voice is heard and their choices are respected, even when those choices carry significant risk. </w:t>
            </w:r>
          </w:p>
          <w:p w14:paraId="71E3AED4" w14:textId="77777777" w:rsidR="00895A8A" w:rsidRDefault="00895A8A" w:rsidP="00FF7EBB">
            <w:pPr>
              <w:jc w:val="both"/>
              <w:rPr>
                <w:iCs/>
                <w:sz w:val="24"/>
                <w:szCs w:val="24"/>
              </w:rPr>
            </w:pPr>
          </w:p>
          <w:p w14:paraId="4D003BCB" w14:textId="0D8E9139" w:rsidR="00B6397F" w:rsidRPr="008C3501" w:rsidRDefault="00723737" w:rsidP="00FF7EBB">
            <w:pPr>
              <w:jc w:val="both"/>
              <w:rPr>
                <w:iCs/>
                <w:sz w:val="24"/>
                <w:szCs w:val="24"/>
              </w:rPr>
            </w:pPr>
            <w:r>
              <w:rPr>
                <w:iCs/>
                <w:sz w:val="24"/>
                <w:szCs w:val="24"/>
              </w:rPr>
              <w:t xml:space="preserve">Word count: </w:t>
            </w:r>
            <w:r w:rsidR="001B4561">
              <w:rPr>
                <w:iCs/>
                <w:sz w:val="24"/>
                <w:szCs w:val="24"/>
              </w:rPr>
              <w:t>4</w:t>
            </w:r>
            <w:r w:rsidR="00BE70BE">
              <w:rPr>
                <w:iCs/>
                <w:sz w:val="24"/>
                <w:szCs w:val="24"/>
              </w:rPr>
              <w:t>094</w:t>
            </w: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0454A" w14:textId="77777777" w:rsidR="00606603" w:rsidRDefault="00606603">
      <w:r>
        <w:separator/>
      </w:r>
    </w:p>
  </w:endnote>
  <w:endnote w:type="continuationSeparator" w:id="0">
    <w:p w14:paraId="44CB4E96" w14:textId="77777777" w:rsidR="00606603" w:rsidRDefault="00606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30B7C" w14:textId="77777777" w:rsidR="00606603" w:rsidRDefault="00606603">
      <w:r>
        <w:separator/>
      </w:r>
    </w:p>
  </w:footnote>
  <w:footnote w:type="continuationSeparator" w:id="0">
    <w:p w14:paraId="502C544B" w14:textId="77777777" w:rsidR="00606603" w:rsidRDefault="00606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237"/>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B4561"/>
    <w:rsid w:val="001C0237"/>
    <w:rsid w:val="001C0E74"/>
    <w:rsid w:val="001C3E71"/>
    <w:rsid w:val="001C4DB8"/>
    <w:rsid w:val="001C50B8"/>
    <w:rsid w:val="001D229F"/>
    <w:rsid w:val="001E2EB6"/>
    <w:rsid w:val="001E389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47F9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47F"/>
    <w:rsid w:val="002B7AEE"/>
    <w:rsid w:val="002C2536"/>
    <w:rsid w:val="002C256A"/>
    <w:rsid w:val="002C3031"/>
    <w:rsid w:val="002C4233"/>
    <w:rsid w:val="002C496D"/>
    <w:rsid w:val="002C58B0"/>
    <w:rsid w:val="002D05EB"/>
    <w:rsid w:val="002D11A8"/>
    <w:rsid w:val="002D2F29"/>
    <w:rsid w:val="002D46C0"/>
    <w:rsid w:val="002D5A92"/>
    <w:rsid w:val="002D65D2"/>
    <w:rsid w:val="002D6B31"/>
    <w:rsid w:val="002E56E8"/>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39C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1E41"/>
    <w:rsid w:val="003C3C67"/>
    <w:rsid w:val="003C4186"/>
    <w:rsid w:val="003C6185"/>
    <w:rsid w:val="003D0D2D"/>
    <w:rsid w:val="003D1885"/>
    <w:rsid w:val="003D1BC0"/>
    <w:rsid w:val="003D20F1"/>
    <w:rsid w:val="003D4710"/>
    <w:rsid w:val="003E16D7"/>
    <w:rsid w:val="003E197E"/>
    <w:rsid w:val="003E4B70"/>
    <w:rsid w:val="003E54B1"/>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5A9A"/>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364"/>
    <w:rsid w:val="005414F4"/>
    <w:rsid w:val="00543D2F"/>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0B83"/>
    <w:rsid w:val="005B271A"/>
    <w:rsid w:val="005B3A2D"/>
    <w:rsid w:val="005C1567"/>
    <w:rsid w:val="005C28D3"/>
    <w:rsid w:val="005C6CE5"/>
    <w:rsid w:val="005D3F07"/>
    <w:rsid w:val="005D4A1E"/>
    <w:rsid w:val="005D4F72"/>
    <w:rsid w:val="005E13EA"/>
    <w:rsid w:val="005E17F1"/>
    <w:rsid w:val="005F64AA"/>
    <w:rsid w:val="005F7851"/>
    <w:rsid w:val="00606603"/>
    <w:rsid w:val="006069B9"/>
    <w:rsid w:val="00606E27"/>
    <w:rsid w:val="006108C9"/>
    <w:rsid w:val="0061253E"/>
    <w:rsid w:val="00614DF7"/>
    <w:rsid w:val="00615D68"/>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0279"/>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A95"/>
    <w:rsid w:val="006E481E"/>
    <w:rsid w:val="006E795F"/>
    <w:rsid w:val="006F0862"/>
    <w:rsid w:val="006F0BD1"/>
    <w:rsid w:val="006F1438"/>
    <w:rsid w:val="006F2A9E"/>
    <w:rsid w:val="006F5ED3"/>
    <w:rsid w:val="00700249"/>
    <w:rsid w:val="007069CD"/>
    <w:rsid w:val="00706BB5"/>
    <w:rsid w:val="0071231A"/>
    <w:rsid w:val="00712E90"/>
    <w:rsid w:val="00713B7E"/>
    <w:rsid w:val="00723737"/>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4C2D"/>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51F"/>
    <w:rsid w:val="007C6A87"/>
    <w:rsid w:val="007D0A07"/>
    <w:rsid w:val="007D0F11"/>
    <w:rsid w:val="007D133D"/>
    <w:rsid w:val="007D3EB4"/>
    <w:rsid w:val="007D3F16"/>
    <w:rsid w:val="007E18AB"/>
    <w:rsid w:val="007E68EB"/>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A8A"/>
    <w:rsid w:val="00895FCE"/>
    <w:rsid w:val="00897F3E"/>
    <w:rsid w:val="008A21B4"/>
    <w:rsid w:val="008B07DE"/>
    <w:rsid w:val="008B1309"/>
    <w:rsid w:val="008B28E7"/>
    <w:rsid w:val="008B67F6"/>
    <w:rsid w:val="008C14C7"/>
    <w:rsid w:val="008C2FFB"/>
    <w:rsid w:val="008C3501"/>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05E8"/>
    <w:rsid w:val="00902A65"/>
    <w:rsid w:val="00903932"/>
    <w:rsid w:val="00906297"/>
    <w:rsid w:val="009079BD"/>
    <w:rsid w:val="009125EB"/>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932"/>
    <w:rsid w:val="00B22C3C"/>
    <w:rsid w:val="00B24344"/>
    <w:rsid w:val="00B26769"/>
    <w:rsid w:val="00B2754B"/>
    <w:rsid w:val="00B31C91"/>
    <w:rsid w:val="00B3747F"/>
    <w:rsid w:val="00B42E76"/>
    <w:rsid w:val="00B43194"/>
    <w:rsid w:val="00B436BF"/>
    <w:rsid w:val="00B439A2"/>
    <w:rsid w:val="00B46CEE"/>
    <w:rsid w:val="00B47734"/>
    <w:rsid w:val="00B50FBA"/>
    <w:rsid w:val="00B558EB"/>
    <w:rsid w:val="00B577D3"/>
    <w:rsid w:val="00B60466"/>
    <w:rsid w:val="00B6397F"/>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D1B"/>
    <w:rsid w:val="00BC4ED3"/>
    <w:rsid w:val="00BC5725"/>
    <w:rsid w:val="00BD30B1"/>
    <w:rsid w:val="00BE0F7B"/>
    <w:rsid w:val="00BE10C2"/>
    <w:rsid w:val="00BE70BE"/>
    <w:rsid w:val="00BF0D6C"/>
    <w:rsid w:val="00C0029F"/>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7273"/>
    <w:rsid w:val="00C7108B"/>
    <w:rsid w:val="00C75883"/>
    <w:rsid w:val="00C76540"/>
    <w:rsid w:val="00C77FA5"/>
    <w:rsid w:val="00C8089F"/>
    <w:rsid w:val="00C835FE"/>
    <w:rsid w:val="00C836CC"/>
    <w:rsid w:val="00C852D6"/>
    <w:rsid w:val="00C87A74"/>
    <w:rsid w:val="00C9002E"/>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2DB"/>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5A16"/>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4203"/>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2224"/>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7818"/>
    <w:rsid w:val="00F10A08"/>
    <w:rsid w:val="00F15354"/>
    <w:rsid w:val="00F22AC5"/>
    <w:rsid w:val="00F254D1"/>
    <w:rsid w:val="00F32B82"/>
    <w:rsid w:val="00F34C86"/>
    <w:rsid w:val="00F4043E"/>
    <w:rsid w:val="00F40E0D"/>
    <w:rsid w:val="00F41795"/>
    <w:rsid w:val="00F41BBC"/>
    <w:rsid w:val="00F444F0"/>
    <w:rsid w:val="00F446FF"/>
    <w:rsid w:val="00F45521"/>
    <w:rsid w:val="00F50847"/>
    <w:rsid w:val="00F534F5"/>
    <w:rsid w:val="00F53F27"/>
    <w:rsid w:val="00F546D1"/>
    <w:rsid w:val="00F60281"/>
    <w:rsid w:val="00F66272"/>
    <w:rsid w:val="00F709C0"/>
    <w:rsid w:val="00F7449A"/>
    <w:rsid w:val="00F81FEC"/>
    <w:rsid w:val="00F90359"/>
    <w:rsid w:val="00F927A1"/>
    <w:rsid w:val="00F92E4D"/>
    <w:rsid w:val="00F95D08"/>
    <w:rsid w:val="00F96402"/>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1F16"/>
    <w:rsid w:val="00FD22E3"/>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9</Pages>
  <Words>4314</Words>
  <Characters>23342</Characters>
  <Application>Microsoft Office Word</Application>
  <DocSecurity>0</DocSecurity>
  <Lines>382</Lines>
  <Paragraphs>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Jonathan White</cp:lastModifiedBy>
  <cp:revision>24</cp:revision>
  <cp:lastPrinted>2020-02-11T19:20:00Z</cp:lastPrinted>
  <dcterms:created xsi:type="dcterms:W3CDTF">2022-09-29T11:34:00Z</dcterms:created>
  <dcterms:modified xsi:type="dcterms:W3CDTF">2026-10-05T21:31:00Z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