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AB38C" w14:textId="5A24F8AA" w:rsidR="002E1861" w:rsidRDefault="002E1861" w:rsidP="003F63EB">
      <w:pPr>
        <w:spacing w:before="240" w:after="0" w:line="360" w:lineRule="auto"/>
        <w:jc w:val="center"/>
        <w:rPr>
          <w:b/>
          <w:bCs/>
          <w:i/>
          <w:iCs/>
          <w:u w:val="single"/>
        </w:rPr>
      </w:pPr>
      <w:r>
        <w:rPr>
          <w:b/>
          <w:bCs/>
          <w:u w:val="single"/>
        </w:rPr>
        <w:t xml:space="preserve">A Commentary On The Extract From The </w:t>
      </w:r>
      <w:r>
        <w:rPr>
          <w:b/>
          <w:bCs/>
          <w:i/>
          <w:iCs/>
          <w:u w:val="single"/>
        </w:rPr>
        <w:t>Exordium Parvum</w:t>
      </w:r>
    </w:p>
    <w:p w14:paraId="57646F1E" w14:textId="1659252F" w:rsidR="002E1861" w:rsidRDefault="002A04AF" w:rsidP="003F63EB">
      <w:pPr>
        <w:spacing w:before="240" w:after="0" w:line="360" w:lineRule="auto"/>
        <w:jc w:val="both"/>
      </w:pPr>
      <w:r>
        <w:tab/>
        <w:t xml:space="preserve">The extract from </w:t>
      </w:r>
      <w:r>
        <w:rPr>
          <w:i/>
          <w:iCs/>
        </w:rPr>
        <w:t>Exordium Parvum</w:t>
      </w:r>
      <w:r>
        <w:t xml:space="preserve"> details some of the early history of </w:t>
      </w:r>
      <w:bookmarkStart w:id="0" w:name="_Hlk88845553"/>
      <w:r>
        <w:t>Cîteaux</w:t>
      </w:r>
      <w:bookmarkEnd w:id="0"/>
      <w:r>
        <w:t xml:space="preserve"> </w:t>
      </w:r>
      <w:r w:rsidR="00AA2C29">
        <w:t xml:space="preserve">Abbey, </w:t>
      </w:r>
      <w:r w:rsidR="003E1937">
        <w:t xml:space="preserve">mostly </w:t>
      </w:r>
      <w:r w:rsidR="00AA2C29">
        <w:t>during the a</w:t>
      </w:r>
      <w:r w:rsidR="00422043">
        <w:t>bbacy</w:t>
      </w:r>
      <w:r w:rsidR="00AA2C29">
        <w:t xml:space="preserve"> of Stephen.</w:t>
      </w:r>
      <w:r w:rsidR="00921BD6">
        <w:t xml:space="preserve"> The </w:t>
      </w:r>
      <w:r w:rsidR="00921BD6">
        <w:rPr>
          <w:i/>
          <w:iCs/>
        </w:rPr>
        <w:t>Exordium</w:t>
      </w:r>
      <w:r w:rsidR="00921BD6">
        <w:t xml:space="preserve"> </w:t>
      </w:r>
      <w:r w:rsidR="00921BD6">
        <w:rPr>
          <w:i/>
          <w:iCs/>
        </w:rPr>
        <w:t>Parvum</w:t>
      </w:r>
      <w:r w:rsidR="00921BD6">
        <w:t>, literally translated as</w:t>
      </w:r>
      <w:r w:rsidR="00ED20FD">
        <w:t xml:space="preserve"> ‘Beginnings Small’, </w:t>
      </w:r>
      <w:r w:rsidR="00D32961">
        <w:t>is of disputed origin, and purpose</w:t>
      </w:r>
      <w:r w:rsidR="00ED20FD">
        <w:t>.</w:t>
      </w:r>
      <w:r w:rsidR="00ED20FD">
        <w:rPr>
          <w:rStyle w:val="FootnoteReference"/>
        </w:rPr>
        <w:footnoteReference w:id="1"/>
      </w:r>
      <w:r w:rsidR="00B0575C">
        <w:t xml:space="preserve"> </w:t>
      </w:r>
      <w:r w:rsidR="00D32961">
        <w:t>However</w:t>
      </w:r>
      <w:r w:rsidR="000C493E">
        <w:t>,</w:t>
      </w:r>
      <w:r w:rsidR="00D32961">
        <w:t xml:space="preserve"> much might be told from careful analysis of the text, as this commentary shall demonstrate.</w:t>
      </w:r>
    </w:p>
    <w:p w14:paraId="53D6BC57" w14:textId="35725D66" w:rsidR="007B1FDD" w:rsidRDefault="00A8636C" w:rsidP="003F63EB">
      <w:pPr>
        <w:spacing w:before="240" w:after="0" w:line="360" w:lineRule="auto"/>
        <w:jc w:val="both"/>
      </w:pPr>
      <w:r>
        <w:tab/>
        <w:t xml:space="preserve"> </w:t>
      </w:r>
      <w:r w:rsidR="003E1937">
        <w:t>The extract starts with brief reference to the a</w:t>
      </w:r>
      <w:r w:rsidR="00422043">
        <w:t>bbacy</w:t>
      </w:r>
      <w:r w:rsidR="003E1937">
        <w:t xml:space="preserve"> of Alberic</w:t>
      </w:r>
      <w:r w:rsidR="00EC4071">
        <w:t>.</w:t>
      </w:r>
      <w:r w:rsidR="00F163C6">
        <w:t xml:space="preserve"> A simple mention is given of Alberic’s</w:t>
      </w:r>
      <w:r w:rsidR="0022019E">
        <w:t xml:space="preserve"> </w:t>
      </w:r>
      <w:r w:rsidR="00F163C6">
        <w:t>nine, and a half, years as abbot, prior to his death, or – as the text puts it</w:t>
      </w:r>
      <w:r w:rsidR="0022019E">
        <w:t xml:space="preserve"> –</w:t>
      </w:r>
      <w:r w:rsidR="00F163C6">
        <w:t xml:space="preserve"> prior to when he ‘</w:t>
      </w:r>
      <w:r w:rsidR="00F163C6" w:rsidRPr="00F163C6">
        <w:rPr>
          <w:i/>
          <w:iCs/>
        </w:rPr>
        <w:t>went home to the Lord, full of glory in his faith and virtues, and therefore deserved to be rewarded by God with eternal life</w:t>
      </w:r>
      <w:r w:rsidR="00F163C6">
        <w:rPr>
          <w:i/>
          <w:iCs/>
        </w:rPr>
        <w:t>.</w:t>
      </w:r>
      <w:r w:rsidR="00F163C6">
        <w:t xml:space="preserve">’ Enough is said, however, to give the impression of Alberic as </w:t>
      </w:r>
      <w:r w:rsidR="00E061C5">
        <w:t xml:space="preserve">pious man, </w:t>
      </w:r>
      <w:r w:rsidR="00A57D9C">
        <w:t>justly</w:t>
      </w:r>
      <w:r w:rsidR="00E061C5">
        <w:t xml:space="preserve"> rewarded in heaven. Indeed, the text goes on at length to describe Alberic’s piety, ‘</w:t>
      </w:r>
      <w:r w:rsidR="00E061C5" w:rsidRPr="00E061C5">
        <w:rPr>
          <w:i/>
          <w:iCs/>
        </w:rPr>
        <w:t>he had practised fruitfully regular discipline</w:t>
      </w:r>
      <w:r w:rsidR="00E061C5">
        <w:t>’, and ‘</w:t>
      </w:r>
      <w:r w:rsidR="00E061C5" w:rsidRPr="00E061C5">
        <w:rPr>
          <w:i/>
          <w:iCs/>
        </w:rPr>
        <w:t>full of glory in his faith and virtues,</w:t>
      </w:r>
      <w:r w:rsidR="00E061C5">
        <w:t>’.</w:t>
      </w:r>
      <w:r w:rsidR="00DB6241">
        <w:t xml:space="preserve"> This is likely polemical in nature, the extract goes on to describe the reforms made by abbot Stephen, after Alberic’s death, and it might, otherwise, be inferred that the issues which needed reform were the fault of Alberic. </w:t>
      </w:r>
      <w:r w:rsidR="007B1FDD">
        <w:t>Considering also that t</w:t>
      </w:r>
      <w:r w:rsidR="000C493E">
        <w:t xml:space="preserve">he scholars Burton, and Kerr describe some </w:t>
      </w:r>
      <w:r w:rsidR="001F1280">
        <w:t>criticism, regarding</w:t>
      </w:r>
      <w:r w:rsidR="0022019E">
        <w:t xml:space="preserve"> </w:t>
      </w:r>
      <w:r w:rsidR="001F1280">
        <w:t>the fact that the founders of the order were in breach of their vows of stability</w:t>
      </w:r>
      <w:r w:rsidR="000C493E">
        <w:t xml:space="preserve">, </w:t>
      </w:r>
      <w:r w:rsidR="00AB0EAC">
        <w:t xml:space="preserve">which was targeted at the Cistercians, this </w:t>
      </w:r>
      <w:r w:rsidR="00254B0D">
        <w:t xml:space="preserve">further </w:t>
      </w:r>
      <w:r w:rsidR="00AB0EAC">
        <w:t>suggests</w:t>
      </w:r>
      <w:r w:rsidR="007B1FDD">
        <w:t xml:space="preserve"> a polemic emphasis</w:t>
      </w:r>
      <w:r w:rsidR="00AB0EAC">
        <w:t>ing</w:t>
      </w:r>
      <w:r w:rsidR="007B1FDD">
        <w:t xml:space="preserve"> Alberic’s virtues</w:t>
      </w:r>
      <w:r w:rsidR="001F1280">
        <w:t>.</w:t>
      </w:r>
      <w:r w:rsidR="001F1280">
        <w:rPr>
          <w:rStyle w:val="FootnoteReference"/>
        </w:rPr>
        <w:footnoteReference w:id="2"/>
      </w:r>
      <w:r w:rsidR="00DF157E">
        <w:t xml:space="preserve"> Being one of the original monks from Molesme who founded </w:t>
      </w:r>
      <w:r w:rsidR="00DF157E" w:rsidRPr="00DF157E">
        <w:t>Cîteaux</w:t>
      </w:r>
      <w:r w:rsidR="00DF157E">
        <w:t xml:space="preserve">, as </w:t>
      </w:r>
      <w:r w:rsidR="00B17E93">
        <w:t>is stated in the wider text</w:t>
      </w:r>
      <w:r w:rsidR="000C493E">
        <w:t>,</w:t>
      </w:r>
      <w:r w:rsidR="00B17E93">
        <w:t xml:space="preserve"> Alberic had once broken his vow of stability, that being so – especially considering that fact that the rest of this extract could be interpreted as an indirect critique of Alberic abbacy</w:t>
      </w:r>
      <w:r w:rsidR="00422043">
        <w:t xml:space="preserve"> – in the context of a critical environment</w:t>
      </w:r>
      <w:r w:rsidR="00254B0D">
        <w:t>, like that described by Burton, and Kerr,</w:t>
      </w:r>
      <w:r w:rsidR="00422043">
        <w:t xml:space="preserve"> it would be in the Cistercian’s interest to</w:t>
      </w:r>
      <w:r w:rsidR="0022019E">
        <w:t xml:space="preserve"> portray him as particularly virtuous</w:t>
      </w:r>
      <w:r w:rsidR="00AD25B2">
        <w:t>, and so employ a polemic</w:t>
      </w:r>
      <w:r w:rsidR="0022019E">
        <w:t>.</w:t>
      </w:r>
      <w:r w:rsidR="0022019E">
        <w:rPr>
          <w:rStyle w:val="FootnoteReference"/>
        </w:rPr>
        <w:footnoteReference w:id="3"/>
      </w:r>
      <w:r w:rsidR="00A57D9C">
        <w:t xml:space="preserve"> </w:t>
      </w:r>
    </w:p>
    <w:p w14:paraId="34CCF417" w14:textId="66DEDC02" w:rsidR="002E1CEB" w:rsidRDefault="00D32961" w:rsidP="003F63EB">
      <w:pPr>
        <w:spacing w:before="240" w:after="0" w:line="360" w:lineRule="auto"/>
        <w:ind w:firstLine="720"/>
        <w:jc w:val="both"/>
      </w:pPr>
      <w:r>
        <w:t>The extract continues with reference</w:t>
      </w:r>
      <w:r w:rsidR="008C2247">
        <w:t>s</w:t>
      </w:r>
      <w:r>
        <w:t xml:space="preserve"> to some of the reforms</w:t>
      </w:r>
      <w:r w:rsidR="00A00A29">
        <w:t xml:space="preserve"> of Stephen’s abbacy. </w:t>
      </w:r>
      <w:r w:rsidR="008C2247">
        <w:t xml:space="preserve">As discussed above the fact that reforms were necessary is not the fault of Alberic, who the extract portrays very positively, </w:t>
      </w:r>
      <w:r w:rsidR="00B70377">
        <w:t xml:space="preserve">instead the need for them can be interpreted as an attack on non-Cistercian monasteries. </w:t>
      </w:r>
      <w:r w:rsidR="002E1CEB">
        <w:t>A n</w:t>
      </w:r>
      <w:r w:rsidR="00B70377">
        <w:t>otable reform</w:t>
      </w:r>
      <w:r w:rsidR="002E1CEB">
        <w:t xml:space="preserve"> being</w:t>
      </w:r>
      <w:r w:rsidR="00B70377">
        <w:t xml:space="preserve"> ‘</w:t>
      </w:r>
      <w:r w:rsidR="00B70377" w:rsidRPr="00B70377">
        <w:rPr>
          <w:i/>
          <w:iCs/>
        </w:rPr>
        <w:t>the brethren and this abbot prohibited the duke of that land or any other lord from keeping his court at any time in that monaster</w:t>
      </w:r>
      <w:r w:rsidR="00B70377">
        <w:rPr>
          <w:i/>
          <w:iCs/>
        </w:rPr>
        <w:t>y</w:t>
      </w:r>
      <w:r w:rsidR="002E1CEB">
        <w:rPr>
          <w:i/>
          <w:iCs/>
        </w:rPr>
        <w:t>’</w:t>
      </w:r>
      <w:r w:rsidR="00B70377">
        <w:t xml:space="preserve">. </w:t>
      </w:r>
      <w:r w:rsidR="00144213">
        <w:t xml:space="preserve">Of the first, by the author’s one admission, it had previously been known for nobles to hold court at </w:t>
      </w:r>
      <w:bookmarkStart w:id="6" w:name="_Hlk88926667"/>
      <w:r w:rsidR="00144213">
        <w:t>Cîteaux</w:t>
      </w:r>
      <w:bookmarkEnd w:id="6"/>
      <w:r w:rsidR="00144213">
        <w:t xml:space="preserve"> Abbey</w:t>
      </w:r>
      <w:r w:rsidR="00F560DA">
        <w:t xml:space="preserve">, but moreover </w:t>
      </w:r>
      <w:r w:rsidR="00C545ED">
        <w:t>it was a custom generally observed by other monasteries in western Europe</w:t>
      </w:r>
      <w:r w:rsidR="006246F4">
        <w:t xml:space="preserve">, from which </w:t>
      </w:r>
      <w:bookmarkStart w:id="7" w:name="_Hlk88928236"/>
      <w:r w:rsidR="006246F4">
        <w:t>Cîteaux</w:t>
      </w:r>
      <w:bookmarkEnd w:id="7"/>
      <w:r w:rsidR="006246F4">
        <w:t xml:space="preserve"> was distancing itself</w:t>
      </w:r>
      <w:r w:rsidR="00C545ED">
        <w:t>.</w:t>
      </w:r>
      <w:r w:rsidR="00C545ED">
        <w:rPr>
          <w:rStyle w:val="FootnoteReference"/>
        </w:rPr>
        <w:footnoteReference w:id="4"/>
      </w:r>
      <w:r w:rsidR="00BA5290">
        <w:t xml:space="preserve"> This capacity to rule on whether – or not – temporal nobles, in particular the </w:t>
      </w:r>
      <w:r w:rsidR="00BA5290">
        <w:lastRenderedPageBreak/>
        <w:t xml:space="preserve">Duke of Burgundy, their </w:t>
      </w:r>
      <w:r w:rsidR="00BA5290">
        <w:rPr>
          <w:i/>
          <w:iCs/>
        </w:rPr>
        <w:t>de jura</w:t>
      </w:r>
      <w:r w:rsidR="00BA5290">
        <w:t xml:space="preserve"> lord</w:t>
      </w:r>
      <w:r w:rsidR="009D05E4">
        <w:t xml:space="preserve"> based on the location of </w:t>
      </w:r>
      <w:r w:rsidR="009D05E4" w:rsidRPr="009D05E4">
        <w:t>Cîteaux</w:t>
      </w:r>
      <w:r w:rsidR="009D05E4">
        <w:t xml:space="preserve">, marks out the independence of this abbey, which is addressed elsewhere in the </w:t>
      </w:r>
      <w:r w:rsidR="009D05E4">
        <w:rPr>
          <w:i/>
          <w:iCs/>
        </w:rPr>
        <w:t>Exordium Parvum</w:t>
      </w:r>
      <w:r w:rsidR="009D05E4">
        <w:t xml:space="preserve"> where it discusses Roman privilege, relative to other houses</w:t>
      </w:r>
      <w:r w:rsidR="00E052EA">
        <w:t>,</w:t>
      </w:r>
      <w:r w:rsidR="009D05E4">
        <w:t xml:space="preserve"> such as Werden</w:t>
      </w:r>
      <w:r w:rsidR="00E052EA">
        <w:t>.</w:t>
      </w:r>
      <w:r w:rsidR="00E052EA">
        <w:rPr>
          <w:rStyle w:val="FootnoteReference"/>
        </w:rPr>
        <w:footnoteReference w:id="5"/>
      </w:r>
      <w:r w:rsidR="006F66BE">
        <w:t xml:space="preserve"> This is significant, as – at abbeys like the aforementioned Werden – accommodating the court of a noble – in Werden’s case a king, in this case a </w:t>
      </w:r>
      <w:r w:rsidR="00254B0D">
        <w:t>d</w:t>
      </w:r>
      <w:r w:rsidR="006F66BE">
        <w:t xml:space="preserve">uke – emphasised the </w:t>
      </w:r>
      <w:r w:rsidR="00251DD5">
        <w:t>strength of the relationship between the temporal, and the spiritual, including the financial part of that relationship</w:t>
      </w:r>
      <w:r w:rsidR="00085B63">
        <w:t>;</w:t>
      </w:r>
      <w:r w:rsidR="00251DD5">
        <w:t xml:space="preserve"> as Bernhardt discusses</w:t>
      </w:r>
      <w:r w:rsidR="00085B63">
        <w:t xml:space="preserve"> Werden was a key financial supporter of its kings</w:t>
      </w:r>
      <w:r w:rsidR="00251DD5">
        <w:t>.</w:t>
      </w:r>
      <w:r w:rsidR="00251DD5">
        <w:rPr>
          <w:rStyle w:val="FootnoteReference"/>
        </w:rPr>
        <w:footnoteReference w:id="6"/>
      </w:r>
      <w:r w:rsidR="00251DD5">
        <w:t xml:space="preserve"> As such, for </w:t>
      </w:r>
      <w:bookmarkStart w:id="9" w:name="_Hlk88931635"/>
      <w:r w:rsidR="00251DD5" w:rsidRPr="00251DD5">
        <w:t>Cîteaux</w:t>
      </w:r>
      <w:r w:rsidR="00251DD5">
        <w:t xml:space="preserve"> </w:t>
      </w:r>
      <w:bookmarkEnd w:id="9"/>
      <w:r w:rsidR="00251DD5">
        <w:t>to forbid entry to the Duke, and his court, distances them – also – from the financial side</w:t>
      </w:r>
      <w:r w:rsidR="00085B63">
        <w:t xml:space="preserve"> of the church-laity relationship, giving the impression</w:t>
      </w:r>
      <w:r w:rsidR="00251DD5">
        <w:t xml:space="preserve"> </w:t>
      </w:r>
      <w:r w:rsidR="00085B63">
        <w:t xml:space="preserve">of a more frugal house. </w:t>
      </w:r>
      <w:r w:rsidR="00EA652E">
        <w:t>In this way, it is polemical.</w:t>
      </w:r>
    </w:p>
    <w:p w14:paraId="4EDBB82E" w14:textId="0ACD4C70" w:rsidR="00A57D9C" w:rsidRDefault="00254B0D" w:rsidP="003F63EB">
      <w:pPr>
        <w:spacing w:before="240" w:after="0" w:line="360" w:lineRule="auto"/>
        <w:ind w:firstLine="720"/>
        <w:jc w:val="both"/>
      </w:pPr>
      <w:r>
        <w:t>This</w:t>
      </w:r>
      <w:r w:rsidR="00085B63">
        <w:t xml:space="preserve"> frugality is also seen in the Cistercian rejection of gold, and silver crucifixes,</w:t>
      </w:r>
      <w:r w:rsidR="002E1CEB" w:rsidRPr="002E1CEB">
        <w:t xml:space="preserve"> ‘</w:t>
      </w:r>
      <w:r w:rsidR="002E1CEB" w:rsidRPr="002E1CEB">
        <w:rPr>
          <w:i/>
          <w:iCs/>
        </w:rPr>
        <w:t>they resolved to keep no crosses of gold or silver</w:t>
      </w:r>
      <w:r w:rsidR="002E1CEB" w:rsidRPr="002E1CEB">
        <w:t>’</w:t>
      </w:r>
      <w:r w:rsidR="00085B63">
        <w:t xml:space="preserve"> another of Stephen’s reforms. This frugality</w:t>
      </w:r>
      <w:r w:rsidR="00200D49">
        <w:t xml:space="preserve">, which is </w:t>
      </w:r>
      <w:r w:rsidR="00790956">
        <w:t>consistent with the humble way of life championed by the Rule of St. Benedict, by the fact that it is the product of Stephen’s reforms, gives the impression that other houses are less frugal, and that the Cistercians are particularly virtuous for being so.</w:t>
      </w:r>
      <w:r w:rsidR="00790956">
        <w:rPr>
          <w:rStyle w:val="FootnoteReference"/>
        </w:rPr>
        <w:footnoteReference w:id="7"/>
      </w:r>
      <w:r w:rsidR="00D94DB8">
        <w:t xml:space="preserve"> Specifically, it seems to be targeted towards the Cluniacs,</w:t>
      </w:r>
      <w:r w:rsidR="005B05CB">
        <w:t xml:space="preserve"> in defiance of whom’s customs the abbey at </w:t>
      </w:r>
      <w:bookmarkStart w:id="11" w:name="_Hlk88931888"/>
      <w:r w:rsidR="005B05CB" w:rsidRPr="005B05CB">
        <w:t>Cîteaux</w:t>
      </w:r>
      <w:bookmarkEnd w:id="11"/>
      <w:r w:rsidR="005B05CB">
        <w:t xml:space="preserve"> was founded, and a group known for</w:t>
      </w:r>
      <w:r w:rsidR="001815B6">
        <w:t xml:space="preserve"> the idea of the beauty of holiness, and their use of valuable items in their churches.</w:t>
      </w:r>
      <w:r w:rsidR="001815B6">
        <w:rPr>
          <w:rStyle w:val="FootnoteReference"/>
        </w:rPr>
        <w:footnoteReference w:id="8"/>
      </w:r>
      <w:r w:rsidR="002E1CEB">
        <w:t xml:space="preserve"> By showing the frugality of </w:t>
      </w:r>
      <w:r w:rsidR="002E1CEB" w:rsidRPr="002E1CEB">
        <w:t>Cîteaux</w:t>
      </w:r>
      <w:r w:rsidR="002E1CEB">
        <w:t xml:space="preserve">, and thereby implying the non-frugality of other monasteries, the writer of the </w:t>
      </w:r>
      <w:r w:rsidR="002E1CEB">
        <w:rPr>
          <w:i/>
          <w:iCs/>
        </w:rPr>
        <w:t>Exordium Parvum</w:t>
      </w:r>
      <w:r w:rsidR="002E1CEB">
        <w:t xml:space="preserve"> may, again, be engaging polemics, showing that the monks from Molesme who came to </w:t>
      </w:r>
      <w:r w:rsidR="002E1CEB" w:rsidRPr="002E1CEB">
        <w:t>Cîteaux</w:t>
      </w:r>
      <w:r w:rsidR="002E1CEB">
        <w:t xml:space="preserve"> were right to break their vows of stability</w:t>
      </w:r>
      <w:r w:rsidR="00AD25B2">
        <w:t>, as other houses – particularly Cluniac houses like Molesme – do not like humbly as St. Benedict proscribed.</w:t>
      </w:r>
      <w:r w:rsidR="00AD25B2">
        <w:rPr>
          <w:rStyle w:val="FootnoteReference"/>
        </w:rPr>
        <w:footnoteReference w:id="9"/>
      </w:r>
    </w:p>
    <w:p w14:paraId="58C39588" w14:textId="514D40FF" w:rsidR="00AD25B2" w:rsidRPr="00AD25B2" w:rsidRDefault="00AD25B2" w:rsidP="003F63EB">
      <w:pPr>
        <w:spacing w:before="240" w:after="0" w:line="360" w:lineRule="auto"/>
        <w:ind w:firstLine="720"/>
        <w:jc w:val="both"/>
      </w:pPr>
      <w:r w:rsidRPr="00AD25B2">
        <w:t>Th</w:t>
      </w:r>
      <w:r>
        <w:t>ese</w:t>
      </w:r>
      <w:r w:rsidRPr="00AD25B2">
        <w:t xml:space="preserve"> polemic</w:t>
      </w:r>
      <w:r>
        <w:t>s</w:t>
      </w:r>
      <w:r w:rsidRPr="00AD25B2">
        <w:t xml:space="preserve">, </w:t>
      </w:r>
      <w:r>
        <w:t>showing the virtue of the abbey under Alberic, and the frugality – and therefore virtue – of the abbey under Stephen</w:t>
      </w:r>
      <w:r w:rsidR="00F16C06">
        <w:t>, suggest – as touched upon above – a climate of criticism. Burton, and Kerr, do refer to some criticism regarding the monks from Molesme’s choice to break their vows of stability, and certainly the choice to elevate one of those monks in Alberic, and denigrate Molesme, and house like it, for lack of frugality, would suggest a response to this particular criticism.</w:t>
      </w:r>
      <w:r w:rsidR="00F16C06">
        <w:rPr>
          <w:rStyle w:val="FootnoteReference"/>
        </w:rPr>
        <w:footnoteReference w:id="10"/>
      </w:r>
      <w:r w:rsidR="00F16C06">
        <w:t xml:space="preserve">  </w:t>
      </w:r>
      <w:r w:rsidR="00F90159">
        <w:t>However the extent of polemics, even in this single extract, suggest a more critical environment, closer to that of the late twelfth century, which would be</w:t>
      </w:r>
      <w:r w:rsidRPr="00AD25B2">
        <w:t xml:space="preserve"> consistent with Berman’s suggestions that the text was written later </w:t>
      </w:r>
      <w:r w:rsidR="00F90159">
        <w:t>than is generally believed</w:t>
      </w:r>
      <w:r w:rsidRPr="00AD25B2">
        <w:t>.</w:t>
      </w:r>
      <w:r w:rsidRPr="00AD25B2">
        <w:rPr>
          <w:vertAlign w:val="superscript"/>
        </w:rPr>
        <w:footnoteReference w:id="11"/>
      </w:r>
      <w:r w:rsidR="00EA652E">
        <w:t xml:space="preserve"> As such, by careful examination </w:t>
      </w:r>
      <w:r w:rsidR="00EA652E">
        <w:lastRenderedPageBreak/>
        <w:t xml:space="preserve">of this extract, this commentary sees the polemic purpose of the </w:t>
      </w:r>
      <w:r w:rsidR="00EA652E">
        <w:rPr>
          <w:i/>
          <w:iCs/>
        </w:rPr>
        <w:t>Exordium Parvum</w:t>
      </w:r>
      <w:r w:rsidR="003D734F">
        <w:t>, likely as a response to an extremely critical environment.</w:t>
      </w:r>
    </w:p>
    <w:p w14:paraId="43DFFB23" w14:textId="475B4112" w:rsidR="00186602" w:rsidRDefault="00186602" w:rsidP="003F63EB">
      <w:pPr>
        <w:spacing w:before="240" w:after="0" w:line="360" w:lineRule="auto"/>
        <w:jc w:val="both"/>
        <w:rPr>
          <w:b/>
          <w:bCs/>
          <w:u w:val="single"/>
        </w:rPr>
      </w:pPr>
      <w:r w:rsidRPr="00186602">
        <w:rPr>
          <w:b/>
          <w:bCs/>
          <w:u w:val="single"/>
        </w:rPr>
        <w:t>Bibliograph</w:t>
      </w:r>
      <w:r>
        <w:rPr>
          <w:b/>
          <w:bCs/>
          <w:u w:val="single"/>
        </w:rPr>
        <w:t>y</w:t>
      </w:r>
    </w:p>
    <w:p w14:paraId="12DC3CA1" w14:textId="670D9211" w:rsidR="00186602" w:rsidRDefault="00186602" w:rsidP="003F63EB">
      <w:pPr>
        <w:spacing w:before="240" w:after="0" w:line="360" w:lineRule="auto"/>
        <w:jc w:val="both"/>
        <w:rPr>
          <w:b/>
          <w:bCs/>
        </w:rPr>
      </w:pPr>
      <w:r>
        <w:rPr>
          <w:b/>
          <w:bCs/>
        </w:rPr>
        <w:t>Primary Sources</w:t>
      </w:r>
    </w:p>
    <w:p w14:paraId="0EA97650" w14:textId="540108F5" w:rsidR="003F63EB" w:rsidRDefault="003F63EB" w:rsidP="003F63EB">
      <w:pPr>
        <w:spacing w:before="240" w:after="0" w:line="360" w:lineRule="auto"/>
        <w:jc w:val="both"/>
        <w:rPr>
          <w:b/>
          <w:bCs/>
        </w:rPr>
      </w:pPr>
      <w:r>
        <w:t xml:space="preserve">Benedict of Nursia, </w:t>
      </w:r>
      <w:r>
        <w:rPr>
          <w:i/>
          <w:iCs/>
        </w:rPr>
        <w:t>The Rule</w:t>
      </w:r>
      <w:r>
        <w:t>, trans. by Anonymous, (Moscow, Roman Roads Media, 2015).</w:t>
      </w:r>
    </w:p>
    <w:p w14:paraId="417DD22E" w14:textId="667133B9" w:rsidR="00186602" w:rsidRPr="00186602" w:rsidRDefault="00186602" w:rsidP="003F63EB">
      <w:pPr>
        <w:pStyle w:val="FootnoteText"/>
        <w:spacing w:before="240" w:line="360" w:lineRule="auto"/>
        <w:jc w:val="both"/>
      </w:pPr>
      <w:r>
        <w:rPr>
          <w:i/>
          <w:iCs/>
        </w:rPr>
        <w:t>Exordium Parvum</w:t>
      </w:r>
      <w:r>
        <w:t xml:space="preserve">, trans. by </w:t>
      </w:r>
      <w:r w:rsidRPr="00AF60E2">
        <w:t>Ordre Cistercien de la Stricte Observance</w:t>
      </w:r>
      <w:r>
        <w:t xml:space="preserve">, (2016), </w:t>
      </w:r>
      <w:r w:rsidRPr="00AF60E2">
        <w:t>https://ocso.org/wp-content/uploads/2016/05/EN-Exordium-Parvum.pdf</w:t>
      </w:r>
      <w:r>
        <w:t xml:space="preserve"> [Accessed: 26/11/2021].</w:t>
      </w:r>
    </w:p>
    <w:p w14:paraId="29F4CC11" w14:textId="088297EA" w:rsidR="00186602" w:rsidRDefault="00186602" w:rsidP="003F63EB">
      <w:pPr>
        <w:spacing w:before="240" w:after="0" w:line="360" w:lineRule="auto"/>
        <w:jc w:val="both"/>
        <w:rPr>
          <w:b/>
          <w:bCs/>
        </w:rPr>
      </w:pPr>
      <w:r>
        <w:rPr>
          <w:b/>
          <w:bCs/>
        </w:rPr>
        <w:t>Secondary Sources</w:t>
      </w:r>
    </w:p>
    <w:p w14:paraId="08E5D6C4" w14:textId="6D92361C" w:rsidR="00186602" w:rsidRDefault="00186602" w:rsidP="003F63EB">
      <w:pPr>
        <w:spacing w:before="240" w:after="0" w:line="360" w:lineRule="auto"/>
        <w:jc w:val="both"/>
      </w:pPr>
      <w:r w:rsidRPr="00BA461E">
        <w:t>Beard</w:t>
      </w:r>
      <w:r>
        <w:t>, J. R.,</w:t>
      </w:r>
      <w:r w:rsidRPr="00BA461E">
        <w:t xml:space="preserve"> &amp; Beard,</w:t>
      </w:r>
      <w:r>
        <w:t xml:space="preserve"> C.,</w:t>
      </w:r>
      <w:r w:rsidRPr="00BA461E">
        <w:t xml:space="preserve"> </w:t>
      </w:r>
      <w:r w:rsidRPr="00BA461E">
        <w:rPr>
          <w:i/>
          <w:iCs/>
        </w:rPr>
        <w:t>Cassell’s Latin Dictionary: In Two Parts. I. Latin-English; II. English-Latin,</w:t>
      </w:r>
      <w:r w:rsidRPr="00BA461E">
        <w:t xml:space="preserve"> (London, John Cassell, 1854</w:t>
      </w:r>
      <w:r>
        <w:t>).</w:t>
      </w:r>
    </w:p>
    <w:p w14:paraId="5CD736F4" w14:textId="61B17E4C" w:rsidR="00186602" w:rsidRDefault="00186602" w:rsidP="003F63EB">
      <w:pPr>
        <w:spacing w:before="240" w:after="0" w:line="360" w:lineRule="auto"/>
        <w:jc w:val="both"/>
      </w:pPr>
      <w:r w:rsidRPr="00AA031D">
        <w:t>Berman,</w:t>
      </w:r>
      <w:r>
        <w:t xml:space="preserve"> C. H.,</w:t>
      </w:r>
      <w:r w:rsidRPr="00AA031D">
        <w:t xml:space="preserve"> </w:t>
      </w:r>
      <w:r w:rsidRPr="00AA031D">
        <w:rPr>
          <w:i/>
          <w:iCs/>
        </w:rPr>
        <w:t>The Cistercian Evolution: The Invention of a Religious Order in Twelfth-Century Europe</w:t>
      </w:r>
      <w:r w:rsidRPr="00AA031D">
        <w:t>, (Philadelphia, University of Pennsylvania Press, 2010)</w:t>
      </w:r>
    </w:p>
    <w:p w14:paraId="714705B2" w14:textId="53FC2CA0" w:rsidR="003F63EB" w:rsidRPr="003F63EB" w:rsidRDefault="003F63EB" w:rsidP="003F63EB">
      <w:pPr>
        <w:spacing w:before="240" w:after="0" w:line="360" w:lineRule="auto"/>
        <w:jc w:val="both"/>
        <w:rPr>
          <w:b/>
          <w:bCs/>
        </w:rPr>
      </w:pPr>
      <w:r w:rsidRPr="003F63EB">
        <w:t>Bernhardt,</w:t>
      </w:r>
      <w:r>
        <w:t xml:space="preserve"> J. W.,</w:t>
      </w:r>
      <w:r w:rsidRPr="003F63EB">
        <w:t xml:space="preserve"> </w:t>
      </w:r>
      <w:r w:rsidRPr="003F63EB">
        <w:rPr>
          <w:i/>
          <w:iCs/>
        </w:rPr>
        <w:t>Itinerant Kingship and Royal Monasteries in Early Medieval Germany, C.936-1075</w:t>
      </w:r>
      <w:r w:rsidRPr="003F63EB">
        <w:t>, (Cambridge, Cambridge University Press, 1996).</w:t>
      </w:r>
    </w:p>
    <w:p w14:paraId="60C2560A" w14:textId="77777777" w:rsidR="003F63EB" w:rsidRDefault="00186602" w:rsidP="003F63EB">
      <w:pPr>
        <w:spacing w:before="240" w:after="0" w:line="360" w:lineRule="auto"/>
        <w:jc w:val="both"/>
      </w:pPr>
      <w:r w:rsidRPr="001F1280">
        <w:t>Burton,</w:t>
      </w:r>
      <w:r>
        <w:t xml:space="preserve"> J.,</w:t>
      </w:r>
      <w:r w:rsidRPr="001F1280">
        <w:t xml:space="preserve"> &amp; Kerr,</w:t>
      </w:r>
      <w:r>
        <w:t xml:space="preserve"> J.,</w:t>
      </w:r>
      <w:r w:rsidRPr="001F1280">
        <w:rPr>
          <w:i/>
          <w:iCs/>
        </w:rPr>
        <w:t xml:space="preserve"> The Cistercians in the Middle Ages</w:t>
      </w:r>
      <w:r w:rsidRPr="001F1280">
        <w:t>, (Woodbridge, The Boydell Press, 2016)</w:t>
      </w:r>
      <w:r>
        <w:t>.</w:t>
      </w:r>
    </w:p>
    <w:p w14:paraId="79C9515C" w14:textId="2F4E0FD6" w:rsidR="003F63EB" w:rsidRDefault="003F63EB" w:rsidP="003F63EB">
      <w:pPr>
        <w:spacing w:before="240" w:after="0" w:line="360" w:lineRule="auto"/>
        <w:jc w:val="both"/>
      </w:pPr>
      <w:r w:rsidRPr="003F63EB">
        <w:t>Constable,</w:t>
      </w:r>
      <w:r>
        <w:t xml:space="preserve"> G.,</w:t>
      </w:r>
      <w:r w:rsidRPr="003F63EB">
        <w:t xml:space="preserve"> </w:t>
      </w:r>
      <w:r w:rsidRPr="003F63EB">
        <w:rPr>
          <w:i/>
          <w:iCs/>
        </w:rPr>
        <w:t>The Reformation of the Twelfth Century</w:t>
      </w:r>
      <w:r w:rsidRPr="003F63EB">
        <w:t>, (Cambridge, Cambridge University Press, 1996).</w:t>
      </w:r>
    </w:p>
    <w:p w14:paraId="04006EF2" w14:textId="1A6B9A8C" w:rsidR="003F63EB" w:rsidRDefault="003F63EB" w:rsidP="003F63EB">
      <w:pPr>
        <w:spacing w:before="240" w:after="0" w:line="360" w:lineRule="auto"/>
        <w:jc w:val="both"/>
      </w:pPr>
      <w:r>
        <w:t xml:space="preserve">Evans, J., </w:t>
      </w:r>
      <w:r w:rsidRPr="001815B6">
        <w:rPr>
          <w:i/>
          <w:iCs/>
        </w:rPr>
        <w:t>Cluniac Art of the Romanesque Period</w:t>
      </w:r>
      <w:r>
        <w:t>, (Cambridge, Cambridge University Press, 1950).</w:t>
      </w:r>
    </w:p>
    <w:p w14:paraId="32DC008B" w14:textId="17A7B18C" w:rsidR="003F63EB" w:rsidRDefault="003F63EB" w:rsidP="003F63EB">
      <w:pPr>
        <w:pStyle w:val="FootnoteText"/>
        <w:spacing w:before="240" w:line="360" w:lineRule="auto"/>
        <w:jc w:val="both"/>
      </w:pPr>
      <w:r>
        <w:t xml:space="preserve">Keen, J. A., ‘Harding, Stephen, Saint (D.1134)’, in </w:t>
      </w:r>
      <w:r w:rsidRPr="006246F4">
        <w:rPr>
          <w:i/>
          <w:iCs/>
        </w:rPr>
        <w:t>The Rise of the Medieval World, 500-1300: A Biographical Dictionary</w:t>
      </w:r>
      <w:r>
        <w:t>, ed. by Schulman, J. K., (Westport, Greenwood Press, 2002).</w:t>
      </w:r>
    </w:p>
    <w:p w14:paraId="150AAABA" w14:textId="77777777" w:rsidR="00186602" w:rsidRPr="00186602" w:rsidRDefault="00186602" w:rsidP="003F63EB">
      <w:pPr>
        <w:spacing w:line="360" w:lineRule="auto"/>
        <w:jc w:val="both"/>
        <w:rPr>
          <w:b/>
          <w:bCs/>
        </w:rPr>
      </w:pPr>
    </w:p>
    <w:sectPr w:rsidR="00186602" w:rsidRPr="0018660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F6251" w14:textId="77777777" w:rsidR="00F537D5" w:rsidRDefault="00F537D5" w:rsidP="002E1861">
      <w:pPr>
        <w:spacing w:after="0" w:line="240" w:lineRule="auto"/>
      </w:pPr>
      <w:r>
        <w:separator/>
      </w:r>
    </w:p>
  </w:endnote>
  <w:endnote w:type="continuationSeparator" w:id="0">
    <w:p w14:paraId="6111A029" w14:textId="77777777" w:rsidR="00F537D5" w:rsidRDefault="00F537D5" w:rsidP="002E1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5130A" w14:textId="77777777" w:rsidR="00F537D5" w:rsidRDefault="00F537D5" w:rsidP="002E1861">
      <w:pPr>
        <w:spacing w:after="0" w:line="240" w:lineRule="auto"/>
      </w:pPr>
      <w:r>
        <w:separator/>
      </w:r>
    </w:p>
  </w:footnote>
  <w:footnote w:type="continuationSeparator" w:id="0">
    <w:p w14:paraId="7A7E1ED2" w14:textId="77777777" w:rsidR="00F537D5" w:rsidRDefault="00F537D5" w:rsidP="002E1861">
      <w:pPr>
        <w:spacing w:after="0" w:line="240" w:lineRule="auto"/>
      </w:pPr>
      <w:r>
        <w:continuationSeparator/>
      </w:r>
    </w:p>
  </w:footnote>
  <w:footnote w:id="1">
    <w:p w14:paraId="58C88956" w14:textId="2643D175" w:rsidR="00ED20FD" w:rsidRPr="00BA461E" w:rsidRDefault="00ED20FD" w:rsidP="0011614B">
      <w:pPr>
        <w:spacing w:after="0" w:line="240" w:lineRule="auto"/>
        <w:jc w:val="both"/>
      </w:pPr>
      <w:r w:rsidRPr="00BA461E">
        <w:rPr>
          <w:rStyle w:val="FootnoteReference"/>
        </w:rPr>
        <w:footnoteRef/>
      </w:r>
      <w:r w:rsidRPr="00BA461E">
        <w:t xml:space="preserve"> </w:t>
      </w:r>
      <w:bookmarkStart w:id="1" w:name="_Hlk88933337"/>
      <w:r w:rsidRPr="00BA461E">
        <w:t xml:space="preserve">J. R. Beard &amp; C. Beard, </w:t>
      </w:r>
      <w:r w:rsidRPr="00BA461E">
        <w:rPr>
          <w:i/>
          <w:iCs/>
        </w:rPr>
        <w:t>Cassell’s Latin Dictionary: In Two Parts. I. Latin-English; II. English-Latin,</w:t>
      </w:r>
      <w:r w:rsidRPr="00BA461E">
        <w:t xml:space="preserve"> (London, John Cassell, 1854). P.</w:t>
      </w:r>
      <w:r w:rsidR="00BA461E" w:rsidRPr="00BA461E">
        <w:t>144, &amp; P.301.</w:t>
      </w:r>
    </w:p>
    <w:p w14:paraId="6CB27D5C" w14:textId="3332BD10" w:rsidR="00ED20FD" w:rsidRDefault="00BA461E" w:rsidP="001F1280">
      <w:pPr>
        <w:spacing w:after="0" w:line="240" w:lineRule="auto"/>
        <w:jc w:val="both"/>
      </w:pPr>
      <w:r w:rsidRPr="00AA031D">
        <w:t xml:space="preserve">, &amp; C. H. Berman, </w:t>
      </w:r>
      <w:r w:rsidRPr="00AA031D">
        <w:rPr>
          <w:i/>
          <w:iCs/>
        </w:rPr>
        <w:t>The Cistercian Evolution: The Invention of a Religious Order in Twelfth-Century Europe</w:t>
      </w:r>
      <w:r w:rsidRPr="00AA031D">
        <w:t>, (Philadelphia, University of Pennsylvania Press, 2010). P.23.</w:t>
      </w:r>
    </w:p>
    <w:bookmarkEnd w:id="1"/>
    <w:p w14:paraId="3C8BF012" w14:textId="77777777" w:rsidR="001F1280" w:rsidRPr="001F1280" w:rsidRDefault="001F1280" w:rsidP="001F1280">
      <w:pPr>
        <w:spacing w:after="0" w:line="240" w:lineRule="auto"/>
        <w:jc w:val="both"/>
        <w:rPr>
          <w:b/>
          <w:bCs/>
        </w:rPr>
      </w:pPr>
    </w:p>
  </w:footnote>
  <w:footnote w:id="2">
    <w:p w14:paraId="331285FA" w14:textId="2D14A954" w:rsidR="001F1280" w:rsidRPr="001F1280" w:rsidRDefault="001F1280">
      <w:pPr>
        <w:pStyle w:val="FootnoteText"/>
      </w:pPr>
      <w:r w:rsidRPr="001F1280">
        <w:rPr>
          <w:rStyle w:val="FootnoteReference"/>
        </w:rPr>
        <w:footnoteRef/>
      </w:r>
      <w:r w:rsidRPr="001F1280">
        <w:t xml:space="preserve"> </w:t>
      </w:r>
      <w:bookmarkStart w:id="2" w:name="_Hlk88933420"/>
      <w:r w:rsidRPr="001F1280">
        <w:t>J. Burton, &amp; J. Kerr,</w:t>
      </w:r>
      <w:r w:rsidRPr="001F1280">
        <w:rPr>
          <w:i/>
          <w:iCs/>
        </w:rPr>
        <w:t xml:space="preserve"> The Cistercians in the Middle Ages</w:t>
      </w:r>
      <w:r w:rsidRPr="001F1280">
        <w:t>, (Woodbridge, The Boydell Press, 2016)</w:t>
      </w:r>
      <w:r w:rsidR="003F63EB">
        <w:t>.</w:t>
      </w:r>
      <w:r w:rsidRPr="001F1280">
        <w:t xml:space="preserve"> </w:t>
      </w:r>
      <w:bookmarkEnd w:id="2"/>
      <w:r w:rsidRPr="001F1280">
        <w:t>Pp.16-17.</w:t>
      </w:r>
    </w:p>
    <w:p w14:paraId="31CADB59" w14:textId="77777777" w:rsidR="001F1280" w:rsidRDefault="001F1280">
      <w:pPr>
        <w:pStyle w:val="FootnoteText"/>
      </w:pPr>
    </w:p>
  </w:footnote>
  <w:footnote w:id="3">
    <w:p w14:paraId="3F7D4EA9" w14:textId="51095280" w:rsidR="0022019E" w:rsidRDefault="0022019E" w:rsidP="0022019E">
      <w:pPr>
        <w:pStyle w:val="FootnoteText"/>
      </w:pPr>
      <w:r>
        <w:rPr>
          <w:rStyle w:val="FootnoteReference"/>
        </w:rPr>
        <w:footnoteRef/>
      </w:r>
      <w:r>
        <w:t xml:space="preserve"> </w:t>
      </w:r>
      <w:bookmarkStart w:id="3" w:name="_Hlk88923873"/>
      <w:bookmarkStart w:id="4" w:name="_Hlk88933475"/>
      <w:r>
        <w:rPr>
          <w:i/>
          <w:iCs/>
        </w:rPr>
        <w:t>Exordium Parvum</w:t>
      </w:r>
      <w:bookmarkEnd w:id="3"/>
      <w:r>
        <w:t xml:space="preserve">, </w:t>
      </w:r>
      <w:bookmarkStart w:id="5" w:name="_Hlk88923934"/>
      <w:r>
        <w:t xml:space="preserve">trans. by </w:t>
      </w:r>
      <w:r w:rsidRPr="00AF60E2">
        <w:t>Ordre Cistercien de la Stricte Observance</w:t>
      </w:r>
      <w:bookmarkEnd w:id="5"/>
      <w:r>
        <w:t xml:space="preserve">, (2016), </w:t>
      </w:r>
      <w:r w:rsidRPr="00AF60E2">
        <w:t>https://ocso.org/wp-content/uploads/2016/05/EN-Exordium-Parvum.pdf</w:t>
      </w:r>
      <w:r>
        <w:t xml:space="preserve"> [Accessed: 26/11/2021].</w:t>
      </w:r>
    </w:p>
    <w:p w14:paraId="6DAEDEC6" w14:textId="5F61C6EA" w:rsidR="00254B0D" w:rsidRDefault="00254B0D" w:rsidP="0022019E">
      <w:pPr>
        <w:pStyle w:val="FootnoteText"/>
      </w:pPr>
      <w:r>
        <w:t xml:space="preserve">, &amp; </w:t>
      </w:r>
      <w:r w:rsidRPr="00254B0D">
        <w:t xml:space="preserve">Burton, &amp; Kerr, </w:t>
      </w:r>
      <w:r w:rsidRPr="00254B0D">
        <w:rPr>
          <w:i/>
          <w:iCs/>
        </w:rPr>
        <w:t>The Cistercians</w:t>
      </w:r>
      <w:r w:rsidRPr="00254B0D">
        <w:t>, Pp.16-17.</w:t>
      </w:r>
    </w:p>
    <w:bookmarkEnd w:id="4"/>
    <w:p w14:paraId="0E5E3028" w14:textId="77777777" w:rsidR="00AB0EAC" w:rsidRPr="00AF60E2" w:rsidRDefault="00AB0EAC" w:rsidP="0022019E">
      <w:pPr>
        <w:pStyle w:val="FootnoteText"/>
      </w:pPr>
    </w:p>
  </w:footnote>
  <w:footnote w:id="4">
    <w:p w14:paraId="67BB29D1" w14:textId="0659B581" w:rsidR="006246F4" w:rsidRPr="006246F4" w:rsidRDefault="00C545ED" w:rsidP="006246F4">
      <w:pPr>
        <w:pStyle w:val="FootnoteText"/>
        <w:rPr>
          <w:b/>
          <w:bCs/>
        </w:rPr>
      </w:pPr>
      <w:r>
        <w:rPr>
          <w:rStyle w:val="FootnoteReference"/>
        </w:rPr>
        <w:footnoteRef/>
      </w:r>
      <w:r>
        <w:t xml:space="preserve"> </w:t>
      </w:r>
      <w:r w:rsidR="006246F4">
        <w:t xml:space="preserve">J. </w:t>
      </w:r>
      <w:r w:rsidR="00BA5290">
        <w:t>A. Keen</w:t>
      </w:r>
      <w:r w:rsidR="006246F4">
        <w:t>,</w:t>
      </w:r>
      <w:r w:rsidR="00BA5290">
        <w:t xml:space="preserve"> ‘Harding, Stephen, Saint (D.1134)’, in</w:t>
      </w:r>
      <w:r w:rsidR="006246F4">
        <w:t xml:space="preserve"> </w:t>
      </w:r>
      <w:r w:rsidR="006246F4" w:rsidRPr="006246F4">
        <w:rPr>
          <w:i/>
          <w:iCs/>
        </w:rPr>
        <w:t>The Rise of the Medieval World, 500-1300: A Biographical Dictionary</w:t>
      </w:r>
      <w:r w:rsidR="006246F4">
        <w:t xml:space="preserve">, </w:t>
      </w:r>
      <w:r w:rsidR="00BA5290">
        <w:t xml:space="preserve">ed. by J. K. Schulman, </w:t>
      </w:r>
      <w:r w:rsidR="006246F4">
        <w:t>(</w:t>
      </w:r>
      <w:r w:rsidR="00BA5290">
        <w:t>Westport, Greenwood Press, 2002). P.195.</w:t>
      </w:r>
    </w:p>
    <w:p w14:paraId="60520E14" w14:textId="7C0B3566" w:rsidR="006246F4" w:rsidRPr="006246F4" w:rsidRDefault="006246F4" w:rsidP="006246F4">
      <w:pPr>
        <w:pStyle w:val="FootnoteText"/>
        <w:rPr>
          <w:b/>
          <w:bCs/>
        </w:rPr>
      </w:pPr>
      <w:r>
        <w:t xml:space="preserve">, &amp; J. W. Bernhardt, </w:t>
      </w:r>
      <w:r w:rsidRPr="006246F4">
        <w:rPr>
          <w:i/>
          <w:iCs/>
        </w:rPr>
        <w:t>Itinerant Kingship and Royal Monasteries in Early Medieval Germany, C.936-1075</w:t>
      </w:r>
      <w:r>
        <w:t>, (Cambridge, Cambridge University Press, 1996). P.190.</w:t>
      </w:r>
    </w:p>
    <w:p w14:paraId="36B1E780" w14:textId="46F3116C" w:rsidR="00C545ED" w:rsidRPr="00C545ED" w:rsidRDefault="00C545ED">
      <w:pPr>
        <w:pStyle w:val="FootnoteText"/>
      </w:pPr>
    </w:p>
  </w:footnote>
  <w:footnote w:id="5">
    <w:p w14:paraId="3CC12AA2" w14:textId="30056ADA" w:rsidR="00E052EA" w:rsidRDefault="00E052EA">
      <w:pPr>
        <w:pStyle w:val="FootnoteText"/>
      </w:pPr>
      <w:r>
        <w:rPr>
          <w:rStyle w:val="FootnoteReference"/>
        </w:rPr>
        <w:footnoteRef/>
      </w:r>
      <w:r>
        <w:t xml:space="preserve"> </w:t>
      </w:r>
      <w:r w:rsidRPr="00E052EA">
        <w:rPr>
          <w:i/>
          <w:iCs/>
        </w:rPr>
        <w:t>Exordium Parvum</w:t>
      </w:r>
      <w:r w:rsidRPr="00E052EA">
        <w:t>, trans. by Ordre Cistercien de la Stricte Observance.</w:t>
      </w:r>
    </w:p>
    <w:p w14:paraId="5AE0F13B" w14:textId="1EF1E9DC" w:rsidR="00E052EA" w:rsidRDefault="00E052EA">
      <w:pPr>
        <w:pStyle w:val="FootnoteText"/>
      </w:pPr>
      <w:r>
        <w:t xml:space="preserve">, &amp; </w:t>
      </w:r>
      <w:bookmarkStart w:id="8" w:name="_Hlk88928199"/>
      <w:r>
        <w:t xml:space="preserve">Bernhardt, </w:t>
      </w:r>
      <w:r>
        <w:rPr>
          <w:i/>
          <w:iCs/>
        </w:rPr>
        <w:t>Itinerant Kingship</w:t>
      </w:r>
      <w:r>
        <w:t>. Pp.189-190.</w:t>
      </w:r>
      <w:bookmarkEnd w:id="8"/>
    </w:p>
    <w:p w14:paraId="41A55AF6" w14:textId="77777777" w:rsidR="00F16C06" w:rsidRPr="00E052EA" w:rsidRDefault="00F16C06">
      <w:pPr>
        <w:pStyle w:val="FootnoteText"/>
      </w:pPr>
    </w:p>
  </w:footnote>
  <w:footnote w:id="6">
    <w:p w14:paraId="234D5528" w14:textId="283DB1D7" w:rsidR="00251DD5" w:rsidRDefault="00251DD5">
      <w:pPr>
        <w:pStyle w:val="FootnoteText"/>
      </w:pPr>
      <w:r>
        <w:rPr>
          <w:rStyle w:val="FootnoteReference"/>
        </w:rPr>
        <w:footnoteRef/>
      </w:r>
      <w:r>
        <w:t xml:space="preserve"> Bernhardt, </w:t>
      </w:r>
      <w:r>
        <w:rPr>
          <w:i/>
          <w:iCs/>
        </w:rPr>
        <w:t>Itinerant Kingship</w:t>
      </w:r>
      <w:r>
        <w:t>. Pp.189-190.</w:t>
      </w:r>
    </w:p>
    <w:p w14:paraId="61DC4431" w14:textId="77777777" w:rsidR="00D94DB8" w:rsidRDefault="00D94DB8">
      <w:pPr>
        <w:pStyle w:val="FootnoteText"/>
      </w:pPr>
    </w:p>
  </w:footnote>
  <w:footnote w:id="7">
    <w:p w14:paraId="6489DED0" w14:textId="227437DA" w:rsidR="00790956" w:rsidRDefault="00790956" w:rsidP="00D94DB8">
      <w:pPr>
        <w:pStyle w:val="FootnoteText"/>
      </w:pPr>
      <w:r>
        <w:rPr>
          <w:rStyle w:val="FootnoteReference"/>
        </w:rPr>
        <w:footnoteRef/>
      </w:r>
      <w:r>
        <w:t xml:space="preserve"> </w:t>
      </w:r>
      <w:bookmarkStart w:id="10" w:name="_Hlk88933611"/>
      <w:r w:rsidR="00D94DB8">
        <w:t xml:space="preserve">Benedict of Nursia, </w:t>
      </w:r>
      <w:r w:rsidR="00D94DB8">
        <w:rPr>
          <w:i/>
          <w:iCs/>
        </w:rPr>
        <w:t>The Rule</w:t>
      </w:r>
      <w:r w:rsidR="00D94DB8">
        <w:t>, trans. by Anonymous, (Moscow, Roman Roads Media, 2015)</w:t>
      </w:r>
      <w:bookmarkEnd w:id="10"/>
      <w:r w:rsidR="00D94DB8">
        <w:t>. Pp.12-16.</w:t>
      </w:r>
    </w:p>
    <w:p w14:paraId="5F8F7D7C" w14:textId="77777777" w:rsidR="001815B6" w:rsidRPr="00D94DB8" w:rsidRDefault="001815B6" w:rsidP="00D94DB8">
      <w:pPr>
        <w:pStyle w:val="FootnoteText"/>
      </w:pPr>
    </w:p>
  </w:footnote>
  <w:footnote w:id="8">
    <w:p w14:paraId="488EB977" w14:textId="419DB77D" w:rsidR="001815B6" w:rsidRPr="001815B6" w:rsidRDefault="001815B6" w:rsidP="001815B6">
      <w:pPr>
        <w:pStyle w:val="FootnoteText"/>
        <w:rPr>
          <w:b/>
          <w:bCs/>
        </w:rPr>
      </w:pPr>
      <w:r>
        <w:rPr>
          <w:rStyle w:val="FootnoteReference"/>
        </w:rPr>
        <w:footnoteRef/>
      </w:r>
      <w:r>
        <w:t xml:space="preserve"> </w:t>
      </w:r>
      <w:bookmarkStart w:id="12" w:name="_Hlk88933692"/>
      <w:r>
        <w:t xml:space="preserve">J. Evans, </w:t>
      </w:r>
      <w:r w:rsidRPr="001815B6">
        <w:rPr>
          <w:i/>
          <w:iCs/>
        </w:rPr>
        <w:t>Cluniac Art of the Romanesque Period</w:t>
      </w:r>
      <w:r>
        <w:t>, (Cambridge, Cambridge University Press, 1950)</w:t>
      </w:r>
      <w:bookmarkEnd w:id="12"/>
      <w:r>
        <w:t>. P.27.</w:t>
      </w:r>
    </w:p>
    <w:p w14:paraId="3B78C772" w14:textId="266DE6D8" w:rsidR="001815B6" w:rsidRPr="001815B6" w:rsidRDefault="001815B6">
      <w:pPr>
        <w:pStyle w:val="FootnoteText"/>
        <w:rPr>
          <w:i/>
          <w:iCs/>
        </w:rPr>
      </w:pPr>
    </w:p>
  </w:footnote>
  <w:footnote w:id="9">
    <w:p w14:paraId="60BAF5AD" w14:textId="0DBA66A1" w:rsidR="00AD25B2" w:rsidRPr="00AD25B2" w:rsidRDefault="00AD25B2">
      <w:pPr>
        <w:pStyle w:val="FootnoteText"/>
      </w:pPr>
      <w:r>
        <w:rPr>
          <w:rStyle w:val="FootnoteReference"/>
        </w:rPr>
        <w:footnoteRef/>
      </w:r>
      <w:r>
        <w:t xml:space="preserve"> Benedict of Nursia, </w:t>
      </w:r>
      <w:r>
        <w:rPr>
          <w:i/>
          <w:iCs/>
        </w:rPr>
        <w:t>The Rule</w:t>
      </w:r>
      <w:r>
        <w:t>, Pp.12-16.</w:t>
      </w:r>
    </w:p>
  </w:footnote>
  <w:footnote w:id="10">
    <w:p w14:paraId="4C729102" w14:textId="77777777" w:rsidR="00F16C06" w:rsidRDefault="00F16C06">
      <w:pPr>
        <w:pStyle w:val="FootnoteText"/>
      </w:pPr>
    </w:p>
    <w:p w14:paraId="2F851135" w14:textId="4C01B423" w:rsidR="00F16C06" w:rsidRPr="00F16C06" w:rsidRDefault="00F16C06">
      <w:pPr>
        <w:pStyle w:val="FootnoteText"/>
      </w:pPr>
      <w:r>
        <w:rPr>
          <w:rStyle w:val="FootnoteReference"/>
        </w:rPr>
        <w:footnoteRef/>
      </w:r>
      <w:r>
        <w:t xml:space="preserve"> </w:t>
      </w:r>
      <w:bookmarkStart w:id="13" w:name="_Hlk89001828"/>
      <w:r>
        <w:t xml:space="preserve">Burton, &amp; Kerr, </w:t>
      </w:r>
      <w:r w:rsidRPr="00F16C06">
        <w:rPr>
          <w:i/>
          <w:iCs/>
        </w:rPr>
        <w:t>The Cistercians</w:t>
      </w:r>
      <w:r>
        <w:t xml:space="preserve">, </w:t>
      </w:r>
      <w:r w:rsidR="00F90159" w:rsidRPr="00F90159">
        <w:t>Pp.16-17</w:t>
      </w:r>
      <w:r w:rsidR="00F90159">
        <w:t>.</w:t>
      </w:r>
    </w:p>
    <w:bookmarkEnd w:id="13"/>
    <w:p w14:paraId="164E7064" w14:textId="6231E758" w:rsidR="00F16C06" w:rsidRDefault="00F16C06">
      <w:pPr>
        <w:pStyle w:val="FootnoteText"/>
      </w:pPr>
      <w:r>
        <w:t xml:space="preserve"> </w:t>
      </w:r>
    </w:p>
  </w:footnote>
  <w:footnote w:id="11">
    <w:p w14:paraId="624C5DAB" w14:textId="77777777" w:rsidR="00AD25B2" w:rsidRPr="001F1280" w:rsidRDefault="00AD25B2" w:rsidP="00AD25B2">
      <w:pPr>
        <w:pStyle w:val="FootnoteText"/>
      </w:pPr>
      <w:r w:rsidRPr="001F1280">
        <w:rPr>
          <w:rStyle w:val="FootnoteReference"/>
        </w:rPr>
        <w:footnoteRef/>
      </w:r>
      <w:r w:rsidRPr="001F1280">
        <w:t xml:space="preserve"> Berman, </w:t>
      </w:r>
      <w:r w:rsidRPr="001F1280">
        <w:rPr>
          <w:i/>
          <w:iCs/>
        </w:rPr>
        <w:t xml:space="preserve">The Cistercian Evolution, </w:t>
      </w:r>
      <w:r w:rsidRPr="001F1280">
        <w:t>P.23.</w:t>
      </w:r>
    </w:p>
    <w:p w14:paraId="6F7B0F92" w14:textId="62E650F0" w:rsidR="00EA652E" w:rsidRPr="00EA652E" w:rsidRDefault="00AD25B2" w:rsidP="00EA652E">
      <w:pPr>
        <w:pStyle w:val="FootnoteText"/>
        <w:rPr>
          <w:b/>
          <w:bCs/>
        </w:rPr>
      </w:pPr>
      <w:r>
        <w:t xml:space="preserve">, &amp; </w:t>
      </w:r>
      <w:r w:rsidR="00EA652E">
        <w:t xml:space="preserve">G. Constable, </w:t>
      </w:r>
      <w:r w:rsidR="00EA652E" w:rsidRPr="00EA652E">
        <w:rPr>
          <w:i/>
          <w:iCs/>
        </w:rPr>
        <w:t>The Reformation of the Twelfth Century</w:t>
      </w:r>
      <w:r w:rsidR="00EA652E">
        <w:t>, (Cambridge, Cambridge University Press, 1996). P.33.</w:t>
      </w:r>
    </w:p>
    <w:p w14:paraId="26B24C1A" w14:textId="5F114E8C" w:rsidR="00AD25B2" w:rsidRPr="00EA652E" w:rsidRDefault="00AD25B2" w:rsidP="00AD25B2">
      <w:pPr>
        <w:pStyle w:val="FootnoteText"/>
      </w:pPr>
    </w:p>
    <w:p w14:paraId="211E5943" w14:textId="77777777" w:rsidR="00AD25B2" w:rsidRPr="001F1280" w:rsidRDefault="00AD25B2" w:rsidP="00AD25B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25D87" w14:textId="22B37890" w:rsidR="002E1861" w:rsidRPr="002E1861" w:rsidRDefault="002E1861" w:rsidP="002E1861">
    <w:pPr>
      <w:pStyle w:val="Header"/>
      <w:jc w:val="center"/>
    </w:pPr>
    <w:r w:rsidRPr="002E1861">
      <w:t>Samuel Lawrence - The Cistercians In The Middle Ages – Portfolio – Section 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861"/>
    <w:rsid w:val="00085B63"/>
    <w:rsid w:val="000C493E"/>
    <w:rsid w:val="0011614B"/>
    <w:rsid w:val="00124470"/>
    <w:rsid w:val="00144213"/>
    <w:rsid w:val="001815B6"/>
    <w:rsid w:val="00186602"/>
    <w:rsid w:val="001F1280"/>
    <w:rsid w:val="00200D49"/>
    <w:rsid w:val="00207B05"/>
    <w:rsid w:val="0022019E"/>
    <w:rsid w:val="00251DD5"/>
    <w:rsid w:val="00254B0D"/>
    <w:rsid w:val="00297F88"/>
    <w:rsid w:val="002A04AF"/>
    <w:rsid w:val="002E1861"/>
    <w:rsid w:val="002E1CEB"/>
    <w:rsid w:val="0031549C"/>
    <w:rsid w:val="00383A32"/>
    <w:rsid w:val="003C33F7"/>
    <w:rsid w:val="003D063B"/>
    <w:rsid w:val="003D734F"/>
    <w:rsid w:val="003E1937"/>
    <w:rsid w:val="003F63EB"/>
    <w:rsid w:val="00422043"/>
    <w:rsid w:val="0050470E"/>
    <w:rsid w:val="005B05CB"/>
    <w:rsid w:val="006246F4"/>
    <w:rsid w:val="006F66BE"/>
    <w:rsid w:val="00790956"/>
    <w:rsid w:val="007B1FDD"/>
    <w:rsid w:val="008C2247"/>
    <w:rsid w:val="00921BD6"/>
    <w:rsid w:val="009D05E4"/>
    <w:rsid w:val="00A00A29"/>
    <w:rsid w:val="00A57D9C"/>
    <w:rsid w:val="00A77C21"/>
    <w:rsid w:val="00A8636C"/>
    <w:rsid w:val="00AA031D"/>
    <w:rsid w:val="00AA2C29"/>
    <w:rsid w:val="00AB0EAC"/>
    <w:rsid w:val="00AD25B2"/>
    <w:rsid w:val="00AF60E2"/>
    <w:rsid w:val="00B0575C"/>
    <w:rsid w:val="00B17E93"/>
    <w:rsid w:val="00B516D3"/>
    <w:rsid w:val="00B70377"/>
    <w:rsid w:val="00B77F0E"/>
    <w:rsid w:val="00BA461E"/>
    <w:rsid w:val="00BA5290"/>
    <w:rsid w:val="00C4021A"/>
    <w:rsid w:val="00C545ED"/>
    <w:rsid w:val="00CC795F"/>
    <w:rsid w:val="00CF002C"/>
    <w:rsid w:val="00D32961"/>
    <w:rsid w:val="00D94DB8"/>
    <w:rsid w:val="00DB1527"/>
    <w:rsid w:val="00DB6241"/>
    <w:rsid w:val="00DF157E"/>
    <w:rsid w:val="00E052EA"/>
    <w:rsid w:val="00E061C5"/>
    <w:rsid w:val="00EA652E"/>
    <w:rsid w:val="00EC4071"/>
    <w:rsid w:val="00ED20FD"/>
    <w:rsid w:val="00F163C6"/>
    <w:rsid w:val="00F16C06"/>
    <w:rsid w:val="00F537D5"/>
    <w:rsid w:val="00F560DA"/>
    <w:rsid w:val="00F70D1A"/>
    <w:rsid w:val="00F90159"/>
    <w:rsid w:val="00FE2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7D583"/>
  <w15:chartTrackingRefBased/>
  <w15:docId w15:val="{D32A8304-BC43-4DAC-81C8-189766FC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6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861"/>
  </w:style>
  <w:style w:type="paragraph" w:styleId="Footer">
    <w:name w:val="footer"/>
    <w:basedOn w:val="Normal"/>
    <w:link w:val="FooterChar"/>
    <w:uiPriority w:val="99"/>
    <w:unhideWhenUsed/>
    <w:rsid w:val="002E1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861"/>
  </w:style>
  <w:style w:type="paragraph" w:styleId="FootnoteText">
    <w:name w:val="footnote text"/>
    <w:basedOn w:val="Normal"/>
    <w:link w:val="FootnoteTextChar"/>
    <w:uiPriority w:val="99"/>
    <w:unhideWhenUsed/>
    <w:rsid w:val="00AA2C29"/>
    <w:pPr>
      <w:spacing w:after="0" w:line="240" w:lineRule="auto"/>
    </w:pPr>
  </w:style>
  <w:style w:type="character" w:customStyle="1" w:styleId="FootnoteTextChar">
    <w:name w:val="Footnote Text Char"/>
    <w:basedOn w:val="DefaultParagraphFont"/>
    <w:link w:val="FootnoteText"/>
    <w:uiPriority w:val="99"/>
    <w:rsid w:val="00AA2C29"/>
    <w:rPr>
      <w:sz w:val="20"/>
      <w:szCs w:val="20"/>
    </w:rPr>
  </w:style>
  <w:style w:type="character" w:styleId="FootnoteReference">
    <w:name w:val="footnote reference"/>
    <w:basedOn w:val="DefaultParagraphFont"/>
    <w:uiPriority w:val="99"/>
    <w:semiHidden/>
    <w:unhideWhenUsed/>
    <w:rsid w:val="00AA2C29"/>
    <w:rPr>
      <w:vertAlign w:val="superscript"/>
    </w:rPr>
  </w:style>
  <w:style w:type="character" w:customStyle="1" w:styleId="Heading1Char">
    <w:name w:val="Heading 1 Char"/>
    <w:basedOn w:val="DefaultParagraphFont"/>
    <w:link w:val="Heading1"/>
    <w:uiPriority w:val="9"/>
    <w:rsid w:val="00BA461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F60E2"/>
    <w:rPr>
      <w:color w:val="0563C1" w:themeColor="hyperlink"/>
      <w:u w:val="single"/>
    </w:rPr>
  </w:style>
  <w:style w:type="character" w:styleId="UnresolvedMention">
    <w:name w:val="Unresolved Mention"/>
    <w:basedOn w:val="DefaultParagraphFont"/>
    <w:uiPriority w:val="99"/>
    <w:semiHidden/>
    <w:unhideWhenUsed/>
    <w:rsid w:val="00AF6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065140">
      <w:bodyDiv w:val="1"/>
      <w:marLeft w:val="0"/>
      <w:marRight w:val="0"/>
      <w:marTop w:val="0"/>
      <w:marBottom w:val="0"/>
      <w:divBdr>
        <w:top w:val="none" w:sz="0" w:space="0" w:color="auto"/>
        <w:left w:val="none" w:sz="0" w:space="0" w:color="auto"/>
        <w:bottom w:val="none" w:sz="0" w:space="0" w:color="auto"/>
        <w:right w:val="none" w:sz="0" w:space="0" w:color="auto"/>
      </w:divBdr>
    </w:div>
    <w:div w:id="501236011">
      <w:bodyDiv w:val="1"/>
      <w:marLeft w:val="0"/>
      <w:marRight w:val="0"/>
      <w:marTop w:val="0"/>
      <w:marBottom w:val="0"/>
      <w:divBdr>
        <w:top w:val="none" w:sz="0" w:space="0" w:color="auto"/>
        <w:left w:val="none" w:sz="0" w:space="0" w:color="auto"/>
        <w:bottom w:val="none" w:sz="0" w:space="0" w:color="auto"/>
        <w:right w:val="none" w:sz="0" w:space="0" w:color="auto"/>
      </w:divBdr>
    </w:div>
    <w:div w:id="863136496">
      <w:bodyDiv w:val="1"/>
      <w:marLeft w:val="0"/>
      <w:marRight w:val="0"/>
      <w:marTop w:val="0"/>
      <w:marBottom w:val="0"/>
      <w:divBdr>
        <w:top w:val="none" w:sz="0" w:space="0" w:color="auto"/>
        <w:left w:val="none" w:sz="0" w:space="0" w:color="auto"/>
        <w:bottom w:val="none" w:sz="0" w:space="0" w:color="auto"/>
        <w:right w:val="none" w:sz="0" w:space="0" w:color="auto"/>
      </w:divBdr>
    </w:div>
    <w:div w:id="963736740">
      <w:bodyDiv w:val="1"/>
      <w:marLeft w:val="0"/>
      <w:marRight w:val="0"/>
      <w:marTop w:val="0"/>
      <w:marBottom w:val="0"/>
      <w:divBdr>
        <w:top w:val="none" w:sz="0" w:space="0" w:color="auto"/>
        <w:left w:val="none" w:sz="0" w:space="0" w:color="auto"/>
        <w:bottom w:val="none" w:sz="0" w:space="0" w:color="auto"/>
        <w:right w:val="none" w:sz="0" w:space="0" w:color="auto"/>
      </w:divBdr>
    </w:div>
    <w:div w:id="1074008600">
      <w:bodyDiv w:val="1"/>
      <w:marLeft w:val="0"/>
      <w:marRight w:val="0"/>
      <w:marTop w:val="0"/>
      <w:marBottom w:val="0"/>
      <w:divBdr>
        <w:top w:val="none" w:sz="0" w:space="0" w:color="auto"/>
        <w:left w:val="none" w:sz="0" w:space="0" w:color="auto"/>
        <w:bottom w:val="none" w:sz="0" w:space="0" w:color="auto"/>
        <w:right w:val="none" w:sz="0" w:space="0" w:color="auto"/>
      </w:divBdr>
    </w:div>
    <w:div w:id="1619139096">
      <w:bodyDiv w:val="1"/>
      <w:marLeft w:val="0"/>
      <w:marRight w:val="0"/>
      <w:marTop w:val="0"/>
      <w:marBottom w:val="0"/>
      <w:divBdr>
        <w:top w:val="none" w:sz="0" w:space="0" w:color="auto"/>
        <w:left w:val="none" w:sz="0" w:space="0" w:color="auto"/>
        <w:bottom w:val="none" w:sz="0" w:space="0" w:color="auto"/>
        <w:right w:val="none" w:sz="0" w:space="0" w:color="auto"/>
      </w:divBdr>
    </w:div>
    <w:div w:id="1797481237">
      <w:bodyDiv w:val="1"/>
      <w:marLeft w:val="0"/>
      <w:marRight w:val="0"/>
      <w:marTop w:val="0"/>
      <w:marBottom w:val="0"/>
      <w:divBdr>
        <w:top w:val="none" w:sz="0" w:space="0" w:color="auto"/>
        <w:left w:val="none" w:sz="0" w:space="0" w:color="auto"/>
        <w:bottom w:val="none" w:sz="0" w:space="0" w:color="auto"/>
        <w:right w:val="none" w:sz="0" w:space="0" w:color="auto"/>
      </w:divBdr>
    </w:div>
    <w:div w:id="190907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B610D-DF2E-4DC6-AA55-F130E3789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Pages>
  <Words>1011</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Lawrence</dc:creator>
  <cp:keywords/>
  <dc:description/>
  <cp:lastModifiedBy>Samuel Lawrence</cp:lastModifiedBy>
  <cp:revision>6</cp:revision>
  <dcterms:created xsi:type="dcterms:W3CDTF">2021-11-25T18:24:00Z</dcterms:created>
  <dcterms:modified xsi:type="dcterms:W3CDTF">2021-11-28T14:26:00Z</dcterms:modified>
</cp:coreProperties>
</file>