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02FF2" w14:textId="109D5F4E" w:rsidR="000A5D2D" w:rsidRDefault="000A5D2D" w:rsidP="00782F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Contemporary Developments in Employment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Relations</w:t>
      </w:r>
      <w:r w:rsidR="00871B5E">
        <w:rPr>
          <w:rFonts w:ascii="Arial" w:hAnsi="Arial" w:cs="Arial"/>
          <w:b/>
          <w:sz w:val="20"/>
          <w:szCs w:val="20"/>
          <w:u w:val="single"/>
        </w:rPr>
        <w:t xml:space="preserve">  (</w:t>
      </w:r>
      <w:proofErr w:type="gramEnd"/>
      <w:r w:rsidR="00E86635">
        <w:rPr>
          <w:rFonts w:ascii="Arial" w:hAnsi="Arial" w:cs="Arial"/>
          <w:b/>
          <w:sz w:val="20"/>
          <w:szCs w:val="20"/>
          <w:u w:val="single"/>
        </w:rPr>
        <w:t>5</w:t>
      </w:r>
      <w:r w:rsidR="00871B5E">
        <w:rPr>
          <w:rFonts w:ascii="Arial" w:hAnsi="Arial" w:cs="Arial"/>
          <w:b/>
          <w:sz w:val="20"/>
          <w:szCs w:val="20"/>
          <w:u w:val="single"/>
        </w:rPr>
        <w:t>DER) 201</w:t>
      </w:r>
      <w:r w:rsidR="00E86635">
        <w:rPr>
          <w:rFonts w:ascii="Arial" w:hAnsi="Arial" w:cs="Arial"/>
          <w:b/>
          <w:sz w:val="20"/>
          <w:szCs w:val="20"/>
          <w:u w:val="single"/>
        </w:rPr>
        <w:t>8_19</w:t>
      </w:r>
    </w:p>
    <w:p w14:paraId="18DC1243" w14:textId="77777777" w:rsidR="00042AF3" w:rsidRPr="00782F69" w:rsidRDefault="00CD4023" w:rsidP="002132E9">
      <w:pPr>
        <w:jc w:val="center"/>
        <w:rPr>
          <w:b/>
          <w:u w:val="single"/>
        </w:rPr>
      </w:pPr>
      <w:r w:rsidRPr="00782F69">
        <w:rPr>
          <w:b/>
          <w:u w:val="single"/>
        </w:rPr>
        <w:t>Assessment</w:t>
      </w:r>
      <w:r w:rsidR="000A5D2D">
        <w:rPr>
          <w:b/>
          <w:u w:val="single"/>
        </w:rPr>
        <w:t xml:space="preserve"> Criteria</w:t>
      </w:r>
    </w:p>
    <w:p w14:paraId="4DB5426C" w14:textId="42565690" w:rsidR="00580217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Name:</w:t>
      </w:r>
    </w:p>
    <w:p w14:paraId="69BE3DD0" w14:textId="77777777" w:rsidR="00871B5E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</w:p>
    <w:p w14:paraId="3DC1F7E9" w14:textId="215AEAF0" w:rsidR="00042AF3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Learning Outcomes:</w:t>
      </w:r>
    </w:p>
    <w:p w14:paraId="2326C4DC" w14:textId="77777777" w:rsidR="00871B5E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</w:p>
    <w:p w14:paraId="5632ED62" w14:textId="77777777" w:rsidR="00871B5E" w:rsidRDefault="00871B5E" w:rsidP="00871B5E">
      <w:pPr>
        <w:pStyle w:val="ListParagraph"/>
        <w:numPr>
          <w:ilvl w:val="0"/>
          <w:numId w:val="14"/>
        </w:numPr>
        <w:spacing w:after="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Understand the nature and context of employment relations. </w:t>
      </w:r>
    </w:p>
    <w:p w14:paraId="7AC9B9E4" w14:textId="77777777" w:rsidR="00871B5E" w:rsidRDefault="00871B5E" w:rsidP="00871B5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Know about employment relations legislation.</w:t>
      </w:r>
    </w:p>
    <w:p w14:paraId="27ED523F" w14:textId="77777777" w:rsidR="00871B5E" w:rsidRDefault="00871B5E" w:rsidP="00871B5E">
      <w:pPr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Understands contemporary developments in employee involvement and participation</w:t>
      </w:r>
    </w:p>
    <w:p w14:paraId="5678FC73" w14:textId="77777777" w:rsidR="00871B5E" w:rsidRDefault="00871B5E" w:rsidP="00871B5E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cs="Arial"/>
          <w:sz w:val="20"/>
          <w:szCs w:val="20"/>
        </w:rPr>
        <w:t>Know about different forms of conflict behaviour and dispute resolution.</w:t>
      </w:r>
    </w:p>
    <w:p w14:paraId="37F3C9D0" w14:textId="77777777" w:rsidR="00871B5E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</w:p>
    <w:p w14:paraId="61DCF32C" w14:textId="15747393" w:rsidR="00871B5E" w:rsidRDefault="00871B5E" w:rsidP="00042AF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Assessment:</w:t>
      </w:r>
    </w:p>
    <w:p w14:paraId="33794DC8" w14:textId="2E9D3D87" w:rsidR="00871B5E" w:rsidRDefault="00871B5E" w:rsidP="00871B5E">
      <w:pPr>
        <w:spacing w:line="25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Written answers to each of the six questions of approximately 3,</w:t>
      </w:r>
      <w:r w:rsidR="00E86635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00 words in total (divided appropriately across the questions).</w:t>
      </w:r>
    </w:p>
    <w:p w14:paraId="41EB6A74" w14:textId="26DB2057" w:rsidR="00871B5E" w:rsidRDefault="00871B5E" w:rsidP="00871B5E">
      <w:pPr>
        <w:spacing w:after="12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should relate academic concepts, theories and professional practice to the way organisations operate, in a critical and informed way, and with reference to key texts, articles and other publications and by using organisational examples for illustration. </w:t>
      </w:r>
    </w:p>
    <w:p w14:paraId="7469D2E5" w14:textId="7F5FAA92" w:rsidR="00871B5E" w:rsidRPr="004F5A40" w:rsidRDefault="00871B5E" w:rsidP="00871B5E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reference sources should be acknowledged correctly and a bibliography provided where appropriate (these should be excluded from the word count).</w:t>
      </w:r>
      <w:r>
        <w:rPr>
          <w:rFonts w:ascii="Arial" w:hAnsi="Arial" w:cs="Arial"/>
          <w:sz w:val="20"/>
          <w:szCs w:val="20"/>
        </w:rPr>
        <w:br/>
      </w:r>
    </w:p>
    <w:p w14:paraId="555074D8" w14:textId="77777777" w:rsidR="00042AF3" w:rsidRDefault="00042AF3" w:rsidP="00042AF3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2802"/>
        <w:gridCol w:w="4819"/>
        <w:gridCol w:w="1559"/>
        <w:gridCol w:w="4820"/>
      </w:tblGrid>
      <w:tr w:rsidR="00CF54B2" w:rsidRPr="003774FF" w14:paraId="700FEE29" w14:textId="77777777" w:rsidTr="00475B9F">
        <w:tc>
          <w:tcPr>
            <w:tcW w:w="2802" w:type="dxa"/>
            <w:shd w:val="clear" w:color="auto" w:fill="D9D9D9" w:themeFill="background1" w:themeFillShade="D9"/>
          </w:tcPr>
          <w:p w14:paraId="0A9F5C16" w14:textId="77777777" w:rsidR="00CF54B2" w:rsidRPr="003774FF" w:rsidRDefault="00CF54B2">
            <w:pPr>
              <w:rPr>
                <w:b/>
              </w:rPr>
            </w:pPr>
            <w:r w:rsidRPr="003774FF">
              <w:rPr>
                <w:b/>
              </w:rPr>
              <w:t>Activity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1E9C74C3" w14:textId="77777777" w:rsidR="00CF54B2" w:rsidRPr="003774FF" w:rsidRDefault="00CF54B2" w:rsidP="006712D6">
            <w:pPr>
              <w:tabs>
                <w:tab w:val="left" w:pos="2182"/>
              </w:tabs>
              <w:rPr>
                <w:b/>
              </w:rPr>
            </w:pPr>
            <w:r w:rsidRPr="003774FF">
              <w:rPr>
                <w:b/>
              </w:rPr>
              <w:t>Assessment Criteria</w:t>
            </w:r>
            <w:r w:rsidRPr="003774FF">
              <w:rPr>
                <w:b/>
              </w:rPr>
              <w:tab/>
              <w:t xml:space="preserve">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3381C3A" w14:textId="3B2975F7" w:rsidR="00CF54B2" w:rsidRPr="003774FF" w:rsidRDefault="00F64CD8" w:rsidP="006712D6">
            <w:pPr>
              <w:tabs>
                <w:tab w:val="left" w:pos="2182"/>
              </w:tabs>
              <w:rPr>
                <w:b/>
              </w:rPr>
            </w:pPr>
            <w:r w:rsidRPr="003774FF">
              <w:rPr>
                <w:b/>
              </w:rPr>
              <w:t>Pass/Refer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4A9FD089" w14:textId="77777777" w:rsidR="00CF54B2" w:rsidRPr="003774FF" w:rsidRDefault="00CF54B2" w:rsidP="006712D6">
            <w:pPr>
              <w:tabs>
                <w:tab w:val="left" w:pos="2182"/>
              </w:tabs>
              <w:rPr>
                <w:b/>
              </w:rPr>
            </w:pPr>
            <w:r w:rsidRPr="003774FF">
              <w:rPr>
                <w:b/>
              </w:rPr>
              <w:t>Feedback</w:t>
            </w:r>
          </w:p>
        </w:tc>
      </w:tr>
      <w:tr w:rsidR="00CF54B2" w:rsidRPr="003774FF" w14:paraId="62EA7989" w14:textId="77777777" w:rsidTr="00475B9F">
        <w:trPr>
          <w:trHeight w:val="1890"/>
        </w:trPr>
        <w:tc>
          <w:tcPr>
            <w:tcW w:w="2802" w:type="dxa"/>
          </w:tcPr>
          <w:p w14:paraId="2E30854B" w14:textId="38261C86" w:rsidR="00CF54B2" w:rsidRPr="003774FF" w:rsidRDefault="00CF54B2" w:rsidP="00CF54B2">
            <w:pPr>
              <w:spacing w:before="240"/>
            </w:pPr>
            <w:r w:rsidRPr="003774FF">
              <w:rPr>
                <w:rFonts w:cs="Arial"/>
              </w:rPr>
              <w:t xml:space="preserve">Q1) </w:t>
            </w:r>
            <w:r w:rsidR="00871B5E" w:rsidRPr="003774FF">
              <w:rPr>
                <w:rFonts w:cs="Arial"/>
              </w:rPr>
              <w:t>Provide a brief analysis of the indeterminacy of employment relations and an assessment of the factors which impact on employment relations. In your analysis, briefly compare and contrast unitarist and pluralist approaches.</w:t>
            </w:r>
          </w:p>
        </w:tc>
        <w:tc>
          <w:tcPr>
            <w:tcW w:w="4819" w:type="dxa"/>
          </w:tcPr>
          <w:p w14:paraId="3308473B" w14:textId="77777777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F1820FF" w14:textId="3106A593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1.1 Analyse the indeterminate nature of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employment relations.</w:t>
            </w:r>
          </w:p>
          <w:p w14:paraId="52516DC8" w14:textId="77777777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362959E4" w14:textId="0A5913AA" w:rsidR="00871B5E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1.3 Assess a range of factors which impact on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employment relations.</w:t>
            </w:r>
          </w:p>
          <w:p w14:paraId="74F03CF1" w14:textId="581FB34C" w:rsidR="00871B5E" w:rsidRPr="003774FF" w:rsidRDefault="00871B5E" w:rsidP="00871B5E">
            <w:pPr>
              <w:spacing w:line="252" w:lineRule="auto"/>
              <w:rPr>
                <w:rFonts w:cs="Arial"/>
              </w:rPr>
            </w:pPr>
          </w:p>
          <w:p w14:paraId="4F2B71A0" w14:textId="5C244AEE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1.2 Compare and contrast unitarist and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pluralist approaches to employment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relations.</w:t>
            </w:r>
          </w:p>
          <w:p w14:paraId="7827A015" w14:textId="77777777" w:rsidR="00871B5E" w:rsidRPr="003774FF" w:rsidRDefault="00871B5E" w:rsidP="00CF54B2"/>
        </w:tc>
        <w:tc>
          <w:tcPr>
            <w:tcW w:w="1559" w:type="dxa"/>
          </w:tcPr>
          <w:p w14:paraId="4A01D960" w14:textId="407B94A6" w:rsidR="00CF54B2" w:rsidRPr="003774FF" w:rsidRDefault="00CF54B2" w:rsidP="00475B9F">
            <w:pPr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3E912FFB" w14:textId="77777777" w:rsidR="00580217" w:rsidRPr="003774FF" w:rsidRDefault="00580217" w:rsidP="00C644DA">
            <w:pPr>
              <w:rPr>
                <w:rFonts w:cs="Arial"/>
              </w:rPr>
            </w:pPr>
          </w:p>
        </w:tc>
      </w:tr>
      <w:tr w:rsidR="00CF54B2" w:rsidRPr="003774FF" w14:paraId="4E4126AD" w14:textId="77777777" w:rsidTr="00475B9F">
        <w:tc>
          <w:tcPr>
            <w:tcW w:w="2802" w:type="dxa"/>
          </w:tcPr>
          <w:p w14:paraId="6DD258BA" w14:textId="1C3A6AE3" w:rsidR="00871B5E" w:rsidRPr="003774FF" w:rsidRDefault="00871B5E" w:rsidP="00871B5E">
            <w:pPr>
              <w:rPr>
                <w:rFonts w:cs="Arial"/>
              </w:rPr>
            </w:pPr>
            <w:r w:rsidRPr="003774FF">
              <w:rPr>
                <w:rFonts w:cs="Arial"/>
              </w:rPr>
              <w:t xml:space="preserve">Q2) Briefly critique the key features of the contract of employment. </w:t>
            </w:r>
          </w:p>
          <w:p w14:paraId="7BD859A3" w14:textId="39A2D97F" w:rsidR="00CF54B2" w:rsidRPr="003774FF" w:rsidRDefault="00871B5E" w:rsidP="00871B5E">
            <w:pPr>
              <w:spacing w:after="120"/>
            </w:pPr>
            <w:r w:rsidRPr="003774FF">
              <w:rPr>
                <w:rFonts w:cs="Arial"/>
              </w:rPr>
              <w:lastRenderedPageBreak/>
              <w:t>Identify the main sources of UK and EU employment relations law and include a brief summary of some of the main developments in individual and employment law.</w:t>
            </w:r>
          </w:p>
        </w:tc>
        <w:tc>
          <w:tcPr>
            <w:tcW w:w="4819" w:type="dxa"/>
          </w:tcPr>
          <w:p w14:paraId="65E9F508" w14:textId="6782BF16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lastRenderedPageBreak/>
              <w:t>2.1 Describe and critique the essential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features of the contract of employment.</w:t>
            </w:r>
          </w:p>
          <w:p w14:paraId="50B2D7D2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5B6A178F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2.2 Identify and analyse the main sources of</w:t>
            </w:r>
          </w:p>
          <w:p w14:paraId="1016B91F" w14:textId="77777777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lastRenderedPageBreak/>
              <w:t xml:space="preserve">UK and EU employment relations </w:t>
            </w:r>
            <w:proofErr w:type="spellStart"/>
            <w:r w:rsidRPr="003774FF">
              <w:rPr>
                <w:rFonts w:cs="Arial"/>
              </w:rPr>
              <w:t>lawmaking</w:t>
            </w:r>
            <w:proofErr w:type="spellEnd"/>
            <w:r w:rsidRPr="003774FF">
              <w:rPr>
                <w:rFonts w:cs="Arial"/>
              </w:rPr>
              <w:t>.</w:t>
            </w:r>
          </w:p>
          <w:p w14:paraId="780E852D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276C2E4" w14:textId="0D7E3601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2.3 Explain the main developments in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individual employment law.</w:t>
            </w:r>
          </w:p>
          <w:p w14:paraId="2617F666" w14:textId="77777777" w:rsidR="00871B5E" w:rsidRPr="003774FF" w:rsidRDefault="00871B5E" w:rsidP="00CF54B2">
            <w:pPr>
              <w:spacing w:line="276" w:lineRule="auto"/>
              <w:ind w:left="357" w:hanging="357"/>
              <w:contextualSpacing/>
              <w:rPr>
                <w:rFonts w:cs="Arial"/>
              </w:rPr>
            </w:pPr>
          </w:p>
          <w:p w14:paraId="00547429" w14:textId="77777777" w:rsidR="00871B5E" w:rsidRPr="003774FF" w:rsidRDefault="00871B5E" w:rsidP="00CF54B2">
            <w:pPr>
              <w:spacing w:line="276" w:lineRule="auto"/>
              <w:ind w:left="357" w:hanging="357"/>
              <w:contextualSpacing/>
              <w:rPr>
                <w:rFonts w:cs="Arial"/>
              </w:rPr>
            </w:pPr>
          </w:p>
          <w:p w14:paraId="361A9154" w14:textId="55576895" w:rsidR="00871B5E" w:rsidRPr="003774FF" w:rsidRDefault="00871B5E" w:rsidP="00871B5E">
            <w:pPr>
              <w:spacing w:line="252" w:lineRule="auto"/>
              <w:rPr>
                <w:rFonts w:cs="Arial"/>
              </w:rPr>
            </w:pPr>
          </w:p>
          <w:p w14:paraId="4C0CA524" w14:textId="05DF633C" w:rsidR="00871B5E" w:rsidRPr="003774FF" w:rsidRDefault="00871B5E" w:rsidP="00871B5E">
            <w:pPr>
              <w:spacing w:line="276" w:lineRule="auto"/>
              <w:contextualSpacing/>
              <w:rPr>
                <w:rFonts w:cs="Arial"/>
              </w:rPr>
            </w:pPr>
          </w:p>
        </w:tc>
        <w:tc>
          <w:tcPr>
            <w:tcW w:w="1559" w:type="dxa"/>
          </w:tcPr>
          <w:p w14:paraId="1C2840DA" w14:textId="5C54B01A" w:rsidR="00CF54B2" w:rsidRPr="003774FF" w:rsidRDefault="00CF54B2" w:rsidP="003E655B">
            <w:pPr>
              <w:ind w:left="357" w:hanging="357"/>
              <w:contextualSpacing/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4F4CBED1" w14:textId="60028928" w:rsidR="00F64CD8" w:rsidRPr="003774FF" w:rsidRDefault="00F64CD8" w:rsidP="00423938">
            <w:pPr>
              <w:ind w:left="34" w:hanging="34"/>
              <w:contextualSpacing/>
              <w:rPr>
                <w:rFonts w:cs="Arial"/>
              </w:rPr>
            </w:pPr>
          </w:p>
        </w:tc>
      </w:tr>
      <w:tr w:rsidR="00871B5E" w:rsidRPr="003774FF" w14:paraId="168E6B5D" w14:textId="77777777" w:rsidTr="00475B9F">
        <w:tc>
          <w:tcPr>
            <w:tcW w:w="2802" w:type="dxa"/>
          </w:tcPr>
          <w:p w14:paraId="3AE583C4" w14:textId="77777777" w:rsidR="00871B5E" w:rsidRPr="003774FF" w:rsidRDefault="00871B5E" w:rsidP="00871B5E">
            <w:pPr>
              <w:rPr>
                <w:rFonts w:cs="Arial"/>
              </w:rPr>
            </w:pPr>
            <w:r w:rsidRPr="003774FF">
              <w:rPr>
                <w:rFonts w:cs="Arial"/>
              </w:rPr>
              <w:t>Q3) Provide a brief summary on how you would advise on the purpose and scope of statutory trade union recognition.</w:t>
            </w:r>
            <w:r w:rsidRPr="003774FF">
              <w:rPr>
                <w:rFonts w:cs="Arial"/>
              </w:rPr>
              <w:br/>
            </w:r>
          </w:p>
          <w:p w14:paraId="5856A449" w14:textId="34461DF5" w:rsidR="00871B5E" w:rsidRPr="003774FF" w:rsidRDefault="00871B5E" w:rsidP="00CF54B2">
            <w:pPr>
              <w:rPr>
                <w:rFonts w:cs="Arial"/>
              </w:rPr>
            </w:pPr>
          </w:p>
        </w:tc>
        <w:tc>
          <w:tcPr>
            <w:tcW w:w="4819" w:type="dxa"/>
          </w:tcPr>
          <w:p w14:paraId="1850E9D4" w14:textId="08F64C1D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2.4 Assess and advise on the purpose and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scope of statutory trade union recognition.</w:t>
            </w:r>
          </w:p>
          <w:p w14:paraId="0EE9730B" w14:textId="1D40C3F5" w:rsidR="00871B5E" w:rsidRPr="003774FF" w:rsidRDefault="00871B5E" w:rsidP="00CF54B2">
            <w:pPr>
              <w:ind w:left="357" w:hanging="357"/>
              <w:contextualSpacing/>
              <w:rPr>
                <w:rFonts w:cs="Arial"/>
              </w:rPr>
            </w:pPr>
          </w:p>
        </w:tc>
        <w:tc>
          <w:tcPr>
            <w:tcW w:w="1559" w:type="dxa"/>
          </w:tcPr>
          <w:p w14:paraId="2CEF1D67" w14:textId="77777777" w:rsidR="00871B5E" w:rsidRPr="003774FF" w:rsidRDefault="00871B5E" w:rsidP="003E655B">
            <w:pPr>
              <w:ind w:left="357" w:hanging="357"/>
              <w:contextualSpacing/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6C47B8EE" w14:textId="77777777" w:rsidR="00871B5E" w:rsidRPr="003774FF" w:rsidRDefault="00871B5E" w:rsidP="00423938">
            <w:pPr>
              <w:ind w:left="34" w:hanging="34"/>
              <w:contextualSpacing/>
              <w:rPr>
                <w:rFonts w:cs="Arial"/>
              </w:rPr>
            </w:pPr>
          </w:p>
        </w:tc>
      </w:tr>
      <w:tr w:rsidR="00CF54B2" w:rsidRPr="003774FF" w14:paraId="599A9B85" w14:textId="77777777" w:rsidTr="00475B9F">
        <w:trPr>
          <w:trHeight w:val="2086"/>
        </w:trPr>
        <w:tc>
          <w:tcPr>
            <w:tcW w:w="2802" w:type="dxa"/>
          </w:tcPr>
          <w:p w14:paraId="63659E06" w14:textId="2B11E94B" w:rsidR="00871B5E" w:rsidRPr="003774FF" w:rsidRDefault="00871B5E" w:rsidP="00871B5E">
            <w:pPr>
              <w:rPr>
                <w:rFonts w:cs="Arial"/>
              </w:rPr>
            </w:pPr>
            <w:r w:rsidRPr="003774FF">
              <w:rPr>
                <w:rFonts w:cs="Arial"/>
              </w:rPr>
              <w:t>Q4)</w:t>
            </w:r>
            <w:r w:rsidRPr="003774FF">
              <w:rPr>
                <w:rFonts w:cs="Arial"/>
                <w:b/>
                <w:i/>
              </w:rPr>
              <w:t xml:space="preserve"> </w:t>
            </w:r>
            <w:r w:rsidRPr="003774FF">
              <w:rPr>
                <w:rFonts w:cs="Arial"/>
              </w:rPr>
              <w:t>Clarify the key terms used in employee involvement and participation. Explain the extent to which they can strengthen employee voice in a union and non-union context. Provide a brief assessment of the link between employee voice and organisation performance.</w:t>
            </w:r>
          </w:p>
          <w:p w14:paraId="1D491BF3" w14:textId="7DB0C225" w:rsidR="00CF54B2" w:rsidRPr="003774FF" w:rsidRDefault="00CF54B2" w:rsidP="00871B5E">
            <w:pPr>
              <w:rPr>
                <w:rFonts w:cs="Arial"/>
                <w:b/>
                <w:i/>
              </w:rPr>
            </w:pPr>
          </w:p>
        </w:tc>
        <w:tc>
          <w:tcPr>
            <w:tcW w:w="4819" w:type="dxa"/>
          </w:tcPr>
          <w:p w14:paraId="3CFC9E52" w14:textId="600E9B3C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3.1 Explain the differences in employee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involvement, participation and partnership.</w:t>
            </w:r>
          </w:p>
          <w:p w14:paraId="60181325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0C1F653" w14:textId="123E0362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 xml:space="preserve">3.2 Compare and contrast union and </w:t>
            </w:r>
            <w:r>
              <w:rPr>
                <w:rFonts w:cs="Arial"/>
              </w:rPr>
              <w:t xml:space="preserve">non-union </w:t>
            </w:r>
            <w:r w:rsidRPr="003774FF">
              <w:rPr>
                <w:rFonts w:cs="Arial"/>
              </w:rPr>
              <w:t>forms of employee representation.</w:t>
            </w:r>
          </w:p>
          <w:p w14:paraId="16A35FC4" w14:textId="77777777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8C1F66C" w14:textId="7C9824F9" w:rsidR="00871B5E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3.3 Assess the link between employee voice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and organisation performance.</w:t>
            </w:r>
          </w:p>
          <w:p w14:paraId="6C5C494D" w14:textId="5C2079CE" w:rsidR="00CF54B2" w:rsidRPr="003774FF" w:rsidRDefault="00CF54B2" w:rsidP="00CF54B2">
            <w:pPr>
              <w:rPr>
                <w:rFonts w:cs="Arial"/>
              </w:rPr>
            </w:pPr>
          </w:p>
        </w:tc>
        <w:tc>
          <w:tcPr>
            <w:tcW w:w="1559" w:type="dxa"/>
          </w:tcPr>
          <w:p w14:paraId="2B750D87" w14:textId="4217A821" w:rsidR="00CF54B2" w:rsidRPr="003774FF" w:rsidRDefault="00CF54B2" w:rsidP="0047118B">
            <w:pPr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672034E8" w14:textId="37F4B6DA" w:rsidR="00580217" w:rsidRPr="003774FF" w:rsidRDefault="00580217" w:rsidP="00F64CD8">
            <w:pPr>
              <w:rPr>
                <w:rFonts w:cs="Arial"/>
                <w:b/>
              </w:rPr>
            </w:pPr>
          </w:p>
        </w:tc>
      </w:tr>
      <w:tr w:rsidR="00871B5E" w:rsidRPr="003774FF" w14:paraId="7D52BD7A" w14:textId="77777777" w:rsidTr="00475B9F">
        <w:trPr>
          <w:trHeight w:val="2086"/>
        </w:trPr>
        <w:tc>
          <w:tcPr>
            <w:tcW w:w="2802" w:type="dxa"/>
          </w:tcPr>
          <w:p w14:paraId="47C75D8E" w14:textId="74142A51" w:rsidR="00871B5E" w:rsidRPr="003774FF" w:rsidRDefault="00871B5E" w:rsidP="00871B5E">
            <w:pPr>
              <w:rPr>
                <w:rFonts w:cs="Arial"/>
              </w:rPr>
            </w:pPr>
            <w:r w:rsidRPr="003774FF">
              <w:rPr>
                <w:rFonts w:cs="Arial"/>
              </w:rPr>
              <w:lastRenderedPageBreak/>
              <w:t>Q5) Briefly explain the differences between conflict and misbehaviour at work and between official and unofficial industrial action. In your answer, give a brief review of some contemporary trends in the type of conflict and industrial sanctions.</w:t>
            </w:r>
          </w:p>
        </w:tc>
        <w:tc>
          <w:tcPr>
            <w:tcW w:w="4819" w:type="dxa"/>
          </w:tcPr>
          <w:p w14:paraId="0E561E92" w14:textId="640C7276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4.1 Distinguish between conflict and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misbehaviour, and between official and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unofficial industrial action.</w:t>
            </w:r>
          </w:p>
          <w:p w14:paraId="54A73006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538A4FB4" w14:textId="2E4CAC7B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4.2 Assess contemporary trends in the types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of conflict and industrial sanctions.</w:t>
            </w:r>
          </w:p>
          <w:p w14:paraId="465CEC86" w14:textId="0DB434B9" w:rsidR="00871B5E" w:rsidRPr="003774FF" w:rsidRDefault="00871B5E" w:rsidP="003774FF">
            <w:pPr>
              <w:rPr>
                <w:rFonts w:cs="Arial"/>
                <w:b/>
              </w:rPr>
            </w:pPr>
          </w:p>
        </w:tc>
        <w:tc>
          <w:tcPr>
            <w:tcW w:w="1559" w:type="dxa"/>
          </w:tcPr>
          <w:p w14:paraId="75EAA5A5" w14:textId="77777777" w:rsidR="00871B5E" w:rsidRPr="003774FF" w:rsidRDefault="00871B5E" w:rsidP="0047118B">
            <w:pPr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45E1AA65" w14:textId="77777777" w:rsidR="00871B5E" w:rsidRPr="003774FF" w:rsidRDefault="00871B5E" w:rsidP="00F64CD8">
            <w:pPr>
              <w:rPr>
                <w:rFonts w:cs="Arial"/>
                <w:b/>
              </w:rPr>
            </w:pPr>
          </w:p>
        </w:tc>
      </w:tr>
      <w:tr w:rsidR="00871B5E" w:rsidRPr="003774FF" w14:paraId="4744D9B3" w14:textId="77777777" w:rsidTr="00475B9F">
        <w:trPr>
          <w:trHeight w:val="2086"/>
        </w:trPr>
        <w:tc>
          <w:tcPr>
            <w:tcW w:w="2802" w:type="dxa"/>
          </w:tcPr>
          <w:p w14:paraId="22E8A1F1" w14:textId="5FBF9735" w:rsidR="00871B5E" w:rsidRPr="003774FF" w:rsidRDefault="00871B5E" w:rsidP="00871B5E">
            <w:pPr>
              <w:rPr>
                <w:rFonts w:cs="Arial"/>
              </w:rPr>
            </w:pPr>
            <w:r w:rsidRPr="003774FF">
              <w:rPr>
                <w:rFonts w:cs="Arial"/>
              </w:rPr>
              <w:t>Q6)</w:t>
            </w:r>
            <w:r w:rsidRPr="003774FF">
              <w:rPr>
                <w:rFonts w:cs="Arial"/>
                <w:b/>
              </w:rPr>
              <w:t xml:space="preserve"> </w:t>
            </w:r>
            <w:r w:rsidR="00E86635">
              <w:rPr>
                <w:rFonts w:cs="Arial"/>
                <w:b/>
              </w:rPr>
              <w:t>E</w:t>
            </w:r>
            <w:bookmarkStart w:id="0" w:name="_GoBack"/>
            <w:bookmarkEnd w:id="0"/>
            <w:r w:rsidRPr="003774FF">
              <w:rPr>
                <w:rFonts w:cs="Arial"/>
              </w:rPr>
              <w:t xml:space="preserve">xplain what is required to advise, coach and guide line managers in the skills for handling grievance or disputes in the workplace. </w:t>
            </w:r>
          </w:p>
          <w:p w14:paraId="5E7C1F1B" w14:textId="51995D3C" w:rsidR="00871B5E" w:rsidRPr="003774FF" w:rsidRDefault="00871B5E" w:rsidP="00871B5E">
            <w:pPr>
              <w:rPr>
                <w:rFonts w:cs="Arial"/>
                <w:b/>
              </w:rPr>
            </w:pPr>
            <w:r w:rsidRPr="003774FF">
              <w:rPr>
                <w:rFonts w:cs="Arial"/>
              </w:rPr>
              <w:t>Distinguish between third-party conciliation, mediation and arbitration.</w:t>
            </w:r>
          </w:p>
        </w:tc>
        <w:tc>
          <w:tcPr>
            <w:tcW w:w="4819" w:type="dxa"/>
          </w:tcPr>
          <w:p w14:paraId="3BCD6C41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4.3 Explain what is required to advise, coach</w:t>
            </w:r>
          </w:p>
          <w:p w14:paraId="0C427A7B" w14:textId="7BBBE2C0" w:rsid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and guide line managers in the skills for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effective grievance- and dispute-handling</w:t>
            </w:r>
            <w:r>
              <w:rPr>
                <w:rFonts w:cs="Arial"/>
              </w:rPr>
              <w:t xml:space="preserve"> </w:t>
            </w:r>
            <w:r w:rsidRPr="003774FF">
              <w:rPr>
                <w:rFonts w:cs="Arial"/>
              </w:rPr>
              <w:t>procedures.</w:t>
            </w:r>
          </w:p>
          <w:p w14:paraId="666AFB9A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D618025" w14:textId="77777777" w:rsidR="003774FF" w:rsidRPr="003774FF" w:rsidRDefault="003774FF" w:rsidP="003774F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3774FF">
              <w:rPr>
                <w:rFonts w:cs="Arial"/>
              </w:rPr>
              <w:t>4.4 Distinguish between third-party</w:t>
            </w:r>
          </w:p>
          <w:p w14:paraId="5AC22F9D" w14:textId="507E05E0" w:rsidR="00871B5E" w:rsidRPr="003774FF" w:rsidRDefault="003774FF" w:rsidP="003774FF">
            <w:pPr>
              <w:rPr>
                <w:rFonts w:cs="Arial"/>
                <w:b/>
              </w:rPr>
            </w:pPr>
            <w:r w:rsidRPr="003774FF">
              <w:rPr>
                <w:rFonts w:cs="Arial"/>
              </w:rPr>
              <w:t>conciliation, mediation and arbitration</w:t>
            </w:r>
          </w:p>
        </w:tc>
        <w:tc>
          <w:tcPr>
            <w:tcW w:w="1559" w:type="dxa"/>
          </w:tcPr>
          <w:p w14:paraId="66A98DF2" w14:textId="77777777" w:rsidR="00871B5E" w:rsidRPr="003774FF" w:rsidRDefault="00871B5E" w:rsidP="0047118B">
            <w:pPr>
              <w:rPr>
                <w:rFonts w:cs="Arial"/>
                <w:b/>
              </w:rPr>
            </w:pPr>
          </w:p>
        </w:tc>
        <w:tc>
          <w:tcPr>
            <w:tcW w:w="4820" w:type="dxa"/>
          </w:tcPr>
          <w:p w14:paraId="11B77D0B" w14:textId="77777777" w:rsidR="00871B5E" w:rsidRPr="003774FF" w:rsidRDefault="00871B5E" w:rsidP="00F64CD8">
            <w:pPr>
              <w:rPr>
                <w:rFonts w:cs="Arial"/>
                <w:b/>
              </w:rPr>
            </w:pPr>
          </w:p>
        </w:tc>
      </w:tr>
    </w:tbl>
    <w:p w14:paraId="1B4D2518" w14:textId="28997B3D" w:rsidR="00FB0A15" w:rsidRDefault="00FB0A15"/>
    <w:p w14:paraId="7B6D50DD" w14:textId="77777777" w:rsidR="00871B5E" w:rsidRDefault="00871B5E"/>
    <w:p w14:paraId="2BC438C1" w14:textId="2D21010A" w:rsidR="00871B5E" w:rsidRDefault="00871B5E">
      <w:r>
        <w:t>Assessor comments:</w:t>
      </w:r>
    </w:p>
    <w:p w14:paraId="21C2115E" w14:textId="77777777" w:rsidR="00871B5E" w:rsidRDefault="00871B5E"/>
    <w:p w14:paraId="6631B7D2" w14:textId="77777777" w:rsidR="00871B5E" w:rsidRDefault="00871B5E"/>
    <w:p w14:paraId="7994D325" w14:textId="6A441B1F" w:rsidR="005351E0" w:rsidRDefault="005351E0">
      <w:r>
        <w:t xml:space="preserve">Assessor Signature </w:t>
      </w:r>
      <w:r w:rsidR="00871B5E">
        <w:t xml:space="preserve">                      </w:t>
      </w:r>
      <w:r>
        <w:t>Date</w:t>
      </w:r>
      <w:r w:rsidR="00C1272D">
        <w:t xml:space="preserve">: </w:t>
      </w:r>
    </w:p>
    <w:sectPr w:rsidR="005351E0" w:rsidSect="00AE121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3A4B"/>
    <w:multiLevelType w:val="hybridMultilevel"/>
    <w:tmpl w:val="13A2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5386A"/>
    <w:multiLevelType w:val="hybridMultilevel"/>
    <w:tmpl w:val="CCEE7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A85CDC"/>
    <w:multiLevelType w:val="multilevel"/>
    <w:tmpl w:val="7D0E1F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816B44"/>
    <w:multiLevelType w:val="hybridMultilevel"/>
    <w:tmpl w:val="9A2AC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E56DE0"/>
    <w:multiLevelType w:val="hybridMultilevel"/>
    <w:tmpl w:val="F11C4E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2D75D6"/>
    <w:multiLevelType w:val="hybridMultilevel"/>
    <w:tmpl w:val="BC22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41CFD"/>
    <w:multiLevelType w:val="hybridMultilevel"/>
    <w:tmpl w:val="BF8C0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95354"/>
    <w:multiLevelType w:val="hybridMultilevel"/>
    <w:tmpl w:val="F09A0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53D0E"/>
    <w:multiLevelType w:val="multilevel"/>
    <w:tmpl w:val="8BCCB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82E1620"/>
    <w:multiLevelType w:val="hybridMultilevel"/>
    <w:tmpl w:val="E8B866E8"/>
    <w:lvl w:ilvl="0" w:tplc="2D3E218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1C2AE2"/>
    <w:multiLevelType w:val="hybridMultilevel"/>
    <w:tmpl w:val="4D541A00"/>
    <w:lvl w:ilvl="0" w:tplc="F49C9DD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2"/>
  </w:num>
  <w:num w:numId="5">
    <w:abstractNumId w:val="8"/>
  </w:num>
  <w:num w:numId="6">
    <w:abstractNumId w:val="10"/>
  </w:num>
  <w:num w:numId="7">
    <w:abstractNumId w:val="2"/>
  </w:num>
  <w:num w:numId="8">
    <w:abstractNumId w:val="13"/>
  </w:num>
  <w:num w:numId="9">
    <w:abstractNumId w:val="9"/>
  </w:num>
  <w:num w:numId="10">
    <w:abstractNumId w:val="3"/>
  </w:num>
  <w:num w:numId="11">
    <w:abstractNumId w:val="11"/>
  </w:num>
  <w:num w:numId="12">
    <w:abstractNumId w:val="0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023"/>
    <w:rsid w:val="00014200"/>
    <w:rsid w:val="00042AF3"/>
    <w:rsid w:val="000745E2"/>
    <w:rsid w:val="000A5D2D"/>
    <w:rsid w:val="00140ED6"/>
    <w:rsid w:val="001971DD"/>
    <w:rsid w:val="001A792C"/>
    <w:rsid w:val="001F7AF6"/>
    <w:rsid w:val="00210F87"/>
    <w:rsid w:val="002132E9"/>
    <w:rsid w:val="0021610D"/>
    <w:rsid w:val="00235F29"/>
    <w:rsid w:val="00245E1C"/>
    <w:rsid w:val="00275392"/>
    <w:rsid w:val="002845F2"/>
    <w:rsid w:val="00284931"/>
    <w:rsid w:val="003774FF"/>
    <w:rsid w:val="00393609"/>
    <w:rsid w:val="003A77D6"/>
    <w:rsid w:val="003C52A7"/>
    <w:rsid w:val="003D13B3"/>
    <w:rsid w:val="003E0A36"/>
    <w:rsid w:val="003E655B"/>
    <w:rsid w:val="004067F8"/>
    <w:rsid w:val="00423938"/>
    <w:rsid w:val="00466768"/>
    <w:rsid w:val="0047118B"/>
    <w:rsid w:val="00475B9F"/>
    <w:rsid w:val="00485B7D"/>
    <w:rsid w:val="004A7D1C"/>
    <w:rsid w:val="004C2F6D"/>
    <w:rsid w:val="00517205"/>
    <w:rsid w:val="00522090"/>
    <w:rsid w:val="005351E0"/>
    <w:rsid w:val="00580217"/>
    <w:rsid w:val="00621DA0"/>
    <w:rsid w:val="006712D6"/>
    <w:rsid w:val="0069391D"/>
    <w:rsid w:val="006A5DAA"/>
    <w:rsid w:val="00716903"/>
    <w:rsid w:val="007541E4"/>
    <w:rsid w:val="00782F69"/>
    <w:rsid w:val="007E6809"/>
    <w:rsid w:val="00850ADF"/>
    <w:rsid w:val="00871B5E"/>
    <w:rsid w:val="008D6E71"/>
    <w:rsid w:val="008E2B05"/>
    <w:rsid w:val="008E4F80"/>
    <w:rsid w:val="0096459E"/>
    <w:rsid w:val="00A3384F"/>
    <w:rsid w:val="00A66871"/>
    <w:rsid w:val="00AE1216"/>
    <w:rsid w:val="00B16F80"/>
    <w:rsid w:val="00BB268F"/>
    <w:rsid w:val="00BC05C2"/>
    <w:rsid w:val="00BE4E36"/>
    <w:rsid w:val="00C1272D"/>
    <w:rsid w:val="00C41C6F"/>
    <w:rsid w:val="00C51123"/>
    <w:rsid w:val="00C644DA"/>
    <w:rsid w:val="00CD4023"/>
    <w:rsid w:val="00CD4796"/>
    <w:rsid w:val="00CE5950"/>
    <w:rsid w:val="00CF54B2"/>
    <w:rsid w:val="00D771E8"/>
    <w:rsid w:val="00DB6EB5"/>
    <w:rsid w:val="00DC347E"/>
    <w:rsid w:val="00E0462E"/>
    <w:rsid w:val="00E817DA"/>
    <w:rsid w:val="00E83C87"/>
    <w:rsid w:val="00E86635"/>
    <w:rsid w:val="00E93FBE"/>
    <w:rsid w:val="00F03062"/>
    <w:rsid w:val="00F0353C"/>
    <w:rsid w:val="00F169BE"/>
    <w:rsid w:val="00F22089"/>
    <w:rsid w:val="00F64CD8"/>
    <w:rsid w:val="00F81A0E"/>
    <w:rsid w:val="00F84F30"/>
    <w:rsid w:val="00FB0A15"/>
    <w:rsid w:val="00FF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30352B"/>
  <w15:docId w15:val="{87FBD01F-5237-4DFA-B08E-409F29DF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99"/>
    <w:qFormat/>
    <w:rsid w:val="00042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9D93-E2C1-430A-A53F-F83D0993F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Felicity Healey-Benson</cp:lastModifiedBy>
  <cp:revision>3</cp:revision>
  <cp:lastPrinted>2012-03-08T17:07:00Z</cp:lastPrinted>
  <dcterms:created xsi:type="dcterms:W3CDTF">2018-08-15T12:45:00Z</dcterms:created>
  <dcterms:modified xsi:type="dcterms:W3CDTF">2018-08-15T12:50:00Z</dcterms:modified>
</cp:coreProperties>
</file>