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A0F70" w14:textId="59C4BF97" w:rsidR="000C1165" w:rsidRPr="000C1165" w:rsidRDefault="000C1165" w:rsidP="000C1165">
      <w:pPr>
        <w:pStyle w:val="TOCHeading"/>
        <w:jc w:val="center"/>
        <w:rPr>
          <w:rFonts w:ascii="Arial" w:hAnsi="Arial" w:cs="Arial"/>
        </w:rPr>
      </w:pPr>
      <w:r w:rsidRPr="000C1165">
        <w:rPr>
          <w:rFonts w:ascii="Arial" w:hAnsi="Arial" w:cs="Arial"/>
          <w:noProof/>
        </w:rPr>
        <w:drawing>
          <wp:inline distT="0" distB="0" distL="0" distR="0" wp14:anchorId="6ABC11F7" wp14:editId="1132827D">
            <wp:extent cx="3383280" cy="1356360"/>
            <wp:effectExtent l="0" t="0" r="7620" b="0"/>
            <wp:docPr id="883994776"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a sig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38FF2C4E" w14:textId="77777777" w:rsidR="000C1165" w:rsidRPr="000C1165" w:rsidRDefault="000C1165" w:rsidP="000C1165">
      <w:pPr>
        <w:pStyle w:val="TOCHeading"/>
        <w:jc w:val="center"/>
        <w:rPr>
          <w:rFonts w:ascii="Arial" w:hAnsi="Arial" w:cs="Arial"/>
        </w:rPr>
      </w:pPr>
    </w:p>
    <w:p w14:paraId="30538667" w14:textId="77777777" w:rsidR="000C1165" w:rsidRPr="000C1165" w:rsidRDefault="000C1165" w:rsidP="000C1165">
      <w:pPr>
        <w:pStyle w:val="TOCHeading"/>
        <w:jc w:val="center"/>
        <w:rPr>
          <w:rFonts w:ascii="Arial" w:hAnsi="Arial" w:cs="Arial"/>
          <w:color w:val="auto"/>
          <w:sz w:val="28"/>
          <w:szCs w:val="28"/>
        </w:rPr>
      </w:pPr>
    </w:p>
    <w:p w14:paraId="0F57DDA3" w14:textId="77777777" w:rsidR="000C1165" w:rsidRPr="000C1165" w:rsidRDefault="000C1165" w:rsidP="000C1165">
      <w:pPr>
        <w:pStyle w:val="TOCHeading"/>
        <w:jc w:val="center"/>
        <w:rPr>
          <w:rFonts w:ascii="Arial" w:hAnsi="Arial" w:cs="Arial"/>
          <w:b/>
          <w:bCs/>
          <w:color w:val="auto"/>
          <w:sz w:val="28"/>
          <w:szCs w:val="28"/>
        </w:rPr>
      </w:pPr>
      <w:r w:rsidRPr="000C1165">
        <w:rPr>
          <w:rFonts w:ascii="Arial" w:hAnsi="Arial" w:cs="Arial"/>
          <w:b/>
          <w:bCs/>
          <w:color w:val="auto"/>
          <w:sz w:val="28"/>
          <w:szCs w:val="28"/>
        </w:rPr>
        <w:t>Student Name: SHUVON MAJHI</w:t>
      </w:r>
    </w:p>
    <w:p w14:paraId="38DE5CE1" w14:textId="77777777" w:rsidR="000C1165" w:rsidRPr="000C1165" w:rsidRDefault="000C1165" w:rsidP="000C1165">
      <w:pPr>
        <w:pStyle w:val="TOCHeading"/>
        <w:jc w:val="center"/>
        <w:rPr>
          <w:rFonts w:ascii="Arial" w:hAnsi="Arial" w:cs="Arial"/>
          <w:b/>
          <w:bCs/>
          <w:color w:val="auto"/>
          <w:sz w:val="28"/>
          <w:szCs w:val="28"/>
        </w:rPr>
      </w:pPr>
    </w:p>
    <w:p w14:paraId="459DF316" w14:textId="77777777" w:rsidR="000C1165" w:rsidRPr="000C1165" w:rsidRDefault="000C1165" w:rsidP="000C1165">
      <w:pPr>
        <w:pStyle w:val="TOCHeading"/>
        <w:jc w:val="center"/>
        <w:rPr>
          <w:rFonts w:ascii="Arial" w:hAnsi="Arial" w:cs="Arial"/>
          <w:b/>
          <w:bCs/>
          <w:color w:val="auto"/>
          <w:sz w:val="28"/>
          <w:szCs w:val="28"/>
        </w:rPr>
      </w:pPr>
      <w:r w:rsidRPr="000C1165">
        <w:rPr>
          <w:rFonts w:ascii="Arial" w:hAnsi="Arial" w:cs="Arial"/>
          <w:b/>
          <w:bCs/>
          <w:color w:val="auto"/>
          <w:sz w:val="28"/>
          <w:szCs w:val="28"/>
        </w:rPr>
        <w:t>Student ID: 2432116</w:t>
      </w:r>
    </w:p>
    <w:p w14:paraId="57837A8B" w14:textId="77777777" w:rsidR="000C1165" w:rsidRPr="000C1165" w:rsidRDefault="000C1165" w:rsidP="000C1165">
      <w:pPr>
        <w:pStyle w:val="TOCHeading"/>
        <w:jc w:val="center"/>
        <w:rPr>
          <w:rFonts w:ascii="Arial" w:hAnsi="Arial" w:cs="Arial"/>
          <w:color w:val="auto"/>
          <w:sz w:val="28"/>
          <w:szCs w:val="28"/>
        </w:rPr>
      </w:pPr>
    </w:p>
    <w:p w14:paraId="6A010162" w14:textId="77777777" w:rsidR="000C1165" w:rsidRPr="000C1165" w:rsidRDefault="000C1165" w:rsidP="000C1165">
      <w:pPr>
        <w:pStyle w:val="TOCHeading"/>
        <w:jc w:val="center"/>
        <w:rPr>
          <w:rFonts w:ascii="Arial" w:hAnsi="Arial" w:cs="Arial"/>
          <w:color w:val="auto"/>
          <w:sz w:val="28"/>
          <w:szCs w:val="28"/>
        </w:rPr>
      </w:pPr>
    </w:p>
    <w:p w14:paraId="439EF31B" w14:textId="77777777" w:rsidR="000C1165" w:rsidRPr="000C1165" w:rsidRDefault="000C1165" w:rsidP="000C1165">
      <w:pPr>
        <w:pStyle w:val="TOCHeading"/>
        <w:jc w:val="center"/>
        <w:rPr>
          <w:rFonts w:ascii="Arial" w:hAnsi="Arial" w:cs="Arial"/>
          <w:b/>
          <w:bCs/>
          <w:color w:val="auto"/>
          <w:sz w:val="28"/>
          <w:szCs w:val="28"/>
        </w:rPr>
      </w:pPr>
      <w:r w:rsidRPr="000C1165">
        <w:rPr>
          <w:rFonts w:ascii="Arial" w:hAnsi="Arial" w:cs="Arial"/>
          <w:b/>
          <w:bCs/>
          <w:color w:val="auto"/>
          <w:sz w:val="28"/>
          <w:szCs w:val="28"/>
        </w:rPr>
        <w:t>Module Name: International Business Concepts</w:t>
      </w:r>
    </w:p>
    <w:p w14:paraId="43E118DE" w14:textId="77777777" w:rsidR="000C1165" w:rsidRPr="000C1165" w:rsidRDefault="000C1165" w:rsidP="000C1165">
      <w:pPr>
        <w:pStyle w:val="TOCHeading"/>
        <w:jc w:val="center"/>
        <w:rPr>
          <w:rFonts w:ascii="Arial" w:hAnsi="Arial" w:cs="Arial"/>
          <w:b/>
          <w:bCs/>
          <w:color w:val="auto"/>
          <w:sz w:val="28"/>
          <w:szCs w:val="28"/>
        </w:rPr>
      </w:pPr>
      <w:r w:rsidRPr="000C1165">
        <w:rPr>
          <w:rFonts w:ascii="Arial" w:hAnsi="Arial" w:cs="Arial"/>
          <w:b/>
          <w:bCs/>
          <w:color w:val="auto"/>
          <w:sz w:val="28"/>
          <w:szCs w:val="28"/>
        </w:rPr>
        <w:t>Module Code: LCMB7034</w:t>
      </w:r>
    </w:p>
    <w:p w14:paraId="2D83D01F" w14:textId="77777777" w:rsidR="000C1165" w:rsidRPr="000C1165" w:rsidRDefault="000C1165" w:rsidP="000C1165">
      <w:pPr>
        <w:pStyle w:val="TOCHeading"/>
        <w:jc w:val="center"/>
        <w:rPr>
          <w:rFonts w:ascii="Arial" w:hAnsi="Arial" w:cs="Arial"/>
          <w:b/>
          <w:bCs/>
          <w:color w:val="auto"/>
          <w:sz w:val="28"/>
          <w:szCs w:val="28"/>
        </w:rPr>
      </w:pPr>
    </w:p>
    <w:p w14:paraId="34D3F613" w14:textId="77777777" w:rsidR="000C1165" w:rsidRPr="000C1165" w:rsidRDefault="000C1165" w:rsidP="000C1165">
      <w:pPr>
        <w:pStyle w:val="TOCHeading"/>
        <w:jc w:val="center"/>
        <w:rPr>
          <w:rFonts w:ascii="Arial" w:hAnsi="Arial" w:cs="Arial"/>
          <w:b/>
          <w:bCs/>
          <w:color w:val="auto"/>
          <w:sz w:val="28"/>
          <w:szCs w:val="28"/>
        </w:rPr>
      </w:pPr>
    </w:p>
    <w:p w14:paraId="42941550" w14:textId="77777777" w:rsidR="000C1165" w:rsidRPr="000C1165" w:rsidRDefault="000C1165" w:rsidP="000C1165">
      <w:pPr>
        <w:pStyle w:val="TOCHeading"/>
        <w:jc w:val="center"/>
        <w:rPr>
          <w:rFonts w:ascii="Arial" w:hAnsi="Arial" w:cs="Arial"/>
          <w:b/>
          <w:bCs/>
          <w:color w:val="auto"/>
          <w:sz w:val="28"/>
          <w:szCs w:val="28"/>
        </w:rPr>
      </w:pPr>
    </w:p>
    <w:p w14:paraId="460272CE" w14:textId="77777777" w:rsidR="000C1165" w:rsidRPr="000C1165" w:rsidRDefault="000C1165" w:rsidP="000C1165">
      <w:pPr>
        <w:pStyle w:val="TOCHeading"/>
        <w:jc w:val="center"/>
        <w:rPr>
          <w:rFonts w:ascii="Arial" w:hAnsi="Arial" w:cs="Arial"/>
          <w:b/>
          <w:bCs/>
          <w:color w:val="auto"/>
          <w:sz w:val="28"/>
          <w:szCs w:val="28"/>
        </w:rPr>
      </w:pPr>
      <w:r w:rsidRPr="000C1165">
        <w:rPr>
          <w:rFonts w:ascii="Arial" w:hAnsi="Arial" w:cs="Arial"/>
          <w:b/>
          <w:bCs/>
          <w:color w:val="auto"/>
          <w:sz w:val="28"/>
          <w:szCs w:val="28"/>
        </w:rPr>
        <w:t>Lecturer’s Name: Dr.</w:t>
      </w:r>
      <w:r w:rsidRPr="000C1165">
        <w:rPr>
          <w:rFonts w:ascii="Arial" w:hAnsi="Arial" w:cs="Arial"/>
          <w:color w:val="auto"/>
          <w:sz w:val="28"/>
          <w:szCs w:val="28"/>
        </w:rPr>
        <w:t xml:space="preserve"> </w:t>
      </w:r>
      <w:r w:rsidRPr="000C1165">
        <w:rPr>
          <w:rFonts w:ascii="Arial" w:hAnsi="Arial" w:cs="Arial"/>
          <w:b/>
          <w:bCs/>
          <w:color w:val="auto"/>
          <w:sz w:val="28"/>
          <w:szCs w:val="28"/>
        </w:rPr>
        <w:t>Hoang Dang Nguyen</w:t>
      </w:r>
    </w:p>
    <w:p w14:paraId="66FB3362" w14:textId="77777777" w:rsidR="000C1165" w:rsidRPr="000C1165" w:rsidRDefault="000C1165" w:rsidP="000C1165">
      <w:pPr>
        <w:pStyle w:val="TOCHeading"/>
        <w:jc w:val="center"/>
        <w:rPr>
          <w:rFonts w:ascii="Arial" w:hAnsi="Arial" w:cs="Arial"/>
          <w:b/>
          <w:bCs/>
          <w:color w:val="auto"/>
          <w:sz w:val="28"/>
          <w:szCs w:val="28"/>
        </w:rPr>
      </w:pPr>
    </w:p>
    <w:p w14:paraId="4DEF1BAE" w14:textId="1F94F302" w:rsidR="000C1165" w:rsidRPr="000C1165" w:rsidRDefault="000C1165" w:rsidP="000C1165">
      <w:pPr>
        <w:pStyle w:val="TOCHeading"/>
        <w:jc w:val="center"/>
        <w:rPr>
          <w:rFonts w:ascii="Arial" w:hAnsi="Arial" w:cs="Arial"/>
          <w:b/>
          <w:bCs/>
          <w:color w:val="auto"/>
          <w:sz w:val="28"/>
          <w:szCs w:val="28"/>
        </w:rPr>
      </w:pPr>
      <w:r w:rsidRPr="000C1165">
        <w:rPr>
          <w:rFonts w:ascii="Arial" w:hAnsi="Arial" w:cs="Arial"/>
          <w:b/>
          <w:bCs/>
          <w:color w:val="auto"/>
          <w:sz w:val="28"/>
          <w:szCs w:val="28"/>
        </w:rPr>
        <w:t xml:space="preserve">Work Count: </w:t>
      </w:r>
      <w:r w:rsidR="00F86BFD">
        <w:rPr>
          <w:rFonts w:ascii="Arial" w:hAnsi="Arial" w:cs="Arial"/>
          <w:b/>
          <w:bCs/>
          <w:color w:val="auto"/>
          <w:sz w:val="28"/>
          <w:szCs w:val="28"/>
        </w:rPr>
        <w:t>5403</w:t>
      </w:r>
    </w:p>
    <w:p w14:paraId="6905BD52" w14:textId="77777777" w:rsidR="000C1165" w:rsidRPr="000C1165" w:rsidRDefault="000C1165" w:rsidP="000C1165">
      <w:pPr>
        <w:pStyle w:val="TOCHeading"/>
        <w:jc w:val="center"/>
        <w:rPr>
          <w:rFonts w:ascii="Arial" w:hAnsi="Arial" w:cs="Arial"/>
          <w:b/>
          <w:bCs/>
          <w:color w:val="auto"/>
          <w:sz w:val="28"/>
          <w:szCs w:val="28"/>
        </w:rPr>
      </w:pPr>
      <w:r w:rsidRPr="000C1165">
        <w:rPr>
          <w:rFonts w:ascii="Arial" w:hAnsi="Arial" w:cs="Arial"/>
          <w:b/>
          <w:bCs/>
          <w:color w:val="auto"/>
          <w:sz w:val="28"/>
          <w:szCs w:val="28"/>
        </w:rPr>
        <w:t>Term 2</w:t>
      </w:r>
    </w:p>
    <w:p w14:paraId="63F3437F" w14:textId="77777777" w:rsidR="000C1165" w:rsidRDefault="000C1165" w:rsidP="000C1165">
      <w:pPr>
        <w:pStyle w:val="TOCHeading"/>
        <w:jc w:val="center"/>
        <w:rPr>
          <w:rFonts w:ascii="Arial" w:eastAsiaTheme="minorHAnsi" w:hAnsi="Arial" w:cstheme="minorBidi"/>
          <w:color w:val="auto"/>
          <w:sz w:val="24"/>
          <w:szCs w:val="22"/>
          <w:lang w:val="en-GB"/>
        </w:rPr>
      </w:pPr>
    </w:p>
    <w:p w14:paraId="6B4C2D04" w14:textId="77777777" w:rsidR="000C1165" w:rsidRDefault="000C1165">
      <w:pPr>
        <w:pStyle w:val="TOCHeading"/>
        <w:rPr>
          <w:rFonts w:ascii="Arial" w:eastAsiaTheme="minorHAnsi" w:hAnsi="Arial" w:cstheme="minorBidi"/>
          <w:color w:val="auto"/>
          <w:sz w:val="24"/>
          <w:szCs w:val="22"/>
          <w:lang w:val="en-GB"/>
        </w:rPr>
      </w:pPr>
    </w:p>
    <w:sdt>
      <w:sdtPr>
        <w:rPr>
          <w:rFonts w:ascii="Arial" w:eastAsiaTheme="minorHAnsi" w:hAnsi="Arial" w:cstheme="minorBidi"/>
          <w:color w:val="auto"/>
          <w:sz w:val="24"/>
          <w:szCs w:val="22"/>
          <w:lang w:val="en-GB"/>
        </w:rPr>
        <w:id w:val="1408192884"/>
        <w:docPartObj>
          <w:docPartGallery w:val="Table of Contents"/>
          <w:docPartUnique/>
        </w:docPartObj>
      </w:sdtPr>
      <w:sdtEndPr>
        <w:rPr>
          <w:b/>
          <w:bCs/>
          <w:noProof/>
        </w:rPr>
      </w:sdtEndPr>
      <w:sdtContent>
        <w:p w14:paraId="4D8EF51D" w14:textId="193A43EA" w:rsidR="00681B28" w:rsidRDefault="00681B28">
          <w:pPr>
            <w:pStyle w:val="TOCHeading"/>
          </w:pPr>
          <w:r>
            <w:t>Table of Contents</w:t>
          </w:r>
        </w:p>
        <w:p w14:paraId="7C4410CC" w14:textId="70883090" w:rsidR="000A3E88" w:rsidRDefault="00681B28">
          <w:pPr>
            <w:pStyle w:val="TOC1"/>
            <w:tabs>
              <w:tab w:val="left" w:pos="480"/>
              <w:tab w:val="right" w:leader="dot" w:pos="9350"/>
            </w:tabs>
            <w:rPr>
              <w:rFonts w:asciiTheme="minorHAnsi" w:eastAsiaTheme="minorEastAsia" w:hAnsiTheme="minorHAnsi"/>
              <w:noProof/>
              <w:kern w:val="2"/>
              <w:szCs w:val="30"/>
              <w:lang w:eastAsia="en-GB" w:bidi="bn-BD"/>
              <w14:ligatures w14:val="standardContextual"/>
            </w:rPr>
          </w:pPr>
          <w:r>
            <w:fldChar w:fldCharType="begin"/>
          </w:r>
          <w:r>
            <w:instrText xml:space="preserve"> TOC \o "1-3" \h \z \u </w:instrText>
          </w:r>
          <w:r>
            <w:fldChar w:fldCharType="separate"/>
          </w:r>
          <w:hyperlink w:anchor="_Toc216561795" w:history="1">
            <w:r w:rsidR="000A3E88" w:rsidRPr="009B57A2">
              <w:rPr>
                <w:rStyle w:val="Hyperlink"/>
                <w:noProof/>
              </w:rPr>
              <w:t>1.</w:t>
            </w:r>
            <w:r w:rsidR="000A3E88">
              <w:rPr>
                <w:rFonts w:asciiTheme="minorHAnsi" w:eastAsiaTheme="minorEastAsia" w:hAnsiTheme="minorHAnsi"/>
                <w:noProof/>
                <w:kern w:val="2"/>
                <w:szCs w:val="30"/>
                <w:lang w:eastAsia="en-GB" w:bidi="bn-BD"/>
                <w14:ligatures w14:val="standardContextual"/>
              </w:rPr>
              <w:tab/>
            </w:r>
            <w:r w:rsidR="000A3E88" w:rsidRPr="009B57A2">
              <w:rPr>
                <w:rStyle w:val="Hyperlink"/>
                <w:noProof/>
              </w:rPr>
              <w:t>Introduction</w:t>
            </w:r>
            <w:r w:rsidR="000A3E88">
              <w:rPr>
                <w:noProof/>
                <w:webHidden/>
              </w:rPr>
              <w:tab/>
            </w:r>
            <w:r w:rsidR="000A3E88">
              <w:rPr>
                <w:noProof/>
                <w:webHidden/>
              </w:rPr>
              <w:fldChar w:fldCharType="begin"/>
            </w:r>
            <w:r w:rsidR="000A3E88">
              <w:rPr>
                <w:noProof/>
                <w:webHidden/>
              </w:rPr>
              <w:instrText xml:space="preserve"> PAGEREF _Toc216561795 \h </w:instrText>
            </w:r>
            <w:r w:rsidR="000A3E88">
              <w:rPr>
                <w:noProof/>
                <w:webHidden/>
              </w:rPr>
            </w:r>
            <w:r w:rsidR="000A3E88">
              <w:rPr>
                <w:noProof/>
                <w:webHidden/>
              </w:rPr>
              <w:fldChar w:fldCharType="separate"/>
            </w:r>
            <w:r w:rsidR="000A3E88">
              <w:rPr>
                <w:noProof/>
                <w:webHidden/>
              </w:rPr>
              <w:t>4</w:t>
            </w:r>
            <w:r w:rsidR="000A3E88">
              <w:rPr>
                <w:noProof/>
                <w:webHidden/>
              </w:rPr>
              <w:fldChar w:fldCharType="end"/>
            </w:r>
          </w:hyperlink>
        </w:p>
        <w:p w14:paraId="5A455B1E" w14:textId="4EC9B07D" w:rsidR="000A3E88" w:rsidRDefault="000A3E88">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16561796" w:history="1">
            <w:r w:rsidRPr="009B57A2">
              <w:rPr>
                <w:rStyle w:val="Hyperlink"/>
                <w:noProof/>
              </w:rPr>
              <w:t>2. Benefits and challenges of International Operations</w:t>
            </w:r>
            <w:r>
              <w:rPr>
                <w:noProof/>
                <w:webHidden/>
              </w:rPr>
              <w:tab/>
            </w:r>
            <w:r>
              <w:rPr>
                <w:noProof/>
                <w:webHidden/>
              </w:rPr>
              <w:fldChar w:fldCharType="begin"/>
            </w:r>
            <w:r>
              <w:rPr>
                <w:noProof/>
                <w:webHidden/>
              </w:rPr>
              <w:instrText xml:space="preserve"> PAGEREF _Toc216561796 \h </w:instrText>
            </w:r>
            <w:r>
              <w:rPr>
                <w:noProof/>
                <w:webHidden/>
              </w:rPr>
            </w:r>
            <w:r>
              <w:rPr>
                <w:noProof/>
                <w:webHidden/>
              </w:rPr>
              <w:fldChar w:fldCharType="separate"/>
            </w:r>
            <w:r>
              <w:rPr>
                <w:noProof/>
                <w:webHidden/>
              </w:rPr>
              <w:t>5</w:t>
            </w:r>
            <w:r>
              <w:rPr>
                <w:noProof/>
                <w:webHidden/>
              </w:rPr>
              <w:fldChar w:fldCharType="end"/>
            </w:r>
          </w:hyperlink>
        </w:p>
        <w:p w14:paraId="31C5753A" w14:textId="3C76B1B4" w:rsidR="000A3E88" w:rsidRDefault="000A3E88">
          <w:pPr>
            <w:pStyle w:val="TOC2"/>
            <w:tabs>
              <w:tab w:val="left" w:pos="720"/>
              <w:tab w:val="right" w:leader="dot" w:pos="9350"/>
            </w:tabs>
            <w:rPr>
              <w:rFonts w:asciiTheme="minorHAnsi" w:eastAsiaTheme="minorEastAsia" w:hAnsiTheme="minorHAnsi"/>
              <w:noProof/>
              <w:kern w:val="2"/>
              <w:szCs w:val="30"/>
              <w:lang w:eastAsia="en-GB" w:bidi="bn-BD"/>
              <w14:ligatures w14:val="standardContextual"/>
            </w:rPr>
          </w:pPr>
          <w:hyperlink w:anchor="_Toc216561797" w:history="1">
            <w:r w:rsidRPr="009B57A2">
              <w:rPr>
                <w:rStyle w:val="Hyperlink"/>
                <w:noProof/>
              </w:rPr>
              <w:t>a.</w:t>
            </w:r>
            <w:r>
              <w:rPr>
                <w:rFonts w:asciiTheme="minorHAnsi" w:eastAsiaTheme="minorEastAsia" w:hAnsiTheme="minorHAnsi"/>
                <w:noProof/>
                <w:kern w:val="2"/>
                <w:szCs w:val="30"/>
                <w:lang w:eastAsia="en-GB" w:bidi="bn-BD"/>
                <w14:ligatures w14:val="standardContextual"/>
              </w:rPr>
              <w:tab/>
            </w:r>
            <w:r w:rsidRPr="009B57A2">
              <w:rPr>
                <w:rStyle w:val="Hyperlink"/>
                <w:noProof/>
              </w:rPr>
              <w:t>Rationale for categorising Coca-Cola as an MNC/TNC</w:t>
            </w:r>
            <w:r>
              <w:rPr>
                <w:noProof/>
                <w:webHidden/>
              </w:rPr>
              <w:tab/>
            </w:r>
            <w:r>
              <w:rPr>
                <w:noProof/>
                <w:webHidden/>
              </w:rPr>
              <w:fldChar w:fldCharType="begin"/>
            </w:r>
            <w:r>
              <w:rPr>
                <w:noProof/>
                <w:webHidden/>
              </w:rPr>
              <w:instrText xml:space="preserve"> PAGEREF _Toc216561797 \h </w:instrText>
            </w:r>
            <w:r>
              <w:rPr>
                <w:noProof/>
                <w:webHidden/>
              </w:rPr>
            </w:r>
            <w:r>
              <w:rPr>
                <w:noProof/>
                <w:webHidden/>
              </w:rPr>
              <w:fldChar w:fldCharType="separate"/>
            </w:r>
            <w:r>
              <w:rPr>
                <w:noProof/>
                <w:webHidden/>
              </w:rPr>
              <w:t>5</w:t>
            </w:r>
            <w:r>
              <w:rPr>
                <w:noProof/>
                <w:webHidden/>
              </w:rPr>
              <w:fldChar w:fldCharType="end"/>
            </w:r>
          </w:hyperlink>
        </w:p>
        <w:p w14:paraId="7F2EF80D" w14:textId="085344EA" w:rsidR="000A3E88" w:rsidRDefault="000A3E88">
          <w:pPr>
            <w:pStyle w:val="TOC2"/>
            <w:tabs>
              <w:tab w:val="left" w:pos="720"/>
              <w:tab w:val="right" w:leader="dot" w:pos="9350"/>
            </w:tabs>
            <w:rPr>
              <w:rFonts w:asciiTheme="minorHAnsi" w:eastAsiaTheme="minorEastAsia" w:hAnsiTheme="minorHAnsi"/>
              <w:noProof/>
              <w:kern w:val="2"/>
              <w:szCs w:val="30"/>
              <w:lang w:eastAsia="en-GB" w:bidi="bn-BD"/>
              <w14:ligatures w14:val="standardContextual"/>
            </w:rPr>
          </w:pPr>
          <w:hyperlink w:anchor="_Toc216561798" w:history="1">
            <w:r w:rsidRPr="009B57A2">
              <w:rPr>
                <w:rStyle w:val="Hyperlink"/>
                <w:noProof/>
              </w:rPr>
              <w:t>b.</w:t>
            </w:r>
            <w:r>
              <w:rPr>
                <w:rFonts w:asciiTheme="minorHAnsi" w:eastAsiaTheme="minorEastAsia" w:hAnsiTheme="minorHAnsi"/>
                <w:noProof/>
                <w:kern w:val="2"/>
                <w:szCs w:val="30"/>
                <w:lang w:eastAsia="en-GB" w:bidi="bn-BD"/>
                <w14:ligatures w14:val="standardContextual"/>
              </w:rPr>
              <w:tab/>
            </w:r>
            <w:r w:rsidRPr="009B57A2">
              <w:rPr>
                <w:rStyle w:val="Hyperlink"/>
                <w:noProof/>
              </w:rPr>
              <w:t>Nature of Coca-Cola’s Value Chain</w:t>
            </w:r>
            <w:r>
              <w:rPr>
                <w:noProof/>
                <w:webHidden/>
              </w:rPr>
              <w:tab/>
            </w:r>
            <w:r>
              <w:rPr>
                <w:noProof/>
                <w:webHidden/>
              </w:rPr>
              <w:fldChar w:fldCharType="begin"/>
            </w:r>
            <w:r>
              <w:rPr>
                <w:noProof/>
                <w:webHidden/>
              </w:rPr>
              <w:instrText xml:space="preserve"> PAGEREF _Toc216561798 \h </w:instrText>
            </w:r>
            <w:r>
              <w:rPr>
                <w:noProof/>
                <w:webHidden/>
              </w:rPr>
            </w:r>
            <w:r>
              <w:rPr>
                <w:noProof/>
                <w:webHidden/>
              </w:rPr>
              <w:fldChar w:fldCharType="separate"/>
            </w:r>
            <w:r>
              <w:rPr>
                <w:noProof/>
                <w:webHidden/>
              </w:rPr>
              <w:t>6</w:t>
            </w:r>
            <w:r>
              <w:rPr>
                <w:noProof/>
                <w:webHidden/>
              </w:rPr>
              <w:fldChar w:fldCharType="end"/>
            </w:r>
          </w:hyperlink>
        </w:p>
        <w:p w14:paraId="47EEFD96" w14:textId="51A19928" w:rsidR="000A3E88" w:rsidRDefault="000A3E88">
          <w:pPr>
            <w:pStyle w:val="TOC2"/>
            <w:tabs>
              <w:tab w:val="left" w:pos="720"/>
              <w:tab w:val="right" w:leader="dot" w:pos="9350"/>
            </w:tabs>
            <w:rPr>
              <w:rFonts w:asciiTheme="minorHAnsi" w:eastAsiaTheme="minorEastAsia" w:hAnsiTheme="minorHAnsi"/>
              <w:noProof/>
              <w:kern w:val="2"/>
              <w:szCs w:val="30"/>
              <w:lang w:eastAsia="en-GB" w:bidi="bn-BD"/>
              <w14:ligatures w14:val="standardContextual"/>
            </w:rPr>
          </w:pPr>
          <w:hyperlink w:anchor="_Toc216561799" w:history="1">
            <w:r w:rsidRPr="009B57A2">
              <w:rPr>
                <w:rStyle w:val="Hyperlink"/>
                <w:noProof/>
              </w:rPr>
              <w:t>c.</w:t>
            </w:r>
            <w:r>
              <w:rPr>
                <w:rFonts w:asciiTheme="minorHAnsi" w:eastAsiaTheme="minorEastAsia" w:hAnsiTheme="minorHAnsi"/>
                <w:noProof/>
                <w:kern w:val="2"/>
                <w:szCs w:val="30"/>
                <w:lang w:eastAsia="en-GB" w:bidi="bn-BD"/>
                <w14:ligatures w14:val="standardContextual"/>
              </w:rPr>
              <w:tab/>
            </w:r>
            <w:r w:rsidRPr="009B57A2">
              <w:rPr>
                <w:rStyle w:val="Hyperlink"/>
                <w:noProof/>
              </w:rPr>
              <w:t>International entry modes applied by Coca-Cola</w:t>
            </w:r>
            <w:r>
              <w:rPr>
                <w:noProof/>
                <w:webHidden/>
              </w:rPr>
              <w:tab/>
            </w:r>
            <w:r>
              <w:rPr>
                <w:noProof/>
                <w:webHidden/>
              </w:rPr>
              <w:fldChar w:fldCharType="begin"/>
            </w:r>
            <w:r>
              <w:rPr>
                <w:noProof/>
                <w:webHidden/>
              </w:rPr>
              <w:instrText xml:space="preserve"> PAGEREF _Toc216561799 \h </w:instrText>
            </w:r>
            <w:r>
              <w:rPr>
                <w:noProof/>
                <w:webHidden/>
              </w:rPr>
            </w:r>
            <w:r>
              <w:rPr>
                <w:noProof/>
                <w:webHidden/>
              </w:rPr>
              <w:fldChar w:fldCharType="separate"/>
            </w:r>
            <w:r>
              <w:rPr>
                <w:noProof/>
                <w:webHidden/>
              </w:rPr>
              <w:t>9</w:t>
            </w:r>
            <w:r>
              <w:rPr>
                <w:noProof/>
                <w:webHidden/>
              </w:rPr>
              <w:fldChar w:fldCharType="end"/>
            </w:r>
          </w:hyperlink>
        </w:p>
        <w:p w14:paraId="36834EDE" w14:textId="4BFBCE9C" w:rsidR="000A3E88" w:rsidRDefault="000A3E88">
          <w:pPr>
            <w:pStyle w:val="TOC2"/>
            <w:tabs>
              <w:tab w:val="left" w:pos="720"/>
              <w:tab w:val="right" w:leader="dot" w:pos="9350"/>
            </w:tabs>
            <w:rPr>
              <w:rFonts w:asciiTheme="minorHAnsi" w:eastAsiaTheme="minorEastAsia" w:hAnsiTheme="minorHAnsi"/>
              <w:noProof/>
              <w:kern w:val="2"/>
              <w:szCs w:val="30"/>
              <w:lang w:eastAsia="en-GB" w:bidi="bn-BD"/>
              <w14:ligatures w14:val="standardContextual"/>
            </w:rPr>
          </w:pPr>
          <w:hyperlink w:anchor="_Toc216561800" w:history="1">
            <w:r w:rsidRPr="009B57A2">
              <w:rPr>
                <w:rStyle w:val="Hyperlink"/>
                <w:noProof/>
              </w:rPr>
              <w:t>d.</w:t>
            </w:r>
            <w:r>
              <w:rPr>
                <w:rFonts w:asciiTheme="minorHAnsi" w:eastAsiaTheme="minorEastAsia" w:hAnsiTheme="minorHAnsi"/>
                <w:noProof/>
                <w:kern w:val="2"/>
                <w:szCs w:val="30"/>
                <w:lang w:eastAsia="en-GB" w:bidi="bn-BD"/>
                <w14:ligatures w14:val="standardContextual"/>
              </w:rPr>
              <w:tab/>
            </w:r>
            <w:r w:rsidRPr="009B57A2">
              <w:rPr>
                <w:rStyle w:val="Hyperlink"/>
                <w:noProof/>
              </w:rPr>
              <w:t>Benefits of international operations</w:t>
            </w:r>
            <w:r>
              <w:rPr>
                <w:noProof/>
                <w:webHidden/>
              </w:rPr>
              <w:tab/>
            </w:r>
            <w:r>
              <w:rPr>
                <w:noProof/>
                <w:webHidden/>
              </w:rPr>
              <w:fldChar w:fldCharType="begin"/>
            </w:r>
            <w:r>
              <w:rPr>
                <w:noProof/>
                <w:webHidden/>
              </w:rPr>
              <w:instrText xml:space="preserve"> PAGEREF _Toc216561800 \h </w:instrText>
            </w:r>
            <w:r>
              <w:rPr>
                <w:noProof/>
                <w:webHidden/>
              </w:rPr>
            </w:r>
            <w:r>
              <w:rPr>
                <w:noProof/>
                <w:webHidden/>
              </w:rPr>
              <w:fldChar w:fldCharType="separate"/>
            </w:r>
            <w:r>
              <w:rPr>
                <w:noProof/>
                <w:webHidden/>
              </w:rPr>
              <w:t>10</w:t>
            </w:r>
            <w:r>
              <w:rPr>
                <w:noProof/>
                <w:webHidden/>
              </w:rPr>
              <w:fldChar w:fldCharType="end"/>
            </w:r>
          </w:hyperlink>
        </w:p>
        <w:p w14:paraId="66755949" w14:textId="1D031CFC" w:rsidR="000A3E88" w:rsidRDefault="000A3E88">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16561801" w:history="1">
            <w:r w:rsidRPr="009B57A2">
              <w:rPr>
                <w:rStyle w:val="Hyperlink"/>
                <w:noProof/>
              </w:rPr>
              <w:t>3. How the OLI Factors Impact International Entry Mode</w:t>
            </w:r>
            <w:r>
              <w:rPr>
                <w:noProof/>
                <w:webHidden/>
              </w:rPr>
              <w:tab/>
            </w:r>
            <w:r>
              <w:rPr>
                <w:noProof/>
                <w:webHidden/>
              </w:rPr>
              <w:fldChar w:fldCharType="begin"/>
            </w:r>
            <w:r>
              <w:rPr>
                <w:noProof/>
                <w:webHidden/>
              </w:rPr>
              <w:instrText xml:space="preserve"> PAGEREF _Toc216561801 \h </w:instrText>
            </w:r>
            <w:r>
              <w:rPr>
                <w:noProof/>
                <w:webHidden/>
              </w:rPr>
            </w:r>
            <w:r>
              <w:rPr>
                <w:noProof/>
                <w:webHidden/>
              </w:rPr>
              <w:fldChar w:fldCharType="separate"/>
            </w:r>
            <w:r>
              <w:rPr>
                <w:noProof/>
                <w:webHidden/>
              </w:rPr>
              <w:t>12</w:t>
            </w:r>
            <w:r>
              <w:rPr>
                <w:noProof/>
                <w:webHidden/>
              </w:rPr>
              <w:fldChar w:fldCharType="end"/>
            </w:r>
          </w:hyperlink>
        </w:p>
        <w:p w14:paraId="3EEF4007" w14:textId="7243A22D"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02" w:history="1">
            <w:r w:rsidRPr="009B57A2">
              <w:rPr>
                <w:rStyle w:val="Hyperlink"/>
                <w:noProof/>
              </w:rPr>
              <w:t>3.1 Ownership advantage:</w:t>
            </w:r>
            <w:r>
              <w:rPr>
                <w:noProof/>
                <w:webHidden/>
              </w:rPr>
              <w:tab/>
            </w:r>
            <w:r>
              <w:rPr>
                <w:noProof/>
                <w:webHidden/>
              </w:rPr>
              <w:fldChar w:fldCharType="begin"/>
            </w:r>
            <w:r>
              <w:rPr>
                <w:noProof/>
                <w:webHidden/>
              </w:rPr>
              <w:instrText xml:space="preserve"> PAGEREF _Toc216561802 \h </w:instrText>
            </w:r>
            <w:r>
              <w:rPr>
                <w:noProof/>
                <w:webHidden/>
              </w:rPr>
            </w:r>
            <w:r>
              <w:rPr>
                <w:noProof/>
                <w:webHidden/>
              </w:rPr>
              <w:fldChar w:fldCharType="separate"/>
            </w:r>
            <w:r>
              <w:rPr>
                <w:noProof/>
                <w:webHidden/>
              </w:rPr>
              <w:t>12</w:t>
            </w:r>
            <w:r>
              <w:rPr>
                <w:noProof/>
                <w:webHidden/>
              </w:rPr>
              <w:fldChar w:fldCharType="end"/>
            </w:r>
          </w:hyperlink>
        </w:p>
        <w:p w14:paraId="7B7825B4" w14:textId="601CCEA9"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03" w:history="1">
            <w:r w:rsidRPr="009B57A2">
              <w:rPr>
                <w:rStyle w:val="Hyperlink"/>
                <w:noProof/>
              </w:rPr>
              <w:t>3.2 Location advantages:</w:t>
            </w:r>
            <w:r>
              <w:rPr>
                <w:noProof/>
                <w:webHidden/>
              </w:rPr>
              <w:tab/>
            </w:r>
            <w:r>
              <w:rPr>
                <w:noProof/>
                <w:webHidden/>
              </w:rPr>
              <w:fldChar w:fldCharType="begin"/>
            </w:r>
            <w:r>
              <w:rPr>
                <w:noProof/>
                <w:webHidden/>
              </w:rPr>
              <w:instrText xml:space="preserve"> PAGEREF _Toc216561803 \h </w:instrText>
            </w:r>
            <w:r>
              <w:rPr>
                <w:noProof/>
                <w:webHidden/>
              </w:rPr>
            </w:r>
            <w:r>
              <w:rPr>
                <w:noProof/>
                <w:webHidden/>
              </w:rPr>
              <w:fldChar w:fldCharType="separate"/>
            </w:r>
            <w:r>
              <w:rPr>
                <w:noProof/>
                <w:webHidden/>
              </w:rPr>
              <w:t>13</w:t>
            </w:r>
            <w:r>
              <w:rPr>
                <w:noProof/>
                <w:webHidden/>
              </w:rPr>
              <w:fldChar w:fldCharType="end"/>
            </w:r>
          </w:hyperlink>
        </w:p>
        <w:p w14:paraId="4B4B7070" w14:textId="140A5049"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04" w:history="1">
            <w:r w:rsidRPr="009B57A2">
              <w:rPr>
                <w:rStyle w:val="Hyperlink"/>
                <w:noProof/>
              </w:rPr>
              <w:t>3.3 Internationalisation advantages:</w:t>
            </w:r>
            <w:r>
              <w:rPr>
                <w:noProof/>
                <w:webHidden/>
              </w:rPr>
              <w:tab/>
            </w:r>
            <w:r>
              <w:rPr>
                <w:noProof/>
                <w:webHidden/>
              </w:rPr>
              <w:fldChar w:fldCharType="begin"/>
            </w:r>
            <w:r>
              <w:rPr>
                <w:noProof/>
                <w:webHidden/>
              </w:rPr>
              <w:instrText xml:space="preserve"> PAGEREF _Toc216561804 \h </w:instrText>
            </w:r>
            <w:r>
              <w:rPr>
                <w:noProof/>
                <w:webHidden/>
              </w:rPr>
            </w:r>
            <w:r>
              <w:rPr>
                <w:noProof/>
                <w:webHidden/>
              </w:rPr>
              <w:fldChar w:fldCharType="separate"/>
            </w:r>
            <w:r>
              <w:rPr>
                <w:noProof/>
                <w:webHidden/>
              </w:rPr>
              <w:t>14</w:t>
            </w:r>
            <w:r>
              <w:rPr>
                <w:noProof/>
                <w:webHidden/>
              </w:rPr>
              <w:fldChar w:fldCharType="end"/>
            </w:r>
          </w:hyperlink>
        </w:p>
        <w:p w14:paraId="282550E1" w14:textId="7E0470BA"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05" w:history="1">
            <w:r w:rsidRPr="009B57A2">
              <w:rPr>
                <w:rStyle w:val="Hyperlink"/>
                <w:noProof/>
              </w:rPr>
              <w:t>4.3 Impact on Entry Mode Choice and potential for success:</w:t>
            </w:r>
            <w:r>
              <w:rPr>
                <w:noProof/>
                <w:webHidden/>
              </w:rPr>
              <w:tab/>
            </w:r>
            <w:r>
              <w:rPr>
                <w:noProof/>
                <w:webHidden/>
              </w:rPr>
              <w:fldChar w:fldCharType="begin"/>
            </w:r>
            <w:r>
              <w:rPr>
                <w:noProof/>
                <w:webHidden/>
              </w:rPr>
              <w:instrText xml:space="preserve"> PAGEREF _Toc216561805 \h </w:instrText>
            </w:r>
            <w:r>
              <w:rPr>
                <w:noProof/>
                <w:webHidden/>
              </w:rPr>
            </w:r>
            <w:r>
              <w:rPr>
                <w:noProof/>
                <w:webHidden/>
              </w:rPr>
              <w:fldChar w:fldCharType="separate"/>
            </w:r>
            <w:r>
              <w:rPr>
                <w:noProof/>
                <w:webHidden/>
              </w:rPr>
              <w:t>15</w:t>
            </w:r>
            <w:r>
              <w:rPr>
                <w:noProof/>
                <w:webHidden/>
              </w:rPr>
              <w:fldChar w:fldCharType="end"/>
            </w:r>
          </w:hyperlink>
        </w:p>
        <w:p w14:paraId="3A9C9990" w14:textId="53438580" w:rsidR="000A3E88" w:rsidRDefault="000A3E88">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16561806" w:history="1">
            <w:r w:rsidRPr="009B57A2">
              <w:rPr>
                <w:rStyle w:val="Hyperlink"/>
                <w:noProof/>
              </w:rPr>
              <w:t>4. Cultural differences between the USA and Brazil and their impacts on entry mode and potential for success</w:t>
            </w:r>
            <w:r>
              <w:rPr>
                <w:noProof/>
                <w:webHidden/>
              </w:rPr>
              <w:tab/>
            </w:r>
            <w:r>
              <w:rPr>
                <w:noProof/>
                <w:webHidden/>
              </w:rPr>
              <w:fldChar w:fldCharType="begin"/>
            </w:r>
            <w:r>
              <w:rPr>
                <w:noProof/>
                <w:webHidden/>
              </w:rPr>
              <w:instrText xml:space="preserve"> PAGEREF _Toc216561806 \h </w:instrText>
            </w:r>
            <w:r>
              <w:rPr>
                <w:noProof/>
                <w:webHidden/>
              </w:rPr>
            </w:r>
            <w:r>
              <w:rPr>
                <w:noProof/>
                <w:webHidden/>
              </w:rPr>
              <w:fldChar w:fldCharType="separate"/>
            </w:r>
            <w:r>
              <w:rPr>
                <w:noProof/>
                <w:webHidden/>
              </w:rPr>
              <w:t>17</w:t>
            </w:r>
            <w:r>
              <w:rPr>
                <w:noProof/>
                <w:webHidden/>
              </w:rPr>
              <w:fldChar w:fldCharType="end"/>
            </w:r>
          </w:hyperlink>
        </w:p>
        <w:p w14:paraId="24BBEA47" w14:textId="2B29CFE4"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07" w:history="1">
            <w:r w:rsidRPr="009B57A2">
              <w:rPr>
                <w:rStyle w:val="Hyperlink"/>
                <w:noProof/>
              </w:rPr>
              <w:t>4.1 Hofstede’s cultural dimension of the USA and Brazil</w:t>
            </w:r>
            <w:r>
              <w:rPr>
                <w:noProof/>
                <w:webHidden/>
              </w:rPr>
              <w:tab/>
            </w:r>
            <w:r>
              <w:rPr>
                <w:noProof/>
                <w:webHidden/>
              </w:rPr>
              <w:fldChar w:fldCharType="begin"/>
            </w:r>
            <w:r>
              <w:rPr>
                <w:noProof/>
                <w:webHidden/>
              </w:rPr>
              <w:instrText xml:space="preserve"> PAGEREF _Toc216561807 \h </w:instrText>
            </w:r>
            <w:r>
              <w:rPr>
                <w:noProof/>
                <w:webHidden/>
              </w:rPr>
            </w:r>
            <w:r>
              <w:rPr>
                <w:noProof/>
                <w:webHidden/>
              </w:rPr>
              <w:fldChar w:fldCharType="separate"/>
            </w:r>
            <w:r>
              <w:rPr>
                <w:noProof/>
                <w:webHidden/>
              </w:rPr>
              <w:t>17</w:t>
            </w:r>
            <w:r>
              <w:rPr>
                <w:noProof/>
                <w:webHidden/>
              </w:rPr>
              <w:fldChar w:fldCharType="end"/>
            </w:r>
          </w:hyperlink>
        </w:p>
        <w:p w14:paraId="58176BC6" w14:textId="268DE2E9"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08" w:history="1">
            <w:r w:rsidRPr="009B57A2">
              <w:rPr>
                <w:rStyle w:val="Hyperlink"/>
                <w:noProof/>
              </w:rPr>
              <w:t>4.2 Impact of Cultural differences on entry mode</w:t>
            </w:r>
            <w:r>
              <w:rPr>
                <w:noProof/>
                <w:webHidden/>
              </w:rPr>
              <w:tab/>
            </w:r>
            <w:r>
              <w:rPr>
                <w:noProof/>
                <w:webHidden/>
              </w:rPr>
              <w:fldChar w:fldCharType="begin"/>
            </w:r>
            <w:r>
              <w:rPr>
                <w:noProof/>
                <w:webHidden/>
              </w:rPr>
              <w:instrText xml:space="preserve"> PAGEREF _Toc216561808 \h </w:instrText>
            </w:r>
            <w:r>
              <w:rPr>
                <w:noProof/>
                <w:webHidden/>
              </w:rPr>
            </w:r>
            <w:r>
              <w:rPr>
                <w:noProof/>
                <w:webHidden/>
              </w:rPr>
              <w:fldChar w:fldCharType="separate"/>
            </w:r>
            <w:r>
              <w:rPr>
                <w:noProof/>
                <w:webHidden/>
              </w:rPr>
              <w:t>19</w:t>
            </w:r>
            <w:r>
              <w:rPr>
                <w:noProof/>
                <w:webHidden/>
              </w:rPr>
              <w:fldChar w:fldCharType="end"/>
            </w:r>
          </w:hyperlink>
        </w:p>
        <w:p w14:paraId="158E7DCC" w14:textId="32233724"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09" w:history="1">
            <w:r w:rsidRPr="009B57A2">
              <w:rPr>
                <w:rStyle w:val="Hyperlink"/>
                <w:noProof/>
              </w:rPr>
              <w:t>4.3 Impact on potential for success</w:t>
            </w:r>
            <w:r>
              <w:rPr>
                <w:noProof/>
                <w:webHidden/>
              </w:rPr>
              <w:tab/>
            </w:r>
            <w:r>
              <w:rPr>
                <w:noProof/>
                <w:webHidden/>
              </w:rPr>
              <w:fldChar w:fldCharType="begin"/>
            </w:r>
            <w:r>
              <w:rPr>
                <w:noProof/>
                <w:webHidden/>
              </w:rPr>
              <w:instrText xml:space="preserve"> PAGEREF _Toc216561809 \h </w:instrText>
            </w:r>
            <w:r>
              <w:rPr>
                <w:noProof/>
                <w:webHidden/>
              </w:rPr>
            </w:r>
            <w:r>
              <w:rPr>
                <w:noProof/>
                <w:webHidden/>
              </w:rPr>
              <w:fldChar w:fldCharType="separate"/>
            </w:r>
            <w:r>
              <w:rPr>
                <w:noProof/>
                <w:webHidden/>
              </w:rPr>
              <w:t>20</w:t>
            </w:r>
            <w:r>
              <w:rPr>
                <w:noProof/>
                <w:webHidden/>
              </w:rPr>
              <w:fldChar w:fldCharType="end"/>
            </w:r>
          </w:hyperlink>
        </w:p>
        <w:p w14:paraId="167CC00C" w14:textId="07CDB185" w:rsidR="000A3E88" w:rsidRDefault="000A3E88">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16561810" w:history="1">
            <w:r w:rsidRPr="009B57A2">
              <w:rPr>
                <w:rStyle w:val="Hyperlink"/>
                <w:noProof/>
              </w:rPr>
              <w:t>5. Recommendation for Adjustment in Coca-Cola’s SOPs</w:t>
            </w:r>
            <w:r>
              <w:rPr>
                <w:noProof/>
                <w:webHidden/>
              </w:rPr>
              <w:tab/>
            </w:r>
            <w:r>
              <w:rPr>
                <w:noProof/>
                <w:webHidden/>
              </w:rPr>
              <w:fldChar w:fldCharType="begin"/>
            </w:r>
            <w:r>
              <w:rPr>
                <w:noProof/>
                <w:webHidden/>
              </w:rPr>
              <w:instrText xml:space="preserve"> PAGEREF _Toc216561810 \h </w:instrText>
            </w:r>
            <w:r>
              <w:rPr>
                <w:noProof/>
                <w:webHidden/>
              </w:rPr>
            </w:r>
            <w:r>
              <w:rPr>
                <w:noProof/>
                <w:webHidden/>
              </w:rPr>
              <w:fldChar w:fldCharType="separate"/>
            </w:r>
            <w:r>
              <w:rPr>
                <w:noProof/>
                <w:webHidden/>
              </w:rPr>
              <w:t>22</w:t>
            </w:r>
            <w:r>
              <w:rPr>
                <w:noProof/>
                <w:webHidden/>
              </w:rPr>
              <w:fldChar w:fldCharType="end"/>
            </w:r>
          </w:hyperlink>
        </w:p>
        <w:p w14:paraId="4AE04408" w14:textId="579D447D"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11" w:history="1">
            <w:r w:rsidRPr="009B57A2">
              <w:rPr>
                <w:rStyle w:val="Hyperlink"/>
                <w:noProof/>
              </w:rPr>
              <w:t>SOP Adjustment 1:  Institutionalise Local product development within centralised quality assurance</w:t>
            </w:r>
            <w:r>
              <w:rPr>
                <w:noProof/>
                <w:webHidden/>
              </w:rPr>
              <w:tab/>
            </w:r>
            <w:r>
              <w:rPr>
                <w:noProof/>
                <w:webHidden/>
              </w:rPr>
              <w:fldChar w:fldCharType="begin"/>
            </w:r>
            <w:r>
              <w:rPr>
                <w:noProof/>
                <w:webHidden/>
              </w:rPr>
              <w:instrText xml:space="preserve"> PAGEREF _Toc216561811 \h </w:instrText>
            </w:r>
            <w:r>
              <w:rPr>
                <w:noProof/>
                <w:webHidden/>
              </w:rPr>
            </w:r>
            <w:r>
              <w:rPr>
                <w:noProof/>
                <w:webHidden/>
              </w:rPr>
              <w:fldChar w:fldCharType="separate"/>
            </w:r>
            <w:r>
              <w:rPr>
                <w:noProof/>
                <w:webHidden/>
              </w:rPr>
              <w:t>22</w:t>
            </w:r>
            <w:r>
              <w:rPr>
                <w:noProof/>
                <w:webHidden/>
              </w:rPr>
              <w:fldChar w:fldCharType="end"/>
            </w:r>
          </w:hyperlink>
        </w:p>
        <w:p w14:paraId="189EBF2D" w14:textId="4858E28A"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12" w:history="1">
            <w:r w:rsidRPr="009B57A2">
              <w:rPr>
                <w:rStyle w:val="Hyperlink"/>
                <w:noProof/>
              </w:rPr>
              <w:t>SOP adjustment 2: Localised governance and operations management for bottling partners</w:t>
            </w:r>
            <w:r>
              <w:rPr>
                <w:noProof/>
                <w:webHidden/>
              </w:rPr>
              <w:tab/>
            </w:r>
            <w:r>
              <w:rPr>
                <w:noProof/>
                <w:webHidden/>
              </w:rPr>
              <w:fldChar w:fldCharType="begin"/>
            </w:r>
            <w:r>
              <w:rPr>
                <w:noProof/>
                <w:webHidden/>
              </w:rPr>
              <w:instrText xml:space="preserve"> PAGEREF _Toc216561812 \h </w:instrText>
            </w:r>
            <w:r>
              <w:rPr>
                <w:noProof/>
                <w:webHidden/>
              </w:rPr>
            </w:r>
            <w:r>
              <w:rPr>
                <w:noProof/>
                <w:webHidden/>
              </w:rPr>
              <w:fldChar w:fldCharType="separate"/>
            </w:r>
            <w:r>
              <w:rPr>
                <w:noProof/>
                <w:webHidden/>
              </w:rPr>
              <w:t>23</w:t>
            </w:r>
            <w:r>
              <w:rPr>
                <w:noProof/>
                <w:webHidden/>
              </w:rPr>
              <w:fldChar w:fldCharType="end"/>
            </w:r>
          </w:hyperlink>
        </w:p>
        <w:p w14:paraId="1D18D3C7" w14:textId="7E213BB1" w:rsidR="000A3E88" w:rsidRDefault="000A3E88">
          <w:pPr>
            <w:pStyle w:val="TOC2"/>
            <w:tabs>
              <w:tab w:val="right" w:leader="dot" w:pos="9350"/>
            </w:tabs>
            <w:rPr>
              <w:rFonts w:asciiTheme="minorHAnsi" w:eastAsiaTheme="minorEastAsia" w:hAnsiTheme="minorHAnsi"/>
              <w:noProof/>
              <w:kern w:val="2"/>
              <w:szCs w:val="30"/>
              <w:lang w:eastAsia="en-GB" w:bidi="bn-BD"/>
              <w14:ligatures w14:val="standardContextual"/>
            </w:rPr>
          </w:pPr>
          <w:hyperlink w:anchor="_Toc216561813" w:history="1">
            <w:r w:rsidRPr="009B57A2">
              <w:rPr>
                <w:rStyle w:val="Hyperlink"/>
                <w:noProof/>
              </w:rPr>
              <w:t>SOP adjustment 3: Localised promotion, community engagement and regulatory compliance</w:t>
            </w:r>
            <w:r>
              <w:rPr>
                <w:noProof/>
                <w:webHidden/>
              </w:rPr>
              <w:tab/>
            </w:r>
            <w:r>
              <w:rPr>
                <w:noProof/>
                <w:webHidden/>
              </w:rPr>
              <w:fldChar w:fldCharType="begin"/>
            </w:r>
            <w:r>
              <w:rPr>
                <w:noProof/>
                <w:webHidden/>
              </w:rPr>
              <w:instrText xml:space="preserve"> PAGEREF _Toc216561813 \h </w:instrText>
            </w:r>
            <w:r>
              <w:rPr>
                <w:noProof/>
                <w:webHidden/>
              </w:rPr>
            </w:r>
            <w:r>
              <w:rPr>
                <w:noProof/>
                <w:webHidden/>
              </w:rPr>
              <w:fldChar w:fldCharType="separate"/>
            </w:r>
            <w:r>
              <w:rPr>
                <w:noProof/>
                <w:webHidden/>
              </w:rPr>
              <w:t>24</w:t>
            </w:r>
            <w:r>
              <w:rPr>
                <w:noProof/>
                <w:webHidden/>
              </w:rPr>
              <w:fldChar w:fldCharType="end"/>
            </w:r>
          </w:hyperlink>
        </w:p>
        <w:p w14:paraId="5C813622" w14:textId="6976C518" w:rsidR="000A3E88" w:rsidRDefault="000A3E88">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16561814" w:history="1">
            <w:r w:rsidRPr="009B57A2">
              <w:rPr>
                <w:rStyle w:val="Hyperlink"/>
                <w:noProof/>
              </w:rPr>
              <w:t>6. Conclusion</w:t>
            </w:r>
            <w:r>
              <w:rPr>
                <w:noProof/>
                <w:webHidden/>
              </w:rPr>
              <w:tab/>
            </w:r>
            <w:r>
              <w:rPr>
                <w:noProof/>
                <w:webHidden/>
              </w:rPr>
              <w:fldChar w:fldCharType="begin"/>
            </w:r>
            <w:r>
              <w:rPr>
                <w:noProof/>
                <w:webHidden/>
              </w:rPr>
              <w:instrText xml:space="preserve"> PAGEREF _Toc216561814 \h </w:instrText>
            </w:r>
            <w:r>
              <w:rPr>
                <w:noProof/>
                <w:webHidden/>
              </w:rPr>
            </w:r>
            <w:r>
              <w:rPr>
                <w:noProof/>
                <w:webHidden/>
              </w:rPr>
              <w:fldChar w:fldCharType="separate"/>
            </w:r>
            <w:r>
              <w:rPr>
                <w:noProof/>
                <w:webHidden/>
              </w:rPr>
              <w:t>25</w:t>
            </w:r>
            <w:r>
              <w:rPr>
                <w:noProof/>
                <w:webHidden/>
              </w:rPr>
              <w:fldChar w:fldCharType="end"/>
            </w:r>
          </w:hyperlink>
        </w:p>
        <w:p w14:paraId="6406A312" w14:textId="5D87CAC7" w:rsidR="000A3E88" w:rsidRDefault="000A3E88">
          <w:pPr>
            <w:pStyle w:val="TOC1"/>
            <w:tabs>
              <w:tab w:val="right" w:leader="dot" w:pos="9350"/>
            </w:tabs>
            <w:rPr>
              <w:rFonts w:asciiTheme="minorHAnsi" w:eastAsiaTheme="minorEastAsia" w:hAnsiTheme="minorHAnsi"/>
              <w:noProof/>
              <w:kern w:val="2"/>
              <w:szCs w:val="30"/>
              <w:lang w:eastAsia="en-GB" w:bidi="bn-BD"/>
              <w14:ligatures w14:val="standardContextual"/>
            </w:rPr>
          </w:pPr>
          <w:hyperlink w:anchor="_Toc216561815" w:history="1">
            <w:r w:rsidRPr="009B57A2">
              <w:rPr>
                <w:rStyle w:val="Hyperlink"/>
                <w:noProof/>
              </w:rPr>
              <w:t>References</w:t>
            </w:r>
            <w:r>
              <w:rPr>
                <w:noProof/>
                <w:webHidden/>
              </w:rPr>
              <w:tab/>
            </w:r>
            <w:r>
              <w:rPr>
                <w:noProof/>
                <w:webHidden/>
              </w:rPr>
              <w:fldChar w:fldCharType="begin"/>
            </w:r>
            <w:r>
              <w:rPr>
                <w:noProof/>
                <w:webHidden/>
              </w:rPr>
              <w:instrText xml:space="preserve"> PAGEREF _Toc216561815 \h </w:instrText>
            </w:r>
            <w:r>
              <w:rPr>
                <w:noProof/>
                <w:webHidden/>
              </w:rPr>
            </w:r>
            <w:r>
              <w:rPr>
                <w:noProof/>
                <w:webHidden/>
              </w:rPr>
              <w:fldChar w:fldCharType="separate"/>
            </w:r>
            <w:r>
              <w:rPr>
                <w:noProof/>
                <w:webHidden/>
              </w:rPr>
              <w:t>26</w:t>
            </w:r>
            <w:r>
              <w:rPr>
                <w:noProof/>
                <w:webHidden/>
              </w:rPr>
              <w:fldChar w:fldCharType="end"/>
            </w:r>
          </w:hyperlink>
        </w:p>
        <w:p w14:paraId="005E3806" w14:textId="6DAAD8E1" w:rsidR="00681B28" w:rsidRDefault="00681B28">
          <w:r>
            <w:rPr>
              <w:b/>
              <w:bCs/>
              <w:noProof/>
            </w:rPr>
            <w:lastRenderedPageBreak/>
            <w:fldChar w:fldCharType="end"/>
          </w:r>
        </w:p>
      </w:sdtContent>
    </w:sdt>
    <w:p w14:paraId="240A0D08" w14:textId="29207571" w:rsidR="00681B28" w:rsidRPr="00681B28" w:rsidRDefault="00681B28">
      <w:pPr>
        <w:pStyle w:val="TableofFigures"/>
        <w:tabs>
          <w:tab w:val="right" w:leader="dot" w:pos="9350"/>
        </w:tabs>
        <w:rPr>
          <w:b/>
          <w:bCs/>
          <w:sz w:val="32"/>
          <w:szCs w:val="28"/>
        </w:rPr>
      </w:pPr>
      <w:r w:rsidRPr="00681B28">
        <w:rPr>
          <w:b/>
          <w:bCs/>
          <w:sz w:val="32"/>
          <w:szCs w:val="28"/>
        </w:rPr>
        <w:t>List of Figures</w:t>
      </w:r>
    </w:p>
    <w:p w14:paraId="5BB735C6" w14:textId="6639449F" w:rsidR="00C126ED" w:rsidRDefault="00C126ED">
      <w:pPr>
        <w:pStyle w:val="TableofFigures"/>
        <w:tabs>
          <w:tab w:val="right" w:leader="dot" w:pos="9350"/>
        </w:tabs>
        <w:rPr>
          <w:rFonts w:asciiTheme="minorHAnsi" w:eastAsiaTheme="minorEastAsia" w:hAnsiTheme="minorHAnsi"/>
          <w:noProof/>
          <w:kern w:val="2"/>
          <w:szCs w:val="30"/>
          <w:lang w:eastAsia="en-GB" w:bidi="bn-BD"/>
          <w14:ligatures w14:val="standardContextual"/>
        </w:rPr>
      </w:pPr>
      <w:r>
        <w:fldChar w:fldCharType="begin"/>
      </w:r>
      <w:r>
        <w:instrText xml:space="preserve"> TOC \h \z \c "Figure" </w:instrText>
      </w:r>
      <w:r>
        <w:fldChar w:fldCharType="separate"/>
      </w:r>
      <w:hyperlink w:anchor="_Toc216561848" w:history="1">
        <w:r w:rsidRPr="00082764">
          <w:rPr>
            <w:rStyle w:val="Hyperlink"/>
            <w:noProof/>
          </w:rPr>
          <w:t>Figure 1</w:t>
        </w:r>
        <w:r w:rsidRPr="00082764">
          <w:rPr>
            <w:rStyle w:val="Hyperlink"/>
            <w:noProof/>
            <w:lang w:val="en-US"/>
          </w:rPr>
          <w:t>: Coca-Cola Logo</w:t>
        </w:r>
        <w:r>
          <w:rPr>
            <w:noProof/>
            <w:webHidden/>
          </w:rPr>
          <w:tab/>
        </w:r>
        <w:r>
          <w:rPr>
            <w:noProof/>
            <w:webHidden/>
          </w:rPr>
          <w:fldChar w:fldCharType="begin"/>
        </w:r>
        <w:r>
          <w:rPr>
            <w:noProof/>
            <w:webHidden/>
          </w:rPr>
          <w:instrText xml:space="preserve"> PAGEREF _Toc216561848 \h </w:instrText>
        </w:r>
        <w:r>
          <w:rPr>
            <w:noProof/>
            <w:webHidden/>
          </w:rPr>
        </w:r>
        <w:r>
          <w:rPr>
            <w:noProof/>
            <w:webHidden/>
          </w:rPr>
          <w:fldChar w:fldCharType="separate"/>
        </w:r>
        <w:r>
          <w:rPr>
            <w:noProof/>
            <w:webHidden/>
          </w:rPr>
          <w:t>5</w:t>
        </w:r>
        <w:r>
          <w:rPr>
            <w:noProof/>
            <w:webHidden/>
          </w:rPr>
          <w:fldChar w:fldCharType="end"/>
        </w:r>
      </w:hyperlink>
    </w:p>
    <w:p w14:paraId="1E96D6A8" w14:textId="2FD35CAB" w:rsidR="00C126ED" w:rsidRDefault="00C126ED">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16561849" w:history="1">
        <w:r w:rsidRPr="00082764">
          <w:rPr>
            <w:rStyle w:val="Hyperlink"/>
            <w:noProof/>
          </w:rPr>
          <w:t>Figure 2</w:t>
        </w:r>
        <w:r w:rsidRPr="00082764">
          <w:rPr>
            <w:rStyle w:val="Hyperlink"/>
            <w:noProof/>
            <w:lang w:val="en-US"/>
          </w:rPr>
          <w:t>: Coca-Cola's production and distribution network</w:t>
        </w:r>
        <w:r>
          <w:rPr>
            <w:noProof/>
            <w:webHidden/>
          </w:rPr>
          <w:tab/>
        </w:r>
        <w:r>
          <w:rPr>
            <w:noProof/>
            <w:webHidden/>
          </w:rPr>
          <w:fldChar w:fldCharType="begin"/>
        </w:r>
        <w:r>
          <w:rPr>
            <w:noProof/>
            <w:webHidden/>
          </w:rPr>
          <w:instrText xml:space="preserve"> PAGEREF _Toc216561849 \h </w:instrText>
        </w:r>
        <w:r>
          <w:rPr>
            <w:noProof/>
            <w:webHidden/>
          </w:rPr>
        </w:r>
        <w:r>
          <w:rPr>
            <w:noProof/>
            <w:webHidden/>
          </w:rPr>
          <w:fldChar w:fldCharType="separate"/>
        </w:r>
        <w:r>
          <w:rPr>
            <w:noProof/>
            <w:webHidden/>
          </w:rPr>
          <w:t>7</w:t>
        </w:r>
        <w:r>
          <w:rPr>
            <w:noProof/>
            <w:webHidden/>
          </w:rPr>
          <w:fldChar w:fldCharType="end"/>
        </w:r>
      </w:hyperlink>
    </w:p>
    <w:p w14:paraId="1BB5A9D3" w14:textId="6A45DCEF" w:rsidR="00C126ED" w:rsidRDefault="00C126ED">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16561850" w:history="1">
        <w:r w:rsidRPr="00082764">
          <w:rPr>
            <w:rStyle w:val="Hyperlink"/>
            <w:noProof/>
          </w:rPr>
          <w:t>Figure 3</w:t>
        </w:r>
        <w:r w:rsidRPr="00082764">
          <w:rPr>
            <w:rStyle w:val="Hyperlink"/>
            <w:noProof/>
            <w:lang w:val="en-US"/>
          </w:rPr>
          <w:t>: Bottling investments of Coca-Cola</w:t>
        </w:r>
        <w:r>
          <w:rPr>
            <w:noProof/>
            <w:webHidden/>
          </w:rPr>
          <w:tab/>
        </w:r>
        <w:r>
          <w:rPr>
            <w:noProof/>
            <w:webHidden/>
          </w:rPr>
          <w:fldChar w:fldCharType="begin"/>
        </w:r>
        <w:r>
          <w:rPr>
            <w:noProof/>
            <w:webHidden/>
          </w:rPr>
          <w:instrText xml:space="preserve"> PAGEREF _Toc216561850 \h </w:instrText>
        </w:r>
        <w:r>
          <w:rPr>
            <w:noProof/>
            <w:webHidden/>
          </w:rPr>
        </w:r>
        <w:r>
          <w:rPr>
            <w:noProof/>
            <w:webHidden/>
          </w:rPr>
          <w:fldChar w:fldCharType="separate"/>
        </w:r>
        <w:r>
          <w:rPr>
            <w:noProof/>
            <w:webHidden/>
          </w:rPr>
          <w:t>8</w:t>
        </w:r>
        <w:r>
          <w:rPr>
            <w:noProof/>
            <w:webHidden/>
          </w:rPr>
          <w:fldChar w:fldCharType="end"/>
        </w:r>
      </w:hyperlink>
    </w:p>
    <w:p w14:paraId="2340BF5F" w14:textId="5FB16E45" w:rsidR="00C126ED" w:rsidRDefault="00C126ED">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16561851" w:history="1">
        <w:r w:rsidRPr="00082764">
          <w:rPr>
            <w:rStyle w:val="Hyperlink"/>
            <w:noProof/>
          </w:rPr>
          <w:t>Figure 4</w:t>
        </w:r>
        <w:r w:rsidRPr="00082764">
          <w:rPr>
            <w:rStyle w:val="Hyperlink"/>
            <w:noProof/>
            <w:lang w:val="en-US"/>
          </w:rPr>
          <w:t>: Brazil's soft drink market size projection</w:t>
        </w:r>
        <w:r>
          <w:rPr>
            <w:noProof/>
            <w:webHidden/>
          </w:rPr>
          <w:tab/>
        </w:r>
        <w:r>
          <w:rPr>
            <w:noProof/>
            <w:webHidden/>
          </w:rPr>
          <w:fldChar w:fldCharType="begin"/>
        </w:r>
        <w:r>
          <w:rPr>
            <w:noProof/>
            <w:webHidden/>
          </w:rPr>
          <w:instrText xml:space="preserve"> PAGEREF _Toc216561851 \h </w:instrText>
        </w:r>
        <w:r>
          <w:rPr>
            <w:noProof/>
            <w:webHidden/>
          </w:rPr>
        </w:r>
        <w:r>
          <w:rPr>
            <w:noProof/>
            <w:webHidden/>
          </w:rPr>
          <w:fldChar w:fldCharType="separate"/>
        </w:r>
        <w:r>
          <w:rPr>
            <w:noProof/>
            <w:webHidden/>
          </w:rPr>
          <w:t>13</w:t>
        </w:r>
        <w:r>
          <w:rPr>
            <w:noProof/>
            <w:webHidden/>
          </w:rPr>
          <w:fldChar w:fldCharType="end"/>
        </w:r>
      </w:hyperlink>
    </w:p>
    <w:p w14:paraId="05FA7070" w14:textId="18B9C781" w:rsidR="00C126ED" w:rsidRDefault="00C126ED">
      <w:pPr>
        <w:pStyle w:val="TableofFigures"/>
        <w:tabs>
          <w:tab w:val="right" w:leader="dot" w:pos="9350"/>
        </w:tabs>
        <w:rPr>
          <w:rFonts w:asciiTheme="minorHAnsi" w:eastAsiaTheme="minorEastAsia" w:hAnsiTheme="minorHAnsi"/>
          <w:noProof/>
          <w:kern w:val="2"/>
          <w:szCs w:val="30"/>
          <w:lang w:eastAsia="en-GB" w:bidi="bn-BD"/>
          <w14:ligatures w14:val="standardContextual"/>
        </w:rPr>
      </w:pPr>
      <w:hyperlink w:anchor="_Toc216561852" w:history="1">
        <w:r w:rsidRPr="00082764">
          <w:rPr>
            <w:rStyle w:val="Hyperlink"/>
            <w:noProof/>
          </w:rPr>
          <w:t>Figure 5</w:t>
        </w:r>
        <w:r w:rsidRPr="00082764">
          <w:rPr>
            <w:rStyle w:val="Hyperlink"/>
            <w:noProof/>
            <w:lang w:val="en-US"/>
          </w:rPr>
          <w:t>: Hofstede's Cultural Dimension comparison</w:t>
        </w:r>
        <w:r>
          <w:rPr>
            <w:noProof/>
            <w:webHidden/>
          </w:rPr>
          <w:tab/>
        </w:r>
        <w:r>
          <w:rPr>
            <w:noProof/>
            <w:webHidden/>
          </w:rPr>
          <w:fldChar w:fldCharType="begin"/>
        </w:r>
        <w:r>
          <w:rPr>
            <w:noProof/>
            <w:webHidden/>
          </w:rPr>
          <w:instrText xml:space="preserve"> PAGEREF _Toc216561852 \h </w:instrText>
        </w:r>
        <w:r>
          <w:rPr>
            <w:noProof/>
            <w:webHidden/>
          </w:rPr>
        </w:r>
        <w:r>
          <w:rPr>
            <w:noProof/>
            <w:webHidden/>
          </w:rPr>
          <w:fldChar w:fldCharType="separate"/>
        </w:r>
        <w:r>
          <w:rPr>
            <w:noProof/>
            <w:webHidden/>
          </w:rPr>
          <w:t>17</w:t>
        </w:r>
        <w:r>
          <w:rPr>
            <w:noProof/>
            <w:webHidden/>
          </w:rPr>
          <w:fldChar w:fldCharType="end"/>
        </w:r>
      </w:hyperlink>
    </w:p>
    <w:p w14:paraId="50BE5F5F" w14:textId="73B832C1" w:rsidR="00681B28" w:rsidRPr="00C126ED" w:rsidRDefault="00C126ED" w:rsidP="00C126ED">
      <w:pPr>
        <w:pStyle w:val="TableofFigures"/>
        <w:tabs>
          <w:tab w:val="right" w:leader="dot" w:pos="9350"/>
        </w:tabs>
        <w:rPr>
          <w:noProof/>
        </w:rPr>
      </w:pPr>
      <w:r>
        <w:fldChar w:fldCharType="end"/>
      </w:r>
      <w:r w:rsidR="00681B28">
        <w:br w:type="page"/>
      </w:r>
    </w:p>
    <w:p w14:paraId="4902DAF4" w14:textId="0F003890" w:rsidR="007D5061" w:rsidRDefault="00000000" w:rsidP="008E11BC">
      <w:pPr>
        <w:pStyle w:val="Heading1"/>
        <w:numPr>
          <w:ilvl w:val="0"/>
          <w:numId w:val="2"/>
        </w:numPr>
      </w:pPr>
      <w:bookmarkStart w:id="0" w:name="_Toc216561795"/>
      <w:r>
        <w:lastRenderedPageBreak/>
        <w:t>Introduction</w:t>
      </w:r>
      <w:bookmarkEnd w:id="0"/>
    </w:p>
    <w:p w14:paraId="0D96A181" w14:textId="094C8253" w:rsidR="007D5061" w:rsidRDefault="00000000">
      <w:r>
        <w:t>The purpose of this report is to provide a detailed consultancy analysis of the global operations of The Coca-Cola Company</w:t>
      </w:r>
      <w:r w:rsidR="007D371F">
        <w:t>,</w:t>
      </w:r>
      <w:r>
        <w:t xml:space="preserve"> especially in its recent move to Brazil as a major emerging economy. Since Coca-Cola is one of the largest and most geographically spread multinational companies, it provides a good example of studying global value chains, entry modes and cross-cultural management. This report assesses the opportunities and obstacles that come with the multinational form of Coca-Cola</w:t>
      </w:r>
      <w:r w:rsidR="007D371F">
        <w:t>,</w:t>
      </w:r>
      <w:r>
        <w:t xml:space="preserve"> and it examines how the Ownership, Location and Internalisation (OLI) advantages of the firm are defining the modes of market entry into the market. It also examines how cultural differences between the USA and Brazil affect the entry strategy, operational performance, and potential </w:t>
      </w:r>
      <w:r w:rsidR="007D371F">
        <w:t>for</w:t>
      </w:r>
      <w:r>
        <w:t xml:space="preserve"> future success of Coca-Cola. These analyses suggest three Standard Operating Procedure (SOP) changes are made to give Coca-Cola a better strategic fit, cultural fit, and competitive position in Brazil. </w:t>
      </w:r>
      <w:r>
        <w:br w:type="page"/>
      </w:r>
    </w:p>
    <w:p w14:paraId="66BE83B0" w14:textId="4C0C6E9C" w:rsidR="007D5061" w:rsidRDefault="00000000">
      <w:pPr>
        <w:pStyle w:val="Heading1"/>
      </w:pPr>
      <w:bookmarkStart w:id="1" w:name="_Toc216561796"/>
      <w:r>
        <w:lastRenderedPageBreak/>
        <w:t xml:space="preserve">2. </w:t>
      </w:r>
      <w:r w:rsidR="001A125B">
        <w:t>Benefits and challenges of International Operations</w:t>
      </w:r>
      <w:bookmarkEnd w:id="1"/>
    </w:p>
    <w:p w14:paraId="5EB85F96" w14:textId="6B6160F0" w:rsidR="007D5061" w:rsidRDefault="00000000">
      <w:pPr>
        <w:pStyle w:val="Heading2"/>
        <w:numPr>
          <w:ilvl w:val="0"/>
          <w:numId w:val="1"/>
        </w:numPr>
      </w:pPr>
      <w:bookmarkStart w:id="2" w:name="_Toc216561797"/>
      <w:r>
        <w:t>Rationale for categorising Coca</w:t>
      </w:r>
      <w:r w:rsidR="007D371F">
        <w:t>-</w:t>
      </w:r>
      <w:r>
        <w:t>Cola as an MNC/TNC</w:t>
      </w:r>
      <w:bookmarkEnd w:id="2"/>
    </w:p>
    <w:p w14:paraId="6237E9D6" w14:textId="595F839F" w:rsidR="007D5061" w:rsidRDefault="00000000">
      <w:r>
        <w:t>The size, organi</w:t>
      </w:r>
      <w:r w:rsidR="007D371F">
        <w:t>s</w:t>
      </w:r>
      <w:r>
        <w:t xml:space="preserve">ation, and character of its international business allow defining Coca-Cola as </w:t>
      </w:r>
      <w:r w:rsidR="007D371F">
        <w:t xml:space="preserve">a </w:t>
      </w:r>
      <w:r>
        <w:t>Multinational Corporation (MNC) (Hill, 2023). It is one of the most geographically dispersed corporations in the world as the company operates in over 200 countries (Coca</w:t>
      </w:r>
      <w:r w:rsidR="007D371F">
        <w:t>-</w:t>
      </w:r>
      <w:r>
        <w:t xml:space="preserve">Cola, 2024). One of its operational models is global integration and local responsiveness, which are specific to major </w:t>
      </w:r>
      <w:r w:rsidR="007F3203">
        <w:t>MNC</w:t>
      </w:r>
      <w:r>
        <w:t xml:space="preserve"> (Daniels et al., 2021). The business </w:t>
      </w:r>
      <w:r w:rsidR="007F3203">
        <w:t>operations</w:t>
      </w:r>
      <w:r>
        <w:t xml:space="preserve"> of Coca-Cola </w:t>
      </w:r>
      <w:proofErr w:type="gramStart"/>
      <w:r>
        <w:t>is</w:t>
      </w:r>
      <w:proofErr w:type="gramEnd"/>
      <w:r>
        <w:t xml:space="preserve"> highly decentralised, whereby an extensive network of international bottlers</w:t>
      </w:r>
      <w:r w:rsidR="007D371F">
        <w:t>,</w:t>
      </w:r>
      <w:r>
        <w:t xml:space="preserve"> in which the production rates, packaging, and distribution are conducted by either </w:t>
      </w:r>
      <w:proofErr w:type="gramStart"/>
      <w:r>
        <w:t>independently-owned</w:t>
      </w:r>
      <w:proofErr w:type="gramEnd"/>
      <w:r>
        <w:t xml:space="preserve"> or franchise bottlers operating in the markets (The Coca-Cola Company, 2025). Such decentrali</w:t>
      </w:r>
      <w:r w:rsidR="007D371F">
        <w:t>s</w:t>
      </w:r>
      <w:r>
        <w:t>ation helps the business to operate internationally synchroni</w:t>
      </w:r>
      <w:r w:rsidR="007D371F">
        <w:t>s</w:t>
      </w:r>
      <w:r>
        <w:t>ed but change its products and policies to suit local preferences, policies, and business environments (Hill, 2023).</w:t>
      </w:r>
    </w:p>
    <w:p w14:paraId="1612A99C" w14:textId="77777777" w:rsidR="007D5061" w:rsidRDefault="00000000">
      <w:pPr>
        <w:keepNext/>
        <w:jc w:val="center"/>
      </w:pPr>
      <w:r>
        <w:rPr>
          <w:noProof/>
        </w:rPr>
        <w:drawing>
          <wp:inline distT="0" distB="0" distL="0" distR="0" wp14:anchorId="08C9162F" wp14:editId="2564B7D5">
            <wp:extent cx="2762250" cy="1657350"/>
            <wp:effectExtent l="0" t="0" r="0" b="0"/>
            <wp:docPr id="7565530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553073"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2762250" cy="1657350"/>
                    </a:xfrm>
                    <a:prstGeom prst="rect">
                      <a:avLst/>
                    </a:prstGeom>
                    <a:noFill/>
                  </pic:spPr>
                </pic:pic>
              </a:graphicData>
            </a:graphic>
          </wp:inline>
        </w:drawing>
      </w:r>
    </w:p>
    <w:p w14:paraId="65018A9B" w14:textId="1DEEC613" w:rsidR="007D5061" w:rsidRDefault="00000000">
      <w:pPr>
        <w:pStyle w:val="Caption"/>
        <w:jc w:val="center"/>
        <w:rPr>
          <w:lang w:val="en-US"/>
        </w:rPr>
      </w:pPr>
      <w:bookmarkStart w:id="3" w:name="_Toc216511252"/>
      <w:bookmarkStart w:id="4" w:name="_Toc216561848"/>
      <w:r>
        <w:t xml:space="preserve">Figure </w:t>
      </w:r>
      <w:fldSimple w:instr=" SEQ Figure \* ARABIC ">
        <w:r w:rsidR="007D5061">
          <w:t>1</w:t>
        </w:r>
      </w:fldSimple>
      <w:r>
        <w:rPr>
          <w:lang w:val="en-US"/>
        </w:rPr>
        <w:t xml:space="preserve">: </w:t>
      </w:r>
      <w:r w:rsidR="007D371F">
        <w:rPr>
          <w:lang w:val="en-US"/>
        </w:rPr>
        <w:t>Coca-Cola</w:t>
      </w:r>
      <w:r>
        <w:rPr>
          <w:lang w:val="en-US"/>
        </w:rPr>
        <w:t xml:space="preserve"> Logo</w:t>
      </w:r>
      <w:bookmarkEnd w:id="3"/>
      <w:bookmarkEnd w:id="4"/>
    </w:p>
    <w:p w14:paraId="072F3A59" w14:textId="789FCE82" w:rsidR="007D5061" w:rsidRDefault="007F3203">
      <w:pPr>
        <w:rPr>
          <w:lang w:val="en-US"/>
        </w:rPr>
      </w:pPr>
      <w:r>
        <w:rPr>
          <w:lang w:val="en-US"/>
        </w:rPr>
        <w:t xml:space="preserve">Management and decision making in Coca Cola is partially </w:t>
      </w:r>
      <w:r w:rsidR="005461A3">
        <w:rPr>
          <w:lang w:val="en-US"/>
        </w:rPr>
        <w:t>decentralized</w:t>
      </w:r>
      <w:r>
        <w:rPr>
          <w:lang w:val="en-US"/>
        </w:rPr>
        <w:t xml:space="preserve">. Major investment and marketing decisions are made from </w:t>
      </w:r>
      <w:proofErr w:type="gramStart"/>
      <w:r>
        <w:rPr>
          <w:lang w:val="en-US"/>
        </w:rPr>
        <w:t>its</w:t>
      </w:r>
      <w:proofErr w:type="gramEnd"/>
      <w:r>
        <w:rPr>
          <w:lang w:val="en-US"/>
        </w:rPr>
        <w:t xml:space="preserve"> </w:t>
      </w:r>
      <w:proofErr w:type="gramStart"/>
      <w:r>
        <w:rPr>
          <w:lang w:val="en-US"/>
        </w:rPr>
        <w:t>headquarter</w:t>
      </w:r>
      <w:proofErr w:type="gramEnd"/>
      <w:r>
        <w:rPr>
          <w:lang w:val="en-US"/>
        </w:rPr>
        <w:t xml:space="preserve"> in the USA</w:t>
      </w:r>
      <w:r w:rsidR="007A1D29">
        <w:rPr>
          <w:lang w:val="en-US"/>
        </w:rPr>
        <w:t xml:space="preserve"> (Coca-Cola, 2024)</w:t>
      </w:r>
      <w:r>
        <w:rPr>
          <w:lang w:val="en-US"/>
        </w:rPr>
        <w:t xml:space="preserve">. </w:t>
      </w:r>
      <w:r w:rsidR="007A1D29">
        <w:rPr>
          <w:lang w:val="en-US"/>
        </w:rPr>
        <w:t xml:space="preserve">On the other hand, regional offices enjoy some </w:t>
      </w:r>
      <w:r w:rsidR="005461A3">
        <w:rPr>
          <w:lang w:val="en-US"/>
        </w:rPr>
        <w:t>decision-making</w:t>
      </w:r>
      <w:r w:rsidR="007A1D29">
        <w:rPr>
          <w:lang w:val="en-US"/>
        </w:rPr>
        <w:t xml:space="preserve"> power such as distribution strategy, local marketing strategy, etc. </w:t>
      </w:r>
      <w:r>
        <w:rPr>
          <w:lang w:val="en-US"/>
        </w:rPr>
        <w:t>Also, the company conducts cross-border research and development, international marketing campaigns, international sourcing of raw materials</w:t>
      </w:r>
      <w:r w:rsidR="007D371F">
        <w:rPr>
          <w:lang w:val="en-US"/>
        </w:rPr>
        <w:t>,</w:t>
      </w:r>
      <w:r>
        <w:rPr>
          <w:lang w:val="en-US"/>
        </w:rPr>
        <w:t xml:space="preserve"> including sugar and packaging, </w:t>
      </w:r>
      <w:r w:rsidR="007D371F">
        <w:rPr>
          <w:lang w:val="en-US"/>
        </w:rPr>
        <w:t xml:space="preserve">and </w:t>
      </w:r>
      <w:r>
        <w:rPr>
          <w:lang w:val="en-US"/>
        </w:rPr>
        <w:t xml:space="preserve">a globally </w:t>
      </w:r>
      <w:r w:rsidR="000C1165">
        <w:rPr>
          <w:lang w:val="en-US"/>
        </w:rPr>
        <w:t>optimized</w:t>
      </w:r>
      <w:r>
        <w:rPr>
          <w:lang w:val="en-US"/>
        </w:rPr>
        <w:t xml:space="preserve"> distribution network (</w:t>
      </w:r>
      <w:r w:rsidR="007D371F">
        <w:rPr>
          <w:lang w:val="en-US"/>
        </w:rPr>
        <w:t>Coca-Cola</w:t>
      </w:r>
      <w:r>
        <w:rPr>
          <w:lang w:val="en-US"/>
        </w:rPr>
        <w:t>, 2024). Such co-related operations within the regions solidify the fact that Coca-Cola is a</w:t>
      </w:r>
      <w:r w:rsidR="00612357">
        <w:rPr>
          <w:lang w:val="en-US"/>
        </w:rPr>
        <w:t>n</w:t>
      </w:r>
      <w:r>
        <w:rPr>
          <w:lang w:val="en-US"/>
        </w:rPr>
        <w:t xml:space="preserve"> </w:t>
      </w:r>
      <w:r w:rsidR="007A1D29">
        <w:rPr>
          <w:lang w:val="en-US"/>
        </w:rPr>
        <w:t>MNC/</w:t>
      </w:r>
      <w:r>
        <w:rPr>
          <w:lang w:val="en-US"/>
        </w:rPr>
        <w:t xml:space="preserve">TNC which has been able to exploit the efficiencies of </w:t>
      </w:r>
      <w:r w:rsidR="000C1165">
        <w:rPr>
          <w:lang w:val="en-US"/>
        </w:rPr>
        <w:t>globalization</w:t>
      </w:r>
      <w:r>
        <w:rPr>
          <w:lang w:val="en-US"/>
        </w:rPr>
        <w:t xml:space="preserve"> yet remain locally pertinent.</w:t>
      </w:r>
    </w:p>
    <w:p w14:paraId="39DE1A3C" w14:textId="739B5E50" w:rsidR="007D5061" w:rsidRDefault="00000000">
      <w:pPr>
        <w:pStyle w:val="Heading2"/>
        <w:numPr>
          <w:ilvl w:val="0"/>
          <w:numId w:val="1"/>
        </w:numPr>
      </w:pPr>
      <w:bookmarkStart w:id="5" w:name="_Toc216561798"/>
      <w:r>
        <w:lastRenderedPageBreak/>
        <w:t xml:space="preserve">Nature of </w:t>
      </w:r>
      <w:r w:rsidR="007D371F">
        <w:t>Coca-Cola</w:t>
      </w:r>
      <w:r>
        <w:t>’s Value Chain</w:t>
      </w:r>
      <w:bookmarkEnd w:id="5"/>
    </w:p>
    <w:p w14:paraId="18A14897" w14:textId="77777777" w:rsidR="007D5061" w:rsidRDefault="00000000">
      <w:pPr>
        <w:rPr>
          <w:b/>
          <w:bCs/>
        </w:rPr>
      </w:pPr>
      <w:r>
        <w:rPr>
          <w:b/>
          <w:bCs/>
        </w:rPr>
        <w:t xml:space="preserve">Research &amp; development: </w:t>
      </w:r>
    </w:p>
    <w:p w14:paraId="7E6A85B2" w14:textId="77777777" w:rsidR="007D5061" w:rsidRDefault="00000000">
      <w:r>
        <w:t xml:space="preserve">The R&amp;D activity of Coca-Cola has a high level of globalisation combined with central innovational centres in the USA and regional centres in Europe, Asia, and Latin America (Arthur, 2025). Such a global structure allows the company to create standardised core products and custom-tail formulations towards local preferences, regulatory environments and health fashions (Arthur, 2025). The R&amp;D department contributes to innovation in products like reduced-sugar versions and </w:t>
      </w:r>
      <w:proofErr w:type="gramStart"/>
      <w:r>
        <w:t>geographically-focused</w:t>
      </w:r>
      <w:proofErr w:type="gramEnd"/>
      <w:r>
        <w:t xml:space="preserve"> beverages that reinforce competitiveness and guarantee relevancy in a wide range of markets (Hill, 2023).</w:t>
      </w:r>
    </w:p>
    <w:p w14:paraId="5797EA62" w14:textId="77777777" w:rsidR="007D5061" w:rsidRDefault="00000000">
      <w:pPr>
        <w:rPr>
          <w:b/>
          <w:bCs/>
        </w:rPr>
      </w:pPr>
      <w:r>
        <w:rPr>
          <w:b/>
          <w:bCs/>
        </w:rPr>
        <w:t xml:space="preserve">Sourcing: </w:t>
      </w:r>
    </w:p>
    <w:p w14:paraId="7A07A104" w14:textId="44522ED1" w:rsidR="007D5061" w:rsidRDefault="00000000">
      <w:r>
        <w:t xml:space="preserve">The sourcing is localised, as Coca-Cola sources some of its main inputs, like sugar, water, CO 2, and packaging materials, </w:t>
      </w:r>
      <w:r w:rsidR="007D371F">
        <w:t>from</w:t>
      </w:r>
      <w:r>
        <w:t xml:space="preserve"> national companies in a country (</w:t>
      </w:r>
      <w:r w:rsidR="007D371F">
        <w:t>Coca-Cola</w:t>
      </w:r>
      <w:r>
        <w:t>, 2024). This saves on transportation and imports, fills the coffers of the local economy, and increases the resiliency of supply chains. Local sourcing is also a way of adhering to the country regulations, especially in those markets where food safety and agricultural standards are stringent (</w:t>
      </w:r>
      <w:proofErr w:type="spellStart"/>
      <w:r>
        <w:t>Simamora</w:t>
      </w:r>
      <w:proofErr w:type="spellEnd"/>
      <w:r>
        <w:t xml:space="preserve"> et al., 2024). The functional addition value is achieved by increasing cost efficiency, reliability in shipment, and building the image of Coca-Cola as an investor in local development.</w:t>
      </w:r>
    </w:p>
    <w:p w14:paraId="11B91A7B" w14:textId="77777777" w:rsidR="007D5061" w:rsidRDefault="00000000">
      <w:pPr>
        <w:rPr>
          <w:b/>
          <w:bCs/>
        </w:rPr>
      </w:pPr>
      <w:r>
        <w:rPr>
          <w:b/>
          <w:bCs/>
        </w:rPr>
        <w:t xml:space="preserve">Distribution: </w:t>
      </w:r>
    </w:p>
    <w:p w14:paraId="05399643" w14:textId="2EFBB44D" w:rsidR="007D5061" w:rsidRDefault="00000000">
      <w:r>
        <w:t xml:space="preserve">The distribution is very much localised and facilitated by the bottling partners who deal </w:t>
      </w:r>
      <w:r w:rsidR="007D371F">
        <w:t>with</w:t>
      </w:r>
      <w:r>
        <w:t xml:space="preserve"> warehousing, transportation, and the last-mile delivery in each country (</w:t>
      </w:r>
      <w:r w:rsidR="007D371F">
        <w:t>Coca-Cola</w:t>
      </w:r>
      <w:r>
        <w:t xml:space="preserve">, 2024). Nonetheless, the efficiency and quality control of logistics </w:t>
      </w:r>
      <w:r w:rsidR="007D371F">
        <w:t>are</w:t>
      </w:r>
      <w:r>
        <w:t xml:space="preserve"> regulated in accordance with world standards. The added value of this system is improving the availability of the products, reaching remote and rural locations previously, as well as selling large volumes of a product within diverse geographical areas (</w:t>
      </w:r>
      <w:r w:rsidR="007D371F">
        <w:t>Coca-Cola</w:t>
      </w:r>
      <w:r>
        <w:t>, 2024).</w:t>
      </w:r>
    </w:p>
    <w:p w14:paraId="0D4636F3" w14:textId="77777777" w:rsidR="007D5061" w:rsidRDefault="007D5061"/>
    <w:p w14:paraId="59B6BB01" w14:textId="77777777" w:rsidR="007D5061" w:rsidRDefault="00000000">
      <w:pPr>
        <w:keepNext/>
      </w:pPr>
      <w:r>
        <w:rPr>
          <w:noProof/>
        </w:rPr>
        <w:lastRenderedPageBreak/>
        <w:drawing>
          <wp:inline distT="0" distB="0" distL="0" distR="0" wp14:anchorId="23ED270B" wp14:editId="5BFFA178">
            <wp:extent cx="5943600" cy="3240405"/>
            <wp:effectExtent l="0" t="0" r="0" b="0"/>
            <wp:docPr id="1070611153" name="Picture 3" descr="The Global Flow - Coca-Cola:The Global Beverage that Integrated our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611153" name="Picture 3" descr="The Global Flow - Coca-Cola:The Global Beverage that Integrated our Worl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943600" cy="3240405"/>
                    </a:xfrm>
                    <a:prstGeom prst="rect">
                      <a:avLst/>
                    </a:prstGeom>
                    <a:noFill/>
                    <a:ln>
                      <a:noFill/>
                    </a:ln>
                  </pic:spPr>
                </pic:pic>
              </a:graphicData>
            </a:graphic>
          </wp:inline>
        </w:drawing>
      </w:r>
    </w:p>
    <w:p w14:paraId="5230EE14" w14:textId="413A0584" w:rsidR="007D5061" w:rsidRDefault="00000000">
      <w:pPr>
        <w:pStyle w:val="Caption"/>
        <w:jc w:val="center"/>
        <w:rPr>
          <w:lang w:val="en-US"/>
        </w:rPr>
      </w:pPr>
      <w:bookmarkStart w:id="6" w:name="_Toc216511253"/>
      <w:bookmarkStart w:id="7" w:name="_Toc216561849"/>
      <w:r>
        <w:t xml:space="preserve">Figure </w:t>
      </w:r>
      <w:fldSimple w:instr=" SEQ Figure \* ARABIC ">
        <w:r w:rsidR="007D5061">
          <w:t>2</w:t>
        </w:r>
      </w:fldSimple>
      <w:r>
        <w:rPr>
          <w:lang w:val="en-US"/>
        </w:rPr>
        <w:t xml:space="preserve">: </w:t>
      </w:r>
      <w:r w:rsidR="007D371F">
        <w:rPr>
          <w:lang w:val="en-US"/>
        </w:rPr>
        <w:t>Coca-Cola</w:t>
      </w:r>
      <w:r>
        <w:rPr>
          <w:lang w:val="en-US"/>
        </w:rPr>
        <w:t>'s production and distribution network</w:t>
      </w:r>
      <w:bookmarkEnd w:id="6"/>
      <w:bookmarkEnd w:id="7"/>
    </w:p>
    <w:p w14:paraId="3A2A5181" w14:textId="77777777" w:rsidR="007D5061" w:rsidRDefault="00000000">
      <w:pPr>
        <w:jc w:val="center"/>
        <w:rPr>
          <w:sz w:val="20"/>
          <w:szCs w:val="18"/>
          <w:lang w:val="en-US"/>
        </w:rPr>
      </w:pPr>
      <w:r>
        <w:rPr>
          <w:sz w:val="20"/>
          <w:szCs w:val="18"/>
          <w:lang w:val="en-US"/>
        </w:rPr>
        <w:t>Source: (The Flow Chart, 2023)</w:t>
      </w:r>
    </w:p>
    <w:p w14:paraId="04858C59" w14:textId="77777777" w:rsidR="007D5061" w:rsidRDefault="00000000">
      <w:pPr>
        <w:rPr>
          <w:b/>
          <w:bCs/>
        </w:rPr>
      </w:pPr>
      <w:r>
        <w:rPr>
          <w:b/>
          <w:bCs/>
        </w:rPr>
        <w:t>Production:</w:t>
      </w:r>
    </w:p>
    <w:p w14:paraId="1265D494" w14:textId="135A70C6" w:rsidR="007D5061" w:rsidRDefault="00000000">
      <w:r>
        <w:t>The company produces on a global basis but locally packs via its franchise-based bottling system through Coca-Cola. This enables Coca-Cola to uphold international quality standards and</w:t>
      </w:r>
      <w:r w:rsidR="007D371F">
        <w:t>,</w:t>
      </w:r>
      <w:r>
        <w:t xml:space="preserve"> at the same time</w:t>
      </w:r>
      <w:r w:rsidR="007D371F">
        <w:t>,</w:t>
      </w:r>
      <w:r>
        <w:t xml:space="preserve"> take advantage of local expertise </w:t>
      </w:r>
      <w:r w:rsidR="007D371F">
        <w:t>in</w:t>
      </w:r>
      <w:r>
        <w:t xml:space="preserve"> operation</w:t>
      </w:r>
      <w:r w:rsidR="007D371F">
        <w:t>s</w:t>
      </w:r>
      <w:r>
        <w:t xml:space="preserve"> (The Coca-Cola Company, 2025). The large bottlers like Coca-Cola FEMSA and HBC have plants in the regional markets (</w:t>
      </w:r>
      <w:r w:rsidR="007D371F">
        <w:t>Coca-Cola</w:t>
      </w:r>
      <w:r>
        <w:t>, 2024). This design provides value in forms of mass production, lower lead times and high growth in the emerging markets like India and Brazil.</w:t>
      </w:r>
    </w:p>
    <w:p w14:paraId="6798E59D" w14:textId="77777777" w:rsidR="007D5061" w:rsidRDefault="00000000">
      <w:pPr>
        <w:rPr>
          <w:b/>
          <w:bCs/>
        </w:rPr>
      </w:pPr>
      <w:r>
        <w:rPr>
          <w:b/>
          <w:bCs/>
        </w:rPr>
        <w:t xml:space="preserve">Marketing and Sales: </w:t>
      </w:r>
    </w:p>
    <w:p w14:paraId="6FADAC8C" w14:textId="0FA52AC2" w:rsidR="007D5061" w:rsidRDefault="00000000">
      <w:r>
        <w:t xml:space="preserve">Marketing is both globalised and localised, as there is </w:t>
      </w:r>
      <w:r w:rsidR="007D371F">
        <w:t xml:space="preserve">a </w:t>
      </w:r>
      <w:r>
        <w:t>strong global brand identity of Coca-Cola and country-specific campaigns (Zhang, 2024). Whereas global messages use universal motifs such as happiness and sharing, local messages bring in cultural festivities and sporting activities as well as consumer tastes (</w:t>
      </w:r>
      <w:proofErr w:type="spellStart"/>
      <w:r>
        <w:t>Simamora</w:t>
      </w:r>
      <w:proofErr w:type="spellEnd"/>
      <w:r>
        <w:t xml:space="preserve"> et al., 2024). The value addition of this functionality is that it enhances brand loyalty, market penetration, </w:t>
      </w:r>
      <w:r>
        <w:lastRenderedPageBreak/>
        <w:t>and brand relevancy in culturally diverse regions (Wild and Wild, 2023). Distribution and retail relations are further supported by localised sales plans.</w:t>
      </w:r>
    </w:p>
    <w:p w14:paraId="74C16201" w14:textId="77777777" w:rsidR="007D5061" w:rsidRDefault="00000000">
      <w:pPr>
        <w:keepNext/>
      </w:pPr>
      <w:r>
        <w:rPr>
          <w:noProof/>
        </w:rPr>
        <w:drawing>
          <wp:inline distT="0" distB="0" distL="0" distR="0" wp14:anchorId="78E25594" wp14:editId="1DF9F891">
            <wp:extent cx="5943600" cy="2971800"/>
            <wp:effectExtent l="0" t="0" r="0" b="0"/>
            <wp:docPr id="150885894" name="Picture 1" descr="A map of the world with red and blue countries/reg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85894" name="Picture 1" descr="A map of the world with red and blue countries/regions&#10;&#10;AI-generated content may be incorrect."/>
                    <pic:cNvPicPr>
                      <a:picLocks noChangeAspect="1"/>
                    </pic:cNvPicPr>
                  </pic:nvPicPr>
                  <pic:blipFill>
                    <a:blip r:embed="rId12"/>
                    <a:stretch>
                      <a:fillRect/>
                    </a:stretch>
                  </pic:blipFill>
                  <pic:spPr>
                    <a:xfrm>
                      <a:off x="0" y="0"/>
                      <a:ext cx="5943600" cy="2971800"/>
                    </a:xfrm>
                    <a:prstGeom prst="rect">
                      <a:avLst/>
                    </a:prstGeom>
                  </pic:spPr>
                </pic:pic>
              </a:graphicData>
            </a:graphic>
          </wp:inline>
        </w:drawing>
      </w:r>
    </w:p>
    <w:p w14:paraId="39D9B6FA" w14:textId="0D4B9331" w:rsidR="007D5061" w:rsidRDefault="00000000">
      <w:pPr>
        <w:pStyle w:val="Caption"/>
        <w:jc w:val="center"/>
        <w:rPr>
          <w:lang w:val="en-US"/>
        </w:rPr>
      </w:pPr>
      <w:bookmarkStart w:id="8" w:name="_Toc216511254"/>
      <w:bookmarkStart w:id="9" w:name="_Toc216561850"/>
      <w:r>
        <w:t xml:space="preserve">Figure </w:t>
      </w:r>
      <w:fldSimple w:instr=" SEQ Figure \* ARABIC ">
        <w:r w:rsidR="007D5061">
          <w:t>3</w:t>
        </w:r>
      </w:fldSimple>
      <w:r>
        <w:rPr>
          <w:lang w:val="en-US"/>
        </w:rPr>
        <w:t xml:space="preserve">: Bottling investments of </w:t>
      </w:r>
      <w:r w:rsidR="007D371F">
        <w:rPr>
          <w:lang w:val="en-US"/>
        </w:rPr>
        <w:t>Coca-Cola</w:t>
      </w:r>
      <w:bookmarkEnd w:id="8"/>
      <w:bookmarkEnd w:id="9"/>
    </w:p>
    <w:p w14:paraId="704D5CF9" w14:textId="77777777" w:rsidR="007D5061" w:rsidRDefault="00000000">
      <w:pPr>
        <w:jc w:val="center"/>
        <w:rPr>
          <w:sz w:val="20"/>
          <w:szCs w:val="18"/>
          <w:lang w:val="en-US"/>
        </w:rPr>
      </w:pPr>
      <w:r>
        <w:rPr>
          <w:sz w:val="20"/>
          <w:szCs w:val="18"/>
          <w:lang w:val="en-US"/>
        </w:rPr>
        <w:t>Source:</w:t>
      </w:r>
      <w:r>
        <w:rPr>
          <w:sz w:val="20"/>
          <w:szCs w:val="18"/>
        </w:rPr>
        <w:t xml:space="preserve"> </w:t>
      </w:r>
      <w:r>
        <w:rPr>
          <w:sz w:val="20"/>
          <w:szCs w:val="18"/>
          <w:lang w:val="en-US"/>
        </w:rPr>
        <w:t>(The Coca-Cola Company, 2025)</w:t>
      </w:r>
    </w:p>
    <w:p w14:paraId="62F4B996" w14:textId="77777777" w:rsidR="007D5061" w:rsidRDefault="00000000">
      <w:pPr>
        <w:rPr>
          <w:b/>
          <w:bCs/>
        </w:rPr>
      </w:pPr>
      <w:r>
        <w:rPr>
          <w:b/>
          <w:bCs/>
        </w:rPr>
        <w:t xml:space="preserve">Financing: </w:t>
      </w:r>
    </w:p>
    <w:p w14:paraId="61809684" w14:textId="63E474FE" w:rsidR="007D5061" w:rsidRDefault="00000000">
      <w:r>
        <w:t>The financing function of Coca-</w:t>
      </w:r>
      <w:r w:rsidR="007D371F">
        <w:t>C</w:t>
      </w:r>
      <w:r>
        <w:t>ola is very globalised</w:t>
      </w:r>
      <w:r w:rsidR="007D371F">
        <w:t>,</w:t>
      </w:r>
      <w:r>
        <w:t xml:space="preserve"> and coordination is conducted with the help of global treasury centres</w:t>
      </w:r>
      <w:r w:rsidR="007D371F">
        <w:t>,</w:t>
      </w:r>
      <w:r>
        <w:t xml:space="preserve"> ensuring cash management, currency hedging, and capital allocation (Wang, 2023). Such a centralised model enables a company to maximise liquidity in the global context and deal with the exchange-rate risks and invest profits in foreign markets in a strategic way (</w:t>
      </w:r>
      <w:proofErr w:type="spellStart"/>
      <w:r>
        <w:t>Simamora</w:t>
      </w:r>
      <w:proofErr w:type="spellEnd"/>
      <w:r>
        <w:t xml:space="preserve"> et al., 2024). The value addition lies in the fact </w:t>
      </w:r>
      <w:r w:rsidR="007D371F">
        <w:t xml:space="preserve">that </w:t>
      </w:r>
      <w:r>
        <w:t>the function has the effect of financial stability, exposing to less volatility, and allocating resources efficiently to high</w:t>
      </w:r>
      <w:r w:rsidR="00324BB1">
        <w:t>-</w:t>
      </w:r>
      <w:r>
        <w:t>growth areas.</w:t>
      </w:r>
    </w:p>
    <w:p w14:paraId="5F7A9A4F" w14:textId="77777777" w:rsidR="00094996" w:rsidRDefault="00094996">
      <w:r w:rsidRPr="00094996">
        <w:rPr>
          <w:b/>
          <w:bCs/>
        </w:rPr>
        <w:t>Summary:</w:t>
      </w:r>
    </w:p>
    <w:p w14:paraId="796F5704" w14:textId="0FE89764" w:rsidR="007A1D29" w:rsidRDefault="00094996">
      <w:r>
        <w:t>M</w:t>
      </w:r>
      <w:r w:rsidR="007A1D29">
        <w:t>ost of the business operations of Coca</w:t>
      </w:r>
      <w:r w:rsidR="00324BB1">
        <w:t>-</w:t>
      </w:r>
      <w:r w:rsidR="007A1D29">
        <w:t>Cola are highly globalised</w:t>
      </w:r>
      <w:r w:rsidR="00324BB1">
        <w:t>,</w:t>
      </w:r>
      <w:r w:rsidR="007A1D29">
        <w:t xml:space="preserve"> </w:t>
      </w:r>
      <w:r w:rsidR="00324BB1">
        <w:t>which</w:t>
      </w:r>
      <w:r w:rsidR="007A1D29">
        <w:t xml:space="preserve"> give</w:t>
      </w:r>
      <w:r w:rsidR="00324BB1">
        <w:t>s</w:t>
      </w:r>
      <w:r w:rsidR="007A1D29">
        <w:t xml:space="preserve"> </w:t>
      </w:r>
      <w:r w:rsidR="00324BB1">
        <w:t xml:space="preserve">the </w:t>
      </w:r>
      <w:r w:rsidR="007A1D29">
        <w:t xml:space="preserve">company </w:t>
      </w:r>
      <w:r w:rsidR="00324BB1">
        <w:t xml:space="preserve">a </w:t>
      </w:r>
      <w:r w:rsidR="007A1D29">
        <w:t xml:space="preserve">competitive advantage in highly competitive global markets. Globalised operations allow the company </w:t>
      </w:r>
      <w:r w:rsidR="00324BB1">
        <w:t xml:space="preserve">to </w:t>
      </w:r>
      <w:r w:rsidR="007A1D29">
        <w:t xml:space="preserve">source inputs at lower costs, hire skilled employees, </w:t>
      </w:r>
      <w:r w:rsidR="007A1D29">
        <w:lastRenderedPageBreak/>
        <w:t>reduce production costs, as well as increase revenue. All these functional strategies give Coc</w:t>
      </w:r>
      <w:r w:rsidR="00324BB1">
        <w:t>a-Col</w:t>
      </w:r>
      <w:r w:rsidR="007A1D29">
        <w:t xml:space="preserve">a Cola </w:t>
      </w:r>
      <w:r w:rsidR="00324BB1">
        <w:t xml:space="preserve">an </w:t>
      </w:r>
      <w:r w:rsidR="007A1D29">
        <w:t xml:space="preserve">unyielding competitive advantage over competitors.  </w:t>
      </w:r>
    </w:p>
    <w:p w14:paraId="1D1B3CCB" w14:textId="53496630" w:rsidR="007D5061" w:rsidRDefault="00000000">
      <w:pPr>
        <w:pStyle w:val="Heading2"/>
        <w:numPr>
          <w:ilvl w:val="0"/>
          <w:numId w:val="1"/>
        </w:numPr>
      </w:pPr>
      <w:bookmarkStart w:id="10" w:name="_Toc216561799"/>
      <w:r>
        <w:t xml:space="preserve">International entry modes applied by </w:t>
      </w:r>
      <w:r w:rsidR="007D371F">
        <w:t>Coca-Cola</w:t>
      </w:r>
      <w:bookmarkEnd w:id="10"/>
    </w:p>
    <w:p w14:paraId="38F7EE5F" w14:textId="77777777" w:rsidR="007D5061" w:rsidRDefault="00000000">
      <w:r>
        <w:t xml:space="preserve">Coca-Cola has embraced a multiangled mode of international entry that indicates its desire to walk the global control-local responsiveness balance. </w:t>
      </w:r>
    </w:p>
    <w:p w14:paraId="1A8075F3" w14:textId="124E6A25" w:rsidR="007D5061" w:rsidRDefault="00000000">
      <w:r>
        <w:t>Franchising and licensing represent one of the most pronounced ones, and it is the cornerstone of the international bottling network of the company (Yadav et al., 2013). This strategy has helped the company expand quickly in other regions like Latin America, Africa, and Southeast Asia. As an example, Coca-Cola FEMSA is a licensed bottler in Mexico, Brazil, Colombia, and the Philippines, which reflects how franchising has played a central role in increasing its presence in both the emerging and developed markets (</w:t>
      </w:r>
      <w:r w:rsidR="007D371F">
        <w:t>Coca-Cola</w:t>
      </w:r>
      <w:r>
        <w:t>, 2024). This form decreases the capital needs of a company and utili</w:t>
      </w:r>
      <w:r w:rsidR="007D371F">
        <w:t>s</w:t>
      </w:r>
      <w:r>
        <w:t>es the local partners</w:t>
      </w:r>
      <w:r w:rsidR="007D371F">
        <w:t>'</w:t>
      </w:r>
      <w:r>
        <w:t xml:space="preserve"> logistics knowledge</w:t>
      </w:r>
      <w:r w:rsidR="007D371F">
        <w:t>,</w:t>
      </w:r>
      <w:r>
        <w:t xml:space="preserve"> which is why it is the most popular entry strategy of Coca-Cola worldwide (Kobusingye and </w:t>
      </w:r>
      <w:proofErr w:type="spellStart"/>
      <w:r>
        <w:t>Ssendagi</w:t>
      </w:r>
      <w:proofErr w:type="spellEnd"/>
      <w:r>
        <w:t>, 2024).</w:t>
      </w:r>
    </w:p>
    <w:p w14:paraId="4D39B109" w14:textId="6A23BD41" w:rsidR="007D5061" w:rsidRDefault="007D371F">
      <w:r>
        <w:t>A wholly owned subsidiary is also another important entry mode employed by Coca-Cola in the production of concentrates and publicity, as well as strategic planning (</w:t>
      </w:r>
      <w:proofErr w:type="spellStart"/>
      <w:r>
        <w:t>Cheptegei</w:t>
      </w:r>
      <w:proofErr w:type="spellEnd"/>
      <w:r>
        <w:t>, 2012). Coca-Cola has established full ownership in countries like India, China, and South Africa to ensure that it leverages its brand, innovation, and quality benchmarks (Susilo, 2021). This mode is particularly useful in a market where brand recognition, intellectual property and product consistency are all important elements of competitive advantage (Wild and Wild, 2023). The wholly owned subsidiaries are also useful in helping Coca-Cola to organise global marketing campaigns, launch new product lines, and react promptly to regulatory or competitive changes (</w:t>
      </w:r>
      <w:proofErr w:type="spellStart"/>
      <w:r>
        <w:t>Cheptegei</w:t>
      </w:r>
      <w:proofErr w:type="spellEnd"/>
      <w:r>
        <w:t>, 2012).</w:t>
      </w:r>
    </w:p>
    <w:p w14:paraId="3949843B" w14:textId="22740133" w:rsidR="007D5061" w:rsidRDefault="00000000" w:rsidP="00A609C5">
      <w:r>
        <w:t>Coca-Cola has also chosen to enter foreign markets via acquisitions</w:t>
      </w:r>
      <w:r w:rsidR="007D371F">
        <w:t>,</w:t>
      </w:r>
      <w:r>
        <w:t xml:space="preserve"> especially in a market environment where a local brand offered a domestic strategic advantage (Zheng, 2023). In India, Coca-Cola has purchased ex</w:t>
      </w:r>
      <w:r w:rsidR="007D371F">
        <w:t>treme</w:t>
      </w:r>
      <w:r>
        <w:t xml:space="preserve">ly popular home drinks, including Thums Up, Limca, and </w:t>
      </w:r>
      <w:proofErr w:type="spellStart"/>
      <w:r>
        <w:t>Maaza</w:t>
      </w:r>
      <w:proofErr w:type="spellEnd"/>
      <w:r>
        <w:t xml:space="preserve">, which allowed it to </w:t>
      </w:r>
      <w:r w:rsidR="007D371F">
        <w:t xml:space="preserve">gain </w:t>
      </w:r>
      <w:r>
        <w:t xml:space="preserve">quick access </w:t>
      </w:r>
      <w:r w:rsidR="007D371F">
        <w:t xml:space="preserve">to </w:t>
      </w:r>
      <w:r>
        <w:t xml:space="preserve">regional client groups (Chan, 2025). Likewise, European and African takeovers like the purchasing </w:t>
      </w:r>
      <w:r w:rsidR="007D371F">
        <w:t xml:space="preserve">of </w:t>
      </w:r>
      <w:r>
        <w:t>shares in bottling organi</w:t>
      </w:r>
      <w:r w:rsidR="007D371F">
        <w:t>s</w:t>
      </w:r>
      <w:r>
        <w:t xml:space="preserve">ations or taking over local beverage brands have increased entry </w:t>
      </w:r>
      <w:r>
        <w:lastRenderedPageBreak/>
        <w:t xml:space="preserve">into the market and enhanced distribution systems by Coca-Cola (The Coca-Cola Company, 2024). </w:t>
      </w:r>
    </w:p>
    <w:p w14:paraId="54629CBB" w14:textId="575ED393" w:rsidR="007D5061" w:rsidRDefault="00000000">
      <w:r>
        <w:t>Joint venture is another significant entry mode</w:t>
      </w:r>
      <w:r w:rsidR="007D371F">
        <w:t>,</w:t>
      </w:r>
      <w:r>
        <w:t xml:space="preserve"> particularly in areas where there are regulatory prohibitions or complex market conditions </w:t>
      </w:r>
      <w:r w:rsidR="007D371F">
        <w:t xml:space="preserve">that </w:t>
      </w:r>
      <w:r>
        <w:t xml:space="preserve">demand joint ownership (Kobusingye and </w:t>
      </w:r>
      <w:proofErr w:type="spellStart"/>
      <w:r>
        <w:t>SSendagi</w:t>
      </w:r>
      <w:proofErr w:type="spellEnd"/>
      <w:r>
        <w:t>, 2024). Coca-Cola has employed joint ventures with bottling partners in other markets, including Brazil, Japan, and Indonesia, to overcome the uncertainty that exists in markets, share operational risks, and merge global brand strength with local expertise (</w:t>
      </w:r>
      <w:r w:rsidR="007D371F">
        <w:t>Coca-Cola</w:t>
      </w:r>
      <w:r>
        <w:t xml:space="preserve">, 2024). </w:t>
      </w:r>
    </w:p>
    <w:p w14:paraId="66238ED8" w14:textId="77777777" w:rsidR="007D5061" w:rsidRDefault="00000000">
      <w:pPr>
        <w:rPr>
          <w:b/>
          <w:bCs/>
        </w:rPr>
      </w:pPr>
      <w:r>
        <w:rPr>
          <w:b/>
          <w:bCs/>
        </w:rPr>
        <w:t>Dominant Entry Mode of Coca-Cola</w:t>
      </w:r>
    </w:p>
    <w:p w14:paraId="7D2BD74C" w14:textId="47A8D420" w:rsidR="007D5061" w:rsidRDefault="00000000" w:rsidP="00A609C5">
      <w:r>
        <w:t>Franchising and licensing via its global bottling system has been identified as the dominant mode of entry Coca-Cola employs in its international operations (Susilo, 2021). Although wholly owned subsidiaries, acquisitions, and joint ventures hold crucial importance, the model of internationali</w:t>
      </w:r>
      <w:r w:rsidR="007D371F">
        <w:t>s</w:t>
      </w:r>
      <w:r>
        <w:t>ation that underlines the strategy of Coca-Cola is the system of franchising bottling (</w:t>
      </w:r>
      <w:r w:rsidR="007D371F">
        <w:t>Coca-Cola</w:t>
      </w:r>
      <w:r>
        <w:t>, 2024). This system enables Coca-Cola to retain control of the proprietary concentrate, reduce capital outlay, capitalise on local operational expertise, and attain immense global penetration.</w:t>
      </w:r>
    </w:p>
    <w:p w14:paraId="15EF6EDB" w14:textId="77777777" w:rsidR="007D5061" w:rsidRDefault="00000000">
      <w:pPr>
        <w:pStyle w:val="Heading2"/>
        <w:numPr>
          <w:ilvl w:val="0"/>
          <w:numId w:val="1"/>
        </w:numPr>
      </w:pPr>
      <w:bookmarkStart w:id="11" w:name="_Toc216561800"/>
      <w:r>
        <w:t>Benefits of international operations</w:t>
      </w:r>
      <w:bookmarkEnd w:id="11"/>
    </w:p>
    <w:p w14:paraId="1D7C7EEF" w14:textId="77777777" w:rsidR="007D5061" w:rsidRDefault="00000000">
      <w:r>
        <w:t xml:space="preserve">The strategic and operational advantages that Coca-Cola acquires </w:t>
      </w:r>
      <w:proofErr w:type="gramStart"/>
      <w:r>
        <w:t>as a result of</w:t>
      </w:r>
      <w:proofErr w:type="gramEnd"/>
      <w:r>
        <w:t xml:space="preserve"> its international operations are high enough to support the fact that this company is among the leading beverage companies in the world.</w:t>
      </w:r>
    </w:p>
    <w:p w14:paraId="4C1E5337" w14:textId="6BE78445" w:rsidR="007D5061" w:rsidRDefault="00000000">
      <w:r>
        <w:rPr>
          <w:b/>
          <w:bCs/>
        </w:rPr>
        <w:t>Cost efficiency and economies of scale:</w:t>
      </w:r>
      <w:r>
        <w:t xml:space="preserve">  Economies of scale </w:t>
      </w:r>
      <w:r w:rsidR="007D371F">
        <w:t>are</w:t>
      </w:r>
      <w:r>
        <w:t xml:space="preserve"> one of the greatest benefits. Being present in over 200 countries allows Coca-Cola to make purchases in bulk of raw materials, packaging, and equipment at a lower price (</w:t>
      </w:r>
      <w:r w:rsidR="007D371F">
        <w:t>Coca-Cola</w:t>
      </w:r>
      <w:r>
        <w:t>, 2024). It is also supported by global operation</w:t>
      </w:r>
      <w:r w:rsidR="007D371F">
        <w:t>s</w:t>
      </w:r>
      <w:r>
        <w:t xml:space="preserve"> </w:t>
      </w:r>
      <w:r w:rsidRPr="00A609C5">
        <w:t>receiving the benefits of sharing its fixed cost</w:t>
      </w:r>
      <w:r w:rsidR="007D371F">
        <w:t>,</w:t>
      </w:r>
      <w:r w:rsidRPr="00A609C5">
        <w:t xml:space="preserve"> including global advertising and R&amp;D across all global markets (Arthur, 2025). </w:t>
      </w:r>
    </w:p>
    <w:p w14:paraId="426B4E41" w14:textId="78999F14" w:rsidR="007D5061" w:rsidRDefault="00000000">
      <w:r>
        <w:rPr>
          <w:b/>
          <w:bCs/>
        </w:rPr>
        <w:t>Global brand recognition:</w:t>
      </w:r>
      <w:r>
        <w:t xml:space="preserve"> Global brand recognition is also another significant advantage that creates consumer trust and loyal demand in </w:t>
      </w:r>
      <w:r w:rsidR="007D371F">
        <w:t>a</w:t>
      </w:r>
      <w:r>
        <w:t xml:space="preserve"> variety of cultural backgrounds (Hill, 2023). The successful brand of </w:t>
      </w:r>
      <w:r w:rsidR="007D371F">
        <w:t>Coca-C</w:t>
      </w:r>
      <w:r>
        <w:t xml:space="preserve">ola, which is proven by the standardised global messages and the localised adjustment, helps it to be stronger in the </w:t>
      </w:r>
      <w:r>
        <w:lastRenderedPageBreak/>
        <w:t>market and to enter other areas (</w:t>
      </w:r>
      <w:proofErr w:type="spellStart"/>
      <w:r>
        <w:t>Simamora</w:t>
      </w:r>
      <w:proofErr w:type="spellEnd"/>
      <w:r>
        <w:t xml:space="preserve"> et al., 2024). The fact that the company can retain its strong brand identity but locali</w:t>
      </w:r>
      <w:r w:rsidR="007D371F">
        <w:t>s</w:t>
      </w:r>
      <w:r>
        <w:t xml:space="preserve">e marketing campaigns makes it more relevant and allows consumers </w:t>
      </w:r>
      <w:r w:rsidR="007D371F">
        <w:t xml:space="preserve">to </w:t>
      </w:r>
      <w:r>
        <w:t>interact with the company through the campaigns (</w:t>
      </w:r>
      <w:proofErr w:type="spellStart"/>
      <w:r>
        <w:t>Suprapto</w:t>
      </w:r>
      <w:proofErr w:type="spellEnd"/>
      <w:r>
        <w:t>, 2020).</w:t>
      </w:r>
    </w:p>
    <w:p w14:paraId="29A5F552" w14:textId="21D37EEC" w:rsidR="007D5061" w:rsidRDefault="00000000">
      <w:r>
        <w:rPr>
          <w:b/>
          <w:bCs/>
        </w:rPr>
        <w:t>Risk diversification:</w:t>
      </w:r>
      <w:r>
        <w:t xml:space="preserve"> Diversification in the risk that Coca-Cola faces is also an advantage of the company since it deals with various economic, political, and climatic environments (Xu, 2024). The drop in demand or changes in currencies in one area can be compensated </w:t>
      </w:r>
      <w:r w:rsidR="007D371F">
        <w:t xml:space="preserve">for </w:t>
      </w:r>
      <w:r>
        <w:t>by the increase in another one, making them more stable financially (Collinson et al., 2023). This international presence lowers the reliance on individual markets and assists the company in going through economic cycles more efficiently.</w:t>
      </w:r>
    </w:p>
    <w:p w14:paraId="5EC11F3B" w14:textId="56DE7935" w:rsidR="007D5061" w:rsidRDefault="00000000">
      <w:r>
        <w:rPr>
          <w:b/>
          <w:bCs/>
        </w:rPr>
        <w:t>Revenue and growth:</w:t>
      </w:r>
      <w:r>
        <w:t xml:space="preserve"> Another important strength is access to emerging markets that are of high growth. More than 80 percent of </w:t>
      </w:r>
      <w:r w:rsidR="007D371F">
        <w:t>Coca-Cola</w:t>
      </w:r>
      <w:r>
        <w:t xml:space="preserve"> revenue is earned beyond </w:t>
      </w:r>
      <w:r w:rsidR="007D371F">
        <w:t xml:space="preserve">the </w:t>
      </w:r>
      <w:r>
        <w:t xml:space="preserve">US through such markets as India, Brazil, Mexico, and Nigeria (Xu, 2024). These nations also have a high and growing disposable income with a high and youthful population, and this offers long-term expansion chances to the non-alcoholic drinks (Xu, 2024). Coca-Cola enhances </w:t>
      </w:r>
      <w:r w:rsidR="007D371F">
        <w:t xml:space="preserve">its </w:t>
      </w:r>
      <w:r>
        <w:t xml:space="preserve">market presence and increases revenue by diversifying </w:t>
      </w:r>
      <w:r w:rsidR="007D371F">
        <w:t>in</w:t>
      </w:r>
      <w:r>
        <w:t xml:space="preserve">to new markets with </w:t>
      </w:r>
      <w:r w:rsidR="007D371F">
        <w:t xml:space="preserve">an </w:t>
      </w:r>
      <w:r>
        <w:t>increasing consumption rate.</w:t>
      </w:r>
    </w:p>
    <w:p w14:paraId="31D80F79" w14:textId="2F4732E4" w:rsidR="007D5061" w:rsidRDefault="00000000" w:rsidP="00A609C5">
      <w:r>
        <w:rPr>
          <w:b/>
          <w:bCs/>
        </w:rPr>
        <w:t>Supply chain resilience:</w:t>
      </w:r>
      <w:r>
        <w:t xml:space="preserve"> Lastly, the global operations of Coca-Cola increase its supply chain resilience and flexibility of operations. Bottling and sourcing partnerships help to lower the expenses of transportation, enhance supply security, and assist in aligning with regional regulations (</w:t>
      </w:r>
      <w:r w:rsidR="007D371F">
        <w:t>Coca-Cola</w:t>
      </w:r>
      <w:r>
        <w:t>, 2024).</w:t>
      </w:r>
    </w:p>
    <w:p w14:paraId="251D52B3" w14:textId="2BAE6E17" w:rsidR="00D761B2" w:rsidRPr="00D761B2" w:rsidRDefault="00D761B2" w:rsidP="00A609C5">
      <w:pPr>
        <w:rPr>
          <w:b/>
          <w:bCs/>
          <w:sz w:val="28"/>
          <w:szCs w:val="24"/>
        </w:rPr>
      </w:pPr>
      <w:r w:rsidRPr="00D761B2">
        <w:rPr>
          <w:b/>
          <w:bCs/>
          <w:sz w:val="28"/>
          <w:szCs w:val="24"/>
        </w:rPr>
        <w:t>Challenges of International Operations</w:t>
      </w:r>
    </w:p>
    <w:p w14:paraId="0A5ED923" w14:textId="2800A241" w:rsidR="00D761B2" w:rsidRDefault="00D761B2" w:rsidP="00A609C5">
      <w:r>
        <w:t xml:space="preserve">Along with the </w:t>
      </w:r>
      <w:r w:rsidR="0074628A">
        <w:t>above-mentioned</w:t>
      </w:r>
      <w:r>
        <w:t xml:space="preserve"> benefits, Coca</w:t>
      </w:r>
      <w:r w:rsidR="00324BB1">
        <w:t>-</w:t>
      </w:r>
      <w:r>
        <w:t>Cola faces some challenges in international operations. Competition from local peers is a notable challenge for the company. Besides, supply chain disruptions, cross</w:t>
      </w:r>
      <w:r w:rsidR="00324BB1">
        <w:t>-</w:t>
      </w:r>
      <w:r>
        <w:t xml:space="preserve">cultural complexities, </w:t>
      </w:r>
      <w:r w:rsidR="00324BB1">
        <w:t xml:space="preserve">and </w:t>
      </w:r>
      <w:r>
        <w:t xml:space="preserve">language barriers are common challenges for businesses in </w:t>
      </w:r>
      <w:r w:rsidR="00324BB1">
        <w:t xml:space="preserve">a </w:t>
      </w:r>
      <w:r>
        <w:t>global environment</w:t>
      </w:r>
      <w:r w:rsidR="0074628A">
        <w:t xml:space="preserve"> (</w:t>
      </w:r>
      <w:r w:rsidR="0074628A" w:rsidRPr="0074628A">
        <w:t>Dorofeeva, 2025</w:t>
      </w:r>
      <w:r w:rsidR="0074628A">
        <w:t>)</w:t>
      </w:r>
      <w:r>
        <w:t xml:space="preserve">. For example, </w:t>
      </w:r>
      <w:r w:rsidR="00324BB1">
        <w:t xml:space="preserve">the </w:t>
      </w:r>
      <w:r>
        <w:t xml:space="preserve">current Russia-Ukraine war, conflicts in </w:t>
      </w:r>
      <w:r w:rsidR="00324BB1">
        <w:t>the Middle E</w:t>
      </w:r>
      <w:r>
        <w:t xml:space="preserve">ast, </w:t>
      </w:r>
      <w:r w:rsidR="00324BB1">
        <w:t xml:space="preserve">and </w:t>
      </w:r>
      <w:r>
        <w:t>US-China trade conflicts severely affected the business of Coca</w:t>
      </w:r>
      <w:r w:rsidR="00324BB1">
        <w:t>-</w:t>
      </w:r>
      <w:r>
        <w:t xml:space="preserve">Cola. Moreover, legal requirements of specific markets made operations more complex, sometimes even costs </w:t>
      </w:r>
      <w:r>
        <w:lastRenderedPageBreak/>
        <w:t xml:space="preserve">of operations. For example, sustainability requirements in </w:t>
      </w:r>
      <w:r w:rsidR="00324BB1">
        <w:t xml:space="preserve">the </w:t>
      </w:r>
      <w:r>
        <w:t>USA and other markets have created both social and financial pressure on Coca</w:t>
      </w:r>
      <w:r w:rsidR="00324BB1">
        <w:t>-</w:t>
      </w:r>
      <w:r>
        <w:t>Cola</w:t>
      </w:r>
      <w:r w:rsidR="0074628A">
        <w:t xml:space="preserve"> (</w:t>
      </w:r>
      <w:r w:rsidR="0074628A" w:rsidRPr="0074628A">
        <w:t>Dorofeeva, 2025</w:t>
      </w:r>
      <w:r w:rsidR="0074628A">
        <w:t>)</w:t>
      </w:r>
      <w:r>
        <w:t xml:space="preserve">. </w:t>
      </w:r>
    </w:p>
    <w:p w14:paraId="63CD2C25" w14:textId="77777777" w:rsidR="007D5061" w:rsidRDefault="00000000">
      <w:pPr>
        <w:pStyle w:val="Heading1"/>
      </w:pPr>
      <w:bookmarkStart w:id="12" w:name="_Toc216561801"/>
      <w:r>
        <w:t>3. How the OLI Factors Impact International Entry Mode</w:t>
      </w:r>
      <w:bookmarkEnd w:id="12"/>
    </w:p>
    <w:p w14:paraId="51236A92" w14:textId="70FEEC2D" w:rsidR="007D5061" w:rsidRDefault="00000000">
      <w:r>
        <w:t xml:space="preserve">The Ownership, Location, Internalisation (OLI) framework (Dunning, 2015) can be used </w:t>
      </w:r>
      <w:r w:rsidR="007D371F">
        <w:t>to explain</w:t>
      </w:r>
      <w:r>
        <w:t xml:space="preserve"> the internationalisation of Coca-Cola in Brazil in detail. These factors combined finally defined the long-term plan of Coca-Cola in Brazil </w:t>
      </w:r>
      <w:proofErr w:type="gramStart"/>
      <w:r>
        <w:t>and also</w:t>
      </w:r>
      <w:proofErr w:type="gramEnd"/>
      <w:r>
        <w:t xml:space="preserve"> provided the reason </w:t>
      </w:r>
      <w:r w:rsidR="007D371F">
        <w:t>for</w:t>
      </w:r>
      <w:r>
        <w:t xml:space="preserve"> the application of the franchising, joint venture, and selectively owned operations.</w:t>
      </w:r>
    </w:p>
    <w:p w14:paraId="56BC48CA" w14:textId="18EFD2E0" w:rsidR="007D5061" w:rsidRDefault="00612357" w:rsidP="00612357">
      <w:pPr>
        <w:pStyle w:val="Heading2"/>
      </w:pPr>
      <w:bookmarkStart w:id="13" w:name="_Toc216561802"/>
      <w:r>
        <w:t>3.1 Ownership advantage:</w:t>
      </w:r>
      <w:bookmarkEnd w:id="13"/>
    </w:p>
    <w:p w14:paraId="104160DA" w14:textId="5711DDDF" w:rsidR="007D5061" w:rsidRDefault="00523593">
      <w:r>
        <w:t>Ownership advantages, here, means unique resources, capabilities, and strengths that give a company competitive advantage over rivals (Dunning, 2015). Coca-Cola has a broad membership of strong ownership-specific advantages, which made a significant impact on its entry into Brazil.</w:t>
      </w:r>
    </w:p>
    <w:p w14:paraId="372D3B26" w14:textId="56978001" w:rsidR="007D5061" w:rsidRDefault="00000000">
      <w:r w:rsidRPr="008700B9">
        <w:rPr>
          <w:b/>
          <w:bCs/>
        </w:rPr>
        <w:t>Global brand equity:</w:t>
      </w:r>
      <w:r>
        <w:t xml:space="preserve"> The company has one of the strongest global brand equity </w:t>
      </w:r>
      <w:proofErr w:type="gramStart"/>
      <w:r>
        <w:t>world</w:t>
      </w:r>
      <w:proofErr w:type="gramEnd"/>
      <w:r>
        <w:t xml:space="preserve"> in a way that represents a symbol of quality, consistency and emotional connectivity (The </w:t>
      </w:r>
      <w:r w:rsidR="007D371F">
        <w:t>Coca-Cola</w:t>
      </w:r>
      <w:r>
        <w:t xml:space="preserve"> Company, 2025). This intellectual property enables Coca-Cola to access new markets with instant recognition </w:t>
      </w:r>
      <w:r w:rsidR="007D371F">
        <w:t>by</w:t>
      </w:r>
      <w:r>
        <w:t xml:space="preserve"> consumers. It saves time and money spent on marketing</w:t>
      </w:r>
      <w:r w:rsidR="007D371F">
        <w:t>,</w:t>
      </w:r>
      <w:r>
        <w:t xml:space="preserve"> and the customer uptake is enhanced. Brazil is a competitive market (</w:t>
      </w:r>
      <w:proofErr w:type="spellStart"/>
      <w:r>
        <w:t>Simamora</w:t>
      </w:r>
      <w:proofErr w:type="spellEnd"/>
      <w:r>
        <w:t xml:space="preserve"> et al., 2024).</w:t>
      </w:r>
    </w:p>
    <w:p w14:paraId="5D43043C" w14:textId="45F4DF76" w:rsidR="007D5061" w:rsidRDefault="00000000">
      <w:r w:rsidRPr="008700B9">
        <w:rPr>
          <w:b/>
          <w:bCs/>
        </w:rPr>
        <w:t>Proprietary syrup formula:</w:t>
      </w:r>
      <w:r>
        <w:t xml:space="preserve"> The proprietary formula used by Coca-Cola to make syrup is at the heart of its flagship product</w:t>
      </w:r>
      <w:r w:rsidR="007D371F">
        <w:t>'</w:t>
      </w:r>
      <w:r>
        <w:t>s intellectual property. Confidentiality and exclusivity of this formula require a high degree of strategic control</w:t>
      </w:r>
      <w:r w:rsidR="007D371F">
        <w:t>;</w:t>
      </w:r>
      <w:r>
        <w:t xml:space="preserve"> infringement of secrecy or discrepancy in its application may harm the brand internationally (Zheng, 2023).</w:t>
      </w:r>
    </w:p>
    <w:p w14:paraId="6F064D0F" w14:textId="13F3DAAF" w:rsidR="007D5061" w:rsidRDefault="00000000" w:rsidP="00A609C5">
      <w:r w:rsidRPr="008700B9">
        <w:rPr>
          <w:b/>
          <w:bCs/>
        </w:rPr>
        <w:t>Marketing capabilities:</w:t>
      </w:r>
      <w:r>
        <w:t xml:space="preserve"> The advanced marketing capability of </w:t>
      </w:r>
      <w:r w:rsidR="007D371F">
        <w:t>Coca-C</w:t>
      </w:r>
      <w:r>
        <w:t xml:space="preserve">ola </w:t>
      </w:r>
      <w:r w:rsidR="007D371F">
        <w:t>enables it to</w:t>
      </w:r>
      <w:r>
        <w:t xml:space="preserve"> attract Brazilian consumers with intensive global promotions and experience in sport sponsorship, experience marketing, and promotion during festivals (Zhang, 2024).</w:t>
      </w:r>
    </w:p>
    <w:p w14:paraId="0527C559" w14:textId="77777777" w:rsidR="004B4F17" w:rsidRDefault="00000000" w:rsidP="00A609C5">
      <w:r>
        <w:t>Coca-Cola also has high R</w:t>
      </w:r>
      <w:r w:rsidR="008700B9">
        <w:t>&amp;</w:t>
      </w:r>
      <w:r>
        <w:t xml:space="preserve">D and a lot of financial strength that enables it to bring in variations in products, packaging styles and invest in massive marketing campaigns and distribution networks (Chan, 2025). </w:t>
      </w:r>
    </w:p>
    <w:p w14:paraId="26E3504E" w14:textId="566810B5" w:rsidR="004B4F17" w:rsidRPr="004B4F17" w:rsidRDefault="004B4F17" w:rsidP="00A609C5">
      <w:pPr>
        <w:rPr>
          <w:b/>
          <w:bCs/>
        </w:rPr>
      </w:pPr>
      <w:r w:rsidRPr="004B4F17">
        <w:rPr>
          <w:b/>
          <w:bCs/>
        </w:rPr>
        <w:lastRenderedPageBreak/>
        <w:t xml:space="preserve">Impact on entry mode in Brazil: </w:t>
      </w:r>
    </w:p>
    <w:p w14:paraId="5FC71B6E" w14:textId="536D65B2" w:rsidR="007D5061" w:rsidRDefault="00000000" w:rsidP="00A609C5">
      <w:r>
        <w:t>All these advantages in ownership necessitate an entry mode that would enable Coca-Cola to have some control of the core strategic functions without compromising on local knowledge in distribution and operations.</w:t>
      </w:r>
      <w:r w:rsidR="004B4F17">
        <w:t xml:space="preserve"> Thus, joint venture or franchising of bottling in Brazil was a right choice for Coca Cola to expand in Brazil. </w:t>
      </w:r>
    </w:p>
    <w:p w14:paraId="747422D9" w14:textId="2EF7ABC7" w:rsidR="007D5061" w:rsidRDefault="00612357" w:rsidP="00612357">
      <w:pPr>
        <w:pStyle w:val="Heading2"/>
      </w:pPr>
      <w:bookmarkStart w:id="14" w:name="_Toc216561803"/>
      <w:r>
        <w:t>3.2 Location advantages:</w:t>
      </w:r>
      <w:bookmarkEnd w:id="14"/>
    </w:p>
    <w:p w14:paraId="2669E182" w14:textId="230F1F4F" w:rsidR="007D5061" w:rsidRDefault="004B4F17">
      <w:r>
        <w:t>Location advantages refer to factors that make a location or country attractive or suitable for investment and operations (Dunning, 2015). Brazil has some location specifications that attracted Coca-Cola to international investment in this country.</w:t>
      </w:r>
    </w:p>
    <w:p w14:paraId="46FD09AC" w14:textId="1B3EBB84" w:rsidR="007D5061" w:rsidRDefault="00000000">
      <w:r w:rsidRPr="00523593">
        <w:rPr>
          <w:b/>
          <w:bCs/>
        </w:rPr>
        <w:t>Large</w:t>
      </w:r>
      <w:r w:rsidR="004B4F17">
        <w:rPr>
          <w:b/>
          <w:bCs/>
        </w:rPr>
        <w:t xml:space="preserve"> and growing</w:t>
      </w:r>
      <w:r w:rsidRPr="00523593">
        <w:rPr>
          <w:b/>
          <w:bCs/>
        </w:rPr>
        <w:t xml:space="preserve"> market:</w:t>
      </w:r>
      <w:r>
        <w:t xml:space="preserve"> The large population and growth in the middle class of Brazil imply that there</w:t>
      </w:r>
      <w:r w:rsidR="007D371F">
        <w:t xml:space="preserve"> is</w:t>
      </w:r>
      <w:r>
        <w:t xml:space="preserve"> high demand </w:t>
      </w:r>
      <w:r w:rsidR="007D371F">
        <w:t>for</w:t>
      </w:r>
      <w:r>
        <w:t xml:space="preserve"> fast-moving consumer goods</w:t>
      </w:r>
      <w:r w:rsidR="007D371F">
        <w:t>,</w:t>
      </w:r>
      <w:r>
        <w:t xml:space="preserve"> including soft drinks (Bluml, 2025). The favourable climate supplements this demographic advantage, as the tropical and subtropical territories are creating year-round demand </w:t>
      </w:r>
      <w:r w:rsidR="007D371F">
        <w:t>for</w:t>
      </w:r>
      <w:r>
        <w:t xml:space="preserve"> cold drinks. It seems that the soft drinks market in Brazil will have </w:t>
      </w:r>
      <w:r w:rsidR="007D371F">
        <w:t>a</w:t>
      </w:r>
      <w:r>
        <w:t xml:space="preserve"> growth rate of 5.62 through the 2025 to 2033 period (Blake, 2025).</w:t>
      </w:r>
    </w:p>
    <w:p w14:paraId="7468F654" w14:textId="77777777" w:rsidR="007D5061" w:rsidRDefault="00000000">
      <w:pPr>
        <w:keepNext/>
        <w:jc w:val="center"/>
      </w:pPr>
      <w:r>
        <w:rPr>
          <w:noProof/>
        </w:rPr>
        <w:drawing>
          <wp:inline distT="0" distB="0" distL="0" distR="0" wp14:anchorId="19C19870" wp14:editId="64921FE8">
            <wp:extent cx="4771459" cy="3143250"/>
            <wp:effectExtent l="0" t="0" r="0" b="0"/>
            <wp:docPr id="1215100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100605" name="Picture 1"/>
                    <pic:cNvPicPr>
                      <a:picLocks noChangeAspect="1"/>
                    </pic:cNvPicPr>
                  </pic:nvPicPr>
                  <pic:blipFill>
                    <a:blip r:embed="rId13"/>
                    <a:stretch>
                      <a:fillRect/>
                    </a:stretch>
                  </pic:blipFill>
                  <pic:spPr>
                    <a:xfrm>
                      <a:off x="0" y="0"/>
                      <a:ext cx="4776331" cy="3146460"/>
                    </a:xfrm>
                    <a:prstGeom prst="rect">
                      <a:avLst/>
                    </a:prstGeom>
                  </pic:spPr>
                </pic:pic>
              </a:graphicData>
            </a:graphic>
          </wp:inline>
        </w:drawing>
      </w:r>
    </w:p>
    <w:p w14:paraId="79BEF577" w14:textId="77777777" w:rsidR="007D5061" w:rsidRDefault="00000000">
      <w:pPr>
        <w:pStyle w:val="Caption"/>
        <w:jc w:val="center"/>
        <w:rPr>
          <w:lang w:val="en-US"/>
        </w:rPr>
      </w:pPr>
      <w:bookmarkStart w:id="15" w:name="_Toc216511255"/>
      <w:bookmarkStart w:id="16" w:name="_Toc216561851"/>
      <w:r>
        <w:t xml:space="preserve">Figure </w:t>
      </w:r>
      <w:fldSimple w:instr=" SEQ Figure \* ARABIC ">
        <w:r w:rsidR="007D5061">
          <w:t>4</w:t>
        </w:r>
      </w:fldSimple>
      <w:r>
        <w:rPr>
          <w:lang w:val="en-US"/>
        </w:rPr>
        <w:t>: Brazil's soft drink market size projection</w:t>
      </w:r>
      <w:bookmarkEnd w:id="15"/>
      <w:bookmarkEnd w:id="16"/>
    </w:p>
    <w:p w14:paraId="2DDBC74C" w14:textId="77777777" w:rsidR="007D5061" w:rsidRDefault="00000000">
      <w:pPr>
        <w:jc w:val="center"/>
        <w:rPr>
          <w:sz w:val="20"/>
          <w:szCs w:val="18"/>
          <w:lang w:val="en-US"/>
        </w:rPr>
      </w:pPr>
      <w:r>
        <w:rPr>
          <w:sz w:val="20"/>
          <w:szCs w:val="18"/>
          <w:lang w:val="en-US"/>
        </w:rPr>
        <w:t>Source: (Blake, 2025)</w:t>
      </w:r>
    </w:p>
    <w:p w14:paraId="63798C31" w14:textId="5C502D30" w:rsidR="007D5061" w:rsidRDefault="00000000">
      <w:r w:rsidRPr="00523593">
        <w:rPr>
          <w:b/>
          <w:bCs/>
        </w:rPr>
        <w:lastRenderedPageBreak/>
        <w:t>Cost efficiency:</w:t>
      </w:r>
      <w:r>
        <w:t xml:space="preserve"> Brazil also offers cheaper costs of production and labour</w:t>
      </w:r>
      <w:r w:rsidR="007D371F">
        <w:t>,</w:t>
      </w:r>
      <w:r>
        <w:t xml:space="preserve"> especially in agricultural products like sugar, a major component of the Coca-Cola products (Ponczek and </w:t>
      </w:r>
      <w:proofErr w:type="spellStart"/>
      <w:r>
        <w:t>Ulyssea</w:t>
      </w:r>
      <w:proofErr w:type="spellEnd"/>
      <w:r>
        <w:t xml:space="preserve">, 2022). </w:t>
      </w:r>
      <w:r w:rsidR="007D371F">
        <w:t>The existence of</w:t>
      </w:r>
      <w:r>
        <w:t xml:space="preserve"> domestic sugar production will eliminate reliance on imports and reduce fluctuations in costs.</w:t>
      </w:r>
    </w:p>
    <w:p w14:paraId="49042EFC" w14:textId="2B55DC25" w:rsidR="007D5061" w:rsidRDefault="00000000">
      <w:r w:rsidRPr="00523593">
        <w:rPr>
          <w:b/>
          <w:bCs/>
        </w:rPr>
        <w:t>Favourable regulations:</w:t>
      </w:r>
      <w:r>
        <w:t xml:space="preserve"> The government incentives and trade policies provided in Brazil specifically to support foreign direct investment, manufacturing, and local bottling operations have been in existence over the years (Titi, 2016). Such policies also enhance the appeal of setting up long</w:t>
      </w:r>
      <w:r w:rsidR="007D371F">
        <w:t>-</w:t>
      </w:r>
      <w:r>
        <w:t>term operations in the country.</w:t>
      </w:r>
    </w:p>
    <w:p w14:paraId="408B44B3" w14:textId="17EB4E5C" w:rsidR="007D5061" w:rsidRDefault="00000000">
      <w:r w:rsidRPr="00523593">
        <w:rPr>
          <w:b/>
          <w:bCs/>
        </w:rPr>
        <w:t>Infrastructure:</w:t>
      </w:r>
      <w:r>
        <w:t xml:space="preserve"> The distribution potential in Brazil is high because of its rising urban centres, an increase in its retail sector, and </w:t>
      </w:r>
      <w:r w:rsidR="007D371F">
        <w:t xml:space="preserve">a </w:t>
      </w:r>
      <w:r>
        <w:t>higher number of supermarkets, convenience stores, and local vendors (Amann et al., 2016). Nevertheless, the geography and the inequalities experienced in Brazil demand an intense local knowledge to deal with distribution.</w:t>
      </w:r>
    </w:p>
    <w:p w14:paraId="2A977321" w14:textId="77777777" w:rsidR="004B4F17" w:rsidRPr="004B4F17" w:rsidRDefault="004B4F17" w:rsidP="004B4F17">
      <w:pPr>
        <w:rPr>
          <w:b/>
          <w:bCs/>
        </w:rPr>
      </w:pPr>
      <w:r w:rsidRPr="004B4F17">
        <w:rPr>
          <w:b/>
          <w:bCs/>
        </w:rPr>
        <w:t xml:space="preserve">Impact on entry mode in Brazil: </w:t>
      </w:r>
    </w:p>
    <w:p w14:paraId="39D767FC" w14:textId="2642DF57" w:rsidR="007D5061" w:rsidRDefault="00000000">
      <w:r>
        <w:t>These location benefits prompted Coca-Cola to work with long-established local collaborators that could overcome logistics and cross-cultural aspects much quicker than a complete centralised system would.</w:t>
      </w:r>
      <w:r w:rsidR="004B4F17">
        <w:t xml:space="preserve"> Thus, joint venture with local firms and franchising of distribution strategy proved to be an effective entry mode decision in Brazil. </w:t>
      </w:r>
    </w:p>
    <w:p w14:paraId="17BD0A09" w14:textId="392C222A" w:rsidR="007D5061" w:rsidRDefault="00612357" w:rsidP="00612357">
      <w:pPr>
        <w:pStyle w:val="Heading2"/>
      </w:pPr>
      <w:bookmarkStart w:id="17" w:name="_Toc216561804"/>
      <w:r>
        <w:t>3.3 Internationalisation advantages:</w:t>
      </w:r>
      <w:bookmarkEnd w:id="17"/>
    </w:p>
    <w:p w14:paraId="4A36CCCB" w14:textId="3935B97E" w:rsidR="007D5061" w:rsidRDefault="004B4F17">
      <w:r>
        <w:t>Internalisation means control over specific operations or resources of a company to protect their quality or uniqueness (Dunning, 2015). For example, proprietary syrup of Coca Cola is an asset that needs internalisation. The internalisation benefits are very important in justifying why Coca-Cola maintained some operations in the company, and outsourced others.</w:t>
      </w:r>
    </w:p>
    <w:p w14:paraId="335B5333" w14:textId="0E174942" w:rsidR="007D5061" w:rsidRDefault="00000000">
      <w:r w:rsidRPr="004B4F17">
        <w:rPr>
          <w:b/>
          <w:bCs/>
        </w:rPr>
        <w:t>Control over formula and brand image:</w:t>
      </w:r>
      <w:r>
        <w:t xml:space="preserve"> Coca-Cola was focused on securing its control over the form of the concentrate formula and brand image, which are the core of its competitive advantage (</w:t>
      </w:r>
      <w:r w:rsidR="007D371F">
        <w:t>Coca-Cola</w:t>
      </w:r>
      <w:r>
        <w:t>, 2014). Internalisation of produc</w:t>
      </w:r>
      <w:r w:rsidR="007D371F">
        <w:t>tion</w:t>
      </w:r>
      <w:r>
        <w:t xml:space="preserve"> made the company guard its intellectual property as well as maintain uniformit</w:t>
      </w:r>
      <w:r w:rsidR="007D371F">
        <w:t>y</w:t>
      </w:r>
      <w:r>
        <w:t xml:space="preserve"> in product quality </w:t>
      </w:r>
      <w:r w:rsidR="007D371F">
        <w:t>across</w:t>
      </w:r>
      <w:r>
        <w:t xml:space="preserve"> all its activities in Brazilian bottling (Hill, 2023).</w:t>
      </w:r>
    </w:p>
    <w:p w14:paraId="5193A1FE" w14:textId="07EF9D07" w:rsidR="007D5061" w:rsidRDefault="00000000">
      <w:r w:rsidRPr="004B4F17">
        <w:rPr>
          <w:b/>
          <w:bCs/>
        </w:rPr>
        <w:lastRenderedPageBreak/>
        <w:t>Quality assurance:</w:t>
      </w:r>
      <w:r>
        <w:t xml:space="preserve"> The global quality assurance processes were internalised in Coca-Cola, which made sure that all products produced in Brazil were up to international standards (Rahmah et al., 2015). Such functionality is necessary in a brand whose taste and presentation </w:t>
      </w:r>
      <w:r w:rsidR="007D371F">
        <w:t>are</w:t>
      </w:r>
      <w:r>
        <w:t xml:space="preserve"> mostly standard.</w:t>
      </w:r>
    </w:p>
    <w:p w14:paraId="53D2FFC6" w14:textId="77777777" w:rsidR="004B4F17" w:rsidRPr="004B4F17" w:rsidRDefault="004B4F17" w:rsidP="004B4F17">
      <w:pPr>
        <w:rPr>
          <w:b/>
          <w:bCs/>
        </w:rPr>
      </w:pPr>
      <w:r w:rsidRPr="004B4F17">
        <w:rPr>
          <w:b/>
          <w:bCs/>
        </w:rPr>
        <w:t xml:space="preserve">Impact on entry mode in Brazil: </w:t>
      </w:r>
    </w:p>
    <w:p w14:paraId="27BA7EA4" w14:textId="27EC8108" w:rsidR="007D5061" w:rsidRDefault="00000000">
      <w:r>
        <w:t xml:space="preserve">Coca-Cola was able to enjoy considerable gains in its efficiencies because of </w:t>
      </w:r>
      <w:r w:rsidR="007D371F">
        <w:t xml:space="preserve">the </w:t>
      </w:r>
      <w:r>
        <w:t>externalisation of the bottling activities to local subsidiaries and franchise bottlers like Coca-Cola FEMSA (</w:t>
      </w:r>
      <w:r w:rsidR="007D371F">
        <w:t>Coca-Cola</w:t>
      </w:r>
      <w:r>
        <w:t xml:space="preserve">, 2024). </w:t>
      </w:r>
    </w:p>
    <w:p w14:paraId="38992C99" w14:textId="3961CA3B" w:rsidR="007D5061" w:rsidRDefault="00000000">
      <w:r>
        <w:t xml:space="preserve">This has given a balance in </w:t>
      </w:r>
      <w:r w:rsidRPr="00A609C5">
        <w:t>internalising strategic functions and externalising the operational functions</w:t>
      </w:r>
      <w:r w:rsidR="007D371F">
        <w:t>,</w:t>
      </w:r>
      <w:r w:rsidRPr="00A609C5">
        <w:t xml:space="preserve"> enabling Coca-Cola to maximise costs, minimise risks and guarantee that there is availability of the products across the various areas of Brazil.</w:t>
      </w:r>
    </w:p>
    <w:p w14:paraId="6750CD4F" w14:textId="3B772BAA" w:rsidR="007D5061" w:rsidRDefault="00A51994" w:rsidP="00A51994">
      <w:pPr>
        <w:pStyle w:val="Heading2"/>
      </w:pPr>
      <w:bookmarkStart w:id="18" w:name="_Toc216561805"/>
      <w:r>
        <w:t>4.3 Impact on Entry Mode Choice</w:t>
      </w:r>
      <w:r w:rsidR="004B4F17">
        <w:t xml:space="preserve"> and potential for success</w:t>
      </w:r>
      <w:r>
        <w:t>:</w:t>
      </w:r>
      <w:bookmarkEnd w:id="18"/>
      <w:r>
        <w:t xml:space="preserve"> </w:t>
      </w:r>
    </w:p>
    <w:p w14:paraId="21E146D6" w14:textId="76B5E435" w:rsidR="007D5061" w:rsidRDefault="00000000">
      <w:r>
        <w:t>The combination of Ownership, Location, and Internalisation advantages had a direct impact on the entry mode adopted by Coca-Cola in Brazil. The high ownership benefits</w:t>
      </w:r>
      <w:r w:rsidR="007D371F">
        <w:t>,</w:t>
      </w:r>
      <w:r>
        <w:t xml:space="preserve"> especially brand strength, marketing</w:t>
      </w:r>
      <w:r w:rsidR="007D371F">
        <w:t xml:space="preserve"> capabilities, and </w:t>
      </w:r>
      <w:r>
        <w:t>proprietary formulas</w:t>
      </w:r>
      <w:r w:rsidR="007D371F">
        <w:t>,</w:t>
      </w:r>
      <w:r>
        <w:t xml:space="preserve"> meant that Coca-Cola had to pursue an entry mode that would give it significant control (</w:t>
      </w:r>
      <w:proofErr w:type="spellStart"/>
      <w:r>
        <w:t>Batschauer</w:t>
      </w:r>
      <w:proofErr w:type="spellEnd"/>
      <w:r>
        <w:t xml:space="preserve"> da Cruz et al., 2022). This is the reason why Coca-Cola internalised the production of concentrate and branding to wholly owned subsidiaries that marketed and made strategic decisions.</w:t>
      </w:r>
    </w:p>
    <w:p w14:paraId="5A67523D" w14:textId="267618E8" w:rsidR="007D5061" w:rsidRDefault="00000000" w:rsidP="00A609C5">
      <w:r>
        <w:t>Simultaneously, Brazil</w:t>
      </w:r>
      <w:r w:rsidR="007D371F">
        <w:t>'s</w:t>
      </w:r>
      <w:r>
        <w:t xml:space="preserve"> location strengths, specifically, large scale, favourable climate, and well-established agricultural foundation</w:t>
      </w:r>
      <w:r w:rsidR="007D371F">
        <w:t>,</w:t>
      </w:r>
      <w:r>
        <w:t xml:space="preserve"> prompted Coca-Cola to depend on franchising and </w:t>
      </w:r>
      <w:proofErr w:type="gramStart"/>
      <w:r>
        <w:t>joint partnership</w:t>
      </w:r>
      <w:proofErr w:type="gramEnd"/>
      <w:r>
        <w:t xml:space="preserve"> with local bottlers (Bluml, 2025). Local partners provided important expertise on distribution channels, local preferences, and logistical issues. Franchising allowed Coca-Cola to access core strategic resources and minimise financial and operational risks of expanding into a geographically diversified and economically unstable market, such as Brazil (Wild and Wild, 2023).</w:t>
      </w:r>
    </w:p>
    <w:p w14:paraId="26535A94" w14:textId="3418F2BE" w:rsidR="007D5061" w:rsidRDefault="00000000">
      <w:r>
        <w:t>This hybrid model was further strengthened by the internalisation benefits. The necessity to have a high level of quality and uniformity of the product took the company towards internalisation of the concentrate production (</w:t>
      </w:r>
      <w:r w:rsidR="007D371F">
        <w:t>Coca-Cola</w:t>
      </w:r>
      <w:r>
        <w:t xml:space="preserve">, 2024), yet reduction of costs </w:t>
      </w:r>
      <w:r>
        <w:lastRenderedPageBreak/>
        <w:t>and efficiency in operations compelled the company to externalise the bottling and distribution (Hill, 2023).</w:t>
      </w:r>
      <w:r>
        <w:br w:type="page"/>
      </w:r>
    </w:p>
    <w:p w14:paraId="66C6AFA3" w14:textId="53EAEBE2" w:rsidR="007D5061" w:rsidRDefault="00000000">
      <w:pPr>
        <w:pStyle w:val="Heading1"/>
      </w:pPr>
      <w:bookmarkStart w:id="19" w:name="_Toc216561806"/>
      <w:r>
        <w:lastRenderedPageBreak/>
        <w:t xml:space="preserve">4. Cultural differences between </w:t>
      </w:r>
      <w:r w:rsidR="007D371F">
        <w:t xml:space="preserve">the </w:t>
      </w:r>
      <w:r>
        <w:t>USA and Brazil and their impacts on entry mode and potential for success</w:t>
      </w:r>
      <w:bookmarkEnd w:id="19"/>
    </w:p>
    <w:p w14:paraId="6F4CF22E" w14:textId="78BC2BC2" w:rsidR="007D5061" w:rsidRDefault="00000000">
      <w:r>
        <w:t xml:space="preserve">The cultural variations between the home country and the host country </w:t>
      </w:r>
      <w:r w:rsidR="007D371F">
        <w:t>hav</w:t>
      </w:r>
      <w:r>
        <w:t xml:space="preserve">e critical implications </w:t>
      </w:r>
      <w:r w:rsidR="007D371F">
        <w:t>for</w:t>
      </w:r>
      <w:r>
        <w:t xml:space="preserve"> international expansion mode, and they determine the success of the business in the long</w:t>
      </w:r>
      <w:r w:rsidR="007D371F">
        <w:t xml:space="preserve"> </w:t>
      </w:r>
      <w:r>
        <w:t>term (Daniels et al., 2021). In this case, cultural dimensions between the USA and Brazil are examined with the help of Hofstede</w:t>
      </w:r>
      <w:r w:rsidR="007D371F">
        <w:t>'s</w:t>
      </w:r>
      <w:r>
        <w:t xml:space="preserve"> dimensions:</w:t>
      </w:r>
    </w:p>
    <w:p w14:paraId="75F3B31D" w14:textId="65E79CC6" w:rsidR="007D5061" w:rsidRDefault="00000000">
      <w:pPr>
        <w:pStyle w:val="Heading2"/>
      </w:pPr>
      <w:bookmarkStart w:id="20" w:name="_Toc216561807"/>
      <w:r>
        <w:t xml:space="preserve">4.1 Hofstede’s cultural dimension of </w:t>
      </w:r>
      <w:r w:rsidR="007D371F">
        <w:t xml:space="preserve">the </w:t>
      </w:r>
      <w:r>
        <w:t>USA and Brazil</w:t>
      </w:r>
      <w:bookmarkEnd w:id="20"/>
    </w:p>
    <w:p w14:paraId="212B48A9" w14:textId="77777777" w:rsidR="007D5061" w:rsidRDefault="00000000">
      <w:pPr>
        <w:keepNext/>
      </w:pPr>
      <w:r>
        <w:rPr>
          <w:noProof/>
        </w:rPr>
        <w:drawing>
          <wp:inline distT="0" distB="0" distL="0" distR="0" wp14:anchorId="640799D1" wp14:editId="12A4C3D7">
            <wp:extent cx="5943600" cy="3340100"/>
            <wp:effectExtent l="0" t="0" r="0" b="0"/>
            <wp:docPr id="1689855251" name="Picture 1"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855251" name="Picture 1" descr="A graph of a number of people&#10;&#10;AI-generated content may be incorrect."/>
                    <pic:cNvPicPr>
                      <a:picLocks noChangeAspect="1"/>
                    </pic:cNvPicPr>
                  </pic:nvPicPr>
                  <pic:blipFill>
                    <a:blip r:embed="rId14"/>
                    <a:stretch>
                      <a:fillRect/>
                    </a:stretch>
                  </pic:blipFill>
                  <pic:spPr>
                    <a:xfrm>
                      <a:off x="0" y="0"/>
                      <a:ext cx="5943600" cy="3340100"/>
                    </a:xfrm>
                    <a:prstGeom prst="rect">
                      <a:avLst/>
                    </a:prstGeom>
                  </pic:spPr>
                </pic:pic>
              </a:graphicData>
            </a:graphic>
          </wp:inline>
        </w:drawing>
      </w:r>
    </w:p>
    <w:p w14:paraId="148F4F3E" w14:textId="77777777" w:rsidR="007D5061" w:rsidRDefault="00000000">
      <w:pPr>
        <w:pStyle w:val="Caption"/>
        <w:jc w:val="center"/>
        <w:rPr>
          <w:lang w:val="en-US"/>
        </w:rPr>
      </w:pPr>
      <w:bookmarkStart w:id="21" w:name="_Toc216511256"/>
      <w:bookmarkStart w:id="22" w:name="_Toc216561852"/>
      <w:r>
        <w:t xml:space="preserve">Figure </w:t>
      </w:r>
      <w:fldSimple w:instr=" SEQ Figure \* ARABIC ">
        <w:r w:rsidR="007D5061">
          <w:t>5</w:t>
        </w:r>
      </w:fldSimple>
      <w:r>
        <w:rPr>
          <w:lang w:val="en-US"/>
        </w:rPr>
        <w:t>: Hofstede's Cultural Dimension comparison</w:t>
      </w:r>
      <w:bookmarkEnd w:id="21"/>
      <w:bookmarkEnd w:id="22"/>
    </w:p>
    <w:p w14:paraId="58DFBAD0" w14:textId="77777777" w:rsidR="007D5061" w:rsidRPr="00A51994" w:rsidRDefault="00000000">
      <w:pPr>
        <w:jc w:val="center"/>
        <w:rPr>
          <w:sz w:val="20"/>
          <w:szCs w:val="18"/>
          <w:lang w:val="en-US"/>
        </w:rPr>
      </w:pPr>
      <w:r w:rsidRPr="00A51994">
        <w:rPr>
          <w:sz w:val="20"/>
          <w:szCs w:val="18"/>
          <w:lang w:val="en-US"/>
        </w:rPr>
        <w:t>Source: (The Culture Factor, 2025)</w:t>
      </w:r>
    </w:p>
    <w:p w14:paraId="1A0EADBC" w14:textId="77777777" w:rsidR="007D5061" w:rsidRDefault="00000000">
      <w:pPr>
        <w:rPr>
          <w:b/>
          <w:bCs/>
        </w:rPr>
      </w:pPr>
      <w:r>
        <w:rPr>
          <w:b/>
          <w:bCs/>
        </w:rPr>
        <w:t xml:space="preserve">Power Distance: </w:t>
      </w:r>
    </w:p>
    <w:p w14:paraId="402BB58D" w14:textId="2E6EB34E" w:rsidR="007D5061" w:rsidRDefault="00000000">
      <w:r>
        <w:t>The score of Brazil in terms of power distance is 69. It means that power distances are accepted, authority is respected, and centrali</w:t>
      </w:r>
      <w:r w:rsidR="007D371F">
        <w:t>s</w:t>
      </w:r>
      <w:r>
        <w:t>ed decision-making is typical. The USA, in contrast, obtains a low score of 40 on power distance, which implies the presence of flatter structures, informality, and emphasis on empowerment (The Culture Factor, 2025). This brings about a cultur</w:t>
      </w:r>
      <w:r w:rsidR="007D371F">
        <w:t>al</w:t>
      </w:r>
      <w:r>
        <w:t xml:space="preserve"> disparity in the attitude towards power and leadership and the relationship of the company.</w:t>
      </w:r>
    </w:p>
    <w:p w14:paraId="67E0BB29" w14:textId="77777777" w:rsidR="007D5061" w:rsidRDefault="00000000">
      <w:pPr>
        <w:rPr>
          <w:b/>
          <w:bCs/>
        </w:rPr>
      </w:pPr>
      <w:r>
        <w:rPr>
          <w:b/>
          <w:bCs/>
        </w:rPr>
        <w:lastRenderedPageBreak/>
        <w:t xml:space="preserve">Individualism vs Collectivism: </w:t>
      </w:r>
    </w:p>
    <w:p w14:paraId="3379050A" w14:textId="1EEAFBAD" w:rsidR="007D5061" w:rsidRDefault="00000000">
      <w:r>
        <w:t>The score of the USA is 60</w:t>
      </w:r>
      <w:r w:rsidR="007D371F">
        <w:t>,</w:t>
      </w:r>
      <w:r>
        <w:t xml:space="preserve"> </w:t>
      </w:r>
      <w:r w:rsidR="007D371F">
        <w:t>which</w:t>
      </w:r>
      <w:r>
        <w:t xml:space="preserve"> points to a highly individualistic society whereby the premises of consumer decisions are positioned on personal success and independence (</w:t>
      </w:r>
      <w:proofErr w:type="spellStart"/>
      <w:r>
        <w:t>DeBode</w:t>
      </w:r>
      <w:proofErr w:type="spellEnd"/>
      <w:r>
        <w:t xml:space="preserve"> et al., 2020). Brazil</w:t>
      </w:r>
      <w:r w:rsidR="007D371F">
        <w:t>,</w:t>
      </w:r>
      <w:r>
        <w:t xml:space="preserve"> with a score of 36</w:t>
      </w:r>
      <w:r w:rsidR="007D371F">
        <w:t>,</w:t>
      </w:r>
      <w:r>
        <w:t xml:space="preserve"> is more collectivist, which means they give priority to family-related decisions, social belonging, and community influence (Fagundes and Damasceno, 2023). With Brazilian consumers, there is more dependence on social proof and group norms.</w:t>
      </w:r>
    </w:p>
    <w:p w14:paraId="44C30EC0" w14:textId="77777777" w:rsidR="007D5061" w:rsidRDefault="00000000">
      <w:pPr>
        <w:rPr>
          <w:b/>
          <w:bCs/>
        </w:rPr>
      </w:pPr>
      <w:r>
        <w:rPr>
          <w:b/>
          <w:bCs/>
        </w:rPr>
        <w:t xml:space="preserve">Masculinity/Femininity: </w:t>
      </w:r>
    </w:p>
    <w:p w14:paraId="0A19A57C" w14:textId="0544CB44" w:rsidR="007D5061" w:rsidRDefault="00000000">
      <w:r>
        <w:t xml:space="preserve">In the USA, the score is 62, which means that the culture is masculine with the focus on competition, achievement, and performance (Vasile, 2016). The score of 49 </w:t>
      </w:r>
      <w:r w:rsidR="007D371F">
        <w:t>for</w:t>
      </w:r>
      <w:r>
        <w:t xml:space="preserve"> Brazil is more balanced as it is a mixture of assertiveness and the value of quality</w:t>
      </w:r>
      <w:r w:rsidR="007D371F">
        <w:t xml:space="preserve"> of </w:t>
      </w:r>
      <w:r>
        <w:t>life (Fagundes and Damasceno, 2023). Brazilian marketing is more effective when it is geared towards emotional and social aspects and not pure competitiveness.</w:t>
      </w:r>
    </w:p>
    <w:p w14:paraId="14EE2F56" w14:textId="77777777" w:rsidR="007D5061" w:rsidRDefault="00000000">
      <w:pPr>
        <w:rPr>
          <w:b/>
          <w:bCs/>
        </w:rPr>
      </w:pPr>
      <w:r>
        <w:rPr>
          <w:b/>
          <w:bCs/>
        </w:rPr>
        <w:t xml:space="preserve">Uncertainty Avoidance: </w:t>
      </w:r>
    </w:p>
    <w:p w14:paraId="109AACF1" w14:textId="442A3AD9" w:rsidR="007D5061" w:rsidRDefault="00000000">
      <w:r>
        <w:t xml:space="preserve">According to Fagundes and Damasceno (2023), Brazil scored 76 in terms of uncertainty avoidance, which indicates high uncertainty avoidance, i.e., consumers value structure, reducing risks, and brands that they trust. A lower score of 46 </w:t>
      </w:r>
      <w:r w:rsidR="007D371F">
        <w:t>for</w:t>
      </w:r>
      <w:r>
        <w:t xml:space="preserve"> the USA suggests being more tolerant </w:t>
      </w:r>
      <w:r w:rsidR="007D371F">
        <w:t>of</w:t>
      </w:r>
      <w:r>
        <w:t xml:space="preserve"> ambiguity and innovation (</w:t>
      </w:r>
      <w:proofErr w:type="spellStart"/>
      <w:r>
        <w:t>DeBode</w:t>
      </w:r>
      <w:proofErr w:type="spellEnd"/>
      <w:r>
        <w:t xml:space="preserve"> et al., 2020). Consumers in Brazil would demand product facts and </w:t>
      </w:r>
      <w:r w:rsidR="007D371F">
        <w:t xml:space="preserve">a </w:t>
      </w:r>
      <w:r>
        <w:t>good brand reputation.</w:t>
      </w:r>
    </w:p>
    <w:p w14:paraId="18E963F5" w14:textId="77777777" w:rsidR="007D5061" w:rsidRDefault="00000000">
      <w:pPr>
        <w:rPr>
          <w:b/>
          <w:bCs/>
        </w:rPr>
      </w:pPr>
      <w:r>
        <w:rPr>
          <w:b/>
          <w:bCs/>
        </w:rPr>
        <w:t xml:space="preserve">Long-Term Orientation: </w:t>
      </w:r>
    </w:p>
    <w:p w14:paraId="4CAC6FA4" w14:textId="2FE838A3" w:rsidR="007D5061" w:rsidRDefault="00000000">
      <w:r>
        <w:t xml:space="preserve">Fagundes and Damasceno (2023) state that Brazil has scored 28, indicating a short-term orientation, preference </w:t>
      </w:r>
      <w:r w:rsidR="007D371F">
        <w:t>for</w:t>
      </w:r>
      <w:r>
        <w:t xml:space="preserve"> traditions, immediate outcomes, and normative behaviours. The USA is 50, which is a more pragmatic and progressive attitude (Vasile, 2016). Brazilian consumers will perceive radical change as less important than familiarity and existing brands.</w:t>
      </w:r>
    </w:p>
    <w:p w14:paraId="0E43C4EB" w14:textId="77777777" w:rsidR="007D5061" w:rsidRDefault="00000000">
      <w:pPr>
        <w:rPr>
          <w:b/>
          <w:bCs/>
        </w:rPr>
      </w:pPr>
      <w:r>
        <w:rPr>
          <w:b/>
          <w:bCs/>
        </w:rPr>
        <w:t xml:space="preserve">Indulgence: </w:t>
      </w:r>
    </w:p>
    <w:p w14:paraId="58E612C8" w14:textId="4ED38490" w:rsidR="007D5061" w:rsidRDefault="00000000">
      <w:r>
        <w:t>The two countr</w:t>
      </w:r>
      <w:r w:rsidR="007D371F">
        <w:t>ies’</w:t>
      </w:r>
      <w:r>
        <w:t xml:space="preserve"> scores are very high, with a slight difference in that </w:t>
      </w:r>
      <w:r w:rsidR="007D371F">
        <w:t xml:space="preserve">the </w:t>
      </w:r>
      <w:r>
        <w:t xml:space="preserve">USA (68) is a little more indulgent than Brazil (59). </w:t>
      </w:r>
      <w:r w:rsidRPr="00A51994">
        <w:t>The Brazilians have leisure and pleasure</w:t>
      </w:r>
      <w:r w:rsidR="007D371F" w:rsidRPr="00A51994">
        <w:t>-</w:t>
      </w:r>
      <w:r w:rsidRPr="00A51994">
        <w:t xml:space="preserve">based </w:t>
      </w:r>
      <w:r w:rsidRPr="00A51994">
        <w:lastRenderedPageBreak/>
        <w:t>consumption to a greater degree of social restraint. The indulgence tendency favo</w:t>
      </w:r>
      <w:r w:rsidR="007D371F" w:rsidRPr="00A51994">
        <w:t>u</w:t>
      </w:r>
      <w:r w:rsidRPr="00A51994">
        <w:t xml:space="preserve">rs the demand </w:t>
      </w:r>
      <w:r w:rsidR="007D371F" w:rsidRPr="00A51994">
        <w:t>for</w:t>
      </w:r>
      <w:r w:rsidRPr="00A51994">
        <w:t xml:space="preserve"> lifestyle products like soft drinks.</w:t>
      </w:r>
    </w:p>
    <w:p w14:paraId="0D6B7154" w14:textId="77777777" w:rsidR="007D5061" w:rsidRDefault="00000000">
      <w:pPr>
        <w:pStyle w:val="Heading2"/>
      </w:pPr>
      <w:bookmarkStart w:id="23" w:name="_Toc216561808"/>
      <w:r>
        <w:t>4.2 Impact of Cultural differences on entry mode</w:t>
      </w:r>
      <w:bookmarkEnd w:id="23"/>
      <w:r>
        <w:t xml:space="preserve"> </w:t>
      </w:r>
    </w:p>
    <w:p w14:paraId="6BB88939" w14:textId="7599BEA9" w:rsidR="00E24D05" w:rsidRDefault="00A609C5" w:rsidP="00A609C5">
      <w:r>
        <w:t xml:space="preserve">The question of cultural differences between the USA and Brazil is a key influencer of the best entry mode to operate in </w:t>
      </w:r>
      <w:r w:rsidR="007D371F">
        <w:t xml:space="preserve">the </w:t>
      </w:r>
      <w:r>
        <w:t>Brazilian market</w:t>
      </w:r>
      <w:r w:rsidR="00E24D05">
        <w:t xml:space="preserve">: </w:t>
      </w:r>
    </w:p>
    <w:p w14:paraId="2D1C394A" w14:textId="3BE56DF8" w:rsidR="00E24D05" w:rsidRDefault="00A609C5" w:rsidP="00A609C5">
      <w:r>
        <w:t xml:space="preserve">The fact that Brazil has the highest power distance (69) in contrast to the USA (40) shows that hierarchy and authority are more easily accepted in the society (Wild and Wild, 2023). Low-individualism score of Brazil (36) in comparison with the USA (60) has indicated </w:t>
      </w:r>
      <w:r w:rsidR="007D371F">
        <w:t xml:space="preserve">a </w:t>
      </w:r>
      <w:r>
        <w:t>collectivism orientation in which trust, long-term relations, and the network of communities serve as the major concern in business operations (Nery-</w:t>
      </w:r>
      <w:proofErr w:type="spellStart"/>
      <w:r>
        <w:t>Kjerfve</w:t>
      </w:r>
      <w:proofErr w:type="spellEnd"/>
      <w:r>
        <w:t xml:space="preserve"> and McLean, 2015). The favoured entry modes through such cultural traits are based on close local intermediaries like franchising or partnerships since local partners are better positioned to negotiate hierarchical business structures, marketing channels with the governmental agencies, and dealing with labour relation</w:t>
      </w:r>
      <w:r w:rsidR="007D371F">
        <w:t>s</w:t>
      </w:r>
      <w:r>
        <w:t xml:space="preserve"> in a congruent way (Collinson et al., 2020). </w:t>
      </w:r>
    </w:p>
    <w:p w14:paraId="44576E51" w14:textId="77777777" w:rsidR="00E24D05" w:rsidRDefault="00A609C5" w:rsidP="00A609C5">
      <w:r>
        <w:t xml:space="preserve">It is only the much larger uncertainty avoidance in Brazil (76) than the USA (46) that further shapes the entry mode choice because it provides a business setting that is inclined towards stability, clarity of processes, and sharing risks (Fagundes and Damasceno, 2023).In these cultures, companies tend to choose an entry mode, which is cooperative, in which the risk, regulation and market uncertainty may be shared among the partners (Collinson et al., 2020). </w:t>
      </w:r>
    </w:p>
    <w:p w14:paraId="673F4E91" w14:textId="2ECE8880" w:rsidR="00A609C5" w:rsidRDefault="00A609C5" w:rsidP="00A609C5">
      <w:r>
        <w:t>In terms of masculinity/femininity, the lower score of Brazil (49) in comparison with the higher score of the USA (62) implies that the importance of cooperation, establishing relationships, and valuing the community more significantly affects Brazil than aggressive competition or performance indicators (Vasile, 2016). This encourages Coca-Cola to come in via the means that advance collaborative methods to further strengthen franchising and alliance-based forms, which allow greater associations with local labour, distributors and community interests.</w:t>
      </w:r>
    </w:p>
    <w:p w14:paraId="6EE7D122" w14:textId="77777777" w:rsidR="00E24D05" w:rsidRDefault="00A609C5" w:rsidP="00A609C5">
      <w:r>
        <w:t>The lower score of 28 on short-term orientation of Brazil as compared to 50 on short-term orientation of the USA indicates that Brazil embraces short</w:t>
      </w:r>
      <w:r w:rsidR="007D371F">
        <w:t>-</w:t>
      </w:r>
      <w:r>
        <w:t xml:space="preserve">term outcomes and programs </w:t>
      </w:r>
      <w:r>
        <w:lastRenderedPageBreak/>
        <w:t>that have been tested as opposed to long-term experimentation. This cultural feature implies that tested and scalable entry modes</w:t>
      </w:r>
      <w:r w:rsidR="007D371F">
        <w:t>,</w:t>
      </w:r>
      <w:r>
        <w:t xml:space="preserve"> such as franchising</w:t>
      </w:r>
      <w:r w:rsidR="007D371F">
        <w:t>,</w:t>
      </w:r>
      <w:r>
        <w:t xml:space="preserve"> are more appropriate compared to modes with high investments</w:t>
      </w:r>
      <w:r w:rsidR="007D371F">
        <w:t>,</w:t>
      </w:r>
      <w:r>
        <w:t xml:space="preserve"> such as </w:t>
      </w:r>
      <w:proofErr w:type="gramStart"/>
      <w:r>
        <w:t>wholly-owned</w:t>
      </w:r>
      <w:proofErr w:type="gramEnd"/>
      <w:r>
        <w:t xml:space="preserve"> subsidiaries (Hill, 2023).</w:t>
      </w:r>
      <w:r w:rsidR="007D371F">
        <w:t xml:space="preserve"> </w:t>
      </w:r>
    </w:p>
    <w:p w14:paraId="45534FD6" w14:textId="77777777" w:rsidR="00E24D05" w:rsidRDefault="00A609C5" w:rsidP="00A609C5">
      <w:r>
        <w:t xml:space="preserve">Lastly, the </w:t>
      </w:r>
      <w:proofErr w:type="gramStart"/>
      <w:r>
        <w:t>fairly high</w:t>
      </w:r>
      <w:proofErr w:type="gramEnd"/>
      <w:r>
        <w:t xml:space="preserve"> score of lifestyle orientation (indulgence, 59) compared with that of </w:t>
      </w:r>
      <w:r w:rsidR="007D371F">
        <w:t xml:space="preserve">the </w:t>
      </w:r>
      <w:r>
        <w:t xml:space="preserve">USA (68) supports the demand </w:t>
      </w:r>
      <w:r w:rsidR="007D371F">
        <w:t>for</w:t>
      </w:r>
      <w:r>
        <w:t xml:space="preserve"> lifestyle</w:t>
      </w:r>
      <w:r w:rsidR="007D371F">
        <w:t>-</w:t>
      </w:r>
      <w:r>
        <w:t xml:space="preserve">oriented products like soft drinks. Yet, the relevance of culture in the promotions, festivals, and social events where localised marketing is essential is also increased by indulgence, where the strong local partners are required (Hill, 2023). </w:t>
      </w:r>
    </w:p>
    <w:p w14:paraId="49C8C252" w14:textId="23EC50D3" w:rsidR="00A609C5" w:rsidRDefault="00A609C5" w:rsidP="00A609C5">
      <w:r>
        <w:t>All in all, the cultural processes between the USA and Brazil orient Coca-Cola to the entry modes that would strike the balance between control and local embeddedness. The relationship</w:t>
      </w:r>
      <w:r w:rsidR="007D371F">
        <w:t>-</w:t>
      </w:r>
      <w:r>
        <w:t>based and hierarchy</w:t>
      </w:r>
      <w:r w:rsidR="007D371F">
        <w:t>-</w:t>
      </w:r>
      <w:r>
        <w:t>oriented business practice, risk aversion, collaboration and short-term orientation characteri</w:t>
      </w:r>
      <w:r w:rsidR="007D371F">
        <w:t>se</w:t>
      </w:r>
      <w:r>
        <w:t xml:space="preserve"> Brazil</w:t>
      </w:r>
      <w:r w:rsidR="007D371F">
        <w:t>,</w:t>
      </w:r>
      <w:r>
        <w:t xml:space="preserve"> and hence</w:t>
      </w:r>
      <w:r w:rsidR="007D371F">
        <w:t>,</w:t>
      </w:r>
      <w:r>
        <w:t xml:space="preserve"> the franchising with local bottlers and joint venture models are the most cultural</w:t>
      </w:r>
      <w:r w:rsidR="007D371F">
        <w:t>ly</w:t>
      </w:r>
      <w:r>
        <w:t xml:space="preserve"> appropriate modes of entry in Brazil. Such modes enable Coca-Cola to exercise brand and product control </w:t>
      </w:r>
      <w:proofErr w:type="gramStart"/>
      <w:r>
        <w:t>and also</w:t>
      </w:r>
      <w:proofErr w:type="gramEnd"/>
      <w:r>
        <w:t xml:space="preserve"> apply the social networking, cultural knowledge and relational approaches</w:t>
      </w:r>
      <w:r w:rsidR="00E24D05">
        <w:t>.</w:t>
      </w:r>
    </w:p>
    <w:p w14:paraId="24463BCB" w14:textId="6FAC8DCC" w:rsidR="007D5061" w:rsidRDefault="00000000">
      <w:pPr>
        <w:pStyle w:val="Heading2"/>
      </w:pPr>
      <w:bookmarkStart w:id="24" w:name="_Toc216561809"/>
      <w:r>
        <w:t>4.3 Impact on potential for success</w:t>
      </w:r>
      <w:bookmarkEnd w:id="24"/>
    </w:p>
    <w:p w14:paraId="19D171B4" w14:textId="6BDCA15D" w:rsidR="00A609C5" w:rsidRDefault="00A609C5" w:rsidP="00A609C5">
      <w:r>
        <w:t>The situation of Coca-Cola in Brazil is largely favourable due to the cultural profile of this country. Strong power distance adds more acceptance to the global brands but also necessitates good relationships with the regulators and the hierarchical institutions</w:t>
      </w:r>
      <w:r w:rsidR="007D371F">
        <w:t>,</w:t>
      </w:r>
      <w:r>
        <w:t xml:space="preserve"> which Coca-Cola </w:t>
      </w:r>
      <w:proofErr w:type="gramStart"/>
      <w:r>
        <w:t>is able to</w:t>
      </w:r>
      <w:proofErr w:type="gramEnd"/>
      <w:r>
        <w:t xml:space="preserve"> maintain efficiently with the local bottling partners (</w:t>
      </w:r>
      <w:r w:rsidR="007D371F">
        <w:t>Coca-Cola</w:t>
      </w:r>
      <w:r>
        <w:t>, 2024). The collectivist orientation of Brazil enhances the influence of community-based advertising, festival sponsorship, and promotion based on relationships, which reinforces brand loyalty in accordance with the cultural adaptation (Fagundes and Damasceno, 2023).</w:t>
      </w:r>
    </w:p>
    <w:p w14:paraId="57B31C8E" w14:textId="40D6FA55" w:rsidR="007D5061" w:rsidRDefault="00A609C5" w:rsidP="00A609C5">
      <w:r>
        <w:t>The high uncertainty avoidance is advantageous to Coca-</w:t>
      </w:r>
      <w:r w:rsidR="007D371F">
        <w:t>C</w:t>
      </w:r>
      <w:r>
        <w:t xml:space="preserve">ola as it requires strong supply chains and open communication due to product quality consistency. The advertising in Brazil with masculinity/femininity balance is an inclusive and socially oriented one, and Coca-Cola has been successful in this area through sports and cultural sponsorships </w:t>
      </w:r>
      <w:r>
        <w:lastRenderedPageBreak/>
        <w:t>(Nery-</w:t>
      </w:r>
      <w:proofErr w:type="spellStart"/>
      <w:r>
        <w:t>Kjerfve</w:t>
      </w:r>
      <w:proofErr w:type="spellEnd"/>
      <w:r>
        <w:t xml:space="preserve"> and McLean, 2015). The national undulation orientation of consumers towards promotional offers and seasonal campaigns is very low, which is in line with the dynamism in marketing offered by Coca-Cola. Lastly, high indulgence increases the demand </w:t>
      </w:r>
      <w:r w:rsidR="007D371F">
        <w:t>for</w:t>
      </w:r>
      <w:r>
        <w:t xml:space="preserve"> soft drinks and lifestyle products, but they should be made </w:t>
      </w:r>
      <w:r w:rsidR="00E24D05">
        <w:t>healthier</w:t>
      </w:r>
      <w:r>
        <w:t xml:space="preserve"> to ensure that they will be equally relevant in the long term (Nery-</w:t>
      </w:r>
      <w:proofErr w:type="spellStart"/>
      <w:r>
        <w:t>Kjerfve</w:t>
      </w:r>
      <w:proofErr w:type="spellEnd"/>
      <w:r>
        <w:t xml:space="preserve"> and McLean, 2015). In general, cultural features in Brazil tend to favour the success of Coca-Cola, </w:t>
      </w:r>
      <w:proofErr w:type="gramStart"/>
      <w:r>
        <w:t>as long as</w:t>
      </w:r>
      <w:proofErr w:type="gramEnd"/>
      <w:r>
        <w:t xml:space="preserve"> the localisation is robust.</w:t>
      </w:r>
    </w:p>
    <w:p w14:paraId="5224C64B" w14:textId="67D7FA85" w:rsidR="004B4F17" w:rsidRDefault="004B4F17">
      <w:pPr>
        <w:spacing w:line="278" w:lineRule="auto"/>
        <w:jc w:val="left"/>
      </w:pPr>
      <w:r>
        <w:br w:type="page"/>
      </w:r>
    </w:p>
    <w:p w14:paraId="0D5B62B5" w14:textId="6BCE7C28" w:rsidR="007D5061" w:rsidRDefault="00000000">
      <w:pPr>
        <w:pStyle w:val="Heading1"/>
      </w:pPr>
      <w:bookmarkStart w:id="25" w:name="_Toc216561810"/>
      <w:r>
        <w:lastRenderedPageBreak/>
        <w:t xml:space="preserve">5. Recommendation for Adjustment in </w:t>
      </w:r>
      <w:r w:rsidR="007D371F">
        <w:t>Coca-Cola</w:t>
      </w:r>
      <w:r>
        <w:t>’s SOPs</w:t>
      </w:r>
      <w:bookmarkEnd w:id="25"/>
    </w:p>
    <w:p w14:paraId="05E67B8B" w14:textId="05BDBF85" w:rsidR="007D5061" w:rsidRDefault="00000000" w:rsidP="007D371F">
      <w:r>
        <w:t>According to the cultural dimension analysis by Hofstede, Brazil and the USA, the countr</w:t>
      </w:r>
      <w:r w:rsidR="007D371F">
        <w:t>ies</w:t>
      </w:r>
      <w:r>
        <w:t xml:space="preserve"> of origin of </w:t>
      </w:r>
      <w:r w:rsidR="007D371F">
        <w:t>Coca-Cola</w:t>
      </w:r>
      <w:r>
        <w:t xml:space="preserve"> have considerable differences in cultural conditions. Those variations mean critical adaptation of the standard operating procedures (SOP) of </w:t>
      </w:r>
      <w:r w:rsidR="007D371F">
        <w:t>Coca-Cola</w:t>
      </w:r>
      <w:r>
        <w:t xml:space="preserve"> as a long-run successful player in </w:t>
      </w:r>
      <w:r w:rsidR="007D371F">
        <w:t xml:space="preserve">the </w:t>
      </w:r>
      <w:r>
        <w:t xml:space="preserve">Brazilian market (Hill, 2023). In addition to that, the OLI factor analysis can imply valuable insight, which proposes </w:t>
      </w:r>
      <w:r w:rsidR="007D371F">
        <w:t xml:space="preserve">the </w:t>
      </w:r>
      <w:r>
        <w:t>adjustment of SOPs.</w:t>
      </w:r>
    </w:p>
    <w:p w14:paraId="761E4967" w14:textId="77777777" w:rsidR="007D5061" w:rsidRDefault="00000000">
      <w:pPr>
        <w:pStyle w:val="Heading2"/>
      </w:pPr>
      <w:bookmarkStart w:id="26" w:name="_Toc216561811"/>
      <w:r>
        <w:t>SOP Adjustment 1:  Institutionalise Local product development within centralised quality assurance</w:t>
      </w:r>
      <w:bookmarkEnd w:id="26"/>
    </w:p>
    <w:p w14:paraId="77496874" w14:textId="2C03F3E1" w:rsidR="00A609C5" w:rsidRDefault="00000000" w:rsidP="00A609C5">
      <w:pPr>
        <w:jc w:val="left"/>
      </w:pPr>
      <w:r>
        <w:t xml:space="preserve">Recommendation: </w:t>
      </w:r>
      <w:r w:rsidR="00A609C5">
        <w:t>Establish a formalised local R&amp;D and sensory division in an overall global-to-local product pipeline and enhance quality assurance (QA)</w:t>
      </w:r>
      <w:r w:rsidR="007D371F">
        <w:t>,</w:t>
      </w:r>
      <w:r w:rsidR="00A609C5">
        <w:t xml:space="preserve"> exerting controls over the proprietary concentrate and worldwide taste requirements.</w:t>
      </w:r>
    </w:p>
    <w:p w14:paraId="6646E858" w14:textId="5099DF62" w:rsidR="007D5061" w:rsidRDefault="00A609C5" w:rsidP="007D371F">
      <w:r>
        <w:t xml:space="preserve"> The large market, </w:t>
      </w:r>
      <w:r w:rsidR="007D371F">
        <w:t xml:space="preserve">a </w:t>
      </w:r>
      <w:r>
        <w:t xml:space="preserve">plentiful source of sugar, </w:t>
      </w:r>
      <w:r w:rsidR="007D371F">
        <w:t xml:space="preserve">and </w:t>
      </w:r>
      <w:r>
        <w:t>the variety in regional taste requirements require a high responsiveness of local products (Bluml, 2025). Meanwhile, ownership assets of Coca-Cola</w:t>
      </w:r>
      <w:r w:rsidR="007D371F">
        <w:t>,</w:t>
      </w:r>
      <w:r>
        <w:t xml:space="preserve"> such as a proprietary concentrate and global brand equity</w:t>
      </w:r>
      <w:r w:rsidR="007D371F">
        <w:t>,</w:t>
      </w:r>
      <w:r>
        <w:t xml:space="preserve"> should be highly secured and consistent (</w:t>
      </w:r>
      <w:r w:rsidR="007D371F">
        <w:t>Coca-Cola</w:t>
      </w:r>
      <w:r>
        <w:t xml:space="preserve">, 2024). An effective SOP should, hence, institutionalise the </w:t>
      </w:r>
      <w:proofErr w:type="gramStart"/>
      <w:r>
        <w:t>manner in which</w:t>
      </w:r>
      <w:proofErr w:type="gramEnd"/>
      <w:r>
        <w:t xml:space="preserve"> local R&amp;D projects are suggested, experimented, and confirmed and still maintain central authority on the concentrate and final flavour profile (Alvarez and Martinez, 2021). More importantly, this strategy balances the conflict between local customisation and internationalisation. It allows the creation of locally appropriate SKUs within no time</w:t>
      </w:r>
      <w:r w:rsidR="007D371F">
        <w:t>,</w:t>
      </w:r>
      <w:r>
        <w:t xml:space="preserve"> e.g., tropical flavours, local-specific packaging sizes that align with local purchase standards without creating brand fragmentation or IP leakage (Chan, 2025). High uncertainty avoidance and collectivism imply that Brazilian consumers like trusted, tested products and value variations that are familiar with community practices (Collinson et al., 2020).</w:t>
      </w:r>
      <w:r w:rsidR="007D371F">
        <w:t xml:space="preserve"> </w:t>
      </w:r>
      <w:r>
        <w:t>Integrating local product experimentation in a series of transparent approvals overcomes Brazilian risk aversion by delivering strong, evidence-based rollouts. It also uses the internalisation of the logic and retains ownership of the formula and ultimate approval to protect core assets and deploy local capabilities to gain location benefit (</w:t>
      </w:r>
      <w:proofErr w:type="spellStart"/>
      <w:r>
        <w:t>Simamora</w:t>
      </w:r>
      <w:proofErr w:type="spellEnd"/>
      <w:r>
        <w:t xml:space="preserve"> et al., 2024).</w:t>
      </w:r>
      <w:r w:rsidR="007D371F">
        <w:t xml:space="preserve"> </w:t>
      </w:r>
      <w:r>
        <w:t xml:space="preserve">Implementing </w:t>
      </w:r>
      <w:r w:rsidR="007D371F">
        <w:t xml:space="preserve">a </w:t>
      </w:r>
      <w:r>
        <w:t xml:space="preserve">slowdown of time-to-market through additional checks may be justified critical risk, since reliability in Brazil </w:t>
      </w:r>
      <w:r>
        <w:lastRenderedPageBreak/>
        <w:t>makes people buy again and become loyal customers of the brand; the SOP must rather focus on controlled speed through parallel working processes, not short-cutting, which may destroy trust.</w:t>
      </w:r>
    </w:p>
    <w:p w14:paraId="494C6AC2" w14:textId="77777777" w:rsidR="007D5061" w:rsidRDefault="00000000">
      <w:pPr>
        <w:pStyle w:val="Heading2"/>
      </w:pPr>
      <w:bookmarkStart w:id="27" w:name="_Toc216561812"/>
      <w:r>
        <w:t>SOP adjustment 2: Localised governance and operations management for bottling partners</w:t>
      </w:r>
      <w:bookmarkEnd w:id="27"/>
    </w:p>
    <w:p w14:paraId="13A878CF" w14:textId="3A1B8B2B" w:rsidR="007D5061" w:rsidRDefault="00000000">
      <w:r>
        <w:t xml:space="preserve">Recommendation: </w:t>
      </w:r>
      <w:r>
        <w:rPr>
          <w:rFonts w:hint="eastAsia"/>
        </w:rPr>
        <w:t xml:space="preserve"> </w:t>
      </w:r>
      <w:r w:rsidR="007D371F">
        <w:rPr>
          <w:rFonts w:hint="eastAsia"/>
        </w:rPr>
        <w:t>Coca-Cola</w:t>
      </w:r>
      <w:r>
        <w:rPr>
          <w:rFonts w:hint="eastAsia"/>
        </w:rPr>
        <w:t xml:space="preserve"> must document a partnership governance SOP to franchise bottlers or joint ventures</w:t>
      </w:r>
      <w:r w:rsidR="007D371F">
        <w:t>,</w:t>
      </w:r>
      <w:r>
        <w:rPr>
          <w:rFonts w:hint="eastAsia"/>
        </w:rPr>
        <w:t xml:space="preserve"> codifying decision rights, escalation paths, KPI dashboards, cultural competency and board representation standards.</w:t>
      </w:r>
    </w:p>
    <w:p w14:paraId="412F58FE" w14:textId="5380EE5C" w:rsidR="007D5061" w:rsidRDefault="00000000">
      <w:r>
        <w:rPr>
          <w:rFonts w:hint="eastAsia"/>
        </w:rPr>
        <w:t>The OLI analysis revealed that Coca-Cola has strategic advantages in internalisation and weaknesses in bottling and distribution to local partners to take advantage of the Brazil distribution complexity and local expertise (</w:t>
      </w:r>
      <w:r w:rsidR="007D371F">
        <w:rPr>
          <w:rFonts w:hint="eastAsia"/>
        </w:rPr>
        <w:t>Coca-Cola</w:t>
      </w:r>
      <w:r>
        <w:rPr>
          <w:rFonts w:hint="eastAsia"/>
        </w:rPr>
        <w:t xml:space="preserve">, 2024). The result of this hybrid means that there is a governance issue of what should be the balance between corporate control and enough local control to enable viable, culturally sensitive operations (Hill, 2023). A strong SOP should internationalise a partnership governance definition that clarifies the central strategic decisions to be made and those to be found in the tactical linking of the cultural expectations to </w:t>
      </w:r>
      <w:r w:rsidR="007D371F">
        <w:t xml:space="preserve">the </w:t>
      </w:r>
      <w:r>
        <w:rPr>
          <w:rFonts w:hint="eastAsia"/>
        </w:rPr>
        <w:t>practice of governance.</w:t>
      </w:r>
    </w:p>
    <w:p w14:paraId="5075E02A" w14:textId="774B662F" w:rsidR="007D5061" w:rsidRDefault="00000000">
      <w:r>
        <w:rPr>
          <w:rFonts w:hint="eastAsia"/>
        </w:rPr>
        <w:t xml:space="preserve">Culturally, Brazil has a </w:t>
      </w:r>
      <w:proofErr w:type="gramStart"/>
      <w:r>
        <w:rPr>
          <w:rFonts w:hint="eastAsia"/>
        </w:rPr>
        <w:t>high</w:t>
      </w:r>
      <w:r w:rsidR="007D371F">
        <w:t xml:space="preserve"> </w:t>
      </w:r>
      <w:r>
        <w:rPr>
          <w:rFonts w:hint="eastAsia"/>
        </w:rPr>
        <w:t>power</w:t>
      </w:r>
      <w:proofErr w:type="gramEnd"/>
      <w:r>
        <w:rPr>
          <w:rFonts w:hint="eastAsia"/>
        </w:rPr>
        <w:t xml:space="preserve"> distance and network; therefore, local partners tend to become gatekeepers as they have power over regulators, distributors, and communities. The SOP must consequently institutionalise subordinate interfaces, de-escalation procedures that are responsive to local authority trends, and frequent conducive inter-strategy forums that establish foreseeable rhythms of interaction (Nery-</w:t>
      </w:r>
      <w:proofErr w:type="spellStart"/>
      <w:r>
        <w:rPr>
          <w:rFonts w:hint="eastAsia"/>
        </w:rPr>
        <w:t>Kjerfve</w:t>
      </w:r>
      <w:proofErr w:type="spellEnd"/>
      <w:r>
        <w:rPr>
          <w:rFonts w:hint="eastAsia"/>
        </w:rPr>
        <w:t xml:space="preserve"> and McLean, 2015). More importantly, this helps create less ambiguity between both sides. Coca-Cola also safeguards ownership benefits by retain</w:t>
      </w:r>
      <w:r w:rsidR="007D371F">
        <w:t>ing</w:t>
      </w:r>
      <w:r>
        <w:rPr>
          <w:rFonts w:hint="eastAsia"/>
        </w:rPr>
        <w:t xml:space="preserve"> decision-making power WRT brand and concentrate, but bottlers receive visible, culturally valid power to do the distribution, pricing micro-decisions and local stakeholder relationships (</w:t>
      </w:r>
      <w:r w:rsidR="007D371F">
        <w:rPr>
          <w:rFonts w:hint="eastAsia"/>
        </w:rPr>
        <w:t>Coca-Cola</w:t>
      </w:r>
      <w:r>
        <w:rPr>
          <w:rFonts w:hint="eastAsia"/>
        </w:rPr>
        <w:t>, 2024). This saves transaction costs and helps to prevent the risk of partners drifting or opportunism. The SOP should include inherent dignity to ability enhancement instead of restrictive implementation since cultural authority and long-term cooperation influence performance among collectivist markets.</w:t>
      </w:r>
    </w:p>
    <w:p w14:paraId="55258792" w14:textId="77777777" w:rsidR="007D5061" w:rsidRDefault="00000000">
      <w:pPr>
        <w:pStyle w:val="Heading2"/>
      </w:pPr>
      <w:bookmarkStart w:id="28" w:name="_Toc216561813"/>
      <w:r>
        <w:lastRenderedPageBreak/>
        <w:t>SOP adjustment 3: Localised promotion, community engagement and regulatory compliance</w:t>
      </w:r>
      <w:bookmarkEnd w:id="28"/>
    </w:p>
    <w:p w14:paraId="1BCEBD7D" w14:textId="229C044C" w:rsidR="007D5061" w:rsidRDefault="00000000">
      <w:r>
        <w:t xml:space="preserve">Recommendation: </w:t>
      </w:r>
      <w:r w:rsidR="007D371F">
        <w:rPr>
          <w:rFonts w:hint="eastAsia"/>
        </w:rPr>
        <w:t>Coca-Cola</w:t>
      </w:r>
      <w:r>
        <w:rPr>
          <w:rFonts w:hint="eastAsia"/>
        </w:rPr>
        <w:t xml:space="preserve"> must adopt an SOP that institutionalises cultural</w:t>
      </w:r>
      <w:r w:rsidR="007D371F">
        <w:t>ly</w:t>
      </w:r>
      <w:r>
        <w:rPr>
          <w:rFonts w:hint="eastAsia"/>
        </w:rPr>
        <w:t xml:space="preserve"> adjusted marketing, festival and sport sponsorship playbooks, community engagement/CSR procedures and procedural regulatory engagements.</w:t>
      </w:r>
    </w:p>
    <w:p w14:paraId="654828E5" w14:textId="413247D6" w:rsidR="007D5061" w:rsidRDefault="00000000">
      <w:r>
        <w:rPr>
          <w:rFonts w:hint="eastAsia"/>
        </w:rPr>
        <w:t xml:space="preserve">The ownership advantages of </w:t>
      </w:r>
      <w:r w:rsidR="007D371F">
        <w:t>Coca-C</w:t>
      </w:r>
      <w:r>
        <w:rPr>
          <w:rFonts w:hint="eastAsia"/>
        </w:rPr>
        <w:t>ola are based on marketing and stakeholder engagement. However, the collectivis</w:t>
      </w:r>
      <w:r w:rsidR="007D371F">
        <w:t>t</w:t>
      </w:r>
      <w:r>
        <w:rPr>
          <w:rFonts w:hint="eastAsia"/>
        </w:rPr>
        <w:t xml:space="preserve"> culture with high uncertainty avoidance, short-term focus, and high indulgence profile of Brazil requires marketing that is not only emotion-reducing but also procedurally conforming (Fagundes and Damasceno, 2023). The SOP ought to formalise the </w:t>
      </w:r>
      <w:proofErr w:type="gramStart"/>
      <w:r>
        <w:rPr>
          <w:rFonts w:hint="eastAsia"/>
        </w:rPr>
        <w:t>manner in which</w:t>
      </w:r>
      <w:proofErr w:type="gramEnd"/>
      <w:r>
        <w:rPr>
          <w:rFonts w:hint="eastAsia"/>
        </w:rPr>
        <w:t xml:space="preserve"> the global brand platforms are localised</w:t>
      </w:r>
      <w:r w:rsidR="007D371F">
        <w:t>,</w:t>
      </w:r>
      <w:r>
        <w:rPr>
          <w:rFonts w:hint="eastAsia"/>
        </w:rPr>
        <w:t xml:space="preserve"> as well as which creative components are non-negotiable brand resources, messaging foundations, where cultural localisation is required</w:t>
      </w:r>
      <w:r w:rsidR="007D371F">
        <w:t>,</w:t>
      </w:r>
      <w:r>
        <w:rPr>
          <w:rFonts w:hint="eastAsia"/>
        </w:rPr>
        <w:t xml:space="preserve"> such as festival scripts, community-based tales, use of celebrities and how regulatory and health messages are pre-</w:t>
      </w:r>
      <w:proofErr w:type="spellStart"/>
      <w:r>
        <w:rPr>
          <w:rFonts w:hint="eastAsia"/>
        </w:rPr>
        <w:t>clearanced</w:t>
      </w:r>
      <w:proofErr w:type="spellEnd"/>
      <w:r>
        <w:rPr>
          <w:rFonts w:hint="eastAsia"/>
        </w:rPr>
        <w:t xml:space="preserve"> (Collinson et al., 2020).</w:t>
      </w:r>
    </w:p>
    <w:p w14:paraId="1C55B3C8" w14:textId="299F8B70" w:rsidR="007D5061" w:rsidRDefault="00000000">
      <w:r>
        <w:rPr>
          <w:rFonts w:hint="eastAsia"/>
        </w:rPr>
        <w:t xml:space="preserve">Importantly, this SOP alludes </w:t>
      </w:r>
      <w:r w:rsidR="007D371F">
        <w:t xml:space="preserve">to </w:t>
      </w:r>
      <w:r>
        <w:rPr>
          <w:rFonts w:hint="eastAsia"/>
        </w:rPr>
        <w:t xml:space="preserve">cultural reality to regulatory pragmatism. Uncertainty avoidance increases the sensitivity to false promises and </w:t>
      </w:r>
      <w:r w:rsidR="007D371F">
        <w:t xml:space="preserve">the </w:t>
      </w:r>
      <w:r>
        <w:rPr>
          <w:rFonts w:hint="eastAsia"/>
        </w:rPr>
        <w:t xml:space="preserve">safety of a product (Zhang, 2024). Hence, marketing </w:t>
      </w:r>
      <w:proofErr w:type="gramStart"/>
      <w:r>
        <w:rPr>
          <w:rFonts w:hint="eastAsia"/>
        </w:rPr>
        <w:t>has to</w:t>
      </w:r>
      <w:proofErr w:type="gramEnd"/>
      <w:r>
        <w:rPr>
          <w:rFonts w:hint="eastAsia"/>
        </w:rPr>
        <w:t xml:space="preserve"> be open and adaptive </w:t>
      </w:r>
      <w:r w:rsidR="007D371F">
        <w:t>to</w:t>
      </w:r>
      <w:r>
        <w:rPr>
          <w:rFonts w:hint="eastAsia"/>
        </w:rPr>
        <w:t xml:space="preserve"> the changing health policies. The short-term orientation of Brazil means that consumers are very sensitive to promotions that occur on time and a</w:t>
      </w:r>
      <w:r w:rsidR="007D371F">
        <w:t>re activated</w:t>
      </w:r>
      <w:r>
        <w:rPr>
          <w:rFonts w:hint="eastAsia"/>
        </w:rPr>
        <w:t xml:space="preserve"> during festivals. Priority in the SOP must be given to accepted tactical playbooks of the seasonal campaigns that can be implemented by local teams within predefined brand parameters in no time (Zhang, 2024). Notably, since power distance favo</w:t>
      </w:r>
      <w:r w:rsidR="007D371F">
        <w:t>u</w:t>
      </w:r>
      <w:r>
        <w:rPr>
          <w:rFonts w:hint="eastAsia"/>
        </w:rPr>
        <w:t>rs observable bonds, the SOP must insist on active regulatory liaison through local partners with local cultural endorsement of the engagement, thus bypassing friction and anticipating compliance shocks.</w:t>
      </w:r>
    </w:p>
    <w:p w14:paraId="1EDECA4A" w14:textId="0D182DF5" w:rsidR="007D5061" w:rsidRDefault="00000000">
      <w:r>
        <w:rPr>
          <w:rFonts w:hint="eastAsia"/>
        </w:rPr>
        <w:t xml:space="preserve">This adaptation hedges the Coca-Cola benefits of ownership by making sure that their brands are safe </w:t>
      </w:r>
      <w:proofErr w:type="gramStart"/>
      <w:r>
        <w:rPr>
          <w:rFonts w:hint="eastAsia"/>
        </w:rPr>
        <w:t>globally</w:t>
      </w:r>
      <w:r w:rsidR="007D371F">
        <w:t>,</w:t>
      </w:r>
      <w:r>
        <w:rPr>
          <w:rFonts w:hint="eastAsia"/>
        </w:rPr>
        <w:t xml:space="preserve"> but</w:t>
      </w:r>
      <w:proofErr w:type="gramEnd"/>
      <w:r>
        <w:rPr>
          <w:rFonts w:hint="eastAsia"/>
        </w:rPr>
        <w:t xml:space="preserve"> also </w:t>
      </w:r>
      <w:proofErr w:type="gramStart"/>
      <w:r>
        <w:rPr>
          <w:rFonts w:hint="eastAsia"/>
        </w:rPr>
        <w:t>taking advantage of location and cultural lever</w:t>
      </w:r>
      <w:r w:rsidR="007D371F">
        <w:t>age</w:t>
      </w:r>
      <w:r>
        <w:rPr>
          <w:rFonts w:hint="eastAsia"/>
        </w:rPr>
        <w:t xml:space="preserve"> to the fullest extent</w:t>
      </w:r>
      <w:proofErr w:type="gramEnd"/>
      <w:r>
        <w:rPr>
          <w:rFonts w:hint="eastAsia"/>
        </w:rPr>
        <w:t xml:space="preserve"> possible </w:t>
      </w:r>
      <w:proofErr w:type="gramStart"/>
      <w:r>
        <w:rPr>
          <w:rFonts w:hint="eastAsia"/>
        </w:rPr>
        <w:t>in order to</w:t>
      </w:r>
      <w:proofErr w:type="gramEnd"/>
      <w:r>
        <w:rPr>
          <w:rFonts w:hint="eastAsia"/>
        </w:rPr>
        <w:t xml:space="preserve"> </w:t>
      </w:r>
      <w:r w:rsidR="007D371F">
        <w:t>evok</w:t>
      </w:r>
      <w:r>
        <w:rPr>
          <w:rFonts w:hint="eastAsia"/>
        </w:rPr>
        <w:t>e more emotion. Its vital attribute is the capacity of the SOP to transform cultural sensitivity into reproducible, audited business operations</w:t>
      </w:r>
      <w:r w:rsidR="007D371F">
        <w:t>,</w:t>
      </w:r>
      <w:r>
        <w:rPr>
          <w:rFonts w:hint="eastAsia"/>
        </w:rPr>
        <w:t xml:space="preserve"> thus maintaining short</w:t>
      </w:r>
      <w:r w:rsidR="007D371F">
        <w:t>-</w:t>
      </w:r>
      <w:r>
        <w:rPr>
          <w:rFonts w:hint="eastAsia"/>
        </w:rPr>
        <w:t>term sales momentum and long</w:t>
      </w:r>
      <w:r w:rsidR="007D371F">
        <w:t>-</w:t>
      </w:r>
      <w:r>
        <w:rPr>
          <w:rFonts w:hint="eastAsia"/>
        </w:rPr>
        <w:t>term reputation in a market where trust and social approval are the key motivational factors.</w:t>
      </w:r>
      <w:r>
        <w:br w:type="page"/>
      </w:r>
    </w:p>
    <w:p w14:paraId="6403290F" w14:textId="61C0EE29" w:rsidR="007D5061" w:rsidRDefault="009F27BB">
      <w:pPr>
        <w:pStyle w:val="Heading1"/>
      </w:pPr>
      <w:bookmarkStart w:id="29" w:name="_Toc216561814"/>
      <w:r>
        <w:lastRenderedPageBreak/>
        <w:t>6. Conclusion</w:t>
      </w:r>
      <w:bookmarkEnd w:id="29"/>
    </w:p>
    <w:p w14:paraId="684B1CC8" w14:textId="27D3D2EB" w:rsidR="007D5061" w:rsidRDefault="00000000">
      <w:r>
        <w:rPr>
          <w:rFonts w:hint="eastAsia"/>
        </w:rPr>
        <w:t>This report has demonstrated that the strong ownership strengths, broad global value chain, and the capacity to balance between global standardisation and local responsiveness are essential to the global success of Coca-Cola. Its OLI analysis revealed that the best entry modes in Brazil are franchising and partnership</w:t>
      </w:r>
      <w:r w:rsidR="007D371F">
        <w:t>-</w:t>
      </w:r>
      <w:r>
        <w:rPr>
          <w:rFonts w:hint="eastAsia"/>
        </w:rPr>
        <w:t>based entry modes</w:t>
      </w:r>
      <w:r w:rsidR="007D371F">
        <w:t>,</w:t>
      </w:r>
      <w:r>
        <w:rPr>
          <w:rFonts w:hint="eastAsia"/>
        </w:rPr>
        <w:t xml:space="preserve"> as it offers more appealing location advantages and regulatory complexity</w:t>
      </w:r>
      <w:r w:rsidR="007D371F">
        <w:t>,</w:t>
      </w:r>
      <w:r>
        <w:rPr>
          <w:rFonts w:hint="eastAsia"/>
        </w:rPr>
        <w:t xml:space="preserve"> enabling Coca-Cola to have complete control of its core assets and ensure </w:t>
      </w:r>
      <w:r w:rsidR="007D371F">
        <w:t>the exploitation of</w:t>
      </w:r>
      <w:r>
        <w:rPr>
          <w:rFonts w:hint="eastAsia"/>
        </w:rPr>
        <w:t xml:space="preserve"> local distribution knowledge. The cultural analysis indicated that the influences of the high-power distance, collectivism, and uncertainty avoidance in Brazil determine the expectations of consumers, marketing success, and operational conditions, which proves the necessity of culturally responsive approaches. The suggested changes in SOPs will</w:t>
      </w:r>
      <w:r w:rsidR="00536513">
        <w:t xml:space="preserve"> </w:t>
      </w:r>
      <w:r>
        <w:rPr>
          <w:rFonts w:hint="eastAsia"/>
        </w:rPr>
        <w:t xml:space="preserve">enhance the flexibility of Coca-Cola in Brazil and </w:t>
      </w:r>
      <w:r w:rsidR="007D371F">
        <w:t>its</w:t>
      </w:r>
      <w:r>
        <w:rPr>
          <w:rFonts w:hint="eastAsia"/>
        </w:rPr>
        <w:t xml:space="preserve"> competitiveness against other companies in the country. </w:t>
      </w:r>
    </w:p>
    <w:p w14:paraId="249C19EC" w14:textId="77777777" w:rsidR="007D5061" w:rsidRDefault="00000000">
      <w:pPr>
        <w:spacing w:line="259" w:lineRule="auto"/>
        <w:jc w:val="left"/>
      </w:pPr>
      <w:r>
        <w:br w:type="page"/>
      </w:r>
    </w:p>
    <w:p w14:paraId="139B307A" w14:textId="77777777" w:rsidR="007D5061" w:rsidRDefault="00000000">
      <w:pPr>
        <w:pStyle w:val="Heading1"/>
      </w:pPr>
      <w:bookmarkStart w:id="30" w:name="_Toc216561815"/>
      <w:r>
        <w:lastRenderedPageBreak/>
        <w:t>References</w:t>
      </w:r>
      <w:bookmarkEnd w:id="30"/>
    </w:p>
    <w:p w14:paraId="62560247" w14:textId="77777777" w:rsidR="00E26DB5" w:rsidRDefault="00E26DB5" w:rsidP="00E26DB5">
      <w:r>
        <w:rPr>
          <w:shd w:val="clear" w:color="auto" w:fill="FFFFFF"/>
        </w:rPr>
        <w:t>Álvarez, I.G. and Martínez, M.C.P., (2021). Hofstede’s cultural dimensions and R&amp;D intensity as an innovation strategy: A view from different institutional contexts. </w:t>
      </w:r>
      <w:r>
        <w:rPr>
          <w:i/>
          <w:iCs/>
          <w:shd w:val="clear" w:color="auto" w:fill="FFFFFF"/>
        </w:rPr>
        <w:t>Eurasian Business Review</w:t>
      </w:r>
      <w:r>
        <w:rPr>
          <w:shd w:val="clear" w:color="auto" w:fill="FFFFFF"/>
        </w:rPr>
        <w:t>, </w:t>
      </w:r>
      <w:r>
        <w:rPr>
          <w:i/>
          <w:iCs/>
          <w:shd w:val="clear" w:color="auto" w:fill="FFFFFF"/>
        </w:rPr>
        <w:t>11</w:t>
      </w:r>
      <w:r>
        <w:rPr>
          <w:shd w:val="clear" w:color="auto" w:fill="FFFFFF"/>
        </w:rPr>
        <w:t>(2), pp.191-220.</w:t>
      </w:r>
    </w:p>
    <w:p w14:paraId="18A24259" w14:textId="77777777" w:rsidR="00E26DB5" w:rsidRDefault="00E26DB5" w:rsidP="00E26DB5">
      <w:pPr>
        <w:rPr>
          <w:shd w:val="clear" w:color="auto" w:fill="FFFFFF"/>
        </w:rPr>
      </w:pPr>
      <w:r>
        <w:rPr>
          <w:shd w:val="clear" w:color="auto" w:fill="FFFFFF"/>
        </w:rPr>
        <w:t xml:space="preserve">Amann, E., Baer, W., </w:t>
      </w:r>
      <w:proofErr w:type="spellStart"/>
      <w:r>
        <w:rPr>
          <w:shd w:val="clear" w:color="auto" w:fill="FFFFFF"/>
        </w:rPr>
        <w:t>Trebat</w:t>
      </w:r>
      <w:proofErr w:type="spellEnd"/>
      <w:r>
        <w:rPr>
          <w:shd w:val="clear" w:color="auto" w:fill="FFFFFF"/>
        </w:rPr>
        <w:t>, T. and Lora, J.V., (2016). Infrastructure and its role in Brazil's development process. </w:t>
      </w:r>
      <w:r>
        <w:rPr>
          <w:i/>
          <w:iCs/>
          <w:shd w:val="clear" w:color="auto" w:fill="FFFFFF"/>
        </w:rPr>
        <w:t>The Quarterly Review of Economics and Finance</w:t>
      </w:r>
      <w:r>
        <w:rPr>
          <w:shd w:val="clear" w:color="auto" w:fill="FFFFFF"/>
        </w:rPr>
        <w:t>, </w:t>
      </w:r>
      <w:r>
        <w:rPr>
          <w:i/>
          <w:iCs/>
          <w:shd w:val="clear" w:color="auto" w:fill="FFFFFF"/>
        </w:rPr>
        <w:t>62</w:t>
      </w:r>
      <w:r>
        <w:rPr>
          <w:shd w:val="clear" w:color="auto" w:fill="FFFFFF"/>
        </w:rPr>
        <w:t>, pp.66-73.</w:t>
      </w:r>
    </w:p>
    <w:p w14:paraId="23D82108" w14:textId="77777777" w:rsidR="00E26DB5" w:rsidRDefault="00E26DB5" w:rsidP="00E26DB5">
      <w:pPr>
        <w:rPr>
          <w:szCs w:val="24"/>
        </w:rPr>
      </w:pPr>
      <w:r>
        <w:t xml:space="preserve">Arthur, R. (2025). </w:t>
      </w:r>
      <w:r>
        <w:rPr>
          <w:i/>
          <w:iCs/>
        </w:rPr>
        <w:t>Where the magic happens... How Coca-Cola’s R&amp;D hub creates the drinks of tomorrow</w:t>
      </w:r>
      <w:r>
        <w:t>. [online] BeverageDaily.com. Available at: https://www.beveragedaily.com/Article/2025/11/28/coca-colas-innovation-and-rd-process/ [Accessed 12 Dec. 2025].</w:t>
      </w:r>
    </w:p>
    <w:p w14:paraId="3577FB6F" w14:textId="77777777" w:rsidR="00E26DB5" w:rsidRDefault="00E26DB5" w:rsidP="00E26DB5">
      <w:pPr>
        <w:rPr>
          <w:shd w:val="clear" w:color="auto" w:fill="FFFFFF"/>
        </w:rPr>
      </w:pPr>
      <w:proofErr w:type="spellStart"/>
      <w:r>
        <w:rPr>
          <w:shd w:val="clear" w:color="auto" w:fill="FFFFFF"/>
        </w:rPr>
        <w:t>Batschauer</w:t>
      </w:r>
      <w:proofErr w:type="spellEnd"/>
      <w:r>
        <w:rPr>
          <w:shd w:val="clear" w:color="auto" w:fill="FFFFFF"/>
        </w:rPr>
        <w:t xml:space="preserve"> da Cruz, C.B., Eliete Floriani, D. and Amal, M., (2022). The OLI Paradigm as a comprehensive model of FDI determinants: a sub-national approach. </w:t>
      </w:r>
      <w:r>
        <w:rPr>
          <w:i/>
          <w:iCs/>
          <w:shd w:val="clear" w:color="auto" w:fill="FFFFFF"/>
        </w:rPr>
        <w:t>International Journal of Emerging Markets</w:t>
      </w:r>
      <w:r>
        <w:rPr>
          <w:shd w:val="clear" w:color="auto" w:fill="FFFFFF"/>
        </w:rPr>
        <w:t>, </w:t>
      </w:r>
      <w:r>
        <w:rPr>
          <w:i/>
          <w:iCs/>
          <w:shd w:val="clear" w:color="auto" w:fill="FFFFFF"/>
        </w:rPr>
        <w:t>17</w:t>
      </w:r>
      <w:r>
        <w:rPr>
          <w:shd w:val="clear" w:color="auto" w:fill="FFFFFF"/>
        </w:rPr>
        <w:t>(1), pp.145-176.</w:t>
      </w:r>
    </w:p>
    <w:p w14:paraId="56F5AEC2" w14:textId="77777777" w:rsidR="00E26DB5" w:rsidRDefault="00E26DB5" w:rsidP="00E26DB5">
      <w:r>
        <w:t xml:space="preserve">Blake, H. (2025). </w:t>
      </w:r>
      <w:r>
        <w:rPr>
          <w:i/>
          <w:iCs/>
        </w:rPr>
        <w:t>Brazil Soft Drinks Market Size, Share &amp; Growth Report By [2033]</w:t>
      </w:r>
      <w:r>
        <w:t>. [online] Deepmarketinsights.com. Available at: https://deepmarketinsights.com/vista/insights/soft-drinks-market/brazil [Accessed 12 Dec. 2025].</w:t>
      </w:r>
    </w:p>
    <w:p w14:paraId="2A3E35B9" w14:textId="77777777" w:rsidR="00E26DB5" w:rsidRDefault="00E26DB5" w:rsidP="00E26DB5">
      <w:proofErr w:type="spellStart"/>
      <w:r>
        <w:t>Blüml</w:t>
      </w:r>
      <w:proofErr w:type="spellEnd"/>
      <w:r>
        <w:t xml:space="preserve">, S. (2025). </w:t>
      </w:r>
      <w:r>
        <w:rPr>
          <w:i/>
          <w:iCs/>
        </w:rPr>
        <w:t>The beverage industry in Latin America</w:t>
      </w:r>
      <w:r>
        <w:t>. [online] Drinktec.com. Available at: https://drinktec.com/en-US/industry-insights/market-data-from-latin-america-beverage-and-liquid-food-industry-is-growing/ [Accessed 12 Dec. 2025].</w:t>
      </w:r>
    </w:p>
    <w:p w14:paraId="2F9FCD9B" w14:textId="77777777" w:rsidR="00E26DB5" w:rsidRDefault="00E26DB5" w:rsidP="00E26DB5">
      <w:proofErr w:type="spellStart"/>
      <w:r>
        <w:t>Bullfincher</w:t>
      </w:r>
      <w:proofErr w:type="spellEnd"/>
      <w:r>
        <w:t xml:space="preserve"> (2024). </w:t>
      </w:r>
      <w:r>
        <w:rPr>
          <w:i/>
          <w:iCs/>
        </w:rPr>
        <w:t xml:space="preserve">Coca-Cola Company Revenue Breakdown </w:t>
      </w:r>
      <w:proofErr w:type="gramStart"/>
      <w:r>
        <w:rPr>
          <w:i/>
          <w:iCs/>
        </w:rPr>
        <w:t>By</w:t>
      </w:r>
      <w:proofErr w:type="gramEnd"/>
      <w:r>
        <w:rPr>
          <w:i/>
          <w:iCs/>
        </w:rPr>
        <w:t xml:space="preserve"> Segment</w:t>
      </w:r>
      <w:r>
        <w:t xml:space="preserve">. [online] Coca-Cola Company Revenue Breakdown </w:t>
      </w:r>
      <w:proofErr w:type="gramStart"/>
      <w:r>
        <w:t>By</w:t>
      </w:r>
      <w:proofErr w:type="gramEnd"/>
      <w:r>
        <w:t xml:space="preserve"> Segment | </w:t>
      </w:r>
      <w:proofErr w:type="spellStart"/>
      <w:r>
        <w:t>Bullfincher</w:t>
      </w:r>
      <w:proofErr w:type="spellEnd"/>
      <w:r>
        <w:t>. Available at: https://bullfincher.io/companies/coca-cola-company/revenue-by-segment [Accessed 12 Dec. 2025].</w:t>
      </w:r>
    </w:p>
    <w:p w14:paraId="209F6D28" w14:textId="77777777" w:rsidR="00E26DB5" w:rsidRDefault="00E26DB5" w:rsidP="00E26DB5">
      <w:r>
        <w:t xml:space="preserve">Chan, M. (2025). </w:t>
      </w:r>
      <w:r>
        <w:rPr>
          <w:i/>
          <w:iCs/>
        </w:rPr>
        <w:t>From Retreat to Return of the King: How Coca-Cola Regained Market Dominance in India</w:t>
      </w:r>
      <w:r>
        <w:t>. [online] Foodtalks.cn. Available at: https://www.foodtalks.cn/en/news/54912 [Accessed 12 Dec. 2025].</w:t>
      </w:r>
    </w:p>
    <w:p w14:paraId="1F2B53B3" w14:textId="77777777" w:rsidR="00E26DB5" w:rsidRDefault="00E26DB5" w:rsidP="00E26DB5">
      <w:pPr>
        <w:rPr>
          <w:shd w:val="clear" w:color="auto" w:fill="FFFFFF"/>
        </w:rPr>
      </w:pPr>
      <w:proofErr w:type="spellStart"/>
      <w:r>
        <w:rPr>
          <w:shd w:val="clear" w:color="auto" w:fill="FFFFFF"/>
        </w:rPr>
        <w:lastRenderedPageBreak/>
        <w:t>Cheptegei</w:t>
      </w:r>
      <w:proofErr w:type="spellEnd"/>
      <w:r>
        <w:rPr>
          <w:shd w:val="clear" w:color="auto" w:fill="FFFFFF"/>
        </w:rPr>
        <w:t xml:space="preserve">, D., (2012). Foreign Market entry strategies used by Multinational Corporations in Kenya: A case of Coca-Cola Kenya </w:t>
      </w:r>
      <w:proofErr w:type="gramStart"/>
      <w:r>
        <w:rPr>
          <w:shd w:val="clear" w:color="auto" w:fill="FFFFFF"/>
        </w:rPr>
        <w:t>Ltd. ,</w:t>
      </w:r>
      <w:proofErr w:type="gramEnd"/>
      <w:r>
        <w:rPr>
          <w:shd w:val="clear" w:color="auto" w:fill="FFFFFF"/>
        </w:rPr>
        <w:t xml:space="preserve"> 1, pp. 71-85.</w:t>
      </w:r>
    </w:p>
    <w:p w14:paraId="5C36CE65" w14:textId="77777777" w:rsidR="00E26DB5" w:rsidRDefault="00E26DB5" w:rsidP="00E26DB5">
      <w:r>
        <w:t xml:space="preserve">Coca-Cola (2024). </w:t>
      </w:r>
      <w:r>
        <w:rPr>
          <w:i/>
          <w:iCs/>
        </w:rPr>
        <w:t>Form 10-K -The Coca-Cola Company</w:t>
      </w:r>
      <w:r>
        <w:t xml:space="preserve">. [online] </w:t>
      </w:r>
      <w:r>
        <w:rPr>
          <w:i/>
          <w:iCs/>
        </w:rPr>
        <w:t>Annual Reports</w:t>
      </w:r>
      <w:r>
        <w:t>. Available at: https://www.annualreports.com/HostedData/AnnualReports/PDF/NYSE_KO_2024.pdf [Accessed 12 Dec. 2025].</w:t>
      </w:r>
    </w:p>
    <w:p w14:paraId="3D98E6C3" w14:textId="77777777" w:rsidR="00E26DB5" w:rsidRDefault="00E26DB5" w:rsidP="00E26DB5">
      <w:r>
        <w:t xml:space="preserve">Collinson, S., Narula, R. and Rugman, A.M. (2020). </w:t>
      </w:r>
      <w:r>
        <w:rPr>
          <w:i/>
          <w:iCs/>
        </w:rPr>
        <w:t>International business</w:t>
      </w:r>
      <w:r>
        <w:t>. 8th ed. Hoboken: Pearson.</w:t>
      </w:r>
    </w:p>
    <w:p w14:paraId="2DD99A29" w14:textId="77777777" w:rsidR="00E26DB5" w:rsidRDefault="00E26DB5" w:rsidP="00E26DB5">
      <w:r>
        <w:t xml:space="preserve">Daniels, J., Radebaugh, L. and Sullivan, D. (2021). </w:t>
      </w:r>
      <w:r>
        <w:rPr>
          <w:i/>
          <w:iCs/>
        </w:rPr>
        <w:t>International Business, Global Edition</w:t>
      </w:r>
      <w:r>
        <w:t>. Harlow, United Kingdom: Pearson.</w:t>
      </w:r>
    </w:p>
    <w:p w14:paraId="0FFBF023" w14:textId="77777777" w:rsidR="00E26DB5" w:rsidRDefault="00E26DB5" w:rsidP="00E26DB5">
      <w:pPr>
        <w:rPr>
          <w:shd w:val="clear" w:color="auto" w:fill="FFFFFF"/>
        </w:rPr>
      </w:pPr>
      <w:proofErr w:type="spellStart"/>
      <w:r>
        <w:rPr>
          <w:shd w:val="clear" w:color="auto" w:fill="FFFFFF"/>
        </w:rPr>
        <w:t>DeBode</w:t>
      </w:r>
      <w:proofErr w:type="spellEnd"/>
      <w:r>
        <w:rPr>
          <w:shd w:val="clear" w:color="auto" w:fill="FFFFFF"/>
        </w:rPr>
        <w:t>, J.D., Haggard, D.L. and Haggard, K.S., (2020). Economic freedom and Hofstede’s cultural dimensions. </w:t>
      </w:r>
      <w:r>
        <w:rPr>
          <w:i/>
          <w:iCs/>
          <w:shd w:val="clear" w:color="auto" w:fill="FFFFFF"/>
        </w:rPr>
        <w:t xml:space="preserve">International Journal of Organization Theory &amp; </w:t>
      </w:r>
      <w:proofErr w:type="spellStart"/>
      <w:r>
        <w:rPr>
          <w:i/>
          <w:iCs/>
          <w:shd w:val="clear" w:color="auto" w:fill="FFFFFF"/>
        </w:rPr>
        <w:t>Behavior</w:t>
      </w:r>
      <w:proofErr w:type="spellEnd"/>
      <w:r>
        <w:rPr>
          <w:shd w:val="clear" w:color="auto" w:fill="FFFFFF"/>
        </w:rPr>
        <w:t>, </w:t>
      </w:r>
      <w:r>
        <w:rPr>
          <w:i/>
          <w:iCs/>
          <w:shd w:val="clear" w:color="auto" w:fill="FFFFFF"/>
        </w:rPr>
        <w:t>23</w:t>
      </w:r>
      <w:r>
        <w:rPr>
          <w:shd w:val="clear" w:color="auto" w:fill="FFFFFF"/>
        </w:rPr>
        <w:t>(1), pp.65-84.</w:t>
      </w:r>
    </w:p>
    <w:p w14:paraId="4F382F01" w14:textId="61BC5A08" w:rsidR="00E26DB5" w:rsidRPr="00E26DB5" w:rsidRDefault="00E26DB5" w:rsidP="00E26DB5">
      <w:r w:rsidRPr="00993C57">
        <w:t xml:space="preserve">Dorofeeva, L., </w:t>
      </w:r>
      <w:r>
        <w:t>(</w:t>
      </w:r>
      <w:r w:rsidRPr="00993C57">
        <w:t>2025</w:t>
      </w:r>
      <w:r>
        <w:t>)</w:t>
      </w:r>
      <w:r w:rsidRPr="00993C57">
        <w:t>. Modern forms of enterprises entering foreign markets: problems, limitations, management features. Universitas Europaea: Towards a Knowledge Based Society Through Europeanisation and Globalisation: International Conference Proceedings, Vol 1. https://doi.org/10.54481/uekbs2024.v1.34.</w:t>
      </w:r>
    </w:p>
    <w:p w14:paraId="39700D5C" w14:textId="77777777" w:rsidR="00E26DB5" w:rsidRDefault="00E26DB5" w:rsidP="00E26DB5">
      <w:pPr>
        <w:rPr>
          <w:shd w:val="clear" w:color="auto" w:fill="FFFFFF"/>
        </w:rPr>
      </w:pPr>
      <w:r>
        <w:rPr>
          <w:shd w:val="clear" w:color="auto" w:fill="FFFFFF"/>
        </w:rPr>
        <w:t>Dunning, J.H., (2015). The eclectic paradigm as an envelope for economic and business theories of MNE activity. In </w:t>
      </w:r>
      <w:r>
        <w:rPr>
          <w:i/>
          <w:iCs/>
          <w:shd w:val="clear" w:color="auto" w:fill="FFFFFF"/>
        </w:rPr>
        <w:t>International business strategy</w:t>
      </w:r>
      <w:r>
        <w:rPr>
          <w:shd w:val="clear" w:color="auto" w:fill="FFFFFF"/>
        </w:rPr>
        <w:t> (pp. 60-84). Routledge.</w:t>
      </w:r>
    </w:p>
    <w:p w14:paraId="1ABD4DA7" w14:textId="77777777" w:rsidR="00E26DB5" w:rsidRDefault="00E26DB5" w:rsidP="00E26DB5">
      <w:pPr>
        <w:rPr>
          <w:shd w:val="clear" w:color="auto" w:fill="FFFFFF"/>
        </w:rPr>
      </w:pPr>
      <w:r>
        <w:rPr>
          <w:shd w:val="clear" w:color="auto" w:fill="FFFFFF"/>
        </w:rPr>
        <w:t>Fagundes, T. and Damasceno, L., (2023). Impact of Cultural Factors on Entrepreneurial Intentions in Brazil. </w:t>
      </w:r>
      <w:r>
        <w:rPr>
          <w:i/>
          <w:iCs/>
          <w:shd w:val="clear" w:color="auto" w:fill="FFFFFF"/>
        </w:rPr>
        <w:t>Journal of Entrepreneurship &amp; Project Management</w:t>
      </w:r>
      <w:r>
        <w:rPr>
          <w:shd w:val="clear" w:color="auto" w:fill="FFFFFF"/>
        </w:rPr>
        <w:t>, </w:t>
      </w:r>
      <w:r>
        <w:rPr>
          <w:i/>
          <w:iCs/>
          <w:shd w:val="clear" w:color="auto" w:fill="FFFFFF"/>
        </w:rPr>
        <w:t>7</w:t>
      </w:r>
      <w:r>
        <w:rPr>
          <w:shd w:val="clear" w:color="auto" w:fill="FFFFFF"/>
        </w:rPr>
        <w:t>(3), pp.1-9.</w:t>
      </w:r>
    </w:p>
    <w:p w14:paraId="6B58C13A" w14:textId="77777777" w:rsidR="00E26DB5" w:rsidRDefault="00E26DB5" w:rsidP="00E26DB5">
      <w:r>
        <w:t xml:space="preserve">Hill, C. (2023). </w:t>
      </w:r>
      <w:r>
        <w:rPr>
          <w:i/>
          <w:iCs/>
        </w:rPr>
        <w:t>International Business: Competing in the Global Marketplace.</w:t>
      </w:r>
      <w:r>
        <w:t xml:space="preserve"> 14th ed. S.L.: </w:t>
      </w:r>
      <w:proofErr w:type="spellStart"/>
      <w:r>
        <w:t>Mcgraw-Hill</w:t>
      </w:r>
      <w:proofErr w:type="spellEnd"/>
      <w:r>
        <w:t xml:space="preserve"> Education.</w:t>
      </w:r>
    </w:p>
    <w:p w14:paraId="46F9CBCD" w14:textId="77777777" w:rsidR="00E26DB5" w:rsidRDefault="00E26DB5" w:rsidP="00E26DB5">
      <w:r>
        <w:t xml:space="preserve">Kobusingye, G. and </w:t>
      </w:r>
      <w:proofErr w:type="spellStart"/>
      <w:r>
        <w:t>SSendagi</w:t>
      </w:r>
      <w:proofErr w:type="spellEnd"/>
      <w:r>
        <w:t xml:space="preserve">, M. (2024). THE VARIOUS TYPES OF SUPPLY CHAIN MANAGEMENT SYSTEMS USED BY COCA-COLA BOTTLING COMPANY IN NAMANVE. </w:t>
      </w:r>
      <w:r>
        <w:rPr>
          <w:i/>
          <w:iCs/>
        </w:rPr>
        <w:t>SJ Business Research Africa</w:t>
      </w:r>
      <w:r>
        <w:t xml:space="preserve">, 1(1), pp.15–15. </w:t>
      </w:r>
      <w:proofErr w:type="spellStart"/>
      <w:proofErr w:type="gramStart"/>
      <w:r>
        <w:t>doi:https</w:t>
      </w:r>
      <w:proofErr w:type="spellEnd"/>
      <w:r>
        <w:t>://doi.org/10.51168/sjbusiness.v1i1.33</w:t>
      </w:r>
      <w:proofErr w:type="gramEnd"/>
      <w:r>
        <w:t>.</w:t>
      </w:r>
    </w:p>
    <w:p w14:paraId="780C4984" w14:textId="77777777" w:rsidR="00E26DB5" w:rsidRDefault="00E26DB5" w:rsidP="00E26DB5">
      <w:pPr>
        <w:rPr>
          <w:shd w:val="clear" w:color="auto" w:fill="FFFFFF"/>
        </w:rPr>
      </w:pPr>
      <w:r>
        <w:rPr>
          <w:shd w:val="clear" w:color="auto" w:fill="FFFFFF"/>
        </w:rPr>
        <w:lastRenderedPageBreak/>
        <w:t>Nery-</w:t>
      </w:r>
      <w:proofErr w:type="spellStart"/>
      <w:r>
        <w:rPr>
          <w:shd w:val="clear" w:color="auto" w:fill="FFFFFF"/>
        </w:rPr>
        <w:t>Kjerfve</w:t>
      </w:r>
      <w:proofErr w:type="spellEnd"/>
      <w:r>
        <w:rPr>
          <w:shd w:val="clear" w:color="auto" w:fill="FFFFFF"/>
        </w:rPr>
        <w:t>, T. and McLean, G.N., (2015). The view from the crossroads: Brazilian culture and corporate leadership in the twenty-first century. </w:t>
      </w:r>
      <w:r>
        <w:rPr>
          <w:i/>
          <w:iCs/>
          <w:shd w:val="clear" w:color="auto" w:fill="FFFFFF"/>
        </w:rPr>
        <w:t>Human resource development international</w:t>
      </w:r>
      <w:r>
        <w:rPr>
          <w:shd w:val="clear" w:color="auto" w:fill="FFFFFF"/>
        </w:rPr>
        <w:t>, </w:t>
      </w:r>
      <w:r>
        <w:rPr>
          <w:i/>
          <w:iCs/>
          <w:shd w:val="clear" w:color="auto" w:fill="FFFFFF"/>
        </w:rPr>
        <w:t>18</w:t>
      </w:r>
      <w:r>
        <w:rPr>
          <w:shd w:val="clear" w:color="auto" w:fill="FFFFFF"/>
        </w:rPr>
        <w:t>(1), pp.24-38.</w:t>
      </w:r>
    </w:p>
    <w:p w14:paraId="0A6D4930" w14:textId="77777777" w:rsidR="00E26DB5" w:rsidRDefault="00E26DB5" w:rsidP="00E26DB5">
      <w:pPr>
        <w:rPr>
          <w:shd w:val="clear" w:color="auto" w:fill="FFFFFF"/>
        </w:rPr>
      </w:pPr>
      <w:r>
        <w:rPr>
          <w:shd w:val="clear" w:color="auto" w:fill="FFFFFF"/>
        </w:rPr>
        <w:t xml:space="preserve">Okereke, M., Isi, L.R., </w:t>
      </w:r>
      <w:proofErr w:type="spellStart"/>
      <w:r>
        <w:rPr>
          <w:shd w:val="clear" w:color="auto" w:fill="FFFFFF"/>
        </w:rPr>
        <w:t>Ogunwale</w:t>
      </w:r>
      <w:proofErr w:type="spellEnd"/>
      <w:r>
        <w:rPr>
          <w:shd w:val="clear" w:color="auto" w:fill="FFFFFF"/>
        </w:rPr>
        <w:t xml:space="preserve">, B., </w:t>
      </w:r>
      <w:proofErr w:type="spellStart"/>
      <w:r>
        <w:rPr>
          <w:shd w:val="clear" w:color="auto" w:fill="FFFFFF"/>
        </w:rPr>
        <w:t>Gobile</w:t>
      </w:r>
      <w:proofErr w:type="spellEnd"/>
      <w:r>
        <w:rPr>
          <w:shd w:val="clear" w:color="auto" w:fill="FFFFFF"/>
        </w:rPr>
        <w:t xml:space="preserve">, S., </w:t>
      </w:r>
      <w:proofErr w:type="spellStart"/>
      <w:r>
        <w:rPr>
          <w:shd w:val="clear" w:color="auto" w:fill="FFFFFF"/>
        </w:rPr>
        <w:t>Oboyi</w:t>
      </w:r>
      <w:proofErr w:type="spellEnd"/>
      <w:r>
        <w:rPr>
          <w:shd w:val="clear" w:color="auto" w:fill="FFFFFF"/>
        </w:rPr>
        <w:t xml:space="preserve">, N. and </w:t>
      </w:r>
      <w:proofErr w:type="spellStart"/>
      <w:r>
        <w:rPr>
          <w:shd w:val="clear" w:color="auto" w:fill="FFFFFF"/>
        </w:rPr>
        <w:t>Sofoluwe</w:t>
      </w:r>
      <w:proofErr w:type="spellEnd"/>
      <w:r>
        <w:rPr>
          <w:shd w:val="clear" w:color="auto" w:fill="FFFFFF"/>
        </w:rPr>
        <w:t>, O., (2024). The Impact of Culture and Business Systems on Multinational Organisations: A Review of Doing Business in Brazil. </w:t>
      </w:r>
      <w:r>
        <w:rPr>
          <w:i/>
          <w:iCs/>
          <w:shd w:val="clear" w:color="auto" w:fill="FFFFFF"/>
        </w:rPr>
        <w:t>Latin American Business Review</w:t>
      </w:r>
      <w:r>
        <w:rPr>
          <w:shd w:val="clear" w:color="auto" w:fill="FFFFFF"/>
        </w:rPr>
        <w:t>, </w:t>
      </w:r>
      <w:r>
        <w:rPr>
          <w:i/>
          <w:iCs/>
          <w:shd w:val="clear" w:color="auto" w:fill="FFFFFF"/>
        </w:rPr>
        <w:t>15</w:t>
      </w:r>
      <w:r>
        <w:rPr>
          <w:shd w:val="clear" w:color="auto" w:fill="FFFFFF"/>
        </w:rPr>
        <w:t>(2), pp.78-95.</w:t>
      </w:r>
    </w:p>
    <w:p w14:paraId="1D9D7036" w14:textId="77777777" w:rsidR="00E26DB5" w:rsidRDefault="00E26DB5" w:rsidP="00E26DB5">
      <w:pPr>
        <w:rPr>
          <w:shd w:val="clear" w:color="auto" w:fill="FFFFFF"/>
        </w:rPr>
      </w:pPr>
      <w:r>
        <w:rPr>
          <w:shd w:val="clear" w:color="auto" w:fill="FFFFFF"/>
        </w:rPr>
        <w:t xml:space="preserve">Ponczek, V. and </w:t>
      </w:r>
      <w:proofErr w:type="spellStart"/>
      <w:r>
        <w:rPr>
          <w:shd w:val="clear" w:color="auto" w:fill="FFFFFF"/>
        </w:rPr>
        <w:t>Ulyssea</w:t>
      </w:r>
      <w:proofErr w:type="spellEnd"/>
      <w:r>
        <w:rPr>
          <w:shd w:val="clear" w:color="auto" w:fill="FFFFFF"/>
        </w:rPr>
        <w:t>, G., (2022). Enforcement of labour regulation and the labour market effects of trade: Evidence from Brazil. </w:t>
      </w:r>
      <w:r>
        <w:rPr>
          <w:i/>
          <w:iCs/>
          <w:shd w:val="clear" w:color="auto" w:fill="FFFFFF"/>
        </w:rPr>
        <w:t>The Economic Journal</w:t>
      </w:r>
      <w:r>
        <w:rPr>
          <w:shd w:val="clear" w:color="auto" w:fill="FFFFFF"/>
        </w:rPr>
        <w:t>, </w:t>
      </w:r>
      <w:r>
        <w:rPr>
          <w:i/>
          <w:iCs/>
          <w:shd w:val="clear" w:color="auto" w:fill="FFFFFF"/>
        </w:rPr>
        <w:t>132</w:t>
      </w:r>
      <w:r>
        <w:rPr>
          <w:shd w:val="clear" w:color="auto" w:fill="FFFFFF"/>
        </w:rPr>
        <w:t>(641), pp.361-390.</w:t>
      </w:r>
    </w:p>
    <w:p w14:paraId="3BE67CD1" w14:textId="77777777" w:rsidR="00E26DB5" w:rsidRDefault="00E26DB5" w:rsidP="00E26DB5">
      <w:pPr>
        <w:rPr>
          <w:shd w:val="clear" w:color="auto" w:fill="FFFFFF"/>
        </w:rPr>
      </w:pPr>
      <w:r>
        <w:rPr>
          <w:shd w:val="clear" w:color="auto" w:fill="FFFFFF"/>
        </w:rPr>
        <w:t xml:space="preserve">Rahmah, A., Aslami, N. and </w:t>
      </w:r>
      <w:proofErr w:type="spellStart"/>
      <w:r>
        <w:rPr>
          <w:shd w:val="clear" w:color="auto" w:fill="FFFFFF"/>
        </w:rPr>
        <w:t>Nurbaiti</w:t>
      </w:r>
      <w:proofErr w:type="spellEnd"/>
      <w:r>
        <w:rPr>
          <w:shd w:val="clear" w:color="auto" w:fill="FFFFFF"/>
        </w:rPr>
        <w:t xml:space="preserve">, N., (2025). The Influence of Inventory Management and Quality Management on Sales at PT Coca-Cola </w:t>
      </w:r>
      <w:proofErr w:type="spellStart"/>
      <w:r>
        <w:rPr>
          <w:shd w:val="clear" w:color="auto" w:fill="FFFFFF"/>
        </w:rPr>
        <w:t>Europacific</w:t>
      </w:r>
      <w:proofErr w:type="spellEnd"/>
      <w:r>
        <w:rPr>
          <w:shd w:val="clear" w:color="auto" w:fill="FFFFFF"/>
        </w:rPr>
        <w:t xml:space="preserve"> Partners. </w:t>
      </w:r>
      <w:r>
        <w:rPr>
          <w:i/>
          <w:iCs/>
          <w:shd w:val="clear" w:color="auto" w:fill="FFFFFF"/>
        </w:rPr>
        <w:t>Economic: Journal Economic and Business</w:t>
      </w:r>
      <w:r>
        <w:rPr>
          <w:shd w:val="clear" w:color="auto" w:fill="FFFFFF"/>
        </w:rPr>
        <w:t>, </w:t>
      </w:r>
      <w:r>
        <w:rPr>
          <w:i/>
          <w:iCs/>
          <w:shd w:val="clear" w:color="auto" w:fill="FFFFFF"/>
        </w:rPr>
        <w:t>4</w:t>
      </w:r>
      <w:r>
        <w:rPr>
          <w:shd w:val="clear" w:color="auto" w:fill="FFFFFF"/>
        </w:rPr>
        <w:t>(4), pp.800-810.</w:t>
      </w:r>
    </w:p>
    <w:p w14:paraId="144F366B" w14:textId="77777777" w:rsidR="00E26DB5" w:rsidRDefault="00E26DB5" w:rsidP="00E26DB5">
      <w:proofErr w:type="spellStart"/>
      <w:r>
        <w:t>Simamora</w:t>
      </w:r>
      <w:proofErr w:type="spellEnd"/>
      <w:r>
        <w:t xml:space="preserve">, G., Putra, A., Pinardi, R. and Nuh, A. (2024). Analysis of Coca-Cola company’s global marketing strategy: Literature review. </w:t>
      </w:r>
      <w:r>
        <w:rPr>
          <w:i/>
          <w:iCs/>
        </w:rPr>
        <w:t>International Journal of Research and Review (ijrrjournal.com)</w:t>
      </w:r>
      <w:r>
        <w:t xml:space="preserve">, 11(4), pp.101–112. </w:t>
      </w:r>
      <w:proofErr w:type="spellStart"/>
      <w:proofErr w:type="gramStart"/>
      <w:r>
        <w:t>doi:https</w:t>
      </w:r>
      <w:proofErr w:type="spellEnd"/>
      <w:r>
        <w:t>://doi.org/10.52403/ijrr.20240412</w:t>
      </w:r>
      <w:proofErr w:type="gramEnd"/>
      <w:r>
        <w:t>.</w:t>
      </w:r>
    </w:p>
    <w:p w14:paraId="3DE76E34" w14:textId="77777777" w:rsidR="00E26DB5" w:rsidRDefault="00E26DB5" w:rsidP="00E26DB5">
      <w:proofErr w:type="spellStart"/>
      <w:r>
        <w:t>Suprapto</w:t>
      </w:r>
      <w:proofErr w:type="spellEnd"/>
      <w:r>
        <w:t xml:space="preserve">, N.P. (2020). THE STRATEGIES OF COCA-COLA’S EXPANSION IN THE GLOBALIZATION ERA. </w:t>
      </w:r>
      <w:r>
        <w:rPr>
          <w:i/>
          <w:iCs/>
        </w:rPr>
        <w:t>THE STRATEGIES OF COCA-COLA’S EXPANSION IN THE GLOBALIZATION ERA</w:t>
      </w:r>
      <w:r>
        <w:t xml:space="preserve">, 12(1). </w:t>
      </w:r>
      <w:proofErr w:type="spellStart"/>
      <w:proofErr w:type="gramStart"/>
      <w:r>
        <w:t>doi:https</w:t>
      </w:r>
      <w:proofErr w:type="spellEnd"/>
      <w:r>
        <w:t>://doi.org/10.31315/jsdk.v12i1.3219.g2506</w:t>
      </w:r>
      <w:proofErr w:type="gramEnd"/>
      <w:r>
        <w:t>.</w:t>
      </w:r>
    </w:p>
    <w:p w14:paraId="727B97BB" w14:textId="77777777" w:rsidR="00E26DB5" w:rsidRDefault="00E26DB5" w:rsidP="00E26DB5">
      <w:r>
        <w:t xml:space="preserve">Susilo, D. (2021). Revealing How Coca-Cola Successfully Broke into Indonesia Market with a Coke. </w:t>
      </w:r>
      <w:r>
        <w:rPr>
          <w:i/>
          <w:iCs/>
        </w:rPr>
        <w:t>Business Innovation and Entrepreneurship Journal</w:t>
      </w:r>
      <w:r>
        <w:t>, 3(02), pp.118–126.</w:t>
      </w:r>
    </w:p>
    <w:p w14:paraId="0A78CEC8" w14:textId="77777777" w:rsidR="00E26DB5" w:rsidRDefault="00E26DB5" w:rsidP="00E26DB5">
      <w:r>
        <w:t xml:space="preserve">The Coca-Cola Company (2024). </w:t>
      </w:r>
      <w:r>
        <w:rPr>
          <w:i/>
          <w:iCs/>
        </w:rPr>
        <w:t>Coca-Cola History</w:t>
      </w:r>
      <w:r>
        <w:t>. [online] www.coca-colacompany.com. Available at: https://www.coca-colacompany.com/about-us/history [Accessed 12 Dec. 2025].</w:t>
      </w:r>
    </w:p>
    <w:p w14:paraId="57A18D38" w14:textId="77777777" w:rsidR="00E26DB5" w:rsidRDefault="00E26DB5" w:rsidP="00E26DB5">
      <w:r>
        <w:t xml:space="preserve">The Coca-Cola Company (2025a). </w:t>
      </w:r>
      <w:r>
        <w:rPr>
          <w:i/>
          <w:iCs/>
        </w:rPr>
        <w:t>The Coca-Cola System</w:t>
      </w:r>
      <w:r>
        <w:t>. [online] www.coca-colacompany.com. Available at: https://www.coca-colacompany.com/about-us/coca-cola-system [Accessed 12 Dec. 2025].</w:t>
      </w:r>
    </w:p>
    <w:p w14:paraId="6BB390E1" w14:textId="77777777" w:rsidR="00E26DB5" w:rsidRDefault="00E26DB5" w:rsidP="00E26DB5">
      <w:r>
        <w:lastRenderedPageBreak/>
        <w:t xml:space="preserve">The Coca-Cola Company (2025b). </w:t>
      </w:r>
      <w:r>
        <w:rPr>
          <w:i/>
          <w:iCs/>
        </w:rPr>
        <w:t>The Coca-Cola System</w:t>
      </w:r>
      <w:r>
        <w:t>. [online] www.coca-colacompany.com. Available at: https://www.coca-colacompany.com/about-us/coca-cola-system [Accessed 12 Dec. 2025].</w:t>
      </w:r>
    </w:p>
    <w:p w14:paraId="62CA0B63" w14:textId="77777777" w:rsidR="00E26DB5" w:rsidRDefault="00E26DB5" w:rsidP="00E26DB5">
      <w:r>
        <w:t xml:space="preserve">The Flow Chart (2023). </w:t>
      </w:r>
      <w:r>
        <w:rPr>
          <w:i/>
          <w:iCs/>
        </w:rPr>
        <w:t>The Global Flow</w:t>
      </w:r>
      <w:r>
        <w:t xml:space="preserve">. [online] </w:t>
      </w:r>
      <w:proofErr w:type="spellStart"/>
      <w:r>
        <w:t>Coca-</w:t>
      </w:r>
      <w:proofErr w:type="gramStart"/>
      <w:r>
        <w:t>Cola:The</w:t>
      </w:r>
      <w:proofErr w:type="spellEnd"/>
      <w:proofErr w:type="gramEnd"/>
      <w:r>
        <w:t xml:space="preserve"> Global Beverage that Integrated our World! Available at: https://cokecommodity.weebly.com/the-global-flow.html [Accessed 12 Dec. 2025].</w:t>
      </w:r>
    </w:p>
    <w:p w14:paraId="7C23B458" w14:textId="77777777" w:rsidR="00E26DB5" w:rsidRDefault="00E26DB5" w:rsidP="00E26DB5">
      <w:pPr>
        <w:rPr>
          <w:shd w:val="clear" w:color="auto" w:fill="FFFFFF"/>
        </w:rPr>
      </w:pPr>
      <w:r>
        <w:rPr>
          <w:shd w:val="clear" w:color="auto" w:fill="FFFFFF"/>
        </w:rPr>
        <w:t>Titi, C., (2016). International investment law and the protection of foreign investment in Brazil. </w:t>
      </w:r>
      <w:r>
        <w:rPr>
          <w:i/>
          <w:iCs/>
          <w:shd w:val="clear" w:color="auto" w:fill="FFFFFF"/>
        </w:rPr>
        <w:t>Transnational Dispute Management</w:t>
      </w:r>
      <w:r>
        <w:rPr>
          <w:shd w:val="clear" w:color="auto" w:fill="FFFFFF"/>
        </w:rPr>
        <w:t>, </w:t>
      </w:r>
      <w:r>
        <w:rPr>
          <w:i/>
          <w:iCs/>
          <w:shd w:val="clear" w:color="auto" w:fill="FFFFFF"/>
        </w:rPr>
        <w:t>2</w:t>
      </w:r>
      <w:r>
        <w:rPr>
          <w:shd w:val="clear" w:color="auto" w:fill="FFFFFF"/>
        </w:rPr>
        <w:t>.</w:t>
      </w:r>
    </w:p>
    <w:p w14:paraId="00CA9CF1" w14:textId="77777777" w:rsidR="00E26DB5" w:rsidRDefault="00E26DB5" w:rsidP="00E26DB5">
      <w:pPr>
        <w:rPr>
          <w:shd w:val="clear" w:color="auto" w:fill="FFFFFF"/>
        </w:rPr>
      </w:pPr>
      <w:r>
        <w:rPr>
          <w:shd w:val="clear" w:color="auto" w:fill="FFFFFF"/>
        </w:rPr>
        <w:t>Vasile, A.C., (2016). Hofstede’s cultural dimensions and management in corporations. </w:t>
      </w:r>
      <w:r>
        <w:rPr>
          <w:i/>
          <w:iCs/>
          <w:shd w:val="clear" w:color="auto" w:fill="FFFFFF"/>
        </w:rPr>
        <w:t>Cross-Cultural Management Journal</w:t>
      </w:r>
      <w:r>
        <w:rPr>
          <w:shd w:val="clear" w:color="auto" w:fill="FFFFFF"/>
        </w:rPr>
        <w:t>, </w:t>
      </w:r>
      <w:r>
        <w:rPr>
          <w:i/>
          <w:iCs/>
          <w:shd w:val="clear" w:color="auto" w:fill="FFFFFF"/>
        </w:rPr>
        <w:t>18</w:t>
      </w:r>
      <w:r>
        <w:rPr>
          <w:shd w:val="clear" w:color="auto" w:fill="FFFFFF"/>
        </w:rPr>
        <w:t>(01), pp.35-46.</w:t>
      </w:r>
    </w:p>
    <w:p w14:paraId="77F37E86" w14:textId="77777777" w:rsidR="00E26DB5" w:rsidRDefault="00E26DB5" w:rsidP="00E26DB5">
      <w:r>
        <w:t xml:space="preserve">Wang, X. (2023). Analysis of Financial Strategy and Operation Strategy of Coca-Cola Company Enterprise. </w:t>
      </w:r>
      <w:r>
        <w:rPr>
          <w:i/>
          <w:iCs/>
        </w:rPr>
        <w:t>BCP business &amp; management</w:t>
      </w:r>
      <w:r>
        <w:t xml:space="preserve">, 46, pp.72–77. </w:t>
      </w:r>
      <w:proofErr w:type="spellStart"/>
      <w:proofErr w:type="gramStart"/>
      <w:r>
        <w:t>doi:https</w:t>
      </w:r>
      <w:proofErr w:type="spellEnd"/>
      <w:r>
        <w:t>://doi.org/10.54691/bcpbm.v46i.5079</w:t>
      </w:r>
      <w:proofErr w:type="gramEnd"/>
      <w:r>
        <w:t>.</w:t>
      </w:r>
    </w:p>
    <w:p w14:paraId="5349C4A1" w14:textId="77777777" w:rsidR="00E26DB5" w:rsidRDefault="00E26DB5" w:rsidP="00E26DB5">
      <w:r>
        <w:t xml:space="preserve">Wild, J.J. and Wild, K.L. (2023). </w:t>
      </w:r>
      <w:r>
        <w:rPr>
          <w:i/>
          <w:iCs/>
        </w:rPr>
        <w:t xml:space="preserve">International </w:t>
      </w:r>
      <w:proofErr w:type="gramStart"/>
      <w:r>
        <w:rPr>
          <w:i/>
          <w:iCs/>
        </w:rPr>
        <w:t>Business :</w:t>
      </w:r>
      <w:proofErr w:type="gramEnd"/>
      <w:r>
        <w:rPr>
          <w:i/>
          <w:iCs/>
        </w:rPr>
        <w:t xml:space="preserve"> The Challenges of Globalization</w:t>
      </w:r>
      <w:r>
        <w:t>. 10th ed. Harlow, England Pearson.</w:t>
      </w:r>
    </w:p>
    <w:p w14:paraId="500933B9" w14:textId="77777777" w:rsidR="00E26DB5" w:rsidRDefault="00E26DB5" w:rsidP="00E26DB5">
      <w:r>
        <w:t>Xu, H., (2024). A Financial Analysis and Valuation of Coca-Cola Company. Highlights in Business, Economics and Management. https://doi.org/10.54097/8n2bpv72.</w:t>
      </w:r>
    </w:p>
    <w:p w14:paraId="0C1214E1" w14:textId="77777777" w:rsidR="00E26DB5" w:rsidRDefault="00E26DB5" w:rsidP="00E26DB5">
      <w:pPr>
        <w:rPr>
          <w:shd w:val="clear" w:color="auto" w:fill="FFFFFF"/>
        </w:rPr>
      </w:pPr>
      <w:r>
        <w:rPr>
          <w:shd w:val="clear" w:color="auto" w:fill="FFFFFF"/>
        </w:rPr>
        <w:t xml:space="preserve">Yadav, P., Stapleton, O. and Van Wassenhove, L., (2013). Learning from </w:t>
      </w:r>
      <w:proofErr w:type="spellStart"/>
      <w:r>
        <w:rPr>
          <w:shd w:val="clear" w:color="auto" w:fill="FFFFFF"/>
        </w:rPr>
        <w:t>coca-cola</w:t>
      </w:r>
      <w:proofErr w:type="spellEnd"/>
      <w:r>
        <w:rPr>
          <w:shd w:val="clear" w:color="auto" w:fill="FFFFFF"/>
        </w:rPr>
        <w:t>. </w:t>
      </w:r>
      <w:proofErr w:type="spellStart"/>
      <w:r>
        <w:rPr>
          <w:i/>
          <w:iCs/>
          <w:shd w:val="clear" w:color="auto" w:fill="FFFFFF"/>
        </w:rPr>
        <w:t>Stanf</w:t>
      </w:r>
      <w:proofErr w:type="spellEnd"/>
      <w:r>
        <w:rPr>
          <w:i/>
          <w:iCs/>
          <w:shd w:val="clear" w:color="auto" w:fill="FFFFFF"/>
        </w:rPr>
        <w:t xml:space="preserve"> Soc </w:t>
      </w:r>
      <w:proofErr w:type="spellStart"/>
      <w:r>
        <w:rPr>
          <w:i/>
          <w:iCs/>
          <w:shd w:val="clear" w:color="auto" w:fill="FFFFFF"/>
        </w:rPr>
        <w:t>Innov</w:t>
      </w:r>
      <w:proofErr w:type="spellEnd"/>
      <w:r>
        <w:rPr>
          <w:i/>
          <w:iCs/>
          <w:shd w:val="clear" w:color="auto" w:fill="FFFFFF"/>
        </w:rPr>
        <w:t xml:space="preserve"> Rev</w:t>
      </w:r>
      <w:r>
        <w:rPr>
          <w:shd w:val="clear" w:color="auto" w:fill="FFFFFF"/>
        </w:rPr>
        <w:t>, </w:t>
      </w:r>
      <w:r>
        <w:rPr>
          <w:i/>
          <w:iCs/>
          <w:shd w:val="clear" w:color="auto" w:fill="FFFFFF"/>
        </w:rPr>
        <w:t>11</w:t>
      </w:r>
      <w:r>
        <w:rPr>
          <w:shd w:val="clear" w:color="auto" w:fill="FFFFFF"/>
        </w:rPr>
        <w:t>(1), pp.51-55.</w:t>
      </w:r>
    </w:p>
    <w:p w14:paraId="2CB7B8F5" w14:textId="77777777" w:rsidR="00E26DB5" w:rsidRDefault="00E26DB5" w:rsidP="00E26DB5">
      <w:r>
        <w:t xml:space="preserve">Zhang, T. (2024). Research on Demographic Segmentation and Marketing Strategies for Young </w:t>
      </w:r>
      <w:proofErr w:type="spellStart"/>
      <w:r>
        <w:t>PeopleBased</w:t>
      </w:r>
      <w:proofErr w:type="spellEnd"/>
      <w:r>
        <w:t xml:space="preserve"> on the Case Study of Coca-Cola. </w:t>
      </w:r>
      <w:r>
        <w:rPr>
          <w:i/>
          <w:iCs/>
        </w:rPr>
        <w:t>Advances in Economics Management and Political Sciences</w:t>
      </w:r>
      <w:r>
        <w:t xml:space="preserve">, 60(1), pp.93–101. </w:t>
      </w:r>
      <w:proofErr w:type="spellStart"/>
      <w:proofErr w:type="gramStart"/>
      <w:r>
        <w:t>doi:https</w:t>
      </w:r>
      <w:proofErr w:type="spellEnd"/>
      <w:r>
        <w:t>://doi.org/10.54254/2754-1169/60/20231173</w:t>
      </w:r>
      <w:proofErr w:type="gramEnd"/>
      <w:r>
        <w:t>.</w:t>
      </w:r>
    </w:p>
    <w:p w14:paraId="1F3F51D8" w14:textId="77777777" w:rsidR="00E26DB5" w:rsidRDefault="00E26DB5" w:rsidP="00E26DB5">
      <w:r>
        <w:t xml:space="preserve">Zheng, W.B. (2023). The Global Strategy of Coca-Cola. </w:t>
      </w:r>
      <w:r>
        <w:rPr>
          <w:i/>
          <w:iCs/>
        </w:rPr>
        <w:t>Advances in Economics Management and Political Sciences</w:t>
      </w:r>
      <w:r>
        <w:t xml:space="preserve">, 43(1), pp.185–191. </w:t>
      </w:r>
      <w:proofErr w:type="spellStart"/>
      <w:proofErr w:type="gramStart"/>
      <w:r>
        <w:t>doi:https</w:t>
      </w:r>
      <w:proofErr w:type="spellEnd"/>
      <w:r>
        <w:t>://doi.org/10.54254/2754-1169/43/20232155</w:t>
      </w:r>
      <w:proofErr w:type="gramEnd"/>
      <w:r>
        <w:t>.</w:t>
      </w:r>
    </w:p>
    <w:p w14:paraId="143D2535" w14:textId="77777777" w:rsidR="007D5061" w:rsidRDefault="007D5061"/>
    <w:sectPr w:rsidR="007D5061">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C3B0F" w14:textId="77777777" w:rsidR="000712FD" w:rsidRDefault="000712FD" w:rsidP="005D498A">
      <w:pPr>
        <w:spacing w:after="0" w:line="240" w:lineRule="auto"/>
      </w:pPr>
      <w:r>
        <w:separator/>
      </w:r>
    </w:p>
  </w:endnote>
  <w:endnote w:type="continuationSeparator" w:id="0">
    <w:p w14:paraId="258D96F7" w14:textId="77777777" w:rsidR="000712FD" w:rsidRDefault="000712FD" w:rsidP="005D4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4860086"/>
      <w:docPartObj>
        <w:docPartGallery w:val="Page Numbers (Bottom of Page)"/>
        <w:docPartUnique/>
      </w:docPartObj>
    </w:sdtPr>
    <w:sdtEndPr>
      <w:rPr>
        <w:noProof/>
      </w:rPr>
    </w:sdtEndPr>
    <w:sdtContent>
      <w:p w14:paraId="18116FD2" w14:textId="07B7EF47" w:rsidR="000A3E88" w:rsidRDefault="000A3E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A036BF" w14:textId="77777777" w:rsidR="000A3E88" w:rsidRDefault="000A3E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89FD9" w14:textId="77777777" w:rsidR="000712FD" w:rsidRDefault="000712FD" w:rsidP="005D498A">
      <w:pPr>
        <w:spacing w:after="0" w:line="240" w:lineRule="auto"/>
      </w:pPr>
      <w:r>
        <w:separator/>
      </w:r>
    </w:p>
  </w:footnote>
  <w:footnote w:type="continuationSeparator" w:id="0">
    <w:p w14:paraId="55E230A1" w14:textId="77777777" w:rsidR="000712FD" w:rsidRDefault="000712FD" w:rsidP="005D49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9326CF"/>
    <w:multiLevelType w:val="hybridMultilevel"/>
    <w:tmpl w:val="8C623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5244EB"/>
    <w:multiLevelType w:val="multilevel"/>
    <w:tmpl w:val="445244EB"/>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798797203">
    <w:abstractNumId w:val="1"/>
  </w:num>
  <w:num w:numId="2" w16cid:durableId="2029212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noPunctuationKerning/>
  <w:characterSpacingControl w:val="doNotCompress"/>
  <w:hdrShapeDefaults>
    <o:shapedefaults v:ext="edit" spidmax="2050"/>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AwszQyMzUztzQ0NjNQ0lEKTi0uzszPAykwqQUAWerqNCwAAAA="/>
  </w:docVars>
  <w:rsids>
    <w:rsidRoot w:val="007D5061"/>
    <w:rsid w:val="000712FD"/>
    <w:rsid w:val="00094996"/>
    <w:rsid w:val="000A3E88"/>
    <w:rsid w:val="000C1165"/>
    <w:rsid w:val="00103CED"/>
    <w:rsid w:val="0016780B"/>
    <w:rsid w:val="001A125B"/>
    <w:rsid w:val="001B58E0"/>
    <w:rsid w:val="00210814"/>
    <w:rsid w:val="00324BB1"/>
    <w:rsid w:val="00352EF2"/>
    <w:rsid w:val="00417475"/>
    <w:rsid w:val="00461D23"/>
    <w:rsid w:val="004656C4"/>
    <w:rsid w:val="004B4F17"/>
    <w:rsid w:val="00500E6D"/>
    <w:rsid w:val="00523593"/>
    <w:rsid w:val="00536513"/>
    <w:rsid w:val="005461A3"/>
    <w:rsid w:val="005D498A"/>
    <w:rsid w:val="00612357"/>
    <w:rsid w:val="00650EDA"/>
    <w:rsid w:val="00681B28"/>
    <w:rsid w:val="006B07C3"/>
    <w:rsid w:val="0074628A"/>
    <w:rsid w:val="007974AC"/>
    <w:rsid w:val="007A1D29"/>
    <w:rsid w:val="007D371F"/>
    <w:rsid w:val="007D5061"/>
    <w:rsid w:val="007F3203"/>
    <w:rsid w:val="008700B9"/>
    <w:rsid w:val="00897DDB"/>
    <w:rsid w:val="008B6CF6"/>
    <w:rsid w:val="008E11BC"/>
    <w:rsid w:val="009D36A3"/>
    <w:rsid w:val="009F27BB"/>
    <w:rsid w:val="00A51994"/>
    <w:rsid w:val="00A609C5"/>
    <w:rsid w:val="00B54DC1"/>
    <w:rsid w:val="00BA55C6"/>
    <w:rsid w:val="00BF2E04"/>
    <w:rsid w:val="00C126ED"/>
    <w:rsid w:val="00C63689"/>
    <w:rsid w:val="00D410E2"/>
    <w:rsid w:val="00D42387"/>
    <w:rsid w:val="00D761B2"/>
    <w:rsid w:val="00E164FF"/>
    <w:rsid w:val="00E24D05"/>
    <w:rsid w:val="00E26DB5"/>
    <w:rsid w:val="00EE692E"/>
    <w:rsid w:val="00F86BFD"/>
    <w:rsid w:val="00FC659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A708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bn-BD"/>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eastAsiaTheme="minorHAnsi" w:hAnsi="Arial" w:cstheme="minorBidi"/>
      <w:sz w:val="24"/>
      <w:szCs w:val="22"/>
      <w:lang w:eastAsia="en-US" w:bidi="ar-SA"/>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unhideWhenUsed/>
    <w:qFormat/>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unhideWhenUsed/>
    <w:qFormat/>
    <w:pPr>
      <w:keepNext/>
      <w:keepLines/>
      <w:spacing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paragraph" w:styleId="NormalWeb">
    <w:name w:val="Normal (Web)"/>
    <w:basedOn w:val="Normal"/>
    <w:uiPriority w:val="99"/>
    <w:unhideWhenUsed/>
    <w:pPr>
      <w:spacing w:before="100" w:beforeAutospacing="1" w:after="100" w:afterAutospacing="1" w:line="240" w:lineRule="auto"/>
      <w:jc w:val="left"/>
    </w:pPr>
    <w:rPr>
      <w:rFonts w:ascii="Times New Roman" w:eastAsia="Times New Roman" w:hAnsi="Times New Roman" w:cs="Times New Roman"/>
      <w:szCs w:val="24"/>
      <w:lang w:eastAsia="en-GB" w:bidi="bn-BD"/>
    </w:rPr>
  </w:style>
  <w:style w:type="paragraph" w:styleId="Subtitle">
    <w:name w:val="Subtitle"/>
    <w:basedOn w:val="Normal"/>
    <w:next w:val="Normal"/>
    <w:link w:val="SubtitleChar"/>
    <w:uiPriority w:val="11"/>
    <w:qFormat/>
    <w:rPr>
      <w:rFonts w:asciiTheme="minorHAnsi" w:eastAsiaTheme="majorEastAsia" w:hAnsiTheme="minorHAnsi" w:cstheme="majorBidi"/>
      <w:color w:val="595959" w:themeColor="text1" w:themeTint="A6"/>
      <w:spacing w:val="15"/>
      <w:sz w:val="28"/>
      <w:szCs w:val="28"/>
    </w:rPr>
  </w:style>
  <w:style w:type="paragraph" w:styleId="Title">
    <w:name w:val="Title"/>
    <w:basedOn w:val="Normal"/>
    <w:next w:val="Normal"/>
    <w:link w:val="TitleChar"/>
    <w:uiPriority w:val="10"/>
    <w:qFormat/>
    <w:pPr>
      <w:spacing w:after="0" w:line="240" w:lineRule="auto"/>
      <w:contextualSpacing/>
      <w:jc w:val="center"/>
    </w:pPr>
    <w:rPr>
      <w:rFonts w:eastAsiaTheme="majorEastAsia" w:cstheme="majorBidi"/>
      <w:spacing w:val="-10"/>
      <w:kern w:val="28"/>
      <w:sz w:val="56"/>
      <w:szCs w:val="71"/>
    </w:rPr>
  </w:style>
  <w:style w:type="character" w:customStyle="1" w:styleId="Heading1Char">
    <w:name w:val="Heading 1 Char"/>
    <w:basedOn w:val="DefaultParagraphFont"/>
    <w:link w:val="Heading1"/>
    <w:uiPriority w:val="9"/>
    <w:rPr>
      <w:rFonts w:ascii="Arial" w:eastAsiaTheme="majorEastAsia" w:hAnsi="Arial" w:cstheme="majorBidi"/>
      <w:b/>
      <w:color w:val="4472C4" w:themeColor="accent1"/>
      <w:kern w:val="0"/>
      <w:sz w:val="32"/>
      <w:szCs w:val="32"/>
      <w14:ligatures w14:val="none"/>
    </w:rPr>
  </w:style>
  <w:style w:type="character" w:customStyle="1" w:styleId="Heading2Char">
    <w:name w:val="Heading 2 Char"/>
    <w:basedOn w:val="DefaultParagraphFont"/>
    <w:link w:val="Heading2"/>
    <w:uiPriority w:val="9"/>
    <w:rPr>
      <w:rFonts w:ascii="Arial" w:eastAsiaTheme="majorEastAsia" w:hAnsi="Arial" w:cstheme="majorBidi"/>
      <w:b/>
      <w:sz w:val="28"/>
      <w:szCs w:val="26"/>
    </w:rPr>
  </w:style>
  <w:style w:type="character" w:customStyle="1" w:styleId="TitleChar">
    <w:name w:val="Title Char"/>
    <w:basedOn w:val="DefaultParagraphFont"/>
    <w:link w:val="Title"/>
    <w:uiPriority w:val="10"/>
    <w:rPr>
      <w:rFonts w:ascii="Arial" w:eastAsiaTheme="majorEastAsia" w:hAnsi="Arial" w:cstheme="majorBidi"/>
      <w:spacing w:val="-10"/>
      <w:kern w:val="28"/>
      <w:sz w:val="56"/>
      <w:szCs w:val="71"/>
    </w:rPr>
  </w:style>
  <w:style w:type="character" w:customStyle="1" w:styleId="Heading3Char">
    <w:name w:val="Heading 3 Char"/>
    <w:basedOn w:val="DefaultParagraphFont"/>
    <w:link w:val="Heading3"/>
    <w:uiPriority w:val="9"/>
    <w:rPr>
      <w:rFonts w:ascii="Arial" w:eastAsiaTheme="majorEastAsia" w:hAnsi="Arial" w:cstheme="majorBidi"/>
      <w:b/>
      <w:color w:val="2F5496" w:themeColor="accent1" w:themeShade="BF"/>
      <w:kern w:val="0"/>
      <w:sz w:val="24"/>
      <w:szCs w:val="28"/>
      <w14:ligatures w14:val="none"/>
    </w:rPr>
  </w:style>
  <w:style w:type="character" w:customStyle="1" w:styleId="Heading4Char">
    <w:name w:val="Heading 4 Char"/>
    <w:basedOn w:val="DefaultParagraphFont"/>
    <w:link w:val="Heading4"/>
    <w:uiPriority w:val="9"/>
    <w:semiHidden/>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kern w:val="0"/>
      <w:sz w:val="24"/>
      <w14:ligatures w14:val="none"/>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kern w:val="0"/>
      <w:sz w:val="24"/>
      <w14:ligatures w14:val="none"/>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kern w:val="0"/>
      <w:sz w:val="28"/>
      <w:szCs w:val="28"/>
      <w14:ligatures w14:val="none"/>
    </w:rPr>
  </w:style>
  <w:style w:type="paragraph" w:customStyle="1" w:styleId="Quote1">
    <w:name w:val="Quote1"/>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1"/>
    <w:uiPriority w:val="29"/>
    <w:rPr>
      <w:rFonts w:ascii="Arial" w:hAnsi="Arial"/>
      <w:i/>
      <w:iCs/>
      <w:color w:val="404040" w:themeColor="text1" w:themeTint="BF"/>
      <w:kern w:val="0"/>
      <w:sz w:val="24"/>
      <w14:ligatures w14:val="none"/>
    </w:rPr>
  </w:style>
  <w:style w:type="paragraph" w:customStyle="1" w:styleId="ListParagraph1">
    <w:name w:val="List Paragraph1"/>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customStyle="1" w:styleId="IntenseQuote1">
    <w:name w:val="Intense Quote1"/>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1"/>
    <w:uiPriority w:val="30"/>
    <w:rPr>
      <w:rFonts w:ascii="Arial" w:hAnsi="Arial"/>
      <w:i/>
      <w:iCs/>
      <w:color w:val="2F5496" w:themeColor="accent1" w:themeShade="BF"/>
      <w:kern w:val="0"/>
      <w:sz w:val="24"/>
      <w14:ligatures w14:val="none"/>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table" w:styleId="TableGrid">
    <w:name w:val="Table Grid"/>
    <w:basedOn w:val="TableNormal"/>
    <w:uiPriority w:val="39"/>
    <w:rsid w:val="00681B28"/>
    <w:pPr>
      <w:spacing w:after="0" w:line="240" w:lineRule="auto"/>
    </w:pPr>
    <w:rPr>
      <w:rFonts w:asciiTheme="minorHAnsi" w:eastAsia="Verdana" w:hAnsiTheme="minorHAnsi" w:cstheme="minorBidi"/>
      <w:sz w:val="22"/>
      <w:szCs w:val="22"/>
      <w:lang w:eastAsia="en-US" w:bidi="ar-SA"/>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81B28"/>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81B28"/>
    <w:pPr>
      <w:spacing w:after="100"/>
    </w:pPr>
  </w:style>
  <w:style w:type="paragraph" w:styleId="TOC2">
    <w:name w:val="toc 2"/>
    <w:basedOn w:val="Normal"/>
    <w:next w:val="Normal"/>
    <w:autoRedefine/>
    <w:uiPriority w:val="39"/>
    <w:unhideWhenUsed/>
    <w:rsid w:val="00681B28"/>
    <w:pPr>
      <w:spacing w:after="100"/>
      <w:ind w:left="240"/>
    </w:pPr>
  </w:style>
  <w:style w:type="character" w:styleId="Hyperlink">
    <w:name w:val="Hyperlink"/>
    <w:basedOn w:val="DefaultParagraphFont"/>
    <w:uiPriority w:val="99"/>
    <w:unhideWhenUsed/>
    <w:rsid w:val="00681B28"/>
    <w:rPr>
      <w:color w:val="0563C1" w:themeColor="hyperlink"/>
      <w:u w:val="single"/>
    </w:rPr>
  </w:style>
  <w:style w:type="paragraph" w:styleId="TableofFigures">
    <w:name w:val="table of figures"/>
    <w:basedOn w:val="Normal"/>
    <w:next w:val="Normal"/>
    <w:uiPriority w:val="99"/>
    <w:unhideWhenUsed/>
    <w:rsid w:val="00681B28"/>
    <w:pPr>
      <w:spacing w:after="0"/>
    </w:pPr>
  </w:style>
  <w:style w:type="paragraph" w:styleId="Header">
    <w:name w:val="header"/>
    <w:basedOn w:val="Normal"/>
    <w:link w:val="HeaderChar"/>
    <w:uiPriority w:val="99"/>
    <w:unhideWhenUsed/>
    <w:rsid w:val="005D49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498A"/>
    <w:rPr>
      <w:rFonts w:ascii="Arial" w:eastAsiaTheme="minorHAnsi" w:hAnsi="Arial" w:cstheme="minorBidi"/>
      <w:sz w:val="24"/>
      <w:szCs w:val="22"/>
      <w:lang w:eastAsia="en-US" w:bidi="ar-SA"/>
    </w:rPr>
  </w:style>
  <w:style w:type="paragraph" w:styleId="Footer">
    <w:name w:val="footer"/>
    <w:basedOn w:val="Normal"/>
    <w:link w:val="FooterChar"/>
    <w:uiPriority w:val="99"/>
    <w:unhideWhenUsed/>
    <w:rsid w:val="005D49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498A"/>
    <w:rPr>
      <w:rFonts w:ascii="Arial" w:eastAsiaTheme="minorHAnsi" w:hAnsi="Arial" w:cstheme="minorBidi"/>
      <w:sz w:val="24"/>
      <w:szCs w:val="22"/>
      <w:lang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A4E54EF-9284-4051-929C-D732F34D75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6476</Words>
  <Characters>39823</Characters>
  <Application>Microsoft Office Word</Application>
  <DocSecurity>0</DocSecurity>
  <Lines>666</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2025-12-13T14:14:00Z</dcterms:created>
  <dcterms:modified xsi:type="dcterms:W3CDTF">2025-12-13T20:31:00Z</dcterms:modified>
</cp:coreProperties>
</file>