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ascii="Georgia" w:hAnsi="Georgia" w:eastAsia="Georgia" w:cs="Georgia"/>
          <w:b w:val="0"/>
          <w:i w:val="0"/>
          <w:caps w:val="0"/>
          <w:color w:val="000000"/>
          <w:spacing w:val="0"/>
          <w:sz w:val="21"/>
          <w:szCs w:val="21"/>
          <w:bdr w:val="none" w:color="auto" w:sz="0" w:space="0"/>
          <w:shd w:val="clear" w:fill="FFFFFF"/>
          <w:vertAlign w:val="baseline"/>
          <w:lang w:val="en-US"/>
        </w:rPr>
        <w:t> </w:t>
      </w:r>
      <w:r>
        <w:rPr>
          <w:rFonts w:hint="default" w:ascii="Georgia" w:hAnsi="Georgia" w:eastAsia="Georgia" w:cs="Georgia"/>
          <w:b w:val="0"/>
          <w:i w:val="0"/>
          <w:caps w:val="0"/>
          <w:color w:val="000000"/>
          <w:spacing w:val="0"/>
          <w:sz w:val="21"/>
          <w:szCs w:val="21"/>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Georgia" w:hAnsi="Georgia" w:eastAsia="Georgia" w:cs="Georgia"/>
          <w:b w:val="0"/>
          <w:i w:val="0"/>
          <w:caps w:val="0"/>
          <w:color w:val="000000"/>
          <w:spacing w:val="0"/>
          <w:sz w:val="21"/>
          <w:szCs w:val="21"/>
          <w:bdr w:val="none" w:color="auto" w:sz="0" w:space="0"/>
          <w:shd w:val="clear" w:fill="FFFFFF"/>
          <w:vertAlign w:val="baseline"/>
          <w:lang w:val="en-US"/>
        </w:rPr>
        <w:t> </w:t>
      </w:r>
      <w:r>
        <w:rPr>
          <w:rFonts w:hint="default" w:ascii="Georgia" w:hAnsi="Georgia" w:eastAsia="Georgia" w:cs="Georgia"/>
          <w:b w:val="0"/>
          <w:i w:val="0"/>
          <w:caps w:val="0"/>
          <w:color w:val="000000"/>
          <w:spacing w:val="0"/>
          <w:sz w:val="21"/>
          <w:szCs w:val="21"/>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b w:val="0"/>
          <w:i w:val="0"/>
          <w:color w:val="auto"/>
        </w:rPr>
      </w:pPr>
      <w:r>
        <w:rPr>
          <w:rFonts w:ascii="Arial" w:hAnsi="Arial" w:eastAsia="Segoe UI" w:cs="Arial"/>
          <w:b/>
          <w:i w:val="0"/>
          <w:caps w:val="0"/>
          <w:color w:val="000000"/>
          <w:spacing w:val="0"/>
          <w:sz w:val="28"/>
          <w:szCs w:val="28"/>
          <w:bdr w:val="none" w:color="auto" w:sz="0" w:space="0"/>
          <w:shd w:val="clear" w:fill="FFFFFF"/>
          <w:vertAlign w:val="baseline"/>
          <w:lang w:val="en-US"/>
        </w:rPr>
        <w:t>Postgraduate/Distance Learning </w:t>
      </w:r>
      <w:r>
        <w:rPr>
          <w:rFonts w:hint="default" w:ascii="Arial" w:hAnsi="Arial" w:eastAsia="Segoe UI" w:cs="Arial"/>
          <w:b w:val="0"/>
          <w:i w:val="0"/>
          <w:caps w:val="0"/>
          <w:color w:val="000000"/>
          <w:spacing w:val="0"/>
          <w:sz w:val="28"/>
          <w:szCs w:val="28"/>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b w:val="0"/>
          <w:i w:val="0"/>
          <w:color w:val="auto"/>
        </w:rPr>
      </w:pPr>
      <w:r>
        <w:rPr>
          <w:rFonts w:hint="default" w:ascii="Arial" w:hAnsi="Arial" w:eastAsia="Segoe UI" w:cs="Arial"/>
          <w:b/>
          <w:i w:val="0"/>
          <w:caps w:val="0"/>
          <w:color w:val="000000"/>
          <w:spacing w:val="0"/>
          <w:sz w:val="28"/>
          <w:szCs w:val="28"/>
          <w:bdr w:val="none" w:color="auto" w:sz="0" w:space="0"/>
          <w:shd w:val="clear" w:fill="FFFFFF"/>
          <w:vertAlign w:val="baseline"/>
          <w:lang w:val="en-US"/>
        </w:rPr>
        <w:t>Assignment coversheet &amp; feedback form</w:t>
      </w:r>
      <w:r>
        <w:rPr>
          <w:rFonts w:hint="default" w:ascii="Arial" w:hAnsi="Arial" w:eastAsia="Segoe UI" w:cs="Arial"/>
          <w:b w:val="0"/>
          <w:i w:val="0"/>
          <w:caps w:val="0"/>
          <w:color w:val="000000"/>
          <w:spacing w:val="0"/>
          <w:sz w:val="28"/>
          <w:szCs w:val="28"/>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eastAsia="Segoe UI" w:cs="Arial"/>
          <w:b w:val="0"/>
          <w:i w:val="0"/>
          <w:caps w:val="0"/>
          <w:color w:val="auto"/>
          <w:spacing w:val="0"/>
          <w:sz w:val="28"/>
          <w:szCs w:val="28"/>
          <w:bdr w:val="none" w:color="auto" w:sz="0" w:space="0"/>
          <w:shd w:val="clear" w:fill="FFFFFF"/>
          <w:vertAlign w:val="baseline"/>
          <w:lang w:val="en-US"/>
        </w:rPr>
        <w:t> </w:t>
      </w:r>
      <w:r>
        <w:rPr>
          <w:rFonts w:hint="default" w:ascii="Arial" w:hAnsi="Arial" w:eastAsia="Segoe UI" w:cs="Arial"/>
          <w:b w:val="0"/>
          <w:i w:val="0"/>
          <w:caps w:val="0"/>
          <w:color w:val="auto"/>
          <w:spacing w:val="0"/>
          <w:sz w:val="28"/>
          <w:szCs w:val="28"/>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1F3763"/>
        </w:rPr>
      </w:pPr>
      <w:r>
        <w:rPr>
          <w:rFonts w:ascii="Tahoma" w:hAnsi="Tahoma" w:eastAsia="Tahoma" w:cs="Tahoma"/>
          <w:b/>
          <w:i w:val="0"/>
          <w:caps w:val="0"/>
          <w:color w:val="1F3763"/>
          <w:spacing w:val="0"/>
          <w:sz w:val="20"/>
          <w:szCs w:val="20"/>
          <w:bdr w:val="none" w:color="auto" w:sz="0" w:space="0"/>
          <w:shd w:val="clear" w:fill="FFFFFF"/>
          <w:vertAlign w:val="baseline"/>
          <w:lang w:val="en-US"/>
        </w:rPr>
        <w:t xml:space="preserve">THIS SHEET MUST BE THE FIRST PAGE OF THE ASSIGNMENT YOU ARE </w:t>
      </w:r>
      <w:r>
        <w:rPr>
          <w:rFonts w:hint="default" w:ascii="Tahoma" w:hAnsi="Tahoma" w:eastAsia="Tahoma" w:cs="Tahoma"/>
          <w:b/>
          <w:i w:val="0"/>
          <w:caps w:val="0"/>
          <w:color w:val="1F3763"/>
          <w:spacing w:val="0"/>
          <w:sz w:val="20"/>
          <w:szCs w:val="20"/>
          <w:bdr w:val="none" w:color="auto" w:sz="0" w:space="0"/>
          <w:shd w:val="clear" w:fill="FFFFFF"/>
          <w:vertAlign w:val="baseline"/>
          <w:lang w:val="en-US"/>
        </w:rPr>
        <w:t>SUBMITTING  (DO NOT SEND AS A SEPARATE FILE)</w:t>
      </w:r>
      <w:r>
        <w:rPr>
          <w:rFonts w:hint="default" w:ascii="Tahoma" w:hAnsi="Tahoma" w:eastAsia="Tahoma" w:cs="Tahoma"/>
          <w:b w:val="0"/>
          <w:i w:val="0"/>
          <w:caps w:val="0"/>
          <w:color w:val="1F3763"/>
          <w:spacing w:val="0"/>
          <w:sz w:val="20"/>
          <w:szCs w:val="20"/>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1F3763"/>
        </w:rPr>
      </w:pPr>
      <w:r>
        <w:rPr>
          <w:rFonts w:ascii="Trebuchet MS" w:hAnsi="Trebuchet MS" w:eastAsia="Segoe UI" w:cs="Trebuchet MS"/>
          <w:b/>
          <w:i w:val="0"/>
          <w:caps w:val="0"/>
          <w:color w:val="1F3763"/>
          <w:spacing w:val="0"/>
          <w:sz w:val="20"/>
          <w:szCs w:val="20"/>
          <w:bdr w:val="none" w:color="auto" w:sz="0" w:space="0"/>
          <w:shd w:val="clear" w:fill="FFFFFF"/>
          <w:vertAlign w:val="baseline"/>
          <w:lang w:val="en-US"/>
        </w:rPr>
        <w:t> </w:t>
      </w:r>
      <w:r>
        <w:rPr>
          <w:rFonts w:hint="default" w:ascii="Trebuchet MS" w:hAnsi="Trebuchet MS" w:eastAsia="Segoe UI" w:cs="Trebuchet MS"/>
          <w:b w:val="0"/>
          <w:i w:val="0"/>
          <w:caps w:val="0"/>
          <w:color w:val="1F3763"/>
          <w:spacing w:val="0"/>
          <w:sz w:val="20"/>
          <w:szCs w:val="20"/>
          <w:bdr w:val="none" w:color="auto" w:sz="0" w:space="0"/>
          <w:shd w:val="clear" w:fill="FFFFFF"/>
          <w:vertAlign w:val="baseline"/>
        </w:rPr>
        <w:t> </w:t>
      </w:r>
    </w:p>
    <w:tbl>
      <w:tblPr>
        <w:tblW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049"/>
        <w:gridCol w:w="444"/>
        <w:gridCol w:w="1650"/>
        <w:gridCol w:w="301"/>
        <w:gridCol w:w="1872"/>
      </w:tblGrid>
      <w:tr>
        <w:trPr>
          <w:trHeight w:val="82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For completion by the student</w:t>
            </w:r>
            <w:r>
              <w:rPr>
                <w:rFonts w:hint="default" w:ascii="Arial" w:hAnsi="Arial" w:cs="Arial"/>
                <w:b w:val="0"/>
                <w:i w:val="0"/>
                <w:color w:val="000000"/>
                <w:sz w:val="22"/>
                <w:szCs w:val="22"/>
                <w:bdr w:val="none" w:color="auto" w:sz="0" w:space="0"/>
                <w:vertAlign w:val="baseline"/>
                <w:lang w:val="en-US"/>
              </w:rPr>
              <w:t>:</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96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Student Name: Cara Braia</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xml:space="preserve">Student </w:t>
            </w:r>
            <w:r>
              <w:rPr>
                <w:rFonts w:hint="default" w:ascii="Arial" w:hAnsi="Arial" w:cs="Arial"/>
                <w:b/>
                <w:i w:val="0"/>
                <w:color w:val="000000"/>
                <w:sz w:val="22"/>
                <w:szCs w:val="22"/>
                <w:u w:val="single"/>
                <w:bdr w:val="none" w:color="auto" w:sz="0" w:space="0"/>
                <w:vertAlign w:val="baseline"/>
                <w:lang w:val="en-US"/>
              </w:rPr>
              <w:t>University</w:t>
            </w:r>
            <w:r>
              <w:rPr>
                <w:rFonts w:hint="default" w:ascii="Arial" w:hAnsi="Arial" w:cs="Arial"/>
                <w:b w:val="0"/>
                <w:i w:val="0"/>
                <w:color w:val="000000"/>
                <w:sz w:val="22"/>
                <w:szCs w:val="22"/>
                <w:u w:val="single"/>
                <w:bdr w:val="none" w:color="auto" w:sz="0" w:space="0"/>
                <w:vertAlign w:val="baseline"/>
                <w:lang w:val="en-US"/>
              </w:rPr>
              <w:t xml:space="preserve"> </w:t>
            </w:r>
            <w:r>
              <w:rPr>
                <w:rFonts w:hint="default" w:ascii="Arial" w:hAnsi="Arial" w:cs="Arial"/>
                <w:b w:val="0"/>
                <w:i w:val="0"/>
                <w:color w:val="000000"/>
                <w:sz w:val="22"/>
                <w:szCs w:val="22"/>
                <w:bdr w:val="none" w:color="auto" w:sz="0" w:space="0"/>
                <w:vertAlign w:val="baseline"/>
                <w:lang w:val="en-US"/>
              </w:rPr>
              <w:t>Email: 2116365@student.uwtsd.ac.uk</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1140" w:hRule="atLeast"/>
        </w:trPr>
        <w:tc>
          <w:tcPr>
            <w:tcW w:w="6360" w:type="dxa"/>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Module code: HPCA7016</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Module title:</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Researching contempary cosmologies</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tc>
        <w:tc>
          <w:tcPr>
            <w:tcW w:w="3020" w:type="dxa"/>
            <w:gridSpan w:val="3"/>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Student ID number:2116365</w:t>
            </w:r>
            <w:r>
              <w:rPr>
                <w:rFonts w:hint="default" w:ascii="Arial" w:hAnsi="Arial" w:cs="Arial"/>
                <w:b w:val="0"/>
                <w:i w:val="0"/>
                <w:color w:val="000000"/>
                <w:sz w:val="22"/>
                <w:szCs w:val="22"/>
                <w:bdr w:val="none" w:color="auto" w:sz="0" w:space="0"/>
                <w:vertAlign w:val="baseline"/>
              </w:rPr>
              <w:t> </w:t>
            </w:r>
          </w:p>
        </w:tc>
        <w:tc>
          <w:tcPr>
            <w:tcW w:w="2400" w:type="dxa"/>
            <w:tcBorders>
              <w:top w:val="single" w:color="000000" w:sz="8" w:space="0"/>
              <w:left w:val="nil"/>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Educational support needs:</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No</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150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xml:space="preserve">Assignment title: </w:t>
            </w:r>
            <w:r>
              <w:rPr>
                <w:rFonts w:hint="default" w:ascii="Arial" w:hAnsi="Arial" w:cs="Arial"/>
                <w:b w:val="0"/>
                <w:i w:val="0"/>
                <w:color w:val="auto"/>
                <w:sz w:val="22"/>
                <w:szCs w:val="22"/>
                <w:bdr w:val="none" w:color="auto" w:sz="0" w:space="0"/>
                <w:vertAlign w:val="baseline"/>
                <w:lang w:val="en-US"/>
              </w:rPr>
              <w:t>A Critical Comparison of two Secondary Sources.</w:t>
            </w:r>
            <w:r>
              <w:rPr>
                <w:rFonts w:hint="default" w:ascii="Arial" w:hAnsi="Arial" w:cs="Arial"/>
                <w:b w:val="0"/>
                <w:i w:val="0"/>
                <w:color w:val="auto"/>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Assignment due date:</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130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2"/>
                <w:szCs w:val="22"/>
                <w:bdr w:val="none" w:color="auto" w:sz="0" w:space="0"/>
                <w:vertAlign w:val="baseline"/>
                <w:lang w:val="en-US"/>
              </w:rPr>
              <w:t>This assignment is for the       1</w:t>
            </w:r>
            <w:r>
              <w:rPr>
                <w:rFonts w:hint="default" w:ascii="Arial" w:hAnsi="Arial" w:cs="Arial"/>
                <w:b w:val="0"/>
                <w:i w:val="0"/>
                <w:color w:val="auto"/>
                <w:sz w:val="17"/>
                <w:szCs w:val="17"/>
                <w:bdr w:val="none" w:color="auto" w:sz="0" w:space="0"/>
                <w:vertAlign w:val="superscript"/>
                <w:lang w:val="en-US"/>
              </w:rPr>
              <w:t>st </w:t>
            </w:r>
            <w:r>
              <w:rPr>
                <w:rFonts w:hint="default" w:ascii="Times New Roman" w:hAnsi="Times New Roman" w:cs="Times New Roman"/>
                <w:b w:val="0"/>
                <w:i w:val="0"/>
                <w:color w:val="auto"/>
                <w:sz w:val="24"/>
                <w:szCs w:val="24"/>
                <w:bdr w:val="none" w:color="auto" w:sz="0" w:space="0"/>
                <w:vertAlign w:val="baseline"/>
                <w:lang w:val="en-US"/>
              </w:rPr>
              <w:t xml:space="preserve">      </w:t>
            </w:r>
            <w:r>
              <w:rPr>
                <w:rFonts w:hint="default" w:ascii="Arial" w:hAnsi="Arial" w:cs="Arial"/>
                <w:b w:val="0"/>
                <w:i w:val="0"/>
                <w:color w:val="auto"/>
                <w:sz w:val="22"/>
                <w:szCs w:val="22"/>
                <w:bdr w:val="none" w:color="auto" w:sz="0" w:space="0"/>
                <w:vertAlign w:val="baseline"/>
                <w:lang w:val="en-US"/>
              </w:rPr>
              <w:t>module of the degree</w:t>
            </w:r>
            <w:r>
              <w:rPr>
                <w:rFonts w:hint="default" w:ascii="Arial" w:hAnsi="Arial" w:cs="Arial"/>
                <w:b w:val="0"/>
                <w:i w:val="0"/>
                <w:color w:val="auto"/>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130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color="auto" w:fill="D9D9D9"/>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I confirm that this is my original work and that I have adhered to the University policy on plagiarism.</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Signed ……Cara Braia………………………</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ascii="Calibri" w:hAnsi="Calibri" w:cs="Calibri"/>
                <w:b/>
                <w:i w:val="0"/>
                <w:color w:val="000000"/>
                <w:sz w:val="24"/>
                <w:szCs w:val="24"/>
                <w:bdr w:val="none" w:color="auto" w:sz="0" w:space="0"/>
                <w:vertAlign w:val="baseline"/>
                <w:lang w:val="en-US"/>
              </w:rPr>
              <w:t xml:space="preserve">Email </w:t>
            </w:r>
            <w:r>
              <w:rPr>
                <w:rFonts w:hint="default" w:ascii="Calibri" w:hAnsi="Calibri" w:cs="Calibri"/>
                <w:b/>
                <w:i w:val="0"/>
                <w:color w:val="000000"/>
                <w:sz w:val="24"/>
                <w:szCs w:val="24"/>
                <w:bdr w:val="none" w:color="auto" w:sz="0" w:space="0"/>
                <w:vertAlign w:val="baseline"/>
                <w:lang w:val="en-US"/>
              </w:rPr>
              <w:t xml:space="preserve">submission:if you are submitting this form via email, please tick this box </w:t>
            </w:r>
            <w:r>
              <w:rPr>
                <w:rFonts w:hint="default" w:ascii="Calibri" w:hAnsi="Calibri" w:cs="Calibri"/>
                <w:b/>
                <w:i w:val="0"/>
                <w:color w:val="000000"/>
                <w:sz w:val="44"/>
                <w:szCs w:val="44"/>
                <w:bdr w:val="none" w:color="auto" w:sz="0" w:space="0"/>
                <w:vertAlign w:val="baseline"/>
                <w:lang w:val="en-US"/>
              </w:rPr>
              <w:t>□</w:t>
            </w:r>
            <w:r>
              <w:rPr>
                <w:rFonts w:hint="default" w:ascii="Calibri" w:hAnsi="Calibri" w:cs="Calibri"/>
                <w:b w:val="0"/>
                <w:i w:val="0"/>
                <w:color w:val="000000"/>
                <w:sz w:val="44"/>
                <w:szCs w:val="44"/>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cs="Calibri"/>
                <w:b/>
                <w:i w:val="0"/>
                <w:color w:val="000000"/>
                <w:sz w:val="24"/>
                <w:szCs w:val="24"/>
                <w:bdr w:val="none" w:color="auto" w:sz="0" w:space="0"/>
                <w:vertAlign w:val="baseline"/>
                <w:lang w:val="en-US"/>
              </w:rPr>
              <w:t>(as a substitute for your signature) to confirm that you agree to the above declaration.</w:t>
            </w:r>
            <w:r>
              <w:rPr>
                <w:rFonts w:hint="default" w:ascii="Calibri" w:hAnsi="Calibri" w:cs="Calibri"/>
                <w:b w:val="0"/>
                <w:i w:val="0"/>
                <w:color w:val="000000"/>
                <w:sz w:val="24"/>
                <w:szCs w:val="24"/>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528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auto"/>
                <w:sz w:val="24"/>
                <w:szCs w:val="24"/>
                <w:bdr w:val="none" w:color="auto" w:sz="0" w:space="0"/>
                <w:vertAlign w:val="baseline"/>
                <w:lang w:val="en-US"/>
              </w:rPr>
              <w:t> </w:t>
            </w:r>
            <w:r>
              <w:rPr>
                <w:rFonts w:hint="default" w:ascii="Arial" w:hAnsi="Arial" w:cs="Arial"/>
                <w:b w:val="0"/>
                <w:i w:val="0"/>
                <w:color w:val="auto"/>
                <w:sz w:val="24"/>
                <w:szCs w:val="24"/>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auto"/>
                <w:sz w:val="24"/>
                <w:szCs w:val="24"/>
                <w:bdr w:val="none" w:color="auto" w:sz="0" w:space="0"/>
                <w:vertAlign w:val="baseline"/>
                <w:lang w:val="en-US"/>
              </w:rPr>
              <w:t>Assignment Mark</w:t>
            </w:r>
            <w:r>
              <w:rPr>
                <w:rFonts w:hint="default" w:ascii="Arial" w:hAnsi="Arial" w:cs="Arial"/>
                <w:b w:val="0"/>
                <w:i w:val="0"/>
                <w:color w:val="auto"/>
                <w:sz w:val="24"/>
                <w:szCs w:val="24"/>
                <w:bdr w:val="none" w:color="auto" w:sz="0" w:space="0"/>
                <w:vertAlign w:val="baseline"/>
              </w:rPr>
              <w:t> </w:t>
            </w:r>
          </w:p>
          <w:tbl>
            <w:tblPr>
              <w:tblW w:w="0" w:type="dxa"/>
              <w:tblInd w:w="-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74"/>
              <w:gridCol w:w="150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0" w:hRule="atLeast"/>
              </w:trPr>
              <w:tc>
                <w:tcPr>
                  <w:tcW w:w="930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1</w:t>
                  </w:r>
                  <w:r>
                    <w:rPr>
                      <w:rFonts w:hint="default" w:ascii="Arial" w:hAnsi="Arial" w:cs="Arial"/>
                      <w:b w:val="0"/>
                      <w:i w:val="0"/>
                      <w:color w:val="auto"/>
                      <w:sz w:val="16"/>
                      <w:szCs w:val="16"/>
                      <w:bdr w:val="none" w:color="auto" w:sz="0" w:space="0"/>
                      <w:vertAlign w:val="superscript"/>
                      <w:lang w:val="en-US"/>
                    </w:rPr>
                    <w:t>st</w:t>
                  </w:r>
                  <w:r>
                    <w:rPr>
                      <w:rFonts w:hint="default" w:ascii="Arial" w:hAnsi="Arial" w:cs="Arial"/>
                      <w:b w:val="0"/>
                      <w:i w:val="0"/>
                      <w:color w:val="auto"/>
                      <w:sz w:val="20"/>
                      <w:szCs w:val="20"/>
                      <w:bdr w:val="none" w:color="auto" w:sz="0" w:space="0"/>
                      <w:vertAlign w:val="baseline"/>
                      <w:lang w:val="en-US"/>
                    </w:rPr>
                    <w:t xml:space="preserve"> Marker’s Provisional mark</w:t>
                  </w:r>
                  <w:r>
                    <w:rPr>
                      <w:rFonts w:hint="default" w:ascii="Arial" w:hAnsi="Arial" w:cs="Arial"/>
                      <w:b w:val="0"/>
                      <w:i w:val="0"/>
                      <w:color w:val="auto"/>
                      <w:sz w:val="20"/>
                      <w:szCs w:val="20"/>
                      <w:bdr w:val="none" w:color="auto" w:sz="0" w:space="0"/>
                      <w:vertAlign w:val="baseline"/>
                    </w:rPr>
                    <w:t> </w:t>
                  </w:r>
                </w:p>
              </w:tc>
              <w:tc>
                <w:tcPr>
                  <w:tcW w:w="222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0" w:hRule="atLeast"/>
              </w:trPr>
              <w:tc>
                <w:tcPr>
                  <w:tcW w:w="930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2</w:t>
                  </w:r>
                  <w:r>
                    <w:rPr>
                      <w:rFonts w:hint="default" w:ascii="Arial" w:hAnsi="Arial" w:cs="Arial"/>
                      <w:b w:val="0"/>
                      <w:i w:val="0"/>
                      <w:color w:val="auto"/>
                      <w:sz w:val="16"/>
                      <w:szCs w:val="16"/>
                      <w:bdr w:val="none" w:color="auto" w:sz="0" w:space="0"/>
                      <w:vertAlign w:val="superscript"/>
                      <w:lang w:val="en-US"/>
                    </w:rPr>
                    <w:t>nd</w:t>
                  </w:r>
                  <w:r>
                    <w:rPr>
                      <w:rFonts w:hint="default" w:ascii="Arial" w:hAnsi="Arial" w:cs="Arial"/>
                      <w:b w:val="0"/>
                      <w:i w:val="0"/>
                      <w:color w:val="auto"/>
                      <w:sz w:val="20"/>
                      <w:szCs w:val="20"/>
                      <w:bdr w:val="none" w:color="auto" w:sz="0" w:space="0"/>
                      <w:vertAlign w:val="baseline"/>
                      <w:lang w:val="en-US"/>
                    </w:rPr>
                    <w:t xml:space="preserve"> Marker’s/Moderator’s provisional mark</w:t>
                  </w:r>
                  <w:r>
                    <w:rPr>
                      <w:rFonts w:hint="default" w:ascii="Arial" w:hAnsi="Arial" w:cs="Arial"/>
                      <w:b w:val="0"/>
                      <w:i w:val="0"/>
                      <w:color w:val="auto"/>
                      <w:sz w:val="20"/>
                      <w:szCs w:val="20"/>
                      <w:bdr w:val="none" w:color="auto" w:sz="0" w:space="0"/>
                      <w:vertAlign w:val="baseline"/>
                    </w:rPr>
                    <w:t> </w:t>
                  </w:r>
                </w:p>
              </w:tc>
              <w:tc>
                <w:tcPr>
                  <w:tcW w:w="222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0" w:hRule="atLeast"/>
              </w:trPr>
              <w:tc>
                <w:tcPr>
                  <w:tcW w:w="930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External Examiner’s mark (if relevant)</w:t>
                  </w:r>
                  <w:r>
                    <w:rPr>
                      <w:rFonts w:hint="default" w:ascii="Arial" w:hAnsi="Arial" w:cs="Arial"/>
                      <w:b w:val="0"/>
                      <w:i w:val="0"/>
                      <w:color w:val="auto"/>
                      <w:sz w:val="20"/>
                      <w:szCs w:val="20"/>
                      <w:bdr w:val="none" w:color="auto" w:sz="0" w:space="0"/>
                      <w:vertAlign w:val="baseline"/>
                    </w:rPr>
                    <w:t> </w:t>
                  </w:r>
                </w:p>
              </w:tc>
              <w:tc>
                <w:tcPr>
                  <w:tcW w:w="222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0" w:hRule="atLeast"/>
              </w:trPr>
              <w:tc>
                <w:tcPr>
                  <w:tcW w:w="930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auto"/>
                      <w:sz w:val="20"/>
                      <w:szCs w:val="20"/>
                      <w:bdr w:val="none" w:color="auto" w:sz="0" w:space="0"/>
                      <w:vertAlign w:val="baseline"/>
                      <w:lang w:val="en-US"/>
                    </w:rPr>
                    <w:t>Final Mark</w:t>
                  </w:r>
                  <w:r>
                    <w:rPr>
                      <w:rFonts w:hint="default" w:ascii="Arial" w:hAnsi="Arial" w:cs="Arial"/>
                      <w:b w:val="0"/>
                      <w:i w:val="0"/>
                      <w:color w:val="auto"/>
                      <w:sz w:val="20"/>
                      <w:szCs w:val="20"/>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tc>
              <w:tc>
                <w:tcPr>
                  <w:tcW w:w="222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NB.</w:t>
            </w:r>
            <w:r>
              <w:rPr>
                <w:rFonts w:hint="default" w:ascii="Arial" w:hAnsi="Arial" w:cs="Arial"/>
                <w:b w:val="0"/>
                <w:i w:val="0"/>
                <w:color w:val="000000"/>
                <w:sz w:val="22"/>
                <w:szCs w:val="22"/>
                <w:bdr w:val="none" w:color="auto" w:sz="0" w:space="0"/>
                <w:vertAlign w:val="baseline"/>
                <w:lang w:val="en-US"/>
              </w:rPr>
              <w:t>  All marks are provisional until confirmed by the Final Examination Board.</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For completion by Marker 1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Comments:</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660" w:hRule="atLeast"/>
        </w:trPr>
        <w:tc>
          <w:tcPr>
            <w:tcW w:w="9000" w:type="dxa"/>
            <w:gridSpan w:val="3"/>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Marker’s signature:</w:t>
            </w:r>
            <w:r>
              <w:rPr>
                <w:rFonts w:hint="default" w:ascii="Arial" w:hAnsi="Arial" w:cs="Arial"/>
                <w:b w:val="0"/>
                <w:i w:val="0"/>
                <w:color w:val="000000"/>
                <w:sz w:val="22"/>
                <w:szCs w:val="22"/>
                <w:bdr w:val="none" w:color="auto" w:sz="0" w:space="0"/>
                <w:vertAlign w:val="baseline"/>
              </w:rPr>
              <w:t> </w:t>
            </w:r>
          </w:p>
        </w:tc>
        <w:tc>
          <w:tcPr>
            <w:tcW w:w="2760" w:type="dxa"/>
            <w:gridSpan w:val="2"/>
            <w:tcBorders>
              <w:top w:val="single" w:color="000000" w:sz="8" w:space="0"/>
              <w:left w:val="nil"/>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Date:</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For completion by Marker 2/Moderator:</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Comments:</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960" w:hRule="atLeast"/>
        </w:trPr>
        <w:tc>
          <w:tcPr>
            <w:tcW w:w="6920" w:type="dxa"/>
            <w:gridSpan w:val="2"/>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Marker’s Signature:</w:t>
            </w:r>
            <w:r>
              <w:rPr>
                <w:rFonts w:hint="default" w:ascii="Arial" w:hAnsi="Arial" w:cs="Arial"/>
                <w:b w:val="0"/>
                <w:i w:val="0"/>
                <w:color w:val="000000"/>
                <w:sz w:val="22"/>
                <w:szCs w:val="22"/>
                <w:bdr w:val="none" w:color="auto" w:sz="0" w:space="0"/>
                <w:vertAlign w:val="baseline"/>
              </w:rPr>
              <w:t> </w:t>
            </w:r>
          </w:p>
        </w:tc>
        <w:tc>
          <w:tcPr>
            <w:tcW w:w="4860" w:type="dxa"/>
            <w:gridSpan w:val="3"/>
            <w:tcBorders>
              <w:top w:val="single" w:color="000000" w:sz="8" w:space="0"/>
              <w:left w:val="nil"/>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Date:</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96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auto"/>
                <w:sz w:val="22"/>
                <w:szCs w:val="22"/>
                <w:bdr w:val="none" w:color="auto" w:sz="0" w:space="0"/>
                <w:vertAlign w:val="baseline"/>
                <w:lang w:val="en-US"/>
              </w:rPr>
              <w:t>External Examiner’s comments (if relevant)</w:t>
            </w:r>
            <w:r>
              <w:rPr>
                <w:rFonts w:hint="default" w:ascii="Arial" w:hAnsi="Arial" w:cs="Arial"/>
                <w:b w:val="0"/>
                <w:i w:val="0"/>
                <w:color w:val="auto"/>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960" w:hRule="atLeast"/>
        </w:trPr>
        <w:tc>
          <w:tcPr>
            <w:tcW w:w="6920" w:type="dxa"/>
            <w:gridSpan w:val="2"/>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2"/>
                <w:szCs w:val="22"/>
                <w:bdr w:val="none" w:color="auto" w:sz="0" w:space="0"/>
                <w:vertAlign w:val="baseline"/>
                <w:lang w:val="en-US"/>
              </w:rPr>
              <w:t>External Examiner’s Signature:</w:t>
            </w:r>
            <w:r>
              <w:rPr>
                <w:rFonts w:hint="default" w:ascii="Arial" w:hAnsi="Arial" w:cs="Arial"/>
                <w:b w:val="0"/>
                <w:i w:val="0"/>
                <w:color w:val="auto"/>
                <w:sz w:val="22"/>
                <w:szCs w:val="22"/>
                <w:bdr w:val="none" w:color="auto" w:sz="0" w:space="0"/>
                <w:vertAlign w:val="baseline"/>
              </w:rPr>
              <w:t> </w:t>
            </w:r>
          </w:p>
        </w:tc>
        <w:tc>
          <w:tcPr>
            <w:tcW w:w="4860" w:type="dxa"/>
            <w:gridSpan w:val="3"/>
            <w:tcBorders>
              <w:top w:val="single" w:color="000000" w:sz="8" w:space="0"/>
              <w:left w:val="nil"/>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2"/>
                <w:szCs w:val="22"/>
                <w:bdr w:val="none" w:color="auto" w:sz="0" w:space="0"/>
                <w:vertAlign w:val="baseline"/>
                <w:lang w:val="en-US"/>
              </w:rPr>
              <w:t>Date:</w:t>
            </w:r>
            <w:r>
              <w:rPr>
                <w:rFonts w:hint="default" w:ascii="Calibri" w:hAnsi="Calibri" w:cs="Calibri"/>
                <w:b w:val="0"/>
                <w:i w:val="0"/>
                <w:caps w:val="0"/>
                <w:color w:val="000000"/>
                <w:sz w:val="22"/>
                <w:szCs w:val="22"/>
                <w:bdr w:val="none" w:color="auto" w:sz="0" w:space="0"/>
                <w:vertAlign w:val="baseline"/>
                <w:lang w:val="en-US"/>
              </w:rPr>
              <w:t> </w:t>
            </w:r>
            <w:r>
              <w:rPr>
                <w:rFonts w:hint="default" w:ascii="Calibri" w:hAnsi="Calibri" w:cs="Calibri"/>
                <w:b w:val="0"/>
                <w:i w:val="0"/>
                <w:color w:val="000000"/>
                <w:sz w:val="22"/>
                <w:szCs w:val="22"/>
                <w:bdr w:val="none" w:color="auto" w:sz="0" w:space="0"/>
                <w:vertAlign w:val="baseline"/>
              </w:rPr>
              <w:t> </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eastAsia="Segoe UI" w:cs="Calibri"/>
          <w:b w:val="0"/>
          <w:i w:val="0"/>
          <w:caps w:val="0"/>
          <w:color w:val="000000"/>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eastAsia="Segoe UI" w:cs="Calibri"/>
          <w:b w:val="0"/>
          <w:i w:val="0"/>
          <w:caps w:val="0"/>
          <w:color w:val="000000"/>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r>
        <w:rPr>
          <w:rFonts w:hint="default" w:ascii="Calibri" w:hAnsi="Calibri" w:eastAsia="Segoe UI" w:cs="Calibri"/>
          <w:b w:val="0"/>
          <w:i w:val="0"/>
          <w:caps w:val="0"/>
          <w:color w:val="000000"/>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000000"/>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eastAsia="Segoe UI" w:cs="Calibri"/>
          <w:b w:val="0"/>
          <w:i w:val="0"/>
          <w:caps w:val="0"/>
          <w:color w:val="000000"/>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eastAsia="Segoe UI" w:cs="Calibri"/>
          <w:b w:val="0"/>
          <w:i w:val="0"/>
          <w:caps w:val="0"/>
          <w:color w:val="000000"/>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eastAsia="Segoe UI" w:cs="Calibri"/>
          <w:b w:val="0"/>
          <w:i w:val="0"/>
          <w:caps w:val="0"/>
          <w:color w:val="000000"/>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eastAsia="Segoe UI" w:cs="Calibri"/>
          <w:b w:val="0"/>
          <w:i w:val="0"/>
          <w:caps w:val="0"/>
          <w:color w:val="000000"/>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eastAsia="Segoe UI" w:cs="Calibri"/>
          <w:b w:val="0"/>
          <w:i w:val="0"/>
          <w:caps w:val="0"/>
          <w:color w:val="000000"/>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eastAsia="Segoe UI" w:cs="Calibri"/>
          <w:b w:val="0"/>
          <w:i w:val="0"/>
          <w:caps w:val="0"/>
          <w:color w:val="000000"/>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eastAsia="Segoe UI" w:cs="Calibri"/>
          <w:b w:val="0"/>
          <w:i w:val="0"/>
          <w:caps w:val="0"/>
          <w:color w:val="000000"/>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Times New Roman" w:hAnsi="Times New Roman" w:eastAsia="Segoe UI" w:cs="Times New Roman"/>
          <w:b w:val="0"/>
          <w:i w:val="0"/>
          <w:caps w:val="0"/>
          <w:color w:val="auto"/>
          <w:spacing w:val="0"/>
          <w:sz w:val="24"/>
          <w:szCs w:val="24"/>
          <w:u w:val="none"/>
          <w:bdr w:val="none" w:color="auto" w:sz="0" w:space="0"/>
          <w:shd w:val="clear" w:fill="FFFFFF"/>
          <w:vertAlign w:val="baseline"/>
          <w:lang w:val="en-US"/>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A Critical Comparison of two Secondary Sources.</w:t>
      </w: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Word Count - 2435</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cs="Times New Roman Regular"/>
          <w:b w:val="0"/>
          <w:i w:val="0"/>
          <w:color w:val="auto"/>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 xml:space="preserve">This essay critically compares and contrasts two papers. </w:t>
      </w:r>
      <w:r>
        <w:rPr>
          <w:rFonts w:hint="default" w:ascii="Times New Roman Regular" w:hAnsi="Times New Roman Regular" w:eastAsia="Segoe UI" w:cs="Times New Roman Regular"/>
          <w:b w:val="0"/>
          <w:i/>
          <w:iCs/>
          <w:caps w:val="0"/>
          <w:color w:val="auto"/>
          <w:spacing w:val="0"/>
          <w:sz w:val="24"/>
          <w:szCs w:val="24"/>
          <w:u w:val="none"/>
          <w:bdr w:val="none" w:color="auto" w:sz="0" w:space="0"/>
          <w:shd w:val="clear" w:fill="FFFFFF"/>
          <w:vertAlign w:val="baseline"/>
          <w:lang w:val="en-US"/>
        </w:rPr>
        <w:t>A Very Private Belief: Reincarnation in Contemporary England</w:t>
      </w:r>
      <w:r>
        <w:rPr>
          <w:rFonts w:hint="default" w:ascii="Times New Roman Regular" w:hAnsi="Times New Roman Regular" w:eastAsia="Segoe UI" w:cs="Times New Roman Regular"/>
          <w:b w:val="0"/>
          <w:i/>
          <w:iCs/>
          <w:caps w:val="0"/>
          <w:color w:val="auto"/>
          <w:spacing w:val="0"/>
          <w:sz w:val="24"/>
          <w:szCs w:val="24"/>
          <w:u w:val="none"/>
          <w:bdr w:val="none" w:color="auto" w:sz="0" w:space="0"/>
          <w:shd w:val="clear" w:fill="FFFFFF"/>
          <w:vertAlign w:val="baseline"/>
        </w:rPr>
        <w:t xml:space="preserve"> </w:t>
      </w:r>
      <w:r>
        <w:rPr>
          <w:rStyle w:val="7"/>
          <w:rFonts w:hint="default" w:ascii="Times New Roman Regular" w:hAnsi="Times New Roman Regular" w:eastAsia="Segoe UI" w:cs="Times New Roman Regular"/>
          <w:b w:val="0"/>
          <w:i/>
          <w:iCs/>
          <w:caps w:val="0"/>
          <w:color w:val="auto"/>
          <w:spacing w:val="0"/>
          <w:sz w:val="24"/>
          <w:szCs w:val="24"/>
          <w:u w:val="none"/>
          <w:bdr w:val="none" w:color="auto" w:sz="0" w:space="0"/>
          <w:shd w:val="clear" w:fill="FFFFFF"/>
        </w:rPr>
        <w:footnoteReference w:id="0"/>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written by Tony Walter and Helen Waterhouse</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t>,</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 xml:space="preserve"> and </w:t>
      </w:r>
      <w:r>
        <w:rPr>
          <w:rFonts w:hint="default" w:ascii="Times New Roman Regular" w:hAnsi="Times New Roman Regular" w:eastAsia="Segoe UI" w:cs="Times New Roman Regular"/>
          <w:b w:val="0"/>
          <w:i/>
          <w:iCs/>
          <w:caps w:val="0"/>
          <w:color w:val="auto"/>
          <w:spacing w:val="0"/>
          <w:sz w:val="24"/>
          <w:szCs w:val="24"/>
          <w:u w:val="none"/>
          <w:bdr w:val="none" w:color="auto" w:sz="0" w:space="0"/>
          <w:shd w:val="clear" w:fill="FFFFFF"/>
          <w:vertAlign w:val="baseline"/>
          <w:lang w:val="en-US"/>
        </w:rPr>
        <w:t>Inconsistency of Belief among Roman Catholic Girls: Concerning Religion, Astrology, Reincarnation</w:t>
      </w:r>
      <w:r>
        <w:rPr>
          <w:rFonts w:hint="default" w:ascii="Times New Roman Regular" w:hAnsi="Times New Roman Regular" w:eastAsia="Segoe UI" w:cs="Times New Roman Regular"/>
          <w:b w:val="0"/>
          <w:i/>
          <w:iCs/>
          <w:caps w:val="0"/>
          <w:color w:val="auto"/>
          <w:spacing w:val="0"/>
          <w:sz w:val="24"/>
          <w:szCs w:val="24"/>
          <w:u w:val="none"/>
          <w:bdr w:val="none" w:color="auto" w:sz="0" w:space="0"/>
          <w:shd w:val="clear" w:fill="FFFFFF"/>
          <w:vertAlign w:val="baseline"/>
        </w:rPr>
        <w:t xml:space="preserve"> </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written by T. L. Brink. </w:t>
      </w: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r>
        <w:rPr>
          <w:rStyle w:val="7"/>
          <w:rFonts w:hint="default" w:ascii="Times New Roman Regular" w:hAnsi="Times New Roman Regular" w:eastAsia="Segoe UI" w:cs="Times New Roman Regular"/>
          <w:b w:val="0"/>
          <w:i w:val="0"/>
          <w:caps w:val="0"/>
          <w:color w:val="auto"/>
          <w:spacing w:val="0"/>
          <w:sz w:val="24"/>
          <w:szCs w:val="24"/>
          <w:bdr w:val="none" w:color="auto" w:sz="0" w:space="0"/>
          <w:shd w:val="clear" w:fill="FFFFFF"/>
        </w:rPr>
        <w:footnoteReference w:id="1"/>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Times" w:cs="Times New Roman Regular"/>
          <w:i w:val="0"/>
          <w:caps w:val="0"/>
          <w:color w:val="auto"/>
          <w:spacing w:val="0"/>
          <w:kern w:val="0"/>
          <w:sz w:val="24"/>
          <w:szCs w:val="24"/>
          <w:lang w:val="en-US" w:eastAsia="zh-CN" w:bidi="ar"/>
        </w:rPr>
      </w:pP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 xml:space="preserve">     Tony Walter and Helen Waterhouse are both </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t xml:space="preserve">scholars and lectures, Tom Walters being a lecturer in University of Reading and Helen Waterhouse, the Open University. </w:t>
      </w:r>
      <w:r>
        <w:rPr>
          <w:rFonts w:hint="default" w:ascii="Times New Roman Regular" w:hAnsi="Times New Roman Regular" w:eastAsia="poppins" w:cs="Times New Roman Regular"/>
          <w:i w:val="0"/>
          <w:caps w:val="0"/>
          <w:color w:val="auto"/>
          <w:spacing w:val="6"/>
          <w:kern w:val="0"/>
          <w:sz w:val="24"/>
          <w:szCs w:val="24"/>
          <w:shd w:val="clear" w:fill="FFFFFF"/>
          <w:lang w:eastAsia="zh-CN" w:bidi="ar"/>
        </w:rPr>
        <w:t xml:space="preserve"> </w:t>
      </w:r>
      <w:r>
        <w:rPr>
          <w:rFonts w:hint="default" w:ascii="Times New Roman Regular" w:hAnsi="Times New Roman Regular" w:eastAsia="Times" w:cs="Times New Roman Regular"/>
          <w:b w:val="0"/>
          <w:i w:val="0"/>
          <w:caps w:val="0"/>
          <w:color w:val="auto"/>
          <w:spacing w:val="0"/>
          <w:sz w:val="24"/>
          <w:szCs w:val="24"/>
          <w:bdr w:val="none" w:color="auto" w:sz="0" w:space="0"/>
          <w:shd w:val="clear" w:fill="FFFFFF"/>
          <w:vertAlign w:val="baseline"/>
          <w:lang w:val="en-US"/>
        </w:rPr>
        <w:t>Tony Walter was born in London in 1948. Walter received a PhD in Sociology in 1975, shortly after this Walter became a freelance writer and researcher whilst working as a labourer on a building site to earn income and later by lecturing in the University of Reading. During this time Tony Walter wrote most of his works including his first nine books.</w:t>
      </w:r>
      <w:r>
        <w:rPr>
          <w:rFonts w:hint="default" w:ascii="Times New Roman Regular" w:hAnsi="Times New Roman Regular" w:eastAsia="Times" w:cs="Times New Roman Regular"/>
          <w:b w:val="0"/>
          <w:i w:val="0"/>
          <w:caps w:val="0"/>
          <w:color w:val="auto"/>
          <w:spacing w:val="0"/>
          <w:sz w:val="24"/>
          <w:szCs w:val="24"/>
          <w:bdr w:val="none" w:color="auto" w:sz="0" w:space="0"/>
          <w:shd w:val="clear" w:fill="FFFFFF"/>
          <w:vertAlign w:val="baseline"/>
        </w:rPr>
        <w:t xml:space="preserve"> ‘</w:t>
      </w:r>
      <w:r>
        <w:rPr>
          <w:rFonts w:hint="default" w:ascii="Times New Roman Regular" w:hAnsi="Times New Roman Regular" w:eastAsia="Times" w:cs="Times New Roman Regular"/>
          <w:i w:val="0"/>
          <w:caps w:val="0"/>
          <w:color w:val="auto"/>
          <w:spacing w:val="0"/>
          <w:kern w:val="0"/>
          <w:sz w:val="24"/>
          <w:szCs w:val="24"/>
          <w:lang w:val="en-US" w:eastAsia="zh-CN" w:bidi="ar"/>
        </w:rPr>
        <w:t>His main research interest since the late 1980s has been the sociology of death, dying, bereavement, funerals, pilgrimage and afterlife beliefs. His basic interest in this field is how societies organise, symbolise, theorise</w:t>
      </w:r>
    </w:p>
    <w:p>
      <w:pPr>
        <w:keepNext w:val="0"/>
        <w:keepLines w:val="0"/>
        <w:widowControl/>
        <w:suppressLineNumbers w:val="0"/>
        <w:jc w:val="left"/>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pPr>
      <w:r>
        <w:rPr>
          <w:rFonts w:hint="default" w:ascii="Times New Roman Regular" w:hAnsi="Times New Roman Regular" w:eastAsia="Times" w:cs="Times New Roman Regular"/>
          <w:i w:val="0"/>
          <w:caps w:val="0"/>
          <w:color w:val="auto"/>
          <w:spacing w:val="0"/>
          <w:kern w:val="0"/>
          <w:sz w:val="24"/>
          <w:szCs w:val="24"/>
          <w:lang w:val="en-US" w:eastAsia="zh-CN" w:bidi="ar"/>
        </w:rPr>
        <w:t>and ritualise the exit of their members</w:t>
      </w:r>
      <w:r>
        <w:rPr>
          <w:rFonts w:hint="default" w:ascii="Times New Roman Regular" w:hAnsi="Times New Roman Regular" w:eastAsia="Times" w:cs="Times New Roman Regular"/>
          <w:i w:val="0"/>
          <w:caps w:val="0"/>
          <w:color w:val="auto"/>
          <w:spacing w:val="0"/>
          <w:kern w:val="0"/>
          <w:sz w:val="24"/>
          <w:szCs w:val="24"/>
          <w:lang w:eastAsia="zh-CN" w:bidi="ar"/>
        </w:rPr>
        <w:t>’.</w:t>
      </w:r>
      <w:r>
        <w:rPr>
          <w:rStyle w:val="7"/>
          <w:rFonts w:hint="default" w:ascii="Times New Roman Regular" w:hAnsi="Times New Roman Regular" w:eastAsia="Times" w:cs="Times New Roman Regular"/>
          <w:b w:val="0"/>
          <w:i w:val="0"/>
          <w:caps w:val="0"/>
          <w:color w:val="auto"/>
          <w:spacing w:val="0"/>
          <w:sz w:val="24"/>
          <w:szCs w:val="24"/>
          <w:bdr w:val="none" w:color="auto" w:sz="0" w:space="0"/>
          <w:shd w:val="clear" w:fill="FFFFFF"/>
          <w:lang w:val="en-US"/>
        </w:rPr>
        <w:footnoteReference w:id="2"/>
      </w:r>
      <w:r>
        <w:rPr>
          <w:rFonts w:hint="default" w:ascii="Times New Roman Regular" w:hAnsi="Times New Roman Regular" w:eastAsia="Times" w:cs="Times New Roman Regular"/>
          <w:i w:val="0"/>
          <w:caps w:val="0"/>
          <w:color w:val="auto"/>
          <w:spacing w:val="0"/>
          <w:kern w:val="0"/>
          <w:sz w:val="24"/>
          <w:szCs w:val="24"/>
          <w:lang w:eastAsia="zh-CN" w:bidi="ar"/>
        </w:rPr>
        <w:t xml:space="preserve"> </w:t>
      </w:r>
      <w:r>
        <w:rPr>
          <w:rFonts w:hint="default" w:ascii="Times New Roman Regular" w:hAnsi="Times New Roman Regular" w:eastAsia="Segoe UI" w:cs="Times New Roman Regular"/>
          <w:b w:val="0"/>
          <w:i/>
          <w:iCs/>
          <w:caps w:val="0"/>
          <w:color w:val="auto"/>
          <w:spacing w:val="0"/>
          <w:sz w:val="24"/>
          <w:szCs w:val="24"/>
          <w:u w:val="none"/>
          <w:shd w:val="clear" w:fill="FFFFFF"/>
          <w:vertAlign w:val="baseline"/>
          <w:lang w:val="en-US"/>
        </w:rPr>
        <w:t>A Very Private Belief: Reincarnation in Contemporary England</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 xml:space="preserve"> was written in 1999 in the</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t xml:space="preserve"> quarterly academic</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 xml:space="preserve"> journal </w:t>
      </w:r>
      <w:r>
        <w:rPr>
          <w:rFonts w:hint="default" w:ascii="Times New Roman Regular" w:hAnsi="Times New Roman Regular" w:eastAsia="Segoe UI" w:cs="Times New Roman Regular"/>
          <w:b w:val="0"/>
          <w:i/>
          <w:caps w:val="0"/>
          <w:color w:val="auto"/>
          <w:spacing w:val="0"/>
          <w:sz w:val="24"/>
          <w:szCs w:val="24"/>
          <w:u w:val="none"/>
          <w:bdr w:val="none" w:color="auto" w:sz="0" w:space="0"/>
          <w:shd w:val="clear" w:fill="FFFFFF"/>
          <w:vertAlign w:val="baseline"/>
          <w:lang w:val="en-US"/>
        </w:rPr>
        <w:t xml:space="preserve">Sociology of Religion </w:t>
      </w:r>
      <w:r>
        <w:rPr>
          <w:rFonts w:hint="default" w:ascii="Times New Roman Regular" w:hAnsi="Times New Roman Regular" w:eastAsia="Segoe UI" w:cs="Times New Roman Regular"/>
          <w:b w:val="0"/>
          <w:i w:val="0"/>
          <w:iCs/>
          <w:caps w:val="0"/>
          <w:color w:val="auto"/>
          <w:spacing w:val="0"/>
          <w:sz w:val="24"/>
          <w:szCs w:val="24"/>
          <w:u w:val="none"/>
          <w:bdr w:val="none" w:color="auto" w:sz="0" w:space="0"/>
          <w:shd w:val="clear" w:fill="FFFFFF"/>
          <w:vertAlign w:val="baseline"/>
        </w:rPr>
        <w:t xml:space="preserve">specialising in </w:t>
      </w:r>
      <w:r>
        <w:rPr>
          <w:rFonts w:hint="default" w:ascii="Times New Roman Regular" w:hAnsi="Times New Roman Regular" w:eastAsia="GT America Standard" w:cs="Times New Roman Regular"/>
          <w:i w:val="0"/>
          <w:caps w:val="0"/>
          <w:color w:val="auto"/>
          <w:spacing w:val="-6"/>
          <w:kern w:val="0"/>
          <w:sz w:val="24"/>
          <w:szCs w:val="24"/>
          <w:shd w:val="clear" w:fill="FFFFFF"/>
          <w:lang w:val="en-US" w:eastAsia="zh-CN" w:bidi="ar"/>
        </w:rPr>
        <w:t>Religion, Sociology, Social Sciences</w:t>
      </w:r>
      <w:r>
        <w:rPr>
          <w:rFonts w:hint="default" w:ascii="Times New Roman Regular" w:hAnsi="Times New Roman Regular" w:eastAsia="GT America Standard" w:cs="Times New Roman Regular"/>
          <w:i w:val="0"/>
          <w:caps w:val="0"/>
          <w:color w:val="auto"/>
          <w:spacing w:val="-6"/>
          <w:kern w:val="0"/>
          <w:sz w:val="24"/>
          <w:szCs w:val="24"/>
          <w:shd w:val="clear" w:fill="FFFFFF"/>
          <w:lang w:eastAsia="zh-CN" w:bidi="ar"/>
        </w:rPr>
        <w:t xml:space="preserve"> and </w:t>
      </w:r>
      <w:r>
        <w:rPr>
          <w:rFonts w:hint="default" w:ascii="Times New Roman Regular" w:hAnsi="Times New Roman Regular" w:eastAsia="GT America Standard" w:cs="Times New Roman Regular"/>
          <w:i w:val="0"/>
          <w:caps w:val="0"/>
          <w:color w:val="auto"/>
          <w:spacing w:val="-6"/>
          <w:kern w:val="0"/>
          <w:sz w:val="24"/>
          <w:szCs w:val="24"/>
          <w:shd w:val="clear" w:fill="FFFFFF"/>
          <w:lang w:val="en-US" w:eastAsia="zh-CN" w:bidi="ar"/>
        </w:rPr>
        <w:t>Humanities</w:t>
      </w:r>
      <w:r>
        <w:rPr>
          <w:rFonts w:hint="default" w:ascii="Times New Roman Regular" w:hAnsi="Times New Roman Regular" w:eastAsia="Segoe UI" w:cs="Times New Roman Regular"/>
          <w:b w:val="0"/>
          <w:i w:val="0"/>
          <w:iCs/>
          <w:caps w:val="0"/>
          <w:color w:val="auto"/>
          <w:spacing w:val="0"/>
          <w:sz w:val="24"/>
          <w:szCs w:val="24"/>
          <w:u w:val="none"/>
          <w:bdr w:val="none" w:color="auto" w:sz="0" w:space="0"/>
          <w:shd w:val="clear" w:fill="FFFFFF"/>
          <w:vertAlign w:val="baseline"/>
        </w:rPr>
        <w:t xml:space="preserve"> p</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ublished by</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t xml:space="preserve"> the </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fldChar w:fldCharType="begin"/>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instrText xml:space="preserve"> HYPERLINK "https://www-jstor-org.ezproxy.uwtsd.ac.uk/publisher/oup" \t "/Users/carabraia/Documents\\x/_blank" </w:instrTex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fldChar w:fldCharType="separate"/>
      </w:r>
      <w:r>
        <w:rPr>
          <w:rStyle w:val="8"/>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Oxford University Press</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fldChar w:fldCharType="end"/>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 xml:space="preserve">. </w:t>
      </w:r>
    </w:p>
    <w:p>
      <w:pPr>
        <w:keepNext w:val="0"/>
        <w:keepLines w:val="0"/>
        <w:widowControl/>
        <w:suppressLineNumbers w:val="0"/>
        <w:jc w:val="left"/>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pPr>
    </w:p>
    <w:p>
      <w:pPr>
        <w:keepNext w:val="0"/>
        <w:keepLines w:val="0"/>
        <w:widowControl/>
        <w:suppressLineNumbers w:val="0"/>
        <w:jc w:val="left"/>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pP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T.L. Brink is a</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t xml:space="preserve"> social scientist and author of books, journals, reviews, </w:t>
      </w:r>
      <w:r>
        <w:rPr>
          <w:rFonts w:hint="default" w:ascii="Times New Roman Regular" w:hAnsi="Times New Roman Regular" w:eastAsia="Segoe UI" w:cs="Times New Roman Regular"/>
          <w:b w:val="0"/>
          <w:i w:val="0"/>
          <w:color w:val="auto"/>
          <w:spacing w:val="0"/>
          <w:sz w:val="24"/>
          <w:szCs w:val="24"/>
          <w:u w:val="none"/>
          <w:bdr w:val="none" w:color="auto" w:sz="0" w:space="0"/>
          <w:shd w:val="clear" w:fill="FFFFFF"/>
          <w:vertAlign w:val="baseline"/>
        </w:rPr>
        <w:t>encyclopaedia</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t xml:space="preserve"> articles and conference presentations. Similarly to Tony Walter, T.L.Brink’s main topic of interest is religious phenomenon and mental disorders in later life leading to death</w:t>
      </w:r>
      <w:r>
        <w:rPr>
          <w:rStyle w:val="7"/>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rPr>
        <w:footnoteReference w:id="3"/>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t>.</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 xml:space="preserve"> </w:t>
      </w:r>
      <w:r>
        <w:rPr>
          <w:rFonts w:hint="default" w:ascii="Times New Roman Regular" w:hAnsi="Times New Roman Regular" w:eastAsia="Segoe UI" w:cs="Times New Roman Regular"/>
          <w:b w:val="0"/>
          <w:i/>
          <w:iCs/>
          <w:caps w:val="0"/>
          <w:color w:val="auto"/>
          <w:spacing w:val="0"/>
          <w:sz w:val="24"/>
          <w:szCs w:val="24"/>
          <w:u w:val="none"/>
          <w:shd w:val="clear" w:fill="FFFFFF"/>
          <w:vertAlign w:val="baseline"/>
          <w:lang w:val="en-US"/>
        </w:rPr>
        <w:t>Inconsistency of Belief among Roman Catholic Girls: Concerning Religion, Astrology, Reincarnation</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 xml:space="preserve"> was written in 1978 </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t xml:space="preserve">published by Springer in the journal </w:t>
      </w:r>
      <w:r>
        <w:rPr>
          <w:rFonts w:hint="default" w:ascii="Times New Roman Regular" w:hAnsi="Times New Roman Regular" w:eastAsia="Segoe UI" w:cs="Times New Roman Regular"/>
          <w:b w:val="0"/>
          <w:i/>
          <w:caps w:val="0"/>
          <w:color w:val="auto"/>
          <w:spacing w:val="0"/>
          <w:sz w:val="24"/>
          <w:szCs w:val="24"/>
          <w:u w:val="none"/>
          <w:shd w:val="clear" w:fill="FFFFFF"/>
          <w:vertAlign w:val="baseline"/>
          <w:lang w:val="en-US"/>
        </w:rPr>
        <w:t>Review of Religious Research</w:t>
      </w:r>
      <w:r>
        <w:rPr>
          <w:rFonts w:hint="default" w:ascii="Times New Roman Regular" w:hAnsi="Times New Roman Regular" w:eastAsia="Segoe UI" w:cs="Times New Roman Regular"/>
          <w:b w:val="0"/>
          <w:i/>
          <w:caps w:val="0"/>
          <w:color w:val="auto"/>
          <w:spacing w:val="0"/>
          <w:sz w:val="24"/>
          <w:szCs w:val="24"/>
          <w:u w:val="none"/>
          <w:shd w:val="clear" w:fill="FFFFFF"/>
          <w:vertAlign w:val="baseline"/>
        </w:rPr>
        <w:t>.</w:t>
      </w:r>
      <w:r>
        <w:rPr>
          <w:rFonts w:hint="default" w:ascii="Times New Roman Regular" w:hAnsi="Times New Roman Regular" w:eastAsia="Segoe UI" w:cs="Times New Roman Regular"/>
          <w:b w:val="0"/>
          <w:i w:val="0"/>
          <w:iCs/>
          <w:caps w:val="0"/>
          <w:color w:val="auto"/>
          <w:spacing w:val="0"/>
          <w:sz w:val="24"/>
          <w:szCs w:val="24"/>
          <w:u w:val="none"/>
          <w:shd w:val="clear" w:fill="FFFFFF"/>
          <w:vertAlign w:val="baseline"/>
        </w:rPr>
        <w:t xml:space="preserve"> I</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t>t is also</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 xml:space="preserve"> </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rPr>
        <w:t>a quarterly</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 xml:space="preserve"> journal</w:t>
      </w:r>
      <w:r>
        <w:rPr>
          <w:rFonts w:hint="default" w:ascii="Times New Roman Regular" w:hAnsi="Times New Roman Regular" w:eastAsia="Segoe UI" w:cs="Times New Roman Regular"/>
          <w:b w:val="0"/>
          <w:i w:val="0"/>
          <w:iCs/>
          <w:caps w:val="0"/>
          <w:color w:val="auto"/>
          <w:spacing w:val="0"/>
          <w:sz w:val="24"/>
          <w:szCs w:val="24"/>
          <w:u w:val="none"/>
          <w:bdr w:val="none" w:color="auto" w:sz="0" w:space="0"/>
          <w:shd w:val="clear" w:fill="FFFFFF"/>
          <w:vertAlign w:val="baseline"/>
        </w:rPr>
        <w:t xml:space="preserve"> </w:t>
      </w:r>
      <w:r>
        <w:rPr>
          <w:rFonts w:hint="default" w:ascii="Times New Roman Regular" w:hAnsi="Times New Roman Regular" w:eastAsia="Segoe UI" w:cs="Times New Roman Regular"/>
          <w:b w:val="0"/>
          <w:i w:val="0"/>
          <w:iCs/>
          <w:caps w:val="0"/>
          <w:color w:val="auto"/>
          <w:spacing w:val="0"/>
          <w:sz w:val="24"/>
          <w:szCs w:val="24"/>
          <w:u w:val="none"/>
          <w:bdr w:val="none" w:color="auto" w:sz="0" w:space="0"/>
          <w:shd w:val="clear" w:fill="FFFFFF"/>
          <w:vertAlign w:val="baseline"/>
        </w:rPr>
        <w:t>specialising in religious research,</w:t>
      </w:r>
      <w:r>
        <w:rPr>
          <w:rFonts w:hint="default" w:ascii="Times New Roman Regular" w:hAnsi="Times New Roman Regular" w:eastAsia="GT America Standard" w:cs="Times New Roman Regular"/>
          <w:i w:val="0"/>
          <w:iCs/>
          <w:caps w:val="0"/>
          <w:color w:val="auto"/>
          <w:spacing w:val="-6"/>
          <w:kern w:val="0"/>
          <w:sz w:val="24"/>
          <w:szCs w:val="24"/>
          <w:shd w:val="clear" w:fill="FFFFFF"/>
          <w:lang w:val="en-US" w:eastAsia="zh-CN" w:bidi="ar"/>
        </w:rPr>
        <w:t xml:space="preserve"> Sociology, Social Sciences</w:t>
      </w:r>
      <w:r>
        <w:rPr>
          <w:rFonts w:hint="default" w:ascii="Times New Roman Regular" w:hAnsi="Times New Roman Regular" w:eastAsia="GT America Standard" w:cs="Times New Roman Regular"/>
          <w:i w:val="0"/>
          <w:iCs/>
          <w:caps w:val="0"/>
          <w:color w:val="auto"/>
          <w:spacing w:val="-6"/>
          <w:kern w:val="0"/>
          <w:sz w:val="24"/>
          <w:szCs w:val="24"/>
          <w:shd w:val="clear" w:fill="FFFFFF"/>
          <w:lang w:eastAsia="zh-CN" w:bidi="ar"/>
        </w:rPr>
        <w:t xml:space="preserve"> and </w:t>
      </w:r>
      <w:r>
        <w:rPr>
          <w:rFonts w:hint="default" w:ascii="Times New Roman Regular" w:hAnsi="Times New Roman Regular" w:eastAsia="GT America Standard" w:cs="Times New Roman Regular"/>
          <w:i w:val="0"/>
          <w:iCs/>
          <w:caps w:val="0"/>
          <w:color w:val="auto"/>
          <w:spacing w:val="-6"/>
          <w:kern w:val="0"/>
          <w:sz w:val="24"/>
          <w:szCs w:val="24"/>
          <w:shd w:val="clear" w:fill="FFFFFF"/>
          <w:lang w:val="en-US" w:eastAsia="zh-CN" w:bidi="ar"/>
        </w:rPr>
        <w:t>Humanities</w:t>
      </w:r>
      <w:r>
        <w:rPr>
          <w:rFonts w:hint="default" w:ascii="Times New Roman Regular" w:hAnsi="Times New Roman Regular" w:eastAsia="GT America Standard" w:cs="Times New Roman Regular"/>
          <w:i w:val="0"/>
          <w:iCs/>
          <w:caps w:val="0"/>
          <w:color w:val="auto"/>
          <w:spacing w:val="-6"/>
          <w:kern w:val="0"/>
          <w:sz w:val="24"/>
          <w:szCs w:val="24"/>
          <w:shd w:val="clear" w:fill="FFFFFF"/>
          <w:lang w:eastAsia="zh-CN" w:bidi="ar"/>
        </w:rPr>
        <w:t xml:space="preserve"> similarly to the other paper.</w:t>
      </w:r>
      <w:r>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t xml:space="preserve"> </w:t>
      </w:r>
      <w:r>
        <w:rPr>
          <w:rStyle w:val="7"/>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lang w:val="en-US"/>
        </w:rPr>
        <w:footnoteReference w:id="4"/>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u w:val="none"/>
          <w:bdr w:val="none" w:color="auto" w:sz="0" w:space="0"/>
          <w:shd w:val="clear" w:fill="FFFFFF"/>
          <w:vertAlign w:val="baseline"/>
          <w:lang w:val="en-US"/>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xml:space="preserve">Both papers are part of an academic research journal and would have been written for a similar audience, most likely to be students and scholars. They would appeal to those interested in studying and reading about research on reincarnation, religious research, sociology and humanities. The first paper by Tony Walter and Helen Waterhouse is eleven pages long filled with research including their own personal results and studies focused on the afterlife and reincarnation. More specifically this paper studies various groups of people both Christian and secular in England, and their </w:t>
      </w:r>
      <w:r>
        <w:rPr>
          <w:rFonts w:hint="default" w:ascii="Times New Roman Regular" w:hAnsi="Times New Roman Regular" w:eastAsia="Segoe UI" w:cs="Times New Roman Regular"/>
          <w:b w:val="0"/>
          <w:i w:val="0"/>
          <w:color w:val="auto"/>
          <w:spacing w:val="0"/>
          <w:sz w:val="24"/>
          <w:szCs w:val="24"/>
          <w:bdr w:val="none" w:color="auto" w:sz="0" w:space="0"/>
          <w:shd w:val="clear" w:fill="FFFFFF"/>
          <w:vertAlign w:val="baseline"/>
        </w:rPr>
        <w:t>attitude</w:t>
      </w: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xml:space="preserve"> towards </w:t>
      </w:r>
      <w:r>
        <w:rPr>
          <w:rFonts w:hint="default" w:ascii="Times New Roman Regular" w:hAnsi="Times New Roman Regular" w:eastAsia="Segoe UI" w:cs="Times New Roman Regular"/>
          <w:b w:val="0"/>
          <w:i w:val="0"/>
          <w:color w:val="auto"/>
          <w:spacing w:val="0"/>
          <w:sz w:val="24"/>
          <w:szCs w:val="24"/>
          <w:bdr w:val="none" w:color="auto" w:sz="0" w:space="0"/>
          <w:shd w:val="clear" w:fill="FFFFFF"/>
          <w:vertAlign w:val="baseline"/>
        </w:rPr>
        <w:t>reincarnation</w:t>
      </w: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xml:space="preserve">. The second paper by T.L.Brink is a shorter paper of only four pages. It is also well structured and inclusive of research however, the main focus of this paper is on Catholicism and the study on 227 students in a Catholic school and their attitudes </w:t>
      </w:r>
      <w:r>
        <w:rPr>
          <w:rFonts w:hint="default" w:ascii="Times New Roman Regular" w:hAnsi="Times New Roman Regular" w:eastAsia="Segoe UI" w:cs="Times New Roman Regular"/>
          <w:b w:val="0"/>
          <w:i w:val="0"/>
          <w:color w:val="auto"/>
          <w:spacing w:val="0"/>
          <w:sz w:val="24"/>
          <w:szCs w:val="24"/>
          <w:bdr w:val="none" w:color="auto" w:sz="0" w:space="0"/>
          <w:shd w:val="clear" w:fill="FFFFFF"/>
          <w:vertAlign w:val="baseline"/>
        </w:rPr>
        <w:t>towards</w:t>
      </w: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xml:space="preserve"> Astrology and similarly reincarnation. Brink’s paper differs in that it highlights the belief of astrology a well as reincarnation amongst Catholic students, where are there is no mention of astrology in the paper by Walter and Waterhouse. Both papers begin with a statement from qualifying research as an introduction to argue their points, and while the papers share similar areas of interest and study, their conclusions and arguments often differ.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Times New Roman Regular" w:hAnsi="Times New Roman Regular" w:cs="Times New Roman Regular"/>
          <w:i/>
          <w:iCs/>
          <w:color w:val="auto"/>
          <w:sz w:val="24"/>
          <w:szCs w:val="24"/>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xml:space="preserve">     T.L.Brink argues that on studying the research, the students who believed in astrology were more likely to also believe in reincarnation. Brink suggests that it is the less religious students who tend to believe in both reincarnation and astrology over the more conventional Catholic students.</w:t>
      </w:r>
      <w:r>
        <w:rPr>
          <w:rStyle w:val="7"/>
          <w:rFonts w:hint="default" w:ascii="Times New Roman Regular" w:hAnsi="Times New Roman Regular" w:eastAsia="Segoe UI" w:cs="Times New Roman Regular"/>
          <w:b w:val="0"/>
          <w:i w:val="0"/>
          <w:caps w:val="0"/>
          <w:color w:val="auto"/>
          <w:spacing w:val="0"/>
          <w:sz w:val="24"/>
          <w:szCs w:val="24"/>
          <w:bdr w:val="none" w:color="auto" w:sz="0" w:space="0"/>
          <w:shd w:val="clear" w:fill="FFFFFF"/>
        </w:rPr>
        <w:footnoteReference w:id="5"/>
      </w: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xml:space="preserve"> This links to the repetitive mention of ‘New Age’ beliefs on the paper by Walter and Waterhouse, where Helen Waterhouse’s research results suggest that those who believe in New Age subjects such as crystals, and in Brink’s case astrology, also tend to believe in reincarnation</w:t>
      </w:r>
      <w:r>
        <w:rPr>
          <w:rStyle w:val="7"/>
          <w:rFonts w:hint="default" w:ascii="Times New Roman Regular" w:hAnsi="Times New Roman Regular" w:eastAsia="Segoe UI" w:cs="Times New Roman Regular"/>
          <w:b w:val="0"/>
          <w:i w:val="0"/>
          <w:caps w:val="0"/>
          <w:color w:val="auto"/>
          <w:spacing w:val="0"/>
          <w:sz w:val="24"/>
          <w:szCs w:val="24"/>
          <w:bdr w:val="none" w:color="auto" w:sz="0" w:space="0"/>
          <w:shd w:val="clear" w:fill="FFFFFF"/>
        </w:rPr>
        <w:footnoteReference w:id="6"/>
      </w: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Brink discusses</w:t>
      </w:r>
      <w:r>
        <w:rPr>
          <w:rFonts w:hint="default" w:ascii="Times New Roman Regular" w:hAnsi="Times New Roman Regular" w:cs="Times New Roman Regular"/>
          <w:color w:val="auto"/>
          <w:sz w:val="24"/>
          <w:szCs w:val="24"/>
        </w:rPr>
        <w:t xml:space="preserve"> Wunthnow</w:t>
      </w:r>
      <w:r>
        <w:rPr>
          <w:rFonts w:hint="default" w:ascii="Times New Roman Regular" w:hAnsi="Times New Roman Regular" w:cs="Times New Roman Regular"/>
          <w:color w:val="auto"/>
          <w:sz w:val="24"/>
          <w:szCs w:val="24"/>
        </w:rPr>
        <w:t>’s</w:t>
      </w:r>
      <w:r>
        <w:rPr>
          <w:rFonts w:hint="default" w:ascii="Times New Roman Regular" w:hAnsi="Times New Roman Regular" w:cs="Times New Roman Regular"/>
          <w:color w:val="auto"/>
          <w:sz w:val="24"/>
          <w:szCs w:val="24"/>
        </w:rPr>
        <w:t xml:space="preserve"> (1976) </w:t>
      </w:r>
      <w:r>
        <w:rPr>
          <w:rFonts w:hint="default" w:ascii="Times New Roman Regular" w:hAnsi="Times New Roman Regular" w:cs="Times New Roman Regular"/>
          <w:color w:val="auto"/>
          <w:sz w:val="24"/>
          <w:szCs w:val="24"/>
        </w:rPr>
        <w:t>research</w:t>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cs="Times New Roman Regular"/>
          <w:color w:val="auto"/>
          <w:sz w:val="24"/>
          <w:szCs w:val="24"/>
        </w:rPr>
        <w:t>as a belief</w:t>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cs="Times New Roman Regular"/>
          <w:color w:val="auto"/>
          <w:sz w:val="24"/>
          <w:szCs w:val="24"/>
        </w:rPr>
        <w:t xml:space="preserve">where </w:t>
      </w:r>
      <w:r>
        <w:rPr>
          <w:rFonts w:hint="default" w:ascii="Times New Roman Regular" w:hAnsi="Times New Roman Regular" w:cs="Times New Roman Regular"/>
          <w:color w:val="auto"/>
          <w:sz w:val="24"/>
          <w:szCs w:val="24"/>
        </w:rPr>
        <w:t>‘The subjects who were most alienated from socially</w:t>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cs="Times New Roman Regular"/>
          <w:color w:val="auto"/>
          <w:sz w:val="24"/>
          <w:szCs w:val="24"/>
        </w:rPr>
        <w:t>-</w:t>
      </w:r>
      <w:r>
        <w:rPr>
          <w:rFonts w:hint="default" w:ascii="Times New Roman Regular" w:hAnsi="Times New Roman Regular" w:cs="Times New Roman Regular"/>
          <w:color w:val="auto"/>
          <w:sz w:val="24"/>
          <w:szCs w:val="24"/>
        </w:rPr>
        <w:t xml:space="preserve"> orientated</w:t>
      </w:r>
      <w:r>
        <w:rPr>
          <w:rFonts w:hint="default" w:ascii="Times New Roman Regular" w:hAnsi="Times New Roman Regular" w:cs="Times New Roman Regular"/>
          <w:color w:val="auto"/>
          <w:sz w:val="24"/>
          <w:szCs w:val="24"/>
        </w:rPr>
        <w:t xml:space="preserve"> religious rituals (baptism, marriage, last rites, the importance of family religion) </w:t>
      </w:r>
      <w:r>
        <w:rPr>
          <w:rFonts w:hint="default" w:ascii="Times New Roman Regular" w:hAnsi="Times New Roman Regular" w:cs="Times New Roman Regular"/>
          <w:color w:val="auto"/>
          <w:sz w:val="24"/>
          <w:szCs w:val="24"/>
        </w:rPr>
        <w:t>were</w:t>
      </w:r>
      <w:r>
        <w:rPr>
          <w:rFonts w:hint="default" w:ascii="Times New Roman Regular" w:hAnsi="Times New Roman Regular" w:cs="Times New Roman Regular"/>
          <w:color w:val="auto"/>
          <w:sz w:val="24"/>
          <w:szCs w:val="24"/>
        </w:rPr>
        <w:t xml:space="preserve"> he ones most likely to express a belief in astrology or reincarnation’</w:t>
      </w:r>
      <w:r>
        <w:rPr>
          <w:rFonts w:hint="default" w:ascii="Times New Roman Regular" w:hAnsi="Times New Roman Regular" w:cs="Times New Roman Regular"/>
          <w:color w:val="auto"/>
          <w:sz w:val="24"/>
          <w:szCs w:val="24"/>
        </w:rPr>
        <w:t>,</w:t>
      </w:r>
      <w:r>
        <w:rPr>
          <w:rStyle w:val="7"/>
          <w:rFonts w:hint="default" w:ascii="Times New Roman Regular" w:hAnsi="Times New Roman Regular" w:cs="Times New Roman Regular"/>
          <w:color w:val="auto"/>
          <w:sz w:val="24"/>
          <w:szCs w:val="24"/>
        </w:rPr>
        <w:footnoteReference w:id="7"/>
      </w:r>
      <w:r>
        <w:rPr>
          <w:rFonts w:hint="default" w:ascii="Times New Roman Regular" w:hAnsi="Times New Roman Regular" w:cs="Times New Roman Regular"/>
          <w:color w:val="auto"/>
          <w:sz w:val="24"/>
          <w:szCs w:val="24"/>
        </w:rPr>
        <w:t xml:space="preserve">however </w:t>
      </w:r>
      <w:r>
        <w:rPr>
          <w:rFonts w:hint="default" w:ascii="Times New Roman Regular" w:hAnsi="Times New Roman Regular" w:cs="Times New Roman Regular"/>
          <w:color w:val="auto"/>
          <w:sz w:val="24"/>
          <w:szCs w:val="24"/>
        </w:rPr>
        <w:t xml:space="preserve">‘believers in astrology or reincarnation are not significantly less </w:t>
      </w:r>
      <w:r>
        <w:rPr>
          <w:rFonts w:hint="default" w:ascii="Times New Roman Regular" w:hAnsi="Times New Roman Regular" w:cs="Times New Roman Regular"/>
          <w:color w:val="auto"/>
          <w:sz w:val="24"/>
          <w:szCs w:val="24"/>
        </w:rPr>
        <w:t>likely</w:t>
      </w:r>
      <w:r>
        <w:rPr>
          <w:rFonts w:hint="default" w:ascii="Times New Roman Regular" w:hAnsi="Times New Roman Regular" w:cs="Times New Roman Regular"/>
          <w:color w:val="auto"/>
          <w:sz w:val="24"/>
          <w:szCs w:val="24"/>
        </w:rPr>
        <w:t xml:space="preserve"> to express a belief in Roman </w:t>
      </w:r>
      <w:r>
        <w:rPr>
          <w:rFonts w:hint="default" w:ascii="Times New Roman Regular" w:hAnsi="Times New Roman Regular" w:cs="Times New Roman Regular"/>
          <w:color w:val="auto"/>
          <w:sz w:val="24"/>
          <w:szCs w:val="24"/>
        </w:rPr>
        <w:t>Catholic</w:t>
      </w:r>
      <w:r>
        <w:rPr>
          <w:rFonts w:hint="default" w:ascii="Times New Roman Regular" w:hAnsi="Times New Roman Regular" w:cs="Times New Roman Regular"/>
          <w:color w:val="auto"/>
          <w:sz w:val="24"/>
          <w:szCs w:val="24"/>
        </w:rPr>
        <w:t xml:space="preserve"> religion’</w:t>
      </w:r>
      <w:r>
        <w:rPr>
          <w:rFonts w:hint="default" w:ascii="Times New Roman Regular" w:hAnsi="Times New Roman Regular" w:cs="Times New Roman Regular"/>
          <w:color w:val="auto"/>
          <w:sz w:val="24"/>
          <w:szCs w:val="24"/>
        </w:rPr>
        <w:t>.</w:t>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cs="Times New Roman Regular"/>
          <w:color w:val="auto"/>
          <w:sz w:val="24"/>
          <w:szCs w:val="24"/>
        </w:rPr>
        <w:t xml:space="preserve">This could suggest that it may be the religion itself that causes the person to feel alienated which in turn causes said person to search for a new, accepting belief of anything New Age or alternative. Therefore one could argue with both papers that those who feel they need faith in something to help them through difficult situations aren’t as likely to judge as long as they feel they are being spiritually looked after. In support of this idea, the book </w:t>
      </w:r>
      <w:r>
        <w:rPr>
          <w:rFonts w:hint="default" w:ascii="Times New Roman Regular" w:hAnsi="Times New Roman Regular" w:cs="Times New Roman Regular"/>
          <w:i/>
          <w:iCs/>
          <w:color w:val="auto"/>
          <w:sz w:val="24"/>
          <w:szCs w:val="24"/>
        </w:rPr>
        <w:t xml:space="preserve">Religion in Times of Crisis, </w:t>
      </w:r>
      <w:r>
        <w:rPr>
          <w:rFonts w:hint="default" w:ascii="Times New Roman Regular" w:hAnsi="Times New Roman Regular" w:cs="Times New Roman Regular"/>
          <w:i w:val="0"/>
          <w:iCs w:val="0"/>
          <w:color w:val="auto"/>
          <w:sz w:val="24"/>
          <w:szCs w:val="24"/>
        </w:rPr>
        <w:t xml:space="preserve">also discusses how faith is quite often sought after during times of crisis, war, pain and separation, agreeing with Brink who implied that the students who believed tended to do so in need of security. </w:t>
      </w:r>
      <w:r>
        <w:rPr>
          <w:rStyle w:val="7"/>
          <w:rFonts w:hint="default" w:ascii="Times New Roman Regular" w:hAnsi="Times New Roman Regular" w:cs="Times New Roman Regular"/>
          <w:i w:val="0"/>
          <w:iCs w:val="0"/>
          <w:color w:val="auto"/>
          <w:sz w:val="24"/>
          <w:szCs w:val="24"/>
        </w:rPr>
        <w:footnoteReference w:id="8"/>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Times New Roman Regular" w:hAnsi="Times New Roman Regular" w:cs="Times New Roman Regular"/>
          <w:color w:val="auto"/>
          <w:sz w:val="24"/>
          <w:szCs w:val="24"/>
        </w:rPr>
      </w:pP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360" w:firstLineChars="150"/>
        <w:jc w:val="left"/>
        <w:textAlignment w:val="baseline"/>
        <w:rPr>
          <w:rFonts w:hint="default" w:ascii="Times New Roman Regular" w:hAnsi="Times New Roman Regular" w:eastAsia="Segoe UI" w:cs="Times New Roman Regular"/>
          <w:b w:val="0"/>
          <w:i w:val="0"/>
          <w:caps w:val="0"/>
          <w:color w:val="auto"/>
          <w:spacing w:val="0"/>
          <w:sz w:val="24"/>
          <w:szCs w:val="24"/>
          <w:shd w:val="clear" w:fill="FFFFFF"/>
          <w:vertAlign w:val="baseline"/>
        </w:rPr>
      </w:pPr>
      <w:r>
        <w:rPr>
          <w:rFonts w:hint="default" w:ascii="Times New Roman Regular" w:hAnsi="Times New Roman Regular" w:cs="Times New Roman Regular"/>
          <w:color w:val="auto"/>
          <w:sz w:val="24"/>
          <w:szCs w:val="24"/>
        </w:rPr>
        <w:t>Both papers discuss how religion and spirituality are forms of security when people are going through a difficult time, however Brink a</w:t>
      </w:r>
      <w:r>
        <w:rPr>
          <w:rFonts w:hint="default" w:ascii="Times New Roman Regular" w:hAnsi="Times New Roman Regular" w:cs="Times New Roman Regular"/>
          <w:color w:val="auto"/>
          <w:sz w:val="24"/>
          <w:szCs w:val="24"/>
        </w:rPr>
        <w:t>rgues that people rely on faith, heaven, reincarnation and astrology or religious beliefs in order to protect the ego from the fear of death and the unknown</w:t>
      </w:r>
      <w:r>
        <w:rPr>
          <w:rFonts w:hint="default" w:ascii="Times New Roman Regular" w:hAnsi="Times New Roman Regular" w:cs="Times New Roman Regular"/>
          <w:color w:val="auto"/>
          <w:sz w:val="24"/>
          <w:szCs w:val="24"/>
        </w:rPr>
        <w:t>.</w:t>
      </w:r>
      <w:r>
        <w:rPr>
          <w:rStyle w:val="7"/>
          <w:rFonts w:hint="default" w:ascii="Times New Roman Regular" w:hAnsi="Times New Roman Regular" w:cs="Times New Roman Regular"/>
          <w:color w:val="auto"/>
          <w:sz w:val="24"/>
          <w:szCs w:val="24"/>
        </w:rPr>
        <w:footnoteReference w:id="9"/>
      </w:r>
      <w:r>
        <w:rPr>
          <w:rFonts w:hint="default" w:ascii="Times New Roman Regular" w:hAnsi="Times New Roman Regular" w:cs="Times New Roman Regular"/>
          <w:color w:val="auto"/>
          <w:sz w:val="24"/>
          <w:szCs w:val="24"/>
        </w:rPr>
        <w:t xml:space="preserve"> Walter and Waterhouse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agree with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Times New Roman Regular" w:hAnsi="Times New Roman Regular" w:cs="Times New Roman Regular"/>
          <w:color w:val="auto"/>
          <w:sz w:val="24"/>
          <w:szCs w:val="24"/>
        </w:rPr>
      </w:pPr>
      <w:r>
        <w:rPr>
          <w:rFonts w:hint="default" w:ascii="Times New Roman Regular" w:hAnsi="Times New Roman Regular" w:eastAsia="Segoe UI" w:cs="Times New Roman Regular"/>
          <w:b w:val="0"/>
          <w:i w:val="0"/>
          <w:caps w:val="0"/>
          <w:color w:val="auto"/>
          <w:spacing w:val="0"/>
          <w:sz w:val="24"/>
          <w:szCs w:val="24"/>
          <w:shd w:val="clear" w:fill="FFFFFF"/>
          <w:vertAlign w:val="baseline"/>
        </w:rPr>
        <w:t>Brink</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that</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people seeking</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security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from alternative spiritual views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‘in a way, the thought of reincarnation provided the answers for me’</w:t>
      </w:r>
      <w:r>
        <w:rPr>
          <w:rStyle w:val="7"/>
          <w:rFonts w:hint="default" w:ascii="Times New Roman Regular" w:hAnsi="Times New Roman Regular" w:eastAsia="Segoe UI" w:cs="Times New Roman Regular"/>
          <w:b w:val="0"/>
          <w:i w:val="0"/>
          <w:caps w:val="0"/>
          <w:color w:val="auto"/>
          <w:spacing w:val="0"/>
          <w:sz w:val="24"/>
          <w:szCs w:val="24"/>
          <w:shd w:val="clear" w:fill="FFFFFF"/>
        </w:rPr>
        <w:footnoteReference w:id="10"/>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however they do not mention it being because of the ego or out of fear. </w:t>
      </w:r>
      <w:r>
        <w:rPr>
          <w:rFonts w:hint="default" w:ascii="Times New Roman Regular" w:hAnsi="Times New Roman Regular" w:cs="Times New Roman Regular"/>
          <w:color w:val="auto"/>
          <w:sz w:val="24"/>
          <w:szCs w:val="24"/>
        </w:rPr>
        <w:t>Brink also argues that it is foolish to believe in both heaven and reincarnation</w:t>
      </w:r>
      <w:r>
        <w:rPr>
          <w:rFonts w:hint="default" w:ascii="Times New Roman Regular" w:hAnsi="Times New Roman Regular" w:cs="Times New Roman Regular"/>
          <w:color w:val="auto"/>
          <w:sz w:val="24"/>
          <w:szCs w:val="24"/>
        </w:rPr>
        <w:t>, drawing on the Freudian belief that those who believe in the afterlife do so because they want to deny the idea of death</w:t>
      </w:r>
      <w:r>
        <w:rPr>
          <w:rStyle w:val="7"/>
          <w:rFonts w:hint="default" w:ascii="Times New Roman Regular" w:hAnsi="Times New Roman Regular" w:cs="Times New Roman Regular"/>
          <w:color w:val="auto"/>
          <w:sz w:val="24"/>
          <w:szCs w:val="24"/>
        </w:rPr>
        <w:footnoteReference w:id="11"/>
      </w:r>
      <w:r>
        <w:rPr>
          <w:rFonts w:hint="default" w:ascii="Times New Roman Regular" w:hAnsi="Times New Roman Regular" w:cs="Times New Roman Regular"/>
          <w:color w:val="auto"/>
          <w:sz w:val="24"/>
          <w:szCs w:val="24"/>
        </w:rPr>
        <w:t xml:space="preserve">. </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Times New Roman Regular" w:hAnsi="Times New Roman Regular" w:cs="Times New Roman Regular"/>
          <w:color w:val="auto"/>
          <w:sz w:val="24"/>
          <w:szCs w:val="24"/>
        </w:rPr>
      </w:pP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600" w:firstLineChars="250"/>
        <w:jc w:val="left"/>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cs="Times New Roman Regular"/>
          <w:color w:val="auto"/>
          <w:sz w:val="24"/>
          <w:szCs w:val="24"/>
        </w:rPr>
        <w:t>Walter and Waterhouse</w:t>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cs="Times New Roman Regular"/>
          <w:color w:val="auto"/>
          <w:sz w:val="24"/>
          <w:szCs w:val="24"/>
        </w:rPr>
        <w:t>discuss research that has involved people who have experienced past life progression and reincarnation in some form ‘some entertain the possibility of reincarnation because of experience (first or second hand)’</w:t>
      </w:r>
      <w:r>
        <w:rPr>
          <w:rFonts w:hint="default" w:ascii="Times New Roman Regular" w:hAnsi="Times New Roman Regular" w:cs="Times New Roman Regular"/>
          <w:color w:val="auto"/>
          <w:sz w:val="24"/>
          <w:szCs w:val="24"/>
        </w:rPr>
        <w:t xml:space="preserve"> including past life progressions and near death experiences</w:t>
      </w:r>
      <w:r>
        <w:rPr>
          <w:rFonts w:hint="default" w:ascii="Times New Roman Regular" w:hAnsi="Times New Roman Regular" w:cs="Times New Roman Regular"/>
          <w:color w:val="auto"/>
          <w:sz w:val="24"/>
          <w:szCs w:val="24"/>
        </w:rPr>
        <w:t>,</w:t>
      </w:r>
      <w:r>
        <w:rPr>
          <w:rStyle w:val="7"/>
          <w:rFonts w:hint="default" w:ascii="Times New Roman Regular" w:hAnsi="Times New Roman Regular" w:cs="Times New Roman Regular"/>
          <w:color w:val="auto"/>
          <w:sz w:val="24"/>
          <w:szCs w:val="24"/>
        </w:rPr>
        <w:footnoteReference w:id="12"/>
      </w:r>
      <w:r>
        <w:rPr>
          <w:rFonts w:hint="default" w:ascii="Times New Roman Regular" w:hAnsi="Times New Roman Regular" w:cs="Times New Roman Regular"/>
          <w:color w:val="auto"/>
          <w:sz w:val="24"/>
          <w:szCs w:val="24"/>
        </w:rPr>
        <w:t>It is said that ‘people who have NDEs are likely to become more open to the idea of reincarnation’</w:t>
      </w:r>
      <w:r>
        <w:rPr>
          <w:rStyle w:val="7"/>
          <w:rFonts w:hint="default" w:ascii="Times New Roman Regular" w:hAnsi="Times New Roman Regular" w:cs="Times New Roman Regular"/>
          <w:color w:val="auto"/>
          <w:sz w:val="24"/>
          <w:szCs w:val="24"/>
        </w:rPr>
        <w:footnoteReference w:id="13"/>
      </w:r>
      <w:r>
        <w:rPr>
          <w:rFonts w:hint="default" w:ascii="Times New Roman Regular" w:hAnsi="Times New Roman Regular" w:cs="Times New Roman Regular"/>
          <w:color w:val="auto"/>
          <w:sz w:val="24"/>
          <w:szCs w:val="24"/>
        </w:rPr>
        <w:t xml:space="preserve"> Brink’s paper however, has no evidence to suggest that the students in his research paper have any experience and therefore he draws to a conclusion that it must be the ego that wishes to believe</w:t>
      </w:r>
      <w:r>
        <w:rPr>
          <w:rFonts w:hint="default" w:ascii="Times New Roman Regular" w:hAnsi="Times New Roman Regular" w:cs="Times New Roman Regular"/>
          <w:color w:val="auto"/>
          <w:sz w:val="24"/>
          <w:szCs w:val="24"/>
        </w:rPr>
        <w:t xml:space="preserve"> because he has not spoken to anyone with past experience</w:t>
      </w:r>
      <w:r>
        <w:rPr>
          <w:rFonts w:hint="default" w:ascii="Times New Roman Regular" w:hAnsi="Times New Roman Regular" w:cs="Times New Roman Regular"/>
          <w:color w:val="auto"/>
          <w:sz w:val="24"/>
          <w:szCs w:val="24"/>
        </w:rPr>
        <w:t>.</w:t>
      </w:r>
      <w:r>
        <w:rPr>
          <w:rFonts w:hint="default" w:ascii="Times New Roman Regular" w:hAnsi="Times New Roman Regular" w:cs="Times New Roman Regular"/>
          <w:color w:val="auto"/>
          <w:sz w:val="24"/>
          <w:szCs w:val="24"/>
        </w:rPr>
        <w:t xml:space="preserve"> When discussing the ego </w:t>
      </w:r>
      <w:r>
        <w:rPr>
          <w:rFonts w:hint="default" w:ascii="Times New Roman Regular" w:hAnsi="Times New Roman Regular" w:cs="Times New Roman Regular"/>
          <w:color w:val="auto"/>
          <w:sz w:val="24"/>
          <w:szCs w:val="24"/>
        </w:rPr>
        <w:t>Walter and Waterhouse discuss how</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‘two other women clearly believed in reincarnation, but would rather not!’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which would stand against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Brink’s argument about the ego</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as one women would rather not come back into this life after her </w:t>
      </w:r>
      <w:r>
        <w:rPr>
          <w:rFonts w:hint="default" w:ascii="Times New Roman Regular" w:hAnsi="Times New Roman Regular" w:eastAsia="Segoe UI" w:cs="Times New Roman Regular"/>
          <w:b w:val="0"/>
          <w:i w:val="0"/>
          <w:color w:val="auto"/>
          <w:spacing w:val="0"/>
          <w:sz w:val="24"/>
          <w:szCs w:val="24"/>
          <w:shd w:val="clear" w:fill="FFFFFF"/>
          <w:vertAlign w:val="baseline"/>
        </w:rPr>
        <w:t>experience</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during this lifetime</w:t>
      </w:r>
      <w:r>
        <w:rPr>
          <w:rStyle w:val="7"/>
          <w:rFonts w:hint="default" w:ascii="Times New Roman Regular" w:hAnsi="Times New Roman Regular" w:eastAsia="Segoe UI" w:cs="Times New Roman Regular"/>
          <w:b w:val="0"/>
          <w:i w:val="0"/>
          <w:caps w:val="0"/>
          <w:color w:val="auto"/>
          <w:spacing w:val="0"/>
          <w:sz w:val="24"/>
          <w:szCs w:val="24"/>
          <w:shd w:val="clear" w:fill="FFFFFF"/>
        </w:rPr>
        <w:footnoteReference w:id="14"/>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This would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suggest</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that it was not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in fact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the ego who wanted to </w:t>
      </w:r>
      <w:r>
        <w:rPr>
          <w:rFonts w:hint="default" w:ascii="Times New Roman Regular" w:hAnsi="Times New Roman Regular" w:eastAsia="Segoe UI" w:cs="Times New Roman Regular"/>
          <w:b w:val="0"/>
          <w:i w:val="0"/>
          <w:color w:val="auto"/>
          <w:spacing w:val="0"/>
          <w:sz w:val="24"/>
          <w:szCs w:val="24"/>
          <w:shd w:val="clear" w:fill="FFFFFF"/>
          <w:vertAlign w:val="baseline"/>
        </w:rPr>
        <w:t>believe</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in reincarnation, one may argue it is the ego who does not want to believe. Many scholars have </w:t>
      </w:r>
      <w:r>
        <w:rPr>
          <w:rFonts w:hint="default" w:ascii="Times New Roman Regular" w:hAnsi="Times New Roman Regular" w:eastAsia="Segoe UI" w:cs="Times New Roman Regular"/>
          <w:b w:val="0"/>
          <w:i w:val="0"/>
          <w:color w:val="auto"/>
          <w:spacing w:val="0"/>
          <w:sz w:val="24"/>
          <w:szCs w:val="24"/>
          <w:shd w:val="clear" w:fill="FFFFFF"/>
          <w:vertAlign w:val="baseline"/>
        </w:rPr>
        <w:t>discussed</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the ego as being a </w:t>
      </w:r>
      <w:r>
        <w:rPr>
          <w:rFonts w:hint="default" w:ascii="Times New Roman Regular" w:hAnsi="Times New Roman Regular" w:eastAsia="Segoe UI" w:cs="Times New Roman Regular"/>
          <w:b w:val="0"/>
          <w:i w:val="0"/>
          <w:color w:val="auto"/>
          <w:spacing w:val="0"/>
          <w:sz w:val="24"/>
          <w:szCs w:val="24"/>
          <w:shd w:val="clear" w:fill="FFFFFF"/>
          <w:vertAlign w:val="baseline"/>
        </w:rPr>
        <w:t>separate</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entity to the spirit thus forcing us not to believe in any sort of divinity. </w:t>
      </w:r>
      <w:r>
        <w:rPr>
          <w:rFonts w:hint="default" w:ascii="Times New Roman Regular" w:hAnsi="Times New Roman Regular" w:cs="Times New Roman Regular"/>
          <w:color w:val="auto"/>
          <w:sz w:val="24"/>
          <w:szCs w:val="24"/>
        </w:rPr>
        <w:t xml:space="preserve">Psychiatrist and author David R. Hawkins discusses a </w:t>
      </w:r>
      <w:r>
        <w:rPr>
          <w:rFonts w:hint="default" w:ascii="Times New Roman Regular" w:hAnsi="Times New Roman Regular" w:cs="Times New Roman Regular"/>
          <w:i/>
          <w:iCs/>
          <w:color w:val="auto"/>
          <w:sz w:val="24"/>
          <w:szCs w:val="24"/>
        </w:rPr>
        <w:t>Letting Go</w:t>
      </w:r>
      <w:r>
        <w:rPr>
          <w:rFonts w:hint="default" w:ascii="Times New Roman Regular" w:hAnsi="Times New Roman Regular" w:cs="Times New Roman Regular"/>
          <w:color w:val="auto"/>
          <w:sz w:val="24"/>
          <w:szCs w:val="24"/>
        </w:rPr>
        <w:t xml:space="preserve"> technique where many scholars would agree that ‘all spiritual pathways are based upon a method of dissolving the ego’.</w:t>
      </w:r>
      <w:r>
        <w:rPr>
          <w:rStyle w:val="7"/>
          <w:rFonts w:hint="default" w:ascii="Times New Roman Regular" w:hAnsi="Times New Roman Regular" w:cs="Times New Roman Regular"/>
          <w:color w:val="auto"/>
          <w:sz w:val="24"/>
          <w:szCs w:val="24"/>
        </w:rPr>
        <w:footnoteReference w:id="15"/>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cs="Times New Roman Regular"/>
          <w:color w:val="auto"/>
          <w:sz w:val="24"/>
          <w:szCs w:val="24"/>
        </w:rPr>
        <w:t xml:space="preserve">This goes against </w:t>
      </w:r>
      <w:r>
        <w:rPr>
          <w:rFonts w:hint="default" w:ascii="Times New Roman Regular" w:hAnsi="Times New Roman Regular" w:cs="Times New Roman Regular"/>
          <w:color w:val="auto"/>
          <w:sz w:val="24"/>
          <w:szCs w:val="24"/>
        </w:rPr>
        <w:t>Brink</w:t>
      </w:r>
      <w:r>
        <w:rPr>
          <w:rFonts w:hint="default" w:ascii="Times New Roman Regular" w:hAnsi="Times New Roman Regular" w:cs="Times New Roman Regular"/>
          <w:color w:val="auto"/>
          <w:sz w:val="24"/>
          <w:szCs w:val="24"/>
        </w:rPr>
        <w:t>’s philosophy</w:t>
      </w:r>
      <w:r>
        <w:rPr>
          <w:rFonts w:hint="default" w:ascii="Times New Roman Regular" w:hAnsi="Times New Roman Regular" w:cs="Times New Roman Regular"/>
          <w:color w:val="auto"/>
          <w:sz w:val="24"/>
          <w:szCs w:val="24"/>
        </w:rPr>
        <w:t xml:space="preserve"> who suggests that it is the ego that makes one want to believe in spirituality and the afterlife.</w:t>
      </w:r>
      <w:r>
        <w:rPr>
          <w:rFonts w:hint="default" w:ascii="Times New Roman Regular" w:hAnsi="Times New Roman Regular" w:cs="Times New Roman Regular"/>
          <w:color w:val="auto"/>
          <w:sz w:val="24"/>
          <w:szCs w:val="24"/>
        </w:rPr>
        <w:t xml:space="preserve"> In agreement with Brink C.G.Jung would argue that although it is difficult for ‘man to admit’, it is the ego that one uses to overcome fear and thus it is the ego that creates desires, wishes and fantasies which could be linked to believing in reincarnation. </w:t>
      </w:r>
      <w:r>
        <w:rPr>
          <w:rStyle w:val="7"/>
          <w:rFonts w:hint="default" w:ascii="Times New Roman Regular" w:hAnsi="Times New Roman Regular" w:cs="Times New Roman Regular"/>
          <w:color w:val="auto"/>
          <w:sz w:val="24"/>
          <w:szCs w:val="24"/>
        </w:rPr>
        <w:footnoteReference w:id="16"/>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Times New Roman Regular" w:hAnsi="Times New Roman Regular" w:cs="Times New Roman Regular"/>
          <w:color w:val="auto"/>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Both papers are published during different dates and times, however they both are around the time of the New Age beliefs. They both also agree that people want to hide their beliefs on reincarnation. The title </w:t>
      </w:r>
      <w:r>
        <w:rPr>
          <w:rFonts w:hint="default" w:ascii="Times New Roman Regular" w:hAnsi="Times New Roman Regular" w:cs="Times New Roman Regular"/>
          <w:i/>
          <w:iCs/>
          <w:color w:val="auto"/>
          <w:sz w:val="24"/>
          <w:szCs w:val="24"/>
        </w:rPr>
        <w:t xml:space="preserve">A </w:t>
      </w:r>
      <w:r>
        <w:rPr>
          <w:rFonts w:hint="default" w:ascii="Times New Roman Regular" w:hAnsi="Times New Roman Regular" w:eastAsia="Segoe UI" w:cs="Times New Roman Regular"/>
          <w:b w:val="0"/>
          <w:i/>
          <w:iCs/>
          <w:caps w:val="0"/>
          <w:color w:val="auto"/>
          <w:spacing w:val="0"/>
          <w:sz w:val="24"/>
          <w:szCs w:val="24"/>
          <w:u w:val="none"/>
          <w:shd w:val="clear" w:fill="FFFFFF"/>
          <w:vertAlign w:val="baseline"/>
          <w:lang w:val="en-US"/>
        </w:rPr>
        <w:t>Very Private Belief: Reincarnation in Contemporary England</w:t>
      </w:r>
      <w:r>
        <w:rPr>
          <w:rFonts w:hint="default" w:ascii="Times New Roman Regular" w:hAnsi="Times New Roman Regular" w:eastAsia="Segoe UI" w:cs="Times New Roman Regular"/>
          <w:b w:val="0"/>
          <w:i/>
          <w:iCs/>
          <w:caps w:val="0"/>
          <w:color w:val="auto"/>
          <w:spacing w:val="0"/>
          <w:sz w:val="24"/>
          <w:szCs w:val="24"/>
          <w:u w:val="none"/>
          <w:shd w:val="clear" w:fill="FFFFFF"/>
          <w:vertAlign w:val="baseline"/>
        </w:rPr>
        <w:t xml:space="preserve"> </w:t>
      </w:r>
      <w:r>
        <w:rPr>
          <w:rFonts w:hint="default" w:ascii="Times New Roman Regular" w:hAnsi="Times New Roman Regular" w:eastAsia="Segoe UI" w:cs="Times New Roman Regular"/>
          <w:b w:val="0"/>
          <w:i w:val="0"/>
          <w:iCs w:val="0"/>
          <w:caps w:val="0"/>
          <w:color w:val="auto"/>
          <w:spacing w:val="0"/>
          <w:sz w:val="24"/>
          <w:szCs w:val="24"/>
          <w:u w:val="none"/>
          <w:shd w:val="clear" w:fill="FFFFFF"/>
          <w:vertAlign w:val="baseline"/>
        </w:rPr>
        <w:t xml:space="preserve">alone suggests that people would rather not admit their spiritual beliefs. Brink suggests that this private belief could be due to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on alienation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which then causes the</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belief in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reincarnation and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the opposite to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Catholicism</w:t>
      </w:r>
      <w:r>
        <w:rPr>
          <w:rStyle w:val="7"/>
          <w:rFonts w:hint="default" w:ascii="Times New Roman Regular" w:hAnsi="Times New Roman Regular" w:eastAsia="Segoe UI" w:cs="Times New Roman Regular"/>
          <w:b w:val="0"/>
          <w:i w:val="0"/>
          <w:caps w:val="0"/>
          <w:color w:val="auto"/>
          <w:spacing w:val="0"/>
          <w:sz w:val="24"/>
          <w:szCs w:val="24"/>
          <w:shd w:val="clear" w:fill="FFFFFF"/>
        </w:rPr>
        <w:footnoteReference w:id="17"/>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w:t>
      </w:r>
      <w:r>
        <w:rPr>
          <w:rFonts w:hint="default" w:ascii="Times New Roman Regular" w:hAnsi="Times New Roman Regular" w:eastAsia="Segoe UI" w:cs="Times New Roman Regular"/>
          <w:b w:val="0"/>
          <w:i w:val="0"/>
          <w:iCs w:val="0"/>
          <w:caps w:val="0"/>
          <w:color w:val="auto"/>
          <w:spacing w:val="0"/>
          <w:sz w:val="24"/>
          <w:szCs w:val="24"/>
          <w:u w:val="none"/>
          <w:shd w:val="clear" w:fill="FFFFFF"/>
          <w:vertAlign w:val="baseline"/>
        </w:rPr>
        <w:t xml:space="preserve">This paper discusses how people from England tend to believe in reincarnation more so than in Europe however over the years the statistics show that it is an increasing belief that </w:t>
      </w:r>
      <w:r>
        <w:rPr>
          <w:rFonts w:hint="default" w:ascii="Times New Roman Regular" w:hAnsi="Times New Roman Regular" w:cs="Times New Roman Regular"/>
          <w:color w:val="auto"/>
          <w:sz w:val="24"/>
          <w:szCs w:val="24"/>
        </w:rPr>
        <w:t>‘is so private that no need to belong to a congregation is perceived: the English believe without belonging’</w:t>
      </w:r>
      <w:r>
        <w:rPr>
          <w:rFonts w:hint="default" w:ascii="Times New Roman Regular" w:hAnsi="Times New Roman Regular" w:cs="Times New Roman Regular"/>
          <w:color w:val="auto"/>
          <w:sz w:val="24"/>
          <w:szCs w:val="24"/>
        </w:rPr>
        <w:t xml:space="preserve"> yet</w:t>
      </w:r>
      <w:r>
        <w:rPr>
          <w:rFonts w:hint="default" w:ascii="Times New Roman Regular" w:hAnsi="Times New Roman Regular" w:cs="Times New Roman Regular"/>
          <w:color w:val="auto"/>
          <w:sz w:val="24"/>
          <w:szCs w:val="24"/>
        </w:rPr>
        <w:t xml:space="preserve"> ‘in Scandinavia the pattern appears to be the opposite - belonging to the established church (not lease in order to book one’s burial plot) but not actually believing.’</w:t>
      </w:r>
      <w:r>
        <w:rPr>
          <w:rFonts w:hint="default" w:ascii="Times New Roman Regular" w:hAnsi="Times New Roman Regular" w:eastAsia="Segoe UI" w:cs="Times New Roman Regular"/>
          <w:b w:val="0"/>
          <w:i w:val="0"/>
          <w:iCs w:val="0"/>
          <w:caps w:val="0"/>
          <w:color w:val="auto"/>
          <w:spacing w:val="0"/>
          <w:sz w:val="24"/>
          <w:szCs w:val="24"/>
          <w:u w:val="none"/>
          <w:shd w:val="clear" w:fill="FFFFFF"/>
          <w:vertAlign w:val="baseline"/>
        </w:rPr>
        <w:t xml:space="preserve"> This paper also similarly to Brink’s paper suggests that those who believe in reincarnation tend to be more open minded rather than confined to religion, stating that the belief </w:t>
      </w:r>
      <w:r>
        <w:rPr>
          <w:rFonts w:hint="default" w:ascii="Times New Roman Regular" w:hAnsi="Times New Roman Regular" w:cs="Times New Roman Regular"/>
          <w:color w:val="auto"/>
          <w:sz w:val="24"/>
          <w:szCs w:val="24"/>
        </w:rPr>
        <w:t xml:space="preserve">‘is to say, held by those who have a sense of inner spirituality but who do not wish to confine this to </w:t>
      </w:r>
      <w:r>
        <w:rPr>
          <w:rFonts w:hint="default" w:ascii="Times New Roman Regular" w:hAnsi="Times New Roman Regular" w:cs="Times New Roman Regular"/>
          <w:color w:val="auto"/>
          <w:sz w:val="24"/>
          <w:szCs w:val="24"/>
        </w:rPr>
        <w:t>Christianity,</w:t>
      </w:r>
      <w:r>
        <w:rPr>
          <w:rStyle w:val="7"/>
          <w:rFonts w:hint="default" w:ascii="Times New Roman Regular" w:hAnsi="Times New Roman Regular" w:cs="Times New Roman Regular"/>
          <w:color w:val="auto"/>
          <w:sz w:val="24"/>
          <w:szCs w:val="24"/>
        </w:rPr>
        <w:footnoteReference w:id="18"/>
      </w:r>
      <w:r>
        <w:rPr>
          <w:rFonts w:hint="default" w:ascii="Times New Roman Regular" w:hAnsi="Times New Roman Regular" w:cs="Times New Roman Regular"/>
          <w:color w:val="auto"/>
          <w:sz w:val="24"/>
          <w:szCs w:val="24"/>
        </w:rPr>
        <w:t xml:space="preserve"> similar to the Catholic school pupils who did not want to solely confine to Catholicism and the </w:t>
      </w:r>
      <w:r>
        <w:rPr>
          <w:rFonts w:hint="default" w:ascii="Times New Roman Regular" w:hAnsi="Times New Roman Regular" w:cs="Times New Roman Regular"/>
          <w:color w:val="auto"/>
          <w:sz w:val="24"/>
          <w:szCs w:val="24"/>
        </w:rPr>
        <w:t>conventional traditions of Baptism and so on</w:t>
      </w:r>
      <w:r>
        <w:rPr>
          <w:rFonts w:hint="default" w:ascii="Times New Roman Regular" w:hAnsi="Times New Roman Regular" w:cs="Times New Roman Regular"/>
          <w:color w:val="auto"/>
          <w:sz w:val="24"/>
          <w:szCs w:val="24"/>
        </w:rPr>
        <w:t>.</w:t>
      </w:r>
      <w:r>
        <w:rPr>
          <w:rStyle w:val="7"/>
          <w:rFonts w:hint="default" w:ascii="Times New Roman Regular" w:hAnsi="Times New Roman Regular" w:cs="Times New Roman Regular"/>
          <w:color w:val="auto"/>
          <w:sz w:val="24"/>
          <w:szCs w:val="24"/>
        </w:rPr>
        <w:footnoteReference w:id="19"/>
      </w:r>
      <w:r>
        <w:rPr>
          <w:rFonts w:hint="default" w:ascii="Times New Roman Regular" w:hAnsi="Times New Roman Regular" w:cs="Times New Roman Regular"/>
          <w:color w:val="auto"/>
          <w:sz w:val="24"/>
          <w:szCs w:val="24"/>
        </w:rPr>
        <w:t xml:space="preserve"> Both papers also suggest that those who believe in reincarnation hold these attitudes alongside their current religions.</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Times New Roman Regular" w:hAnsi="Times New Roman Regular" w:cs="Times New Roman Regular"/>
          <w:color w:val="auto"/>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720" w:firstLineChars="300"/>
        <w:jc w:val="left"/>
        <w:textAlignment w:val="baseline"/>
        <w:rPr>
          <w:rFonts w:hint="default" w:ascii="Times New Roman Regular" w:hAnsi="Times New Roman Regular" w:cs="Times New Roman Regular"/>
          <w:color w:val="auto"/>
          <w:sz w:val="24"/>
          <w:szCs w:val="24"/>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xml:space="preserve">To conclude this paper it is </w:t>
      </w:r>
      <w:r>
        <w:rPr>
          <w:rFonts w:hint="default" w:ascii="Times New Roman Regular" w:hAnsi="Times New Roman Regular" w:eastAsia="Segoe UI" w:cs="Times New Roman Regular"/>
          <w:b w:val="0"/>
          <w:i w:val="0"/>
          <w:color w:val="auto"/>
          <w:spacing w:val="0"/>
          <w:sz w:val="24"/>
          <w:szCs w:val="24"/>
          <w:bdr w:val="none" w:color="auto" w:sz="0" w:space="0"/>
          <w:shd w:val="clear" w:fill="FFFFFF"/>
          <w:vertAlign w:val="baseline"/>
        </w:rPr>
        <w:t>evident</w:t>
      </w: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xml:space="preserve"> that while both papers agree that reincarnation is generally a subject that many keep private, they both conclude with very different arguments. Brink argues that one cannot believe in heaven and reincarnation there fore suggesting that one cannot truly mix religion with other spiritual beliefs, where as Walter and Waterhouse believe that there are many Christians who also share similar attitudes towards secular spiritual beliefs and vice verse. Brink would argue that it is the ego that craves spiritual </w:t>
      </w:r>
      <w:r>
        <w:rPr>
          <w:rFonts w:hint="default" w:ascii="Times New Roman Regular" w:hAnsi="Times New Roman Regular" w:eastAsia="Segoe UI" w:cs="Times New Roman Regular"/>
          <w:b w:val="0"/>
          <w:i w:val="0"/>
          <w:color w:val="auto"/>
          <w:spacing w:val="0"/>
          <w:sz w:val="24"/>
          <w:szCs w:val="24"/>
          <w:bdr w:val="none" w:color="auto" w:sz="0" w:space="0"/>
          <w:shd w:val="clear" w:fill="FFFFFF"/>
          <w:vertAlign w:val="baseline"/>
        </w:rPr>
        <w:t xml:space="preserve">beliefs as a means of having something to count stating that </w:t>
      </w:r>
      <w:r>
        <w:rPr>
          <w:rFonts w:hint="default" w:ascii="Times New Roman Regular" w:hAnsi="Times New Roman Regular" w:cs="Times New Roman Regular"/>
          <w:color w:val="auto"/>
          <w:sz w:val="24"/>
          <w:szCs w:val="24"/>
        </w:rPr>
        <w:t>‘Freud (1915) contended that belief in heaven and belief in reincarnation represented civinization’s attempts to deny the meaning of death’</w:t>
      </w:r>
      <w:r>
        <w:rPr>
          <w:rFonts w:hint="default" w:ascii="Times New Roman Regular" w:hAnsi="Times New Roman Regular" w:cs="Times New Roman Regular"/>
          <w:color w:val="auto"/>
          <w:sz w:val="24"/>
          <w:szCs w:val="24"/>
        </w:rPr>
        <w:t xml:space="preserve"> and </w:t>
      </w:r>
      <w:r>
        <w:rPr>
          <w:rFonts w:hint="default" w:ascii="Times New Roman Regular" w:hAnsi="Times New Roman Regular" w:cs="Times New Roman Regular"/>
          <w:color w:val="auto"/>
          <w:sz w:val="24"/>
          <w:szCs w:val="24"/>
        </w:rPr>
        <w:t xml:space="preserve">‘the individual who believes in both heaven and reincarnation... appears foolish to outsiders who only consider the consistency of his actions’ </w:t>
      </w:r>
      <w:r>
        <w:rPr>
          <w:rFonts w:hint="default" w:ascii="Times New Roman Regular" w:hAnsi="Times New Roman Regular" w:cs="Times New Roman Regular"/>
          <w:color w:val="auto"/>
          <w:sz w:val="24"/>
          <w:szCs w:val="24"/>
        </w:rPr>
        <w:t>and therefore</w:t>
      </w:r>
      <w:r>
        <w:rPr>
          <w:rFonts w:hint="default" w:ascii="Times New Roman Regular" w:hAnsi="Times New Roman Regular" w:cs="Times New Roman Regular"/>
          <w:color w:val="auto"/>
          <w:sz w:val="24"/>
          <w:szCs w:val="24"/>
        </w:rPr>
        <w:t xml:space="preserve"> uses faith and beliefs or practises to protect his ego from the unknown</w:t>
      </w:r>
      <w:r>
        <w:rPr>
          <w:rFonts w:hint="default" w:ascii="Times New Roman Regular" w:hAnsi="Times New Roman Regular" w:eastAsia="Segoe UI" w:cs="Times New Roman Regular"/>
          <w:b w:val="0"/>
          <w:i w:val="0"/>
          <w:color w:val="auto"/>
          <w:spacing w:val="0"/>
          <w:sz w:val="24"/>
          <w:szCs w:val="24"/>
          <w:bdr w:val="none" w:color="auto" w:sz="0" w:space="0"/>
          <w:shd w:val="clear" w:fill="FFFFFF"/>
          <w:vertAlign w:val="baseline"/>
        </w:rPr>
        <w:t>.</w:t>
      </w:r>
      <w:r>
        <w:rPr>
          <w:rStyle w:val="7"/>
          <w:rFonts w:hint="default" w:ascii="Times New Roman Regular" w:hAnsi="Times New Roman Regular" w:eastAsia="Segoe UI" w:cs="Times New Roman Regular"/>
          <w:b w:val="0"/>
          <w:i w:val="0"/>
          <w:color w:val="auto"/>
          <w:spacing w:val="0"/>
          <w:sz w:val="24"/>
          <w:szCs w:val="24"/>
          <w:bdr w:val="none" w:color="auto" w:sz="0" w:space="0"/>
          <w:shd w:val="clear" w:fill="FFFFFF"/>
        </w:rPr>
        <w:footnoteReference w:id="20"/>
      </w:r>
      <w:r>
        <w:rPr>
          <w:rFonts w:hint="default" w:ascii="Times New Roman Regular" w:hAnsi="Times New Roman Regular" w:eastAsia="Segoe UI" w:cs="Times New Roman Regular"/>
          <w:b w:val="0"/>
          <w:i w:val="0"/>
          <w:color w:val="auto"/>
          <w:spacing w:val="0"/>
          <w:sz w:val="24"/>
          <w:szCs w:val="24"/>
          <w:bdr w:val="none" w:color="auto" w:sz="0" w:space="0"/>
          <w:shd w:val="clear" w:fill="FFFFFF"/>
          <w:vertAlign w:val="baseline"/>
        </w:rPr>
        <w:t xml:space="preserve"> However,</w:t>
      </w: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xml:space="preserve"> Waterhouse and Walter would argue that </w:t>
      </w:r>
      <w:r>
        <w:rPr>
          <w:rFonts w:hint="default" w:ascii="Times New Roman Regular" w:hAnsi="Times New Roman Regular" w:cs="Times New Roman Regular"/>
          <w:color w:val="auto"/>
          <w:sz w:val="24"/>
          <w:szCs w:val="24"/>
        </w:rPr>
        <w:t>one cannot be in their ego if they ‘value spirit over body’</w:t>
      </w:r>
      <w:r>
        <w:rPr>
          <w:rFonts w:hint="default" w:ascii="Times New Roman Regular" w:hAnsi="Times New Roman Regular" w:cs="Times New Roman Regular"/>
          <w:color w:val="auto"/>
          <w:sz w:val="24"/>
          <w:szCs w:val="24"/>
        </w:rPr>
        <w:t>. On the other hand however, one could argue that Walter and Waterhouse were discussing the desire to believe in reincarnation for egotistical purpose</w:t>
      </w:r>
      <w:r>
        <w:rPr>
          <w:rFonts w:hint="default" w:ascii="Times New Roman Regular" w:hAnsi="Times New Roman Regular" w:cs="Times New Roman Regular"/>
          <w:color w:val="auto"/>
          <w:sz w:val="24"/>
          <w:szCs w:val="24"/>
        </w:rPr>
        <w:t xml:space="preserve"> ‘for others reincarnation solved intellectual problems</w:t>
      </w:r>
      <w:r>
        <w:rPr>
          <w:rFonts w:hint="default" w:ascii="Times New Roman Regular" w:hAnsi="Times New Roman Regular" w:cs="Times New Roman Regular"/>
          <w:color w:val="auto"/>
          <w:sz w:val="24"/>
          <w:szCs w:val="24"/>
        </w:rPr>
        <w:t>’, proving that humans want to believe in another change as a way of correcting their wrongs during this lifetime, purely based on their ego’s.</w:t>
      </w:r>
      <w:r>
        <w:rPr>
          <w:rStyle w:val="7"/>
          <w:rFonts w:hint="default" w:ascii="Times New Roman Regular" w:hAnsi="Times New Roman Regular" w:cs="Times New Roman Regular"/>
          <w:color w:val="auto"/>
          <w:sz w:val="24"/>
          <w:szCs w:val="24"/>
        </w:rPr>
        <w:footnoteReference w:id="21"/>
      </w:r>
      <w:r>
        <w:rPr>
          <w:rFonts w:hint="default" w:ascii="Times New Roman Regular" w:hAnsi="Times New Roman Regular" w:cs="Times New Roman Regular"/>
          <w:color w:val="auto"/>
          <w:sz w:val="24"/>
          <w:szCs w:val="24"/>
        </w:rPr>
        <w:t xml:space="preserve"> </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Times New Roman Regular" w:hAnsi="Times New Roman Regular" w:cs="Times New Roman Regular"/>
          <w:color w:val="auto"/>
          <w:sz w:val="24"/>
          <w:szCs w:val="24"/>
        </w:rPr>
      </w:pP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600" w:firstLineChars="250"/>
        <w:jc w:val="left"/>
        <w:textAlignment w:val="baseline"/>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Both studies are based on </w:t>
      </w:r>
      <w:r>
        <w:rPr>
          <w:rFonts w:hint="default" w:ascii="Times New Roman Regular" w:hAnsi="Times New Roman Regular" w:cs="Times New Roman Regular"/>
          <w:color w:val="auto"/>
          <w:sz w:val="24"/>
          <w:szCs w:val="24"/>
        </w:rPr>
        <w:t>students of various age groups</w:t>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cs="Times New Roman Regular"/>
          <w:color w:val="auto"/>
          <w:sz w:val="24"/>
          <w:szCs w:val="24"/>
        </w:rPr>
        <w:t>Brink’s paper looks closely</w:t>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cs="Times New Roman Regular"/>
          <w:color w:val="auto"/>
          <w:sz w:val="24"/>
          <w:szCs w:val="24"/>
        </w:rPr>
        <w:t>at students of</w:t>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cs="Times New Roman Regular"/>
          <w:color w:val="auto"/>
          <w:sz w:val="24"/>
          <w:szCs w:val="24"/>
        </w:rPr>
        <w:t>Catholicism and Walter and Waterhouse study</w:t>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cs="Times New Roman Regular"/>
          <w:color w:val="auto"/>
          <w:sz w:val="24"/>
          <w:szCs w:val="24"/>
        </w:rPr>
        <w:t>Christian students</w:t>
      </w:r>
      <w:r>
        <w:rPr>
          <w:rFonts w:hint="default" w:ascii="Times New Roman Regular" w:hAnsi="Times New Roman Regular" w:cs="Times New Roman Regular"/>
          <w:color w:val="auto"/>
          <w:sz w:val="24"/>
          <w:szCs w:val="24"/>
        </w:rPr>
        <w:t xml:space="preserve"> and secular</w:t>
      </w:r>
      <w:r>
        <w:rPr>
          <w:rFonts w:hint="default" w:ascii="Times New Roman Regular" w:hAnsi="Times New Roman Regular" w:cs="Times New Roman Regular"/>
          <w:color w:val="auto"/>
          <w:sz w:val="24"/>
          <w:szCs w:val="24"/>
        </w:rPr>
        <w:t xml:space="preserve"> particularly in England</w:t>
      </w:r>
      <w:r>
        <w:rPr>
          <w:rFonts w:hint="default" w:ascii="Times New Roman Regular" w:hAnsi="Times New Roman Regular" w:cs="Times New Roman Regular"/>
          <w:color w:val="auto"/>
          <w:sz w:val="24"/>
          <w:szCs w:val="24"/>
        </w:rPr>
        <w:t>.</w:t>
      </w:r>
      <w:r>
        <w:rPr>
          <w:rFonts w:hint="default" w:ascii="Times New Roman Regular" w:hAnsi="Times New Roman Regular" w:cs="Times New Roman Regular"/>
          <w:color w:val="auto"/>
          <w:sz w:val="24"/>
          <w:szCs w:val="24"/>
        </w:rPr>
        <w:t xml:space="preserve"> Waterhouse discusses the concept of Karma</w:t>
      </w:r>
      <w:r>
        <w:rPr>
          <w:rStyle w:val="7"/>
          <w:rFonts w:hint="default" w:ascii="Times New Roman Regular" w:hAnsi="Times New Roman Regular" w:cs="Times New Roman Regular"/>
          <w:color w:val="auto"/>
          <w:sz w:val="24"/>
          <w:szCs w:val="24"/>
        </w:rPr>
        <w:footnoteReference w:id="22"/>
      </w:r>
      <w:r>
        <w:rPr>
          <w:rFonts w:hint="default" w:ascii="Times New Roman Regular" w:hAnsi="Times New Roman Regular" w:cs="Times New Roman Regular"/>
          <w:color w:val="auto"/>
          <w:sz w:val="24"/>
          <w:szCs w:val="24"/>
        </w:rPr>
        <w:t xml:space="preserve"> which is not focused on in Brink’s paper. While both arguments are strong, Waterhouse and Walter’s paper appears to show stronger evidence having studied a wider audience and also those who have experienced reincarnation in some form or another. It can also be argued that Walter and Waterhouse have a stronger argument due to the amount of research and pages written.</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600" w:firstLineChars="250"/>
        <w:jc w:val="left"/>
        <w:textAlignment w:val="baseline"/>
        <w:rPr>
          <w:rFonts w:hint="default" w:ascii="Times New Roman Regular" w:hAnsi="Times New Roman Regular" w:cs="Times New Roman Regular"/>
          <w:color w:val="auto"/>
          <w:sz w:val="24"/>
          <w:szCs w:val="24"/>
        </w:rPr>
      </w:pP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600" w:firstLineChars="250"/>
        <w:jc w:val="left"/>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cs="Times New Roman Regular"/>
          <w:color w:val="auto"/>
          <w:sz w:val="24"/>
          <w:szCs w:val="24"/>
        </w:rPr>
        <w:t xml:space="preserve"> The idea of astrology and reincarnation has been deemed as being a superstitious belief especially to Catholicism</w:t>
      </w:r>
      <w:r>
        <w:rPr>
          <w:rStyle w:val="7"/>
          <w:rFonts w:hint="default" w:ascii="Times New Roman Regular" w:hAnsi="Times New Roman Regular" w:cs="Times New Roman Regular"/>
          <w:color w:val="auto"/>
          <w:sz w:val="24"/>
          <w:szCs w:val="24"/>
        </w:rPr>
        <w:footnoteReference w:id="23"/>
      </w:r>
      <w:r>
        <w:rPr>
          <w:rFonts w:hint="default" w:ascii="Times New Roman Regular" w:hAnsi="Times New Roman Regular" w:cs="Times New Roman Regular"/>
          <w:color w:val="auto"/>
          <w:sz w:val="24"/>
          <w:szCs w:val="24"/>
        </w:rPr>
        <w:t xml:space="preserve">, perhaps this is why many people have decided to keep their experiences and beliefs private. </w:t>
      </w:r>
      <w:r>
        <w:rPr>
          <w:rFonts w:hint="default" w:ascii="Times New Roman Regular" w:hAnsi="Times New Roman Regular" w:cs="Times New Roman Regular"/>
          <w:color w:val="auto"/>
          <w:sz w:val="24"/>
          <w:szCs w:val="24"/>
        </w:rPr>
        <w:t>Even if reincarnation is a ‘very private belief, detached from religious affiliations’</w:t>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The evidence suggests that</w:t>
      </w:r>
      <w:r>
        <w:rPr>
          <w:rFonts w:hint="default" w:ascii="Times New Roman Regular" w:hAnsi="Times New Roman Regular" w:cs="Times New Roman Regular"/>
          <w:color w:val="auto"/>
          <w:sz w:val="24"/>
          <w:szCs w:val="24"/>
        </w:rPr>
        <w:t xml:space="preserve"> </w:t>
      </w:r>
      <w:r>
        <w:rPr>
          <w:rFonts w:hint="default" w:ascii="Times New Roman Regular" w:hAnsi="Times New Roman Regular" w:cs="Times New Roman Regular"/>
          <w:color w:val="auto"/>
          <w:sz w:val="24"/>
          <w:szCs w:val="24"/>
        </w:rPr>
        <w:t>Christianity</w:t>
      </w:r>
      <w:r>
        <w:rPr>
          <w:rFonts w:hint="default" w:ascii="Times New Roman Regular" w:hAnsi="Times New Roman Regular" w:cs="Times New Roman Regular"/>
          <w:color w:val="auto"/>
          <w:sz w:val="24"/>
          <w:szCs w:val="24"/>
        </w:rPr>
        <w:t xml:space="preserve"> and secularism believe</w:t>
      </w:r>
      <w:r>
        <w:rPr>
          <w:rFonts w:hint="default" w:ascii="Times New Roman Regular" w:hAnsi="Times New Roman Regular" w:cs="Times New Roman Regular"/>
          <w:color w:val="auto"/>
          <w:sz w:val="24"/>
          <w:szCs w:val="24"/>
        </w:rPr>
        <w:t xml:space="preserve"> in the idea</w:t>
      </w:r>
      <w:r>
        <w:rPr>
          <w:rFonts w:hint="default" w:ascii="Times New Roman Regular" w:hAnsi="Times New Roman Regular" w:cs="Times New Roman Regular"/>
          <w:color w:val="auto"/>
          <w:sz w:val="24"/>
          <w:szCs w:val="24"/>
        </w:rPr>
        <w:t xml:space="preserve"> more than Catholicism</w:t>
      </w:r>
      <w:r>
        <w:rPr>
          <w:rFonts w:hint="default" w:ascii="Times New Roman Regular" w:hAnsi="Times New Roman Regular" w:cs="Times New Roman Regular"/>
          <w:color w:val="auto"/>
          <w:sz w:val="24"/>
          <w:szCs w:val="24"/>
        </w:rPr>
        <w:t xml:space="preserve"> especially within England leading up to 1999.</w:t>
      </w:r>
      <w:r>
        <w:rPr>
          <w:rStyle w:val="7"/>
          <w:rFonts w:hint="default" w:ascii="Times New Roman Regular" w:hAnsi="Times New Roman Regular" w:cs="Times New Roman Regular"/>
          <w:color w:val="auto"/>
          <w:sz w:val="24"/>
          <w:szCs w:val="24"/>
        </w:rPr>
        <w:footnoteReference w:id="24"/>
      </w:r>
      <w:r>
        <w:rPr>
          <w:rFonts w:hint="default" w:ascii="Times New Roman Regular" w:hAnsi="Times New Roman Regular" w:cs="Times New Roman Regular"/>
          <w:color w:val="auto"/>
          <w:sz w:val="24"/>
          <w:szCs w:val="24"/>
        </w:rPr>
        <w:t xml:space="preserve"> Brink’s</w:t>
      </w:r>
      <w:r>
        <w:rPr>
          <w:rFonts w:hint="default" w:ascii="Times New Roman Regular" w:hAnsi="Times New Roman Regular" w:cs="Times New Roman Regular"/>
          <w:color w:val="auto"/>
          <w:sz w:val="24"/>
          <w:szCs w:val="24"/>
        </w:rPr>
        <w:t xml:space="preserve"> paper </w:t>
      </w:r>
      <w:r>
        <w:rPr>
          <w:rFonts w:hint="default" w:ascii="Times New Roman Regular" w:hAnsi="Times New Roman Regular" w:cs="Times New Roman Regular"/>
          <w:color w:val="auto"/>
          <w:sz w:val="24"/>
          <w:szCs w:val="24"/>
        </w:rPr>
        <w:t xml:space="preserve">was </w:t>
      </w:r>
      <w:r>
        <w:rPr>
          <w:rFonts w:hint="default" w:ascii="Times New Roman Regular" w:hAnsi="Times New Roman Regular" w:cs="Times New Roman Regular"/>
          <w:color w:val="auto"/>
          <w:sz w:val="24"/>
          <w:szCs w:val="24"/>
        </w:rPr>
        <w:t>written in 1978 when figures were just about to rise as</w:t>
      </w:r>
      <w:r>
        <w:rPr>
          <w:rFonts w:hint="default" w:ascii="Times New Roman Regular" w:hAnsi="Times New Roman Regular" w:cs="Times New Roman Regular"/>
          <w:color w:val="auto"/>
          <w:sz w:val="24"/>
          <w:szCs w:val="24"/>
        </w:rPr>
        <w:t xml:space="preserve"> Walter and Waterhouse state how figures of believers rose during </w:t>
      </w:r>
      <w:r>
        <w:rPr>
          <w:rFonts w:hint="default" w:ascii="Times New Roman Regular" w:hAnsi="Times New Roman Regular" w:cs="Times New Roman Regular"/>
          <w:color w:val="auto"/>
          <w:sz w:val="24"/>
          <w:szCs w:val="24"/>
        </w:rPr>
        <w:t>‘1981 and 1990, in several European countries</w:t>
      </w:r>
      <w:r>
        <w:rPr>
          <w:rFonts w:hint="default" w:ascii="Times New Roman Regular" w:hAnsi="Times New Roman Regular" w:cs="Times New Roman Regular"/>
          <w:color w:val="auto"/>
          <w:sz w:val="24"/>
          <w:szCs w:val="24"/>
        </w:rPr>
        <w:t>.</w:t>
      </w:r>
      <w:r>
        <w:rPr>
          <w:rFonts w:hint="default" w:ascii="Times New Roman Regular" w:hAnsi="Times New Roman Regular" w:cs="Times New Roman Regular"/>
          <w:color w:val="auto"/>
          <w:sz w:val="24"/>
          <w:szCs w:val="24"/>
        </w:rPr>
        <w:t>’</w:t>
      </w:r>
      <w:r>
        <w:rPr>
          <w:rStyle w:val="7"/>
          <w:rFonts w:hint="default" w:ascii="Times New Roman Regular" w:hAnsi="Times New Roman Regular" w:cs="Times New Roman Regular"/>
          <w:color w:val="auto"/>
          <w:sz w:val="24"/>
          <w:szCs w:val="24"/>
        </w:rPr>
        <w:footnoteReference w:id="25"/>
      </w:r>
      <w:r>
        <w:rPr>
          <w:rFonts w:hint="default" w:ascii="Times New Roman Regular" w:hAnsi="Times New Roman Regular" w:cs="Times New Roman Regular"/>
          <w:color w:val="auto"/>
          <w:sz w:val="24"/>
          <w:szCs w:val="24"/>
        </w:rPr>
        <w:t xml:space="preserve"> Brinks paper would have also been written when the New Age was a fairly new concept therefore many would have not fully understood the ideas of modern spirituality. While Brink argues that it is the desire to feel secure that leads the Catholic students to believe in reincarnation, Walter and Waterhouse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also argue this point towards the desire of needing security away from Catholicism. Waterhouse’s study suggests that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people enjoy the idea of </w:t>
      </w:r>
      <w:r>
        <w:rPr>
          <w:rFonts w:hint="default" w:ascii="Times New Roman Regular" w:hAnsi="Times New Roman Regular" w:eastAsia="Segoe UI" w:cs="Times New Roman Regular"/>
          <w:b w:val="0"/>
          <w:i w:val="0"/>
          <w:color w:val="auto"/>
          <w:spacing w:val="0"/>
          <w:sz w:val="24"/>
          <w:szCs w:val="24"/>
          <w:shd w:val="clear" w:fill="FFFFFF"/>
          <w:vertAlign w:val="baseline"/>
        </w:rPr>
        <w:t>reincarnation</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and being able to make right what they wronged in a </w:t>
      </w:r>
      <w:r>
        <w:rPr>
          <w:rFonts w:hint="default" w:ascii="Times New Roman Regular" w:hAnsi="Times New Roman Regular" w:eastAsia="Segoe UI" w:cs="Times New Roman Regular"/>
          <w:b w:val="0"/>
          <w:i w:val="0"/>
          <w:color w:val="auto"/>
          <w:spacing w:val="0"/>
          <w:sz w:val="24"/>
          <w:szCs w:val="24"/>
          <w:shd w:val="clear" w:fill="FFFFFF"/>
          <w:vertAlign w:val="baseline"/>
        </w:rPr>
        <w:t>previous</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life time rather than the ‘catholic idea of purgatory’ which could be why many of the catholic students in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Brink’s</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paper </w:t>
      </w:r>
      <w:r>
        <w:rPr>
          <w:rFonts w:hint="default" w:ascii="Times New Roman Regular" w:hAnsi="Times New Roman Regular" w:eastAsia="Segoe UI" w:cs="Times New Roman Regular"/>
          <w:b w:val="0"/>
          <w:i w:val="0"/>
          <w:color w:val="auto"/>
          <w:spacing w:val="0"/>
          <w:sz w:val="24"/>
          <w:szCs w:val="24"/>
          <w:shd w:val="clear" w:fill="FFFFFF"/>
          <w:vertAlign w:val="baseline"/>
        </w:rPr>
        <w:t>believed</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in astrology and reincarnation out of fear of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Catholic </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punishment</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 xml:space="preserve"> in the afterlife</w:t>
      </w:r>
      <w:r>
        <w:rPr>
          <w:rFonts w:hint="default" w:ascii="Times New Roman Regular" w:hAnsi="Times New Roman Regular" w:eastAsia="Segoe UI" w:cs="Times New Roman Regular"/>
          <w:b w:val="0"/>
          <w:i w:val="0"/>
          <w:caps w:val="0"/>
          <w:color w:val="auto"/>
          <w:spacing w:val="0"/>
          <w:sz w:val="24"/>
          <w:szCs w:val="24"/>
          <w:shd w:val="clear" w:fill="FFFFFF"/>
          <w:vertAlign w:val="baseline"/>
        </w:rPr>
        <w:t>.</w:t>
      </w:r>
      <w:r>
        <w:rPr>
          <w:rStyle w:val="7"/>
          <w:rFonts w:hint="default" w:ascii="Times New Roman Regular" w:hAnsi="Times New Roman Regular" w:cs="Times New Roman Regular"/>
          <w:b w:val="0"/>
          <w:i w:val="0"/>
          <w:color w:val="auto"/>
          <w:sz w:val="24"/>
          <w:szCs w:val="24"/>
        </w:rPr>
        <w:footnoteReference w:id="26"/>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cs="Times New Roman Regular"/>
          <w:b/>
          <w:bCs/>
          <w:i w:val="0"/>
          <w:color w:val="auto"/>
          <w:sz w:val="24"/>
          <w:szCs w:val="24"/>
        </w:rPr>
      </w:pPr>
      <w:r>
        <w:rPr>
          <w:rFonts w:hint="default" w:ascii="Times New Roman Regular" w:hAnsi="Times New Roman Regular" w:cs="Times New Roman Regular"/>
          <w:b/>
          <w:bCs/>
          <w:i w:val="0"/>
          <w:color w:val="auto"/>
          <w:sz w:val="24"/>
          <w:szCs w:val="24"/>
        </w:rPr>
        <w:t>Bibliography</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cs="Times New Roman Regular"/>
          <w:b w:val="0"/>
          <w:i w:val="0"/>
          <w:color w:val="auto"/>
          <w:sz w:val="24"/>
          <w:szCs w:val="24"/>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Regular" w:hAnsi="Times New Roman Regular" w:cs="Times New Roman Regular"/>
          <w:b w:val="0"/>
          <w:i w:val="0"/>
          <w:color w:val="auto"/>
          <w:sz w:val="24"/>
          <w:szCs w:val="24"/>
        </w:rPr>
      </w:pPr>
      <w:bookmarkStart w:id="0" w:name="_GoBack"/>
      <w:bookmarkEnd w:id="0"/>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left"/>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Brink, T. L.</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rPr>
        <w:t>,</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 xml:space="preserve"> </w:t>
      </w:r>
      <w:r>
        <w:rPr>
          <w:rFonts w:hint="default" w:ascii="Times New Roman Italic" w:hAnsi="Times New Roman Italic" w:eastAsia="Segoe UI" w:cs="Times New Roman Italic"/>
          <w:b w:val="0"/>
          <w:i/>
          <w:iCs/>
          <w:caps w:val="0"/>
          <w:color w:val="auto"/>
          <w:spacing w:val="0"/>
          <w:sz w:val="24"/>
          <w:szCs w:val="24"/>
          <w:u w:val="none"/>
          <w:shd w:val="clear" w:fill="FFFFFF"/>
          <w:vertAlign w:val="baseline"/>
          <w:lang w:val="en-US"/>
        </w:rPr>
        <w:t>Inconsistency of Belief among Roman Catholic Girls: Concerning Religion, Astrology, Reincarnation.</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 xml:space="preserve"> </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rPr>
        <w:t>(</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 xml:space="preserve">Review of Religious Research, 20, </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rPr>
        <w:t>1978) pp.</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 xml:space="preserve">82-85. </w:t>
      </w: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left"/>
        <w:textAlignment w:val="baseline"/>
        <w:rPr>
          <w:rFonts w:hint="default" w:ascii="Times New Roman Regular" w:hAnsi="Times New Roman Regular" w:cs="Times New Roman Regular"/>
          <w:b w:val="0"/>
          <w:i w:val="0"/>
          <w:color w:val="auto"/>
          <w:sz w:val="24"/>
          <w:szCs w:val="24"/>
        </w:rPr>
      </w:pP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Walter, T. &amp; Waterhouse, H.</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rPr>
        <w:t>,</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 xml:space="preserve"> </w:t>
      </w:r>
      <w:r>
        <w:rPr>
          <w:rFonts w:hint="default" w:ascii="Times New Roman Italic" w:hAnsi="Times New Roman Italic" w:eastAsia="Segoe UI" w:cs="Times New Roman Italic"/>
          <w:b w:val="0"/>
          <w:i/>
          <w:iCs/>
          <w:caps w:val="0"/>
          <w:color w:val="auto"/>
          <w:spacing w:val="0"/>
          <w:sz w:val="24"/>
          <w:szCs w:val="24"/>
          <w:u w:val="none"/>
          <w:shd w:val="clear" w:fill="FFFFFF"/>
          <w:vertAlign w:val="baseline"/>
          <w:lang w:val="en-US"/>
        </w:rPr>
        <w:t>A Very Private Belief: Reincarnation in Contemporary England.</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 xml:space="preserve"> </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rPr>
        <w:t>(</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Sociology of Religion, 60,</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rPr>
        <w:t xml:space="preserve"> 1999)</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 xml:space="preserve"> </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rPr>
        <w:t>pp.</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187-197</w:t>
      </w: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left"/>
        <w:textAlignment w:val="baseline"/>
        <w:rPr>
          <w:rFonts w:hint="default" w:ascii="Times New Roman Regular" w:hAnsi="Times New Roman Regular" w:cs="Times New Roman Regular"/>
          <w:color w:val="auto"/>
          <w:sz w:val="24"/>
          <w:szCs w:val="24"/>
        </w:rPr>
      </w:pPr>
      <w:r>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lang w:val="en-US"/>
        </w:rPr>
        <w:t xml:space="preserve">Reading.ac.uk. </w:t>
      </w:r>
      <w:r>
        <w:rPr>
          <w:rFonts w:hint="default" w:ascii="Times New Roman Regular" w:hAnsi="Times New Roman Regular" w:eastAsia="Open Sans" w:cs="Times New Roman Regular"/>
          <w:b w:val="0"/>
          <w:i w:val="0"/>
          <w:caps w:val="0"/>
          <w:color w:val="auto"/>
          <w:spacing w:val="0"/>
          <w:sz w:val="24"/>
          <w:szCs w:val="24"/>
          <w:bdr w:val="none" w:color="auto" w:sz="0" w:space="0"/>
          <w:shd w:val="clear" w:fill="FFFFFF"/>
          <w:vertAlign w:val="baseline"/>
          <w:lang w:val="en-US"/>
        </w:rPr>
        <w:t xml:space="preserve">2022. </w:t>
      </w:r>
      <w:r>
        <w:rPr>
          <w:rFonts w:hint="default" w:ascii="Times New Roman Regular" w:hAnsi="Times New Roman Regular" w:eastAsia="Open Sans" w:cs="Times New Roman Regular"/>
          <w:b w:val="0"/>
          <w:i w:val="0"/>
          <w:caps w:val="0"/>
          <w:color w:val="auto"/>
          <w:spacing w:val="0"/>
          <w:sz w:val="24"/>
          <w:szCs w:val="24"/>
          <w:bdr w:val="none" w:color="auto" w:sz="0" w:space="0"/>
          <w:shd w:val="clear" w:fill="FFFFFF"/>
          <w:vertAlign w:val="baseline"/>
        </w:rPr>
        <w:t>O</w:t>
      </w:r>
      <w:r>
        <w:rPr>
          <w:rFonts w:hint="default" w:ascii="Times New Roman Regular" w:hAnsi="Times New Roman Regular" w:eastAsia="Open Sans" w:cs="Times New Roman Regular"/>
          <w:b w:val="0"/>
          <w:i w:val="0"/>
          <w:caps w:val="0"/>
          <w:color w:val="auto"/>
          <w:spacing w:val="0"/>
          <w:sz w:val="24"/>
          <w:szCs w:val="24"/>
          <w:bdr w:val="none" w:color="auto" w:sz="0" w:space="0"/>
          <w:shd w:val="clear" w:fill="FFFFFF"/>
          <w:vertAlign w:val="baseline"/>
          <w:lang w:val="en-US"/>
        </w:rPr>
        <w:t>nline</w:t>
      </w:r>
      <w:r>
        <w:rPr>
          <w:rFonts w:hint="default" w:ascii="Times New Roman Regular" w:hAnsi="Times New Roman Regular" w:eastAsia="Open Sans" w:cs="Times New Roman Regular"/>
          <w:b w:val="0"/>
          <w:i w:val="0"/>
          <w:caps w:val="0"/>
          <w:color w:val="auto"/>
          <w:spacing w:val="0"/>
          <w:sz w:val="24"/>
          <w:szCs w:val="24"/>
          <w:bdr w:val="none" w:color="auto" w:sz="0" w:space="0"/>
          <w:shd w:val="clear" w:fill="FFFFFF"/>
          <w:vertAlign w:val="baseline"/>
        </w:rPr>
        <w:t xml:space="preserve"> </w:t>
      </w:r>
      <w:r>
        <w:rPr>
          <w:rFonts w:hint="default" w:ascii="Times New Roman Regular" w:hAnsi="Times New Roman Regular" w:eastAsia="Open Sans" w:cs="Times New Roman Regular"/>
          <w:b w:val="0"/>
          <w:i w:val="0"/>
          <w:caps w:val="0"/>
          <w:color w:val="auto"/>
          <w:spacing w:val="0"/>
          <w:sz w:val="24"/>
          <w:szCs w:val="24"/>
          <w:bdr w:val="none" w:color="auto" w:sz="0" w:space="0"/>
          <w:shd w:val="clear" w:fill="FFFFFF"/>
          <w:vertAlign w:val="baseline"/>
          <w:lang w:val="en-US"/>
        </w:rPr>
        <w:t>Available at: https://www.reading.ac.uk/AcaDepts/lw/staff/tony.htm [Accessed 20 March 2022].</w:t>
      </w:r>
      <w:r>
        <w:rPr>
          <w:rFonts w:hint="default" w:ascii="Times New Roman Regular" w:hAnsi="Times New Roman Regular" w:eastAsia="Open Sans" w:cs="Times New Roman Regular"/>
          <w:b w:val="0"/>
          <w:i w:val="0"/>
          <w:caps w:val="0"/>
          <w:color w:val="auto"/>
          <w:spacing w:val="0"/>
          <w:sz w:val="24"/>
          <w:szCs w:val="24"/>
          <w:bdr w:val="none" w:color="auto" w:sz="0" w:space="0"/>
          <w:shd w:val="clear" w:fill="FFFFFF"/>
          <w:vertAlign w:val="baseline"/>
        </w:rPr>
        <w:t> </w:t>
      </w: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left"/>
        <w:textAlignment w:val="baseline"/>
        <w:rPr>
          <w:rFonts w:hint="default" w:ascii="Times New Roman Regular" w:hAnsi="Times New Roman Regular" w:cs="Times New Roman Regular"/>
          <w:i w:val="0"/>
          <w:color w:val="auto"/>
          <w:sz w:val="24"/>
          <w:szCs w:val="24"/>
        </w:rPr>
      </w:pPr>
      <w:r>
        <w:rPr>
          <w:rFonts w:hint="default" w:ascii="Times New Roman Regular" w:hAnsi="Times New Roman Regular" w:eastAsia="Open Sans" w:cs="Times New Roman Regular"/>
          <w:i w:val="0"/>
          <w:caps w:val="0"/>
          <w:color w:val="auto"/>
          <w:spacing w:val="0"/>
          <w:kern w:val="0"/>
          <w:sz w:val="24"/>
          <w:szCs w:val="24"/>
          <w:shd w:val="clear" w:fill="FFFFFF"/>
          <w:lang w:val="en-US" w:eastAsia="zh-CN" w:bidi="ar"/>
        </w:rPr>
        <w:t xml:space="preserve">Craftonhills.academia.edu. 2022. T.L. Brink | Crafton Hills College - Academia.edu. </w:t>
      </w:r>
      <w:r>
        <w:rPr>
          <w:rFonts w:hint="default" w:ascii="Times New Roman Regular" w:hAnsi="Times New Roman Regular" w:eastAsia="Open Sans" w:cs="Times New Roman Regular"/>
          <w:i w:val="0"/>
          <w:caps w:val="0"/>
          <w:color w:val="auto"/>
          <w:spacing w:val="0"/>
          <w:kern w:val="0"/>
          <w:sz w:val="24"/>
          <w:szCs w:val="24"/>
          <w:shd w:val="clear" w:fill="FFFFFF"/>
          <w:lang w:eastAsia="zh-CN" w:bidi="ar"/>
        </w:rPr>
        <w:t>O</w:t>
      </w:r>
      <w:r>
        <w:rPr>
          <w:rFonts w:hint="default" w:ascii="Times New Roman Regular" w:hAnsi="Times New Roman Regular" w:eastAsia="Open Sans" w:cs="Times New Roman Regular"/>
          <w:i w:val="0"/>
          <w:caps w:val="0"/>
          <w:color w:val="auto"/>
          <w:spacing w:val="0"/>
          <w:kern w:val="0"/>
          <w:sz w:val="24"/>
          <w:szCs w:val="24"/>
          <w:shd w:val="clear" w:fill="FFFFFF"/>
          <w:lang w:val="en-US" w:eastAsia="zh-CN" w:bidi="ar"/>
        </w:rPr>
        <w:t>nline</w:t>
      </w:r>
      <w:r>
        <w:rPr>
          <w:rFonts w:hint="default" w:ascii="Times New Roman Regular" w:hAnsi="Times New Roman Regular" w:eastAsia="Open Sans" w:cs="Times New Roman Regular"/>
          <w:i w:val="0"/>
          <w:caps w:val="0"/>
          <w:color w:val="auto"/>
          <w:spacing w:val="0"/>
          <w:kern w:val="0"/>
          <w:sz w:val="24"/>
          <w:szCs w:val="24"/>
          <w:shd w:val="clear" w:fill="FFFFFF"/>
          <w:lang w:eastAsia="zh-CN" w:bidi="ar"/>
        </w:rPr>
        <w:t xml:space="preserve"> </w:t>
      </w:r>
      <w:r>
        <w:rPr>
          <w:rFonts w:hint="default" w:ascii="Times New Roman Regular" w:hAnsi="Times New Roman Regular" w:eastAsia="Open Sans" w:cs="Times New Roman Regular"/>
          <w:i w:val="0"/>
          <w:caps w:val="0"/>
          <w:color w:val="auto"/>
          <w:spacing w:val="0"/>
          <w:kern w:val="0"/>
          <w:sz w:val="24"/>
          <w:szCs w:val="24"/>
          <w:shd w:val="clear" w:fill="FFFFFF"/>
          <w:lang w:val="en-US" w:eastAsia="zh-CN" w:bidi="ar"/>
        </w:rPr>
        <w:t>Available at: https://craftonhills.academia.edu/TLBrink [Accessed 21 March 2022].</w:t>
      </w: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left"/>
        <w:textAlignment w:val="baseline"/>
        <w:rPr>
          <w:rFonts w:hint="default" w:ascii="Times New Roman Regular" w:hAnsi="Times New Roman Regular" w:cs="Times New Roman Regular"/>
          <w:i w:val="0"/>
          <w:color w:val="auto"/>
          <w:sz w:val="24"/>
          <w:szCs w:val="24"/>
        </w:rPr>
      </w:pPr>
      <w:r>
        <w:rPr>
          <w:rFonts w:hint="default" w:ascii="Times New Roman Regular" w:hAnsi="Times New Roman Regular" w:cs="Times New Roman Regular"/>
          <w:i w:val="0"/>
          <w:color w:val="auto"/>
          <w:sz w:val="24"/>
          <w:szCs w:val="24"/>
        </w:rPr>
        <w:t>Hawkins, David R.. </w:t>
      </w:r>
      <w:r>
        <w:rPr>
          <w:rFonts w:hint="default" w:ascii="Times New Roman Italic" w:hAnsi="Times New Roman Italic" w:cs="Times New Roman Italic"/>
          <w:i/>
          <w:iCs/>
          <w:color w:val="auto"/>
          <w:sz w:val="24"/>
          <w:szCs w:val="24"/>
        </w:rPr>
        <w:t>Letting Go: The Pathway of Surrender</w:t>
      </w:r>
      <w:r>
        <w:rPr>
          <w:rFonts w:hint="default" w:ascii="Times New Roman Regular" w:hAnsi="Times New Roman Regular" w:cs="Times New Roman Regular"/>
          <w:i w:val="0"/>
          <w:color w:val="auto"/>
          <w:sz w:val="24"/>
          <w:szCs w:val="24"/>
        </w:rPr>
        <w:t>. </w:t>
      </w:r>
      <w:r>
        <w:rPr>
          <w:rFonts w:hint="default" w:ascii="Times New Roman Regular" w:hAnsi="Times New Roman Regular" w:cs="Times New Roman Regular"/>
          <w:i w:val="0"/>
          <w:color w:val="auto"/>
          <w:sz w:val="24"/>
          <w:szCs w:val="24"/>
        </w:rPr>
        <w:t>(</w:t>
      </w:r>
      <w:r>
        <w:rPr>
          <w:rFonts w:hint="default" w:ascii="Times New Roman Regular" w:hAnsi="Times New Roman Regular" w:cs="Times New Roman Regular"/>
          <w:i w:val="0"/>
          <w:color w:val="auto"/>
          <w:sz w:val="24"/>
          <w:szCs w:val="24"/>
        </w:rPr>
        <w:t>India, Hay House, 2014.</w:t>
      </w:r>
      <w:r>
        <w:rPr>
          <w:rFonts w:hint="default" w:ascii="Times New Roman Regular" w:hAnsi="Times New Roman Regular" w:cs="Times New Roman Regular"/>
          <w:i w:val="0"/>
          <w:color w:val="auto"/>
          <w:sz w:val="24"/>
          <w:szCs w:val="24"/>
        </w:rPr>
        <w:t>)</w:t>
      </w: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left"/>
        <w:textAlignment w:val="baseline"/>
        <w:rPr>
          <w:rFonts w:hint="default" w:ascii="Times New Roman Regular" w:hAnsi="Times New Roman Regular" w:cs="Times New Roman Regular"/>
          <w:i w:val="0"/>
          <w:color w:val="auto"/>
          <w:sz w:val="24"/>
          <w:szCs w:val="24"/>
        </w:rPr>
      </w:pPr>
      <w:r>
        <w:rPr>
          <w:rFonts w:hint="default" w:ascii="Times New Roman Regular" w:hAnsi="Times New Roman Regular" w:cs="Times New Roman Regular"/>
          <w:i w:val="0"/>
          <w:color w:val="auto"/>
          <w:sz w:val="24"/>
          <w:szCs w:val="24"/>
        </w:rPr>
        <w:t>Prophet, Elizabeth</w:t>
      </w:r>
      <w:r>
        <w:rPr>
          <w:rFonts w:hint="default" w:ascii="Times New Roman Regular" w:hAnsi="Times New Roman Regular" w:cs="Times New Roman Regular"/>
          <w:i w:val="0"/>
          <w:color w:val="auto"/>
          <w:sz w:val="24"/>
          <w:szCs w:val="24"/>
        </w:rPr>
        <w:t>.</w:t>
      </w:r>
      <w:r>
        <w:rPr>
          <w:rFonts w:hint="default" w:ascii="Times New Roman Regular" w:hAnsi="Times New Roman Regular" w:cs="Times New Roman Regular"/>
          <w:i w:val="0"/>
          <w:color w:val="auto"/>
          <w:sz w:val="24"/>
          <w:szCs w:val="24"/>
        </w:rPr>
        <w:t xml:space="preserve"> C., Prophet, Erin L.. </w:t>
      </w:r>
      <w:r>
        <w:rPr>
          <w:rFonts w:hint="default" w:ascii="Times New Roman Italic" w:hAnsi="Times New Roman Italic" w:cs="Times New Roman Italic"/>
          <w:i/>
          <w:iCs/>
          <w:color w:val="auto"/>
          <w:sz w:val="24"/>
          <w:szCs w:val="24"/>
        </w:rPr>
        <w:t>Reincarnation: The Missing Link in Christianity</w:t>
      </w:r>
      <w:r>
        <w:rPr>
          <w:rFonts w:hint="default" w:ascii="Times New Roman Regular" w:hAnsi="Times New Roman Regular" w:cs="Times New Roman Regular"/>
          <w:i w:val="0"/>
          <w:color w:val="auto"/>
          <w:sz w:val="24"/>
          <w:szCs w:val="24"/>
        </w:rPr>
        <w:t>.</w:t>
      </w:r>
      <w:r>
        <w:rPr>
          <w:rFonts w:hint="default" w:ascii="Times New Roman Regular" w:hAnsi="Times New Roman Regular" w:cs="Times New Roman Regular"/>
          <w:i w:val="0"/>
          <w:color w:val="auto"/>
          <w:sz w:val="24"/>
          <w:szCs w:val="24"/>
        </w:rPr>
        <w:t xml:space="preserve"> (</w:t>
      </w:r>
      <w:r>
        <w:rPr>
          <w:rFonts w:hint="default" w:ascii="Times New Roman Regular" w:hAnsi="Times New Roman Regular" w:cs="Times New Roman Regular"/>
          <w:i w:val="0"/>
          <w:color w:val="auto"/>
          <w:sz w:val="24"/>
          <w:szCs w:val="24"/>
        </w:rPr>
        <w:t>United States: Summit University Press, 1997.</w:t>
      </w:r>
      <w:r>
        <w:rPr>
          <w:rFonts w:hint="default" w:ascii="Times New Roman Regular" w:hAnsi="Times New Roman Regular" w:cs="Times New Roman Regular"/>
          <w:i w:val="0"/>
          <w:color w:val="auto"/>
          <w:sz w:val="24"/>
          <w:szCs w:val="24"/>
        </w:rPr>
        <w:t>)</w:t>
      </w: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left"/>
        <w:textAlignment w:val="baseline"/>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i w:val="0"/>
          <w:color w:val="auto"/>
          <w:sz w:val="24"/>
          <w:szCs w:val="24"/>
        </w:rPr>
        <w:t>Jung, C. G.. </w:t>
      </w:r>
      <w:r>
        <w:rPr>
          <w:rFonts w:hint="default" w:ascii="Times New Roman Italic" w:hAnsi="Times New Roman Italic" w:cs="Times New Roman Italic"/>
          <w:i/>
          <w:iCs/>
          <w:color w:val="auto"/>
          <w:sz w:val="24"/>
          <w:szCs w:val="24"/>
        </w:rPr>
        <w:t>Psychology of the Unconscious.</w:t>
      </w:r>
      <w:r>
        <w:rPr>
          <w:rFonts w:hint="default" w:ascii="Times New Roman Regular" w:hAnsi="Times New Roman Regular" w:cs="Times New Roman Regular"/>
          <w:i w:val="0"/>
          <w:color w:val="auto"/>
          <w:sz w:val="24"/>
          <w:szCs w:val="24"/>
        </w:rPr>
        <w:t> </w:t>
      </w:r>
      <w:r>
        <w:rPr>
          <w:rFonts w:hint="default" w:ascii="Times New Roman Regular" w:hAnsi="Times New Roman Regular" w:cs="Times New Roman Regular"/>
          <w:i w:val="0"/>
          <w:color w:val="auto"/>
          <w:sz w:val="24"/>
          <w:szCs w:val="24"/>
        </w:rPr>
        <w:t>(</w:t>
      </w:r>
      <w:r>
        <w:rPr>
          <w:rFonts w:hint="default" w:ascii="Times New Roman Regular" w:hAnsi="Times New Roman Regular" w:cs="Times New Roman Regular"/>
          <w:i w:val="0"/>
          <w:color w:val="auto"/>
          <w:sz w:val="24"/>
          <w:szCs w:val="24"/>
        </w:rPr>
        <w:t>United States: Dover Publications, 2012.</w:t>
      </w:r>
      <w:r>
        <w:rPr>
          <w:rFonts w:hint="default" w:ascii="Times New Roman Regular" w:hAnsi="Times New Roman Regular" w:cs="Times New Roman Regular"/>
          <w:i w:val="0"/>
          <w:color w:val="auto"/>
          <w:sz w:val="24"/>
          <w:szCs w:val="24"/>
        </w:rPr>
        <w:t>)</w:t>
      </w: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left"/>
        <w:textAlignment w:val="baseline"/>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Parish. H., </w:t>
      </w:r>
      <w:r>
        <w:rPr>
          <w:rFonts w:hint="default" w:ascii="Times New Roman Italic" w:hAnsi="Times New Roman Italic" w:cs="Times New Roman Italic"/>
          <w:i/>
          <w:iCs/>
          <w:color w:val="auto"/>
          <w:sz w:val="24"/>
          <w:szCs w:val="24"/>
        </w:rPr>
        <w:t>Religion and Superstition in Reformation Europe</w:t>
      </w:r>
      <w:r>
        <w:rPr>
          <w:rFonts w:hint="default" w:ascii="Times New Roman Regular" w:hAnsi="Times New Roman Regular" w:cs="Times New Roman Regular"/>
          <w:color w:val="auto"/>
          <w:sz w:val="24"/>
          <w:szCs w:val="24"/>
        </w:rPr>
        <w:t>.</w:t>
      </w:r>
      <w:r>
        <w:rPr>
          <w:rFonts w:hint="default" w:ascii="Times New Roman Regular" w:hAnsi="Times New Roman Regular" w:cs="Times New Roman Regular"/>
          <w:color w:val="auto"/>
          <w:sz w:val="24"/>
          <w:szCs w:val="24"/>
        </w:rPr>
        <w:t>(</w:t>
      </w:r>
      <w:r>
        <w:rPr>
          <w:rFonts w:hint="default" w:ascii="Times New Roman Regular" w:hAnsi="Times New Roman Regular" w:cs="Times New Roman Regular"/>
          <w:color w:val="auto"/>
          <w:sz w:val="24"/>
          <w:szCs w:val="24"/>
        </w:rPr>
        <w:t> United Kingdom: Manchester University Press, 2002.</w:t>
      </w:r>
      <w:r>
        <w:rPr>
          <w:rFonts w:hint="default" w:ascii="Times New Roman Regular" w:hAnsi="Times New Roman Regular" w:cs="Times New Roman Regular"/>
          <w:color w:val="auto"/>
          <w:sz w:val="24"/>
          <w:szCs w:val="24"/>
        </w:rPr>
        <w:t>)</w:t>
      </w:r>
    </w:p>
    <w:p>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left"/>
        <w:textAlignment w:val="baseline"/>
        <w:rPr>
          <w:rFonts w:hint="default" w:ascii="Times New Roman Regular" w:hAnsi="Times New Roman Regular" w:cs="Times New Roman Regular"/>
          <w:color w:val="auto"/>
          <w:sz w:val="24"/>
          <w:szCs w:val="24"/>
        </w:rPr>
      </w:pPr>
      <w:r>
        <w:rPr>
          <w:rFonts w:hint="default" w:ascii="Times New Roman Regular" w:hAnsi="Times New Roman Regular" w:eastAsia="SimSun" w:cs="Times New Roman Regular"/>
          <w:i w:val="0"/>
          <w:caps w:val="0"/>
          <w:color w:val="auto"/>
          <w:spacing w:val="0"/>
          <w:kern w:val="0"/>
          <w:sz w:val="24"/>
          <w:szCs w:val="24"/>
          <w:shd w:val="clear" w:fill="FFFFFF"/>
          <w:lang w:val="en-US" w:eastAsia="zh-CN" w:bidi="ar"/>
        </w:rPr>
        <w:t>Ganiel</w:t>
      </w:r>
      <w:r>
        <w:rPr>
          <w:rFonts w:hint="default" w:ascii="Times New Roman Regular" w:hAnsi="Times New Roman Regular" w:eastAsia="SimSun" w:cs="Times New Roman Regular"/>
          <w:i w:val="0"/>
          <w:caps w:val="0"/>
          <w:color w:val="auto"/>
          <w:spacing w:val="0"/>
          <w:kern w:val="0"/>
          <w:sz w:val="24"/>
          <w:szCs w:val="24"/>
          <w:shd w:val="clear" w:fill="FFFFFF"/>
          <w:lang w:eastAsia="zh-CN" w:bidi="ar"/>
        </w:rPr>
        <w:t xml:space="preserve">. G. </w:t>
      </w:r>
      <w:r>
        <w:rPr>
          <w:rFonts w:hint="default" w:ascii="Times New Roman Italic" w:hAnsi="Times New Roman Italic" w:cs="Times New Roman Italic"/>
          <w:i/>
          <w:iCs/>
          <w:color w:val="auto"/>
          <w:sz w:val="24"/>
          <w:szCs w:val="24"/>
        </w:rPr>
        <w:t>Religion in Times of Crisis</w:t>
      </w:r>
      <w:r>
        <w:rPr>
          <w:rFonts w:hint="default" w:ascii="Times New Roman Regular" w:hAnsi="Times New Roman Regular" w:cs="Times New Roman Regular"/>
          <w:color w:val="auto"/>
          <w:sz w:val="24"/>
          <w:szCs w:val="24"/>
        </w:rPr>
        <w:t>.</w:t>
      </w:r>
      <w:r>
        <w:rPr>
          <w:rFonts w:hint="default" w:ascii="Times New Roman Regular" w:hAnsi="Times New Roman Regular" w:cs="Times New Roman Regular"/>
          <w:color w:val="auto"/>
          <w:sz w:val="24"/>
          <w:szCs w:val="24"/>
        </w:rPr>
        <w:t>(</w:t>
      </w:r>
      <w:r>
        <w:rPr>
          <w:rFonts w:hint="default" w:ascii="Times New Roman Regular" w:hAnsi="Times New Roman Regular" w:cs="Times New Roman Regular"/>
          <w:color w:val="auto"/>
          <w:sz w:val="24"/>
          <w:szCs w:val="24"/>
        </w:rPr>
        <w:t> Netherlands: Brill, 2014.</w:t>
      </w:r>
      <w:r>
        <w:rPr>
          <w:rFonts w:hint="default" w:ascii="Times New Roman Regular" w:hAnsi="Times New Roman Regular" w:cs="Times New Roman Regular"/>
          <w:color w:val="auto"/>
          <w:sz w:val="24"/>
          <w:szCs w:val="24"/>
        </w:rPr>
        <w:t>)</w:t>
      </w: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Times New Roman Regular" w:hAnsi="Times New Roman Regular" w:cs="Times New Roman Regular"/>
          <w:color w:val="auto"/>
          <w:sz w:val="24"/>
          <w:szCs w:val="24"/>
        </w:rPr>
      </w:pP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Times New Roman Regular" w:hAnsi="Times New Roman Regular" w:cs="Times New Roman Regular"/>
          <w:color w:val="auto"/>
          <w:sz w:val="24"/>
          <w:szCs w:val="24"/>
        </w:rPr>
      </w:pP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Times New Roman Regular" w:hAnsi="Times New Roman Regular" w:cs="Times New Roman Regular"/>
          <w:color w:val="auto"/>
          <w:sz w:val="24"/>
          <w:szCs w:val="24"/>
        </w:rPr>
      </w:pPr>
    </w:p>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textAlignment w:val="baseline"/>
        <w:rPr>
          <w:rFonts w:hint="default" w:ascii="Times New Roman Regular" w:hAnsi="Times New Roman Regular" w:cs="Times New Roman Regular"/>
          <w:color w:val="auto"/>
          <w:sz w:val="24"/>
          <w:szCs w:val="24"/>
        </w:rPr>
      </w:pPr>
    </w:p>
    <w:sectPr>
      <w:head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Georgia">
    <w:panose1 w:val="02040502050405090303"/>
    <w:charset w:val="00"/>
    <w:family w:val="auto"/>
    <w:pitch w:val="default"/>
    <w:sig w:usb0="00000287" w:usb1="00000000" w:usb2="00000000" w:usb3="00000000" w:csb0="2000009F" w:csb1="00000000"/>
  </w:font>
  <w:font w:name="Segoe UI">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Trebuchet MS">
    <w:panose1 w:val="020B0703020202090204"/>
    <w:charset w:val="00"/>
    <w:family w:val="auto"/>
    <w:pitch w:val="default"/>
    <w:sig w:usb0="00000287" w:usb1="00000000" w:usb2="00000000" w:usb3="00000000" w:csb0="2000009F" w:csb1="00000000"/>
  </w:font>
  <w:font w:name="Times">
    <w:panose1 w:val="00000500000000020000"/>
    <w:charset w:val="00"/>
    <w:family w:val="auto"/>
    <w:pitch w:val="default"/>
    <w:sig w:usb0="E00002FF" w:usb1="5000205A" w:usb2="00000000" w:usb3="00000000" w:csb0="2000019F" w:csb1="4F010000"/>
  </w:font>
  <w:font w:name="苹方-简">
    <w:panose1 w:val="020B0400000000000000"/>
    <w:charset w:val="86"/>
    <w:family w:val="auto"/>
    <w:pitch w:val="default"/>
    <w:sig w:usb0="A00002FF" w:usb1="7ACFFDFB" w:usb2="00000017" w:usb3="00000000" w:csb0="00040001" w:csb1="00000000"/>
  </w:font>
  <w:font w:name="Open Sans">
    <w:altName w:val="苹方-简"/>
    <w:panose1 w:val="00000000000000000000"/>
    <w:charset w:val="00"/>
    <w:family w:val="auto"/>
    <w:pitch w:val="default"/>
    <w:sig w:usb0="00000000" w:usb1="00000000" w:usb2="00000000" w:usb3="00000000" w:csb0="00000000" w:csb1="00000000"/>
  </w:font>
  <w:font w:name="黑体-简">
    <w:panose1 w:val="02000000000000000000"/>
    <w:charset w:val="86"/>
    <w:family w:val="auto"/>
    <w:pitch w:val="default"/>
    <w:sig w:usb0="8000002F" w:usb1="0800004A" w:usb2="00000000" w:usb3="00000000" w:csb0="203E0000" w:csb1="00000000"/>
  </w:font>
  <w:font w:name="Times New Roman Regular">
    <w:panose1 w:val="02020503050405090304"/>
    <w:charset w:val="00"/>
    <w:family w:val="auto"/>
    <w:pitch w:val="default"/>
    <w:sig w:usb0="E0000AFF" w:usb1="00007843" w:usb2="00000001" w:usb3="00000000" w:csb0="400001BF" w:csb1="DFF70000"/>
  </w:font>
  <w:font w:name="poppins">
    <w:altName w:val="苹方-简"/>
    <w:panose1 w:val="00000000000000000000"/>
    <w:charset w:val="00"/>
    <w:family w:val="auto"/>
    <w:pitch w:val="default"/>
    <w:sig w:usb0="00000000" w:usb1="00000000" w:usb2="00000000" w:usb3="00000000" w:csb0="00000000" w:csb1="00000000"/>
  </w:font>
  <w:font w:name="Times New Roman Bold">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GT America Standard">
    <w:altName w:val="苹方-简"/>
    <w:panose1 w:val="00000000000000000000"/>
    <w:charset w:val="00"/>
    <w:family w:val="auto"/>
    <w:pitch w:val="default"/>
    <w:sig w:usb0="00000000" w:usb1="00000000" w:usb2="00000000" w:usb3="00000000" w:csb0="00000000" w:csb1="00000000"/>
  </w:font>
  <w:font w:name="Lucida Grande Regular">
    <w:panose1 w:val="020B0600040502020204"/>
    <w:charset w:val="00"/>
    <w:family w:val="auto"/>
    <w:pitch w:val="default"/>
    <w:sig w:usb0="E1000AEF" w:usb1="5000A1FF" w:usb2="00000000" w:usb3="00000000" w:csb0="200001BF" w:csb1="4F010000"/>
  </w:font>
  <w:font w:name="Times New Roman Bold Italic">
    <w:panose1 w:val="020205030504050903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3"/>
        <w:snapToGrid w:val="0"/>
      </w:pPr>
      <w:r>
        <w:rPr>
          <w:rStyle w:val="7"/>
        </w:rPr>
        <w:footnoteRef/>
      </w:r>
      <w:r>
        <w:t xml:space="preserve"> </w:t>
      </w:r>
      <w:r>
        <w:rPr>
          <w:rFonts w:hint="default" w:ascii="Times New Roman Regular" w:hAnsi="Times New Roman Regular" w:cs="Times New Roman Regular"/>
          <w:sz w:val="18"/>
          <w:szCs w:val="18"/>
        </w:rPr>
        <w:t xml:space="preserve">Tom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Walter</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 xml:space="preserve">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 xml:space="preserve">&amp;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Helen</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 xml:space="preserve">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 xml:space="preserve">Waterhouse. </w:t>
      </w:r>
      <w:r>
        <w:rPr>
          <w:rFonts w:hint="default" w:ascii="Times New Roman Italic" w:hAnsi="Times New Roman Italic" w:eastAsia="Segoe UI" w:cs="Times New Roman Italic"/>
          <w:b w:val="0"/>
          <w:i/>
          <w:iCs/>
          <w:caps w:val="0"/>
          <w:color w:val="auto"/>
          <w:spacing w:val="0"/>
          <w:sz w:val="18"/>
          <w:szCs w:val="18"/>
          <w:u w:val="none"/>
          <w:shd w:val="clear" w:fill="FFFFFF"/>
          <w:vertAlign w:val="baseline"/>
          <w:lang w:val="en-US"/>
        </w:rPr>
        <w:t>A Very Private Belief: Reincarnation in Contemporary England</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 xml:space="preserve">.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Sociology of Religion, 60,</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 xml:space="preserve"> 1999</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 pp.187-197</w:t>
      </w:r>
    </w:p>
  </w:footnote>
  <w:footnote w:id="1">
    <w:p>
      <w:pPr>
        <w:pStyle w:val="5"/>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textAlignment w:val="baseline"/>
      </w:pPr>
      <w:r>
        <w:rPr>
          <w:rStyle w:val="7"/>
        </w:rPr>
        <w:footnoteRef/>
      </w:r>
      <w:r>
        <w:t xml:space="preserve">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Brink, T. L.. I</w:t>
      </w:r>
      <w:r>
        <w:rPr>
          <w:rFonts w:hint="default" w:ascii="Times New Roman Italic" w:hAnsi="Times New Roman Italic" w:eastAsia="Segoe UI" w:cs="Times New Roman Italic"/>
          <w:b w:val="0"/>
          <w:i/>
          <w:iCs/>
          <w:caps w:val="0"/>
          <w:color w:val="auto"/>
          <w:spacing w:val="0"/>
          <w:sz w:val="18"/>
          <w:szCs w:val="18"/>
          <w:u w:val="none"/>
          <w:shd w:val="clear" w:fill="FFFFFF"/>
          <w:vertAlign w:val="baseline"/>
          <w:lang w:val="en-US"/>
        </w:rPr>
        <w:t>nconsistency of Belief among Roman Catholic Girls: Concerning Religion</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 xml:space="preserve">, </w:t>
      </w:r>
      <w:r>
        <w:rPr>
          <w:rFonts w:hint="default" w:ascii="Times New Roman Italic" w:hAnsi="Times New Roman Italic" w:eastAsia="Segoe UI" w:cs="Times New Roman Italic"/>
          <w:b w:val="0"/>
          <w:i/>
          <w:iCs/>
          <w:caps w:val="0"/>
          <w:color w:val="auto"/>
          <w:spacing w:val="0"/>
          <w:sz w:val="18"/>
          <w:szCs w:val="18"/>
          <w:u w:val="none"/>
          <w:shd w:val="clear" w:fill="FFFFFF"/>
          <w:vertAlign w:val="baseline"/>
          <w:lang w:val="en-US"/>
        </w:rPr>
        <w:t>Astrology, Reincarnation</w:t>
      </w:r>
      <w:r>
        <w:rPr>
          <w:rFonts w:hint="default" w:ascii="Times New Roman Italic" w:hAnsi="Times New Roman Italic" w:eastAsia="Segoe UI" w:cs="Times New Roman Italic"/>
          <w:b w:val="0"/>
          <w:i/>
          <w:iCs/>
          <w:caps w:val="0"/>
          <w:color w:val="auto"/>
          <w:spacing w:val="0"/>
          <w:sz w:val="18"/>
          <w:szCs w:val="18"/>
          <w:u w:val="none"/>
          <w:shd w:val="clear" w:fill="FFFFFF"/>
          <w:vertAlign w:val="baseline"/>
        </w:rPr>
        <w:t>.</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 xml:space="preserve">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Review of Religious Research, 20,</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 xml:space="preserve"> 1978)</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 xml:space="preserve">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pp.</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82-85.</w:t>
      </w:r>
      <w:r>
        <w:rPr>
          <w:rFonts w:hint="default" w:ascii="Times New Roman Regular" w:hAnsi="Times New Roman Regular" w:eastAsia="Segoe UI" w:cs="Times New Roman Regular"/>
          <w:b w:val="0"/>
          <w:i w:val="0"/>
          <w:caps w:val="0"/>
          <w:color w:val="auto"/>
          <w:spacing w:val="0"/>
          <w:sz w:val="18"/>
          <w:szCs w:val="18"/>
          <w:shd w:val="clear" w:fill="FFFFFF"/>
          <w:vertAlign w:val="baseline"/>
        </w:rPr>
        <w:t> </w:t>
      </w:r>
    </w:p>
  </w:footnote>
  <w:footnote w:id="2">
    <w:p>
      <w:pPr>
        <w:keepNext w:val="0"/>
        <w:keepLines w:val="0"/>
        <w:widowControl/>
        <w:suppressLineNumbers w:val="0"/>
        <w:jc w:val="left"/>
      </w:pPr>
      <w:r>
        <w:rPr>
          <w:rStyle w:val="7"/>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Tony Walter | Anon | Biography, reading.ac.uk, 2022</w:t>
      </w:r>
    </w:p>
  </w:footnote>
  <w:footnote w:id="3">
    <w:p>
      <w:pPr>
        <w:keepNext w:val="0"/>
        <w:keepLines w:val="0"/>
        <w:widowControl/>
        <w:suppressLineNumbers w:val="0"/>
        <w:jc w:val="left"/>
      </w:pPr>
      <w:r>
        <w:rPr>
          <w:rStyle w:val="7"/>
        </w:rPr>
        <w:footnoteRef/>
      </w:r>
      <w:r>
        <w:t xml:space="preserve"> </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T.L. Brink | Crafton Hills College - Academia.edu, 2022</w:t>
      </w:r>
    </w:p>
  </w:footnote>
  <w:footnote w:id="4">
    <w:p>
      <w:pPr>
        <w:pStyle w:val="3"/>
        <w:snapToGrid w:val="0"/>
      </w:pPr>
      <w:r>
        <w:rPr>
          <w:rStyle w:val="7"/>
        </w:rPr>
        <w:footnoteRef/>
      </w:r>
      <w:r>
        <w:t xml:space="preserve">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 xml:space="preserve">Walter &amp; Waterhouse, </w:t>
      </w:r>
      <w:r>
        <w:rPr>
          <w:rFonts w:hint="default" w:ascii="Times New Roman Italic" w:hAnsi="Times New Roman Italic" w:eastAsia="Segoe UI" w:cs="Times New Roman Italic"/>
          <w:b w:val="0"/>
          <w:i/>
          <w:iCs/>
          <w:caps w:val="0"/>
          <w:color w:val="auto"/>
          <w:spacing w:val="0"/>
          <w:sz w:val="18"/>
          <w:szCs w:val="18"/>
          <w:u w:val="none"/>
          <w:shd w:val="clear" w:fill="FFFFFF"/>
          <w:vertAlign w:val="baseline"/>
          <w:lang w:val="en-US"/>
        </w:rPr>
        <w:t>A Very Private Belief: Reincarnation in Contemporary England</w:t>
      </w:r>
      <w:r>
        <w:rPr>
          <w:rFonts w:hint="default" w:ascii="Times New Roman Italic" w:hAnsi="Times New Roman Italic" w:eastAsia="Segoe UI" w:cs="Times New Roman Italic"/>
          <w:b w:val="0"/>
          <w:i/>
          <w:iCs/>
          <w:caps w:val="0"/>
          <w:color w:val="auto"/>
          <w:spacing w:val="0"/>
          <w:sz w:val="18"/>
          <w:szCs w:val="18"/>
          <w:u w:val="none"/>
          <w:shd w:val="clear" w:fill="FFFFFF"/>
          <w:vertAlign w:val="baseline"/>
        </w:rPr>
        <w:t>.</w:t>
      </w:r>
    </w:p>
  </w:footnote>
  <w:footnote w:id="5">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textAlignment w:val="baseline"/>
      </w:pPr>
      <w:r>
        <w:rPr>
          <w:rStyle w:val="7"/>
        </w:rPr>
        <w:footnoteRef/>
      </w:r>
      <w:r>
        <w:t xml:space="preserve">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Brink,. I</w:t>
      </w:r>
      <w:r>
        <w:rPr>
          <w:rFonts w:hint="default" w:ascii="Times New Roman Italic" w:hAnsi="Times New Roman Italic" w:eastAsia="Segoe UI" w:cs="Times New Roman Italic"/>
          <w:b w:val="0"/>
          <w:i/>
          <w:iCs/>
          <w:caps w:val="0"/>
          <w:color w:val="auto"/>
          <w:spacing w:val="0"/>
          <w:sz w:val="18"/>
          <w:szCs w:val="18"/>
          <w:u w:val="none"/>
          <w:shd w:val="clear" w:fill="FFFFFF"/>
          <w:vertAlign w:val="baseline"/>
          <w:lang w:val="en-US"/>
        </w:rPr>
        <w:t>nconsistency of Belief among Roman Catholic Girls: Concerning Religion</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 xml:space="preserve">, </w:t>
      </w:r>
      <w:r>
        <w:rPr>
          <w:rFonts w:hint="default" w:ascii="Times New Roman Italic" w:hAnsi="Times New Roman Italic" w:eastAsia="Segoe UI" w:cs="Times New Roman Italic"/>
          <w:b w:val="0"/>
          <w:i/>
          <w:iCs/>
          <w:caps w:val="0"/>
          <w:color w:val="auto"/>
          <w:spacing w:val="0"/>
          <w:sz w:val="18"/>
          <w:szCs w:val="18"/>
          <w:u w:val="none"/>
          <w:shd w:val="clear" w:fill="FFFFFF"/>
          <w:vertAlign w:val="baseline"/>
          <w:lang w:val="en-US"/>
        </w:rPr>
        <w:t>Astrology, Reincarnation</w:t>
      </w:r>
      <w:r>
        <w:rPr>
          <w:rFonts w:hint="default" w:ascii="Times New Roman Italic" w:hAnsi="Times New Roman Italic" w:eastAsia="Segoe UI" w:cs="Times New Roman Italic"/>
          <w:b w:val="0"/>
          <w:i/>
          <w:iCs/>
          <w:caps w:val="0"/>
          <w:color w:val="auto"/>
          <w:spacing w:val="0"/>
          <w:sz w:val="18"/>
          <w:szCs w:val="18"/>
          <w:u w:val="none"/>
          <w:shd w:val="clear" w:fill="FFFFFF"/>
          <w:vertAlign w:val="baseline"/>
        </w:rPr>
        <w:t>.</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1978</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 xml:space="preserve">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p.</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lang w:val="en-US"/>
        </w:rPr>
        <w:t>82</w:t>
      </w:r>
    </w:p>
  </w:footnote>
  <w:footnote w:id="6">
    <w:p>
      <w:pPr>
        <w:pStyle w:val="3"/>
        <w:snapToGrid w:val="0"/>
        <w:rPr>
          <w:rFonts w:hint="default" w:ascii="Times New Roman Regular" w:hAnsi="Times New Roman Regular" w:cs="Times New Roman Regular"/>
          <w:sz w:val="18"/>
          <w:szCs w:val="18"/>
        </w:rPr>
      </w:pPr>
      <w:r>
        <w:rPr>
          <w:rStyle w:val="7"/>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egoe UI" w:cs="Times New Roman Regular"/>
          <w:b w:val="0"/>
          <w:i w:val="0"/>
          <w:caps w:val="0"/>
          <w:color w:val="auto"/>
          <w:spacing w:val="0"/>
          <w:sz w:val="18"/>
          <w:szCs w:val="18"/>
          <w:u w:val="none"/>
          <w:shd w:val="clear" w:fill="FFFFFF"/>
          <w:vertAlign w:val="baseline"/>
        </w:rPr>
        <w:t xml:space="preserve">Walter &amp; Waterhouse, </w:t>
      </w:r>
      <w:r>
        <w:rPr>
          <w:rFonts w:hint="default" w:ascii="Times New Roman Regular" w:hAnsi="Times New Roman Regular" w:eastAsia="Segoe UI" w:cs="Times New Roman Regular"/>
          <w:b w:val="0"/>
          <w:i/>
          <w:iCs/>
          <w:caps w:val="0"/>
          <w:color w:val="auto"/>
          <w:spacing w:val="0"/>
          <w:sz w:val="18"/>
          <w:szCs w:val="18"/>
          <w:u w:val="none"/>
          <w:shd w:val="clear" w:fill="FFFFFF"/>
          <w:vertAlign w:val="baseline"/>
          <w:lang w:val="en-US"/>
        </w:rPr>
        <w:t>A Very Private Belief: Reincarnation in Contemporary England</w:t>
      </w:r>
      <w:r>
        <w:rPr>
          <w:rFonts w:hint="default" w:ascii="Times New Roman Regular" w:hAnsi="Times New Roman Regular" w:eastAsia="Segoe UI" w:cs="Times New Roman Regular"/>
          <w:b w:val="0"/>
          <w:i/>
          <w:iCs/>
          <w:caps w:val="0"/>
          <w:color w:val="auto"/>
          <w:spacing w:val="0"/>
          <w:sz w:val="18"/>
          <w:szCs w:val="18"/>
          <w:u w:val="none"/>
          <w:shd w:val="clear" w:fill="FFFFFF"/>
          <w:vertAlign w:val="baseline"/>
        </w:rPr>
        <w:t>.</w:t>
      </w:r>
      <w:r>
        <w:rPr>
          <w:rFonts w:hint="default" w:ascii="Times New Roman Regular" w:hAnsi="Times New Roman Regular" w:eastAsia="Segoe UI" w:cs="Times New Roman Regular"/>
          <w:b w:val="0"/>
          <w:i/>
          <w:iCs/>
          <w:caps w:val="0"/>
          <w:color w:val="auto"/>
          <w:spacing w:val="0"/>
          <w:sz w:val="18"/>
          <w:szCs w:val="18"/>
          <w:u w:val="none"/>
          <w:shd w:val="clear" w:fill="FFFFFF"/>
          <w:vertAlign w:val="baseline"/>
        </w:rPr>
        <w:t xml:space="preserve"> </w:t>
      </w:r>
      <w:r>
        <w:rPr>
          <w:rFonts w:hint="default" w:ascii="Times New Roman Regular" w:hAnsi="Times New Roman Regular" w:eastAsia="Segoe UI" w:cs="Times New Roman Regular"/>
          <w:b w:val="0"/>
          <w:i/>
          <w:iCs/>
          <w:color w:val="auto"/>
          <w:spacing w:val="0"/>
          <w:sz w:val="18"/>
          <w:szCs w:val="18"/>
          <w:u w:val="none"/>
          <w:shd w:val="clear" w:fill="FFFFFF"/>
          <w:vertAlign w:val="baseline"/>
        </w:rPr>
        <w:t>P.</w:t>
      </w:r>
      <w:r>
        <w:rPr>
          <w:rFonts w:hint="default" w:ascii="Times New Roman Regular" w:hAnsi="Times New Roman Regular" w:eastAsia="Segoe UI" w:cs="Times New Roman Regular"/>
          <w:b w:val="0"/>
          <w:i/>
          <w:iCs/>
          <w:caps w:val="0"/>
          <w:color w:val="auto"/>
          <w:spacing w:val="0"/>
          <w:sz w:val="18"/>
          <w:szCs w:val="18"/>
          <w:u w:val="none"/>
          <w:shd w:val="clear" w:fill="FFFFFF"/>
          <w:vertAlign w:val="baseline"/>
        </w:rPr>
        <w:t>191</w:t>
      </w:r>
    </w:p>
  </w:footnote>
  <w:footnote w:id="7">
    <w:p>
      <w:pPr>
        <w:pStyle w:val="3"/>
        <w:snapToGrid w:val="0"/>
        <w:rPr>
          <w:rFonts w:hint="default" w:ascii="Times New Roman Regular" w:hAnsi="Times New Roman Regular" w:cs="Times New Roman Regular"/>
          <w:sz w:val="18"/>
          <w:szCs w:val="18"/>
          <w:lang w:val="en-US"/>
        </w:rPr>
      </w:pPr>
      <w:r>
        <w:rPr>
          <w:rStyle w:val="7"/>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Brink. 1978. P.84 on Wunthnow 1976.</w:t>
      </w:r>
    </w:p>
  </w:footnote>
  <w:footnote w:id="8">
    <w:p>
      <w:pPr>
        <w:keepNext w:val="0"/>
        <w:keepLines w:val="0"/>
        <w:widowControl/>
        <w:suppressLineNumbers w:val="0"/>
        <w:jc w:val="left"/>
        <w:rPr>
          <w:rFonts w:hint="default" w:ascii="Times New Roman Regular" w:hAnsi="Times New Roman Regular" w:cs="Times New Roman Regular"/>
          <w:sz w:val="18"/>
          <w:szCs w:val="18"/>
        </w:rPr>
      </w:pPr>
      <w:r>
        <w:rPr>
          <w:rStyle w:val="7"/>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imSun" w:cs="Times New Roman Regular"/>
          <w:i w:val="0"/>
          <w:caps w:val="0"/>
          <w:color w:val="202124"/>
          <w:spacing w:val="0"/>
          <w:kern w:val="0"/>
          <w:sz w:val="18"/>
          <w:szCs w:val="18"/>
          <w:shd w:val="clear" w:fill="FFFFFF"/>
          <w:lang w:val="en-US" w:eastAsia="zh-CN" w:bidi="ar"/>
        </w:rPr>
        <w:t>Gladys Ganiel</w:t>
      </w:r>
      <w:r>
        <w:rPr>
          <w:rFonts w:hint="default" w:ascii="Times New Roman Regular" w:hAnsi="Times New Roman Regular" w:eastAsia="SimSun" w:cs="Times New Roman Regular"/>
          <w:i w:val="0"/>
          <w:caps w:val="0"/>
          <w:color w:val="202124"/>
          <w:spacing w:val="0"/>
          <w:kern w:val="0"/>
          <w:sz w:val="18"/>
          <w:szCs w:val="18"/>
          <w:shd w:val="clear" w:fill="FFFFFF"/>
          <w:lang w:eastAsia="zh-CN" w:bidi="ar"/>
        </w:rPr>
        <w:t xml:space="preserve">. </w:t>
      </w:r>
      <w:r>
        <w:rPr>
          <w:rFonts w:hint="default" w:ascii="Times New Roman Regular" w:hAnsi="Times New Roman Regular" w:cs="Times New Roman Regular"/>
          <w:i/>
          <w:iCs/>
          <w:sz w:val="18"/>
          <w:szCs w:val="18"/>
        </w:rPr>
        <w:t>Religion in Times of Crisis.</w:t>
      </w:r>
      <w:r>
        <w:rPr>
          <w:rFonts w:hint="default" w:ascii="Times New Roman Regular" w:hAnsi="Times New Roman Regular" w:cs="Times New Roman Regular"/>
          <w:sz w:val="18"/>
          <w:szCs w:val="18"/>
        </w:rPr>
        <w:t> </w:t>
      </w:r>
      <w:r>
        <w:rPr>
          <w:rFonts w:hint="default" w:ascii="Times New Roman Regular" w:hAnsi="Times New Roman Regular" w:cs="Times New Roman Regular"/>
          <w:sz w:val="18"/>
          <w:szCs w:val="18"/>
        </w:rPr>
        <w:t>(</w:t>
      </w:r>
      <w:r>
        <w:rPr>
          <w:rFonts w:hint="default" w:ascii="Times New Roman Regular" w:hAnsi="Times New Roman Regular" w:cs="Times New Roman Regular"/>
          <w:sz w:val="18"/>
          <w:szCs w:val="18"/>
        </w:rPr>
        <w:t>Netherlands: Brill, 2014</w:t>
      </w:r>
      <w:r>
        <w:rPr>
          <w:rFonts w:hint="default" w:ascii="Times New Roman Regular" w:hAnsi="Times New Roman Regular" w:cs="Times New Roman Regular"/>
          <w:sz w:val="18"/>
          <w:szCs w:val="18"/>
        </w:rPr>
        <w:t>)</w:t>
      </w:r>
    </w:p>
  </w:footnote>
  <w:footnote w:id="9">
    <w:p>
      <w:pPr>
        <w:pStyle w:val="3"/>
        <w:snapToGrid w:val="0"/>
        <w:rPr>
          <w:rFonts w:hint="default" w:ascii="Times New Roman Regular" w:hAnsi="Times New Roman Regular" w:cs="Times New Roman Regular"/>
        </w:rPr>
      </w:pPr>
      <w:r>
        <w:rPr>
          <w:rStyle w:val="7"/>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Brink. 1978. p.81-84</w:t>
      </w:r>
    </w:p>
  </w:footnote>
  <w:footnote w:id="10">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Walter &amp; Waterhouse. 1999. p.193</w:t>
      </w:r>
    </w:p>
  </w:footnote>
  <w:footnote w:id="11">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Brink 1978. p.85</w:t>
      </w:r>
    </w:p>
  </w:footnote>
  <w:footnote w:id="12">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Walter &amp;</w:t>
      </w:r>
      <w:r>
        <w:rPr>
          <w:rFonts w:hint="default" w:ascii="Times New Roman Regular" w:hAnsi="Times New Roman Regular" w:cs="Times New Roman Regular"/>
        </w:rPr>
        <w:t>Waterhouse</w:t>
      </w:r>
      <w:r>
        <w:rPr>
          <w:rFonts w:hint="default" w:ascii="Times New Roman Regular" w:hAnsi="Times New Roman Regular" w:cs="Times New Roman Regular"/>
        </w:rPr>
        <w:t>. 1999. p.</w:t>
      </w:r>
      <w:r>
        <w:rPr>
          <w:rFonts w:hint="default" w:ascii="Times New Roman Regular" w:hAnsi="Times New Roman Regular" w:cs="Times New Roman Regular"/>
        </w:rPr>
        <w:t>187</w:t>
      </w:r>
    </w:p>
  </w:footnote>
  <w:footnote w:id="13">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Prophet, Elizabeth C., Prophet, Erin L.. </w:t>
      </w:r>
      <w:r>
        <w:rPr>
          <w:rFonts w:hint="default" w:ascii="Times New Roman Italic" w:hAnsi="Times New Roman Italic" w:cs="Times New Roman Italic"/>
          <w:i/>
          <w:iCs/>
        </w:rPr>
        <w:t>Reincarnation: The Missing Link in Christianity</w:t>
      </w:r>
      <w:r>
        <w:rPr>
          <w:rFonts w:hint="default" w:ascii="Times New Roman Regular" w:hAnsi="Times New Roman Regular" w:cs="Times New Roman Regular"/>
        </w:rPr>
        <w:t>.</w:t>
      </w:r>
      <w:r>
        <w:rPr>
          <w:rFonts w:hint="default" w:ascii="Times New Roman Regular" w:hAnsi="Times New Roman Regular" w:cs="Times New Roman Regular"/>
        </w:rPr>
        <w:t>(</w:t>
      </w:r>
      <w:r>
        <w:rPr>
          <w:rFonts w:hint="default" w:ascii="Times New Roman Regular" w:hAnsi="Times New Roman Regular" w:cs="Times New Roman Regular"/>
        </w:rPr>
        <w:t> United States: Summit University Press, 1997</w:t>
      </w:r>
      <w:r>
        <w:rPr>
          <w:rFonts w:hint="default" w:ascii="Times New Roman Regular" w:hAnsi="Times New Roman Regular" w:cs="Times New Roman Regular"/>
        </w:rPr>
        <w:t>) p.36</w:t>
      </w:r>
    </w:p>
  </w:footnote>
  <w:footnote w:id="14">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 xml:space="preserve">Walter &amp; </w:t>
      </w:r>
      <w:r>
        <w:rPr>
          <w:rFonts w:hint="default" w:ascii="Times New Roman Regular" w:hAnsi="Times New Roman Regular" w:cs="Times New Roman Regular"/>
        </w:rPr>
        <w:t>Waterhouse</w:t>
      </w:r>
      <w:r>
        <w:rPr>
          <w:rFonts w:hint="default" w:ascii="Times New Roman Regular" w:hAnsi="Times New Roman Regular" w:cs="Times New Roman Regular"/>
        </w:rPr>
        <w:t>. 1999. p.</w:t>
      </w:r>
      <w:r>
        <w:rPr>
          <w:rFonts w:hint="default" w:ascii="Times New Roman Regular" w:hAnsi="Times New Roman Regular" w:cs="Times New Roman Regular"/>
        </w:rPr>
        <w:t>192</w:t>
      </w:r>
    </w:p>
  </w:footnote>
  <w:footnote w:id="15">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Hawkins, David R.. </w:t>
      </w:r>
      <w:r>
        <w:rPr>
          <w:rFonts w:hint="default" w:ascii="Times New Roman Italic" w:hAnsi="Times New Roman Italic" w:cs="Times New Roman Italic"/>
          <w:i/>
          <w:iCs/>
        </w:rPr>
        <w:t>Letting Go: The Pathway of Surrender</w:t>
      </w:r>
      <w:r>
        <w:rPr>
          <w:rFonts w:hint="default" w:ascii="Times New Roman Regular" w:hAnsi="Times New Roman Regular" w:cs="Times New Roman Regular"/>
        </w:rPr>
        <w:t>. </w:t>
      </w:r>
      <w:r>
        <w:rPr>
          <w:rFonts w:hint="default" w:ascii="Times New Roman Regular" w:hAnsi="Times New Roman Regular" w:cs="Times New Roman Regular"/>
        </w:rPr>
        <w:t>(</w:t>
      </w:r>
      <w:r>
        <w:rPr>
          <w:rFonts w:hint="default" w:ascii="Times New Roman Regular" w:hAnsi="Times New Roman Regular" w:cs="Times New Roman Regular"/>
        </w:rPr>
        <w:t>India: Hay House, 2014.</w:t>
      </w:r>
      <w:r>
        <w:rPr>
          <w:rFonts w:hint="default" w:ascii="Times New Roman Regular" w:hAnsi="Times New Roman Regular" w:cs="Times New Roman Regular"/>
        </w:rPr>
        <w:t>)</w:t>
      </w:r>
      <w:r>
        <w:rPr>
          <w:rFonts w:hint="default" w:ascii="Times New Roman Regular" w:hAnsi="Times New Roman Regular" w:cs="Times New Roman Regular"/>
        </w:rPr>
        <w:t xml:space="preserve"> p.314</w:t>
      </w:r>
    </w:p>
  </w:footnote>
  <w:footnote w:id="16">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 xml:space="preserve">Carl. G . </w:t>
      </w:r>
      <w:r>
        <w:rPr>
          <w:rFonts w:hint="default" w:ascii="Times New Roman Regular" w:hAnsi="Times New Roman Regular" w:cs="Times New Roman Regular"/>
        </w:rPr>
        <w:t>Jung,. </w:t>
      </w:r>
      <w:r>
        <w:rPr>
          <w:rFonts w:hint="default" w:ascii="Times New Roman Italic" w:hAnsi="Times New Roman Italic" w:cs="Times New Roman Italic"/>
          <w:i/>
          <w:iCs/>
        </w:rPr>
        <w:t>Psychology of the Unconscious.</w:t>
      </w:r>
      <w:r>
        <w:rPr>
          <w:rFonts w:hint="default" w:ascii="Times New Roman Regular" w:hAnsi="Times New Roman Regular" w:cs="Times New Roman Regular"/>
        </w:rPr>
        <w:t> </w:t>
      </w:r>
      <w:r>
        <w:rPr>
          <w:rFonts w:hint="default" w:ascii="Times New Roman Regular" w:hAnsi="Times New Roman Regular" w:cs="Times New Roman Regular"/>
        </w:rPr>
        <w:t>(</w:t>
      </w:r>
      <w:r>
        <w:rPr>
          <w:rFonts w:hint="default" w:ascii="Times New Roman Regular" w:hAnsi="Times New Roman Regular" w:cs="Times New Roman Regular"/>
        </w:rPr>
        <w:t>United States: Dover Publications, 2012.</w:t>
      </w:r>
      <w:r>
        <w:rPr>
          <w:rFonts w:hint="default" w:ascii="Times New Roman Regular" w:hAnsi="Times New Roman Regular" w:cs="Times New Roman Regular"/>
        </w:rPr>
        <w:t>)</w:t>
      </w:r>
    </w:p>
  </w:footnote>
  <w:footnote w:id="17">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Brink. 1978. p.84</w:t>
      </w:r>
    </w:p>
  </w:footnote>
  <w:footnote w:id="18">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Walter &amp; Waterhouse 1999. p.188</w:t>
      </w:r>
    </w:p>
  </w:footnote>
  <w:footnote w:id="19">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Brink 1978. p.184</w:t>
      </w:r>
    </w:p>
  </w:footnote>
  <w:footnote w:id="20">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Brink 1978. p.84-89</w:t>
      </w:r>
    </w:p>
  </w:footnote>
  <w:footnote w:id="21">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Walter &amp; Waterhouse. 1999. p.189</w:t>
      </w:r>
    </w:p>
  </w:footnote>
  <w:footnote w:id="22">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Walter &amp; Waterhouse. 1999. p.194</w:t>
      </w:r>
    </w:p>
  </w:footnote>
  <w:footnote w:id="23">
    <w:p>
      <w:pPr>
        <w:pStyle w:val="3"/>
        <w:snapToGrid w:val="0"/>
        <w:rPr>
          <w:rFonts w:hint="default" w:ascii="Times New Roman Regular" w:hAnsi="Times New Roman Regular" w:cs="Times New Roman Regular"/>
        </w:rPr>
      </w:pPr>
      <w:r>
        <w:rPr>
          <w:rStyle w:val="7"/>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 xml:space="preserve">Helen Parish. </w:t>
      </w:r>
      <w:r>
        <w:rPr>
          <w:rFonts w:hint="default" w:ascii="Times New Roman Italic" w:hAnsi="Times New Roman Italic" w:cs="Times New Roman Italic"/>
          <w:i/>
          <w:iCs/>
        </w:rPr>
        <w:t>Religion and Superstition in Reformation Europe</w:t>
      </w:r>
      <w:r>
        <w:rPr>
          <w:rFonts w:hint="default" w:ascii="Times New Roman Regular" w:hAnsi="Times New Roman Regular" w:cs="Times New Roman Regular"/>
        </w:rPr>
        <w:t>.</w:t>
      </w:r>
      <w:r>
        <w:rPr>
          <w:rFonts w:hint="default" w:ascii="Times New Roman Regular" w:hAnsi="Times New Roman Regular" w:cs="Times New Roman Regular"/>
        </w:rPr>
        <w:t>(</w:t>
      </w:r>
      <w:r>
        <w:rPr>
          <w:rFonts w:hint="default" w:ascii="Times New Roman Regular" w:hAnsi="Times New Roman Regular" w:cs="Times New Roman Regular"/>
        </w:rPr>
        <w:t> United Kingdom: Manchester University Press, 2002.</w:t>
      </w:r>
      <w:r>
        <w:rPr>
          <w:rFonts w:hint="default" w:ascii="Times New Roman Regular" w:hAnsi="Times New Roman Regular" w:cs="Times New Roman Regular"/>
        </w:rPr>
        <w:t>) p.154</w:t>
      </w:r>
    </w:p>
  </w:footnote>
  <w:footnote w:id="24">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t>
      </w:r>
      <w:r>
        <w:rPr>
          <w:rFonts w:hint="default" w:ascii="Times New Roman Regular" w:hAnsi="Times New Roman Regular" w:cs="Times New Roman Regular"/>
        </w:rPr>
        <w:t>Walter &amp; Waterhouse. 1999. p.187</w:t>
      </w:r>
    </w:p>
  </w:footnote>
  <w:footnote w:id="25">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Walter &amp; Waterhouse. 1999</w:t>
      </w:r>
      <w:r>
        <w:rPr>
          <w:rFonts w:hint="default" w:ascii="Times New Roman Regular" w:hAnsi="Times New Roman Regular" w:cs="Times New Roman Regular"/>
        </w:rPr>
        <w:t>. Waterhouse P.188</w:t>
      </w:r>
    </w:p>
  </w:footnote>
  <w:footnote w:id="26">
    <w:p>
      <w:pPr>
        <w:pStyle w:val="3"/>
        <w:snapToGrid w:val="0"/>
        <w:rPr>
          <w:rFonts w:hint="default" w:ascii="Times New Roman Regular" w:hAnsi="Times New Roman Regular" w:cs="Times New Roman Regular"/>
        </w:rPr>
      </w:pPr>
      <w:r>
        <w:rPr>
          <w:rStyle w:val="7"/>
          <w:rFonts w:hint="default" w:ascii="Times New Roman Regular" w:hAnsi="Times New Roman Regular" w:cs="Times New Roman Regular"/>
        </w:rPr>
        <w:footnoteRef/>
      </w:r>
      <w:r>
        <w:rPr>
          <w:rFonts w:hint="default" w:ascii="Times New Roman Regular" w:hAnsi="Times New Roman Regular" w:cs="Times New Roman Regular"/>
        </w:rPr>
        <w:t xml:space="preserve"> Walter &amp; Waterhouse. 1999</w:t>
      </w:r>
      <w:r>
        <w:rPr>
          <w:rFonts w:hint="default" w:ascii="Times New Roman Regular" w:hAnsi="Times New Roman Regular" w:cs="Times New Roman Regular"/>
        </w:rPr>
        <w:t>. Waterhouse p.194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r>
      <w:rPr>
        <w:rFonts w:hint="default" w:ascii="Times New Roman Regular" w:hAnsi="Times New Roman Regular" w:cs="Times New Roman Regular"/>
        <w:sz w:val="24"/>
        <w:szCs w:val="24"/>
      </w:rPr>
      <w:t>Cara Braia</w:t>
    </w:r>
  </w:p>
  <w:p>
    <w:pPr>
      <w:pStyle w:val="4"/>
      <w:rPr>
        <w:rFonts w:hint="default" w:ascii="Times New Roman Regular" w:hAnsi="Times New Roman Regular" w:cs="Times New Roman Regular"/>
        <w:sz w:val="24"/>
        <w:szCs w:val="24"/>
        <w:lang w:val="en-US"/>
      </w:rPr>
    </w:pPr>
    <w:r>
      <w:rPr>
        <w:rFonts w:hint="default" w:ascii="Times New Roman Regular" w:hAnsi="Times New Roman Regular" w:cs="Times New Roman Regular"/>
        <w:b w:val="0"/>
        <w:i w:val="0"/>
        <w:color w:val="000000"/>
        <w:sz w:val="24"/>
        <w:szCs w:val="24"/>
        <w:vertAlign w:val="baseline"/>
        <w:lang w:val="en-US"/>
      </w:rPr>
      <w:t>HPCA7016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38AE25"/>
    <w:multiLevelType w:val="singleLevel"/>
    <w:tmpl w:val="6238AE25"/>
    <w:lvl w:ilvl="0" w:tentative="0">
      <w:start w:val="1"/>
      <w:numFmt w:val="decimal"/>
      <w:lvlText w:val="%1."/>
      <w:lvlJc w:val="left"/>
      <w:pPr>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79FD94A"/>
    <w:rsid w:val="47651EB6"/>
    <w:rsid w:val="6B6F3093"/>
    <w:rsid w:val="77EF8191"/>
    <w:rsid w:val="7FBE916B"/>
    <w:rsid w:val="F537CE8A"/>
    <w:rsid w:val="F62E409C"/>
    <w:rsid w:val="F79FD94A"/>
    <w:rsid w:val="FF5DA1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footnote text"/>
    <w:basedOn w:val="1"/>
    <w:uiPriority w:val="0"/>
    <w:pPr>
      <w:snapToGrid w:val="0"/>
      <w:jc w:val="left"/>
    </w:pPr>
    <w:rPr>
      <w:sz w:val="18"/>
      <w:szCs w:val="18"/>
    </w:rPr>
  </w:style>
  <w:style w:type="paragraph" w:styleId="4">
    <w:name w:val="header"/>
    <w:basedOn w:val="1"/>
    <w:uiPriority w:val="0"/>
    <w:pPr>
      <w:tabs>
        <w:tab w:val="center" w:pos="4153"/>
        <w:tab w:val="right" w:pos="8306"/>
      </w:tabs>
      <w:snapToGrid w:val="0"/>
    </w:pPr>
    <w:rPr>
      <w:sz w:val="18"/>
      <w:szCs w:val="18"/>
    </w:rPr>
  </w:style>
  <w:style w:type="paragraph" w:styleId="5">
    <w:name w:val="Normal (Web)"/>
    <w:basedOn w:val="1"/>
    <w:uiPriority w:val="0"/>
    <w:rPr>
      <w:sz w:val="24"/>
      <w:szCs w:val="24"/>
    </w:rPr>
  </w:style>
  <w:style w:type="character" w:styleId="7">
    <w:name w:val="footnote reference"/>
    <w:basedOn w:val="6"/>
    <w:uiPriority w:val="0"/>
    <w:rPr>
      <w:vertAlign w:val="superscript"/>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Office_3.1.1.5096_F1E327BC-269C-435d-A152-05C5408002CA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2022-03-21T09:55:00Z</dcterms:created>
  <dc:creator>carabraia</dc:creator>
  <cp:lastModifiedBy>carabraia</cp:lastModifiedBy>
  <dcterms:modified xsi:type="dcterms:W3CDTF">2022-03-21T16:57:13Z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