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00CD6" w14:textId="77777777" w:rsidR="00EF248B" w:rsidRDefault="00000000">
      <w:r>
        <w:rPr>
          <w:noProof/>
        </w:rPr>
        <w:drawing>
          <wp:anchor distT="0" distB="0" distL="114300" distR="114300" simplePos="0" relativeHeight="251658240" behindDoc="0" locked="0" layoutInCell="1" hidden="0" allowOverlap="1" wp14:anchorId="45C7B6C9" wp14:editId="19BC18BC">
            <wp:simplePos x="0" y="0"/>
            <wp:positionH relativeFrom="column">
              <wp:posOffset>5</wp:posOffset>
            </wp:positionH>
            <wp:positionV relativeFrom="paragraph">
              <wp:posOffset>292100</wp:posOffset>
            </wp:positionV>
            <wp:extent cx="1809750" cy="723900"/>
            <wp:effectExtent l="0" t="0" r="0" b="0"/>
            <wp:wrapSquare wrapText="bothSides" distT="0" distB="0" distL="114300" distR="114300"/>
            <wp:docPr id="1566670335"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6FB97223" w14:textId="77777777" w:rsidR="00EF248B" w:rsidRDefault="00EF248B"/>
    <w:p w14:paraId="385CA76B" w14:textId="77777777" w:rsidR="00EF248B" w:rsidRDefault="00EF248B"/>
    <w:p w14:paraId="558F93B4" w14:textId="77777777" w:rsidR="00EF248B" w:rsidRDefault="00EF248B"/>
    <w:p w14:paraId="00224672" w14:textId="77777777" w:rsidR="00EF248B" w:rsidRDefault="00EF248B">
      <w:pPr>
        <w:tabs>
          <w:tab w:val="left" w:pos="6540"/>
        </w:tabs>
      </w:pPr>
    </w:p>
    <w:p w14:paraId="3DF54607" w14:textId="77777777" w:rsidR="00EF248B" w:rsidRDefault="00EF248B">
      <w:pPr>
        <w:tabs>
          <w:tab w:val="left" w:pos="6540"/>
        </w:tabs>
        <w:rPr>
          <w:b/>
          <w:bCs/>
          <w:sz w:val="28"/>
          <w:szCs w:val="28"/>
        </w:rPr>
      </w:pPr>
      <w:bookmarkStart w:id="0" w:name="_heading=h.32792alzqzfq" w:colFirst="0" w:colLast="0"/>
      <w:bookmarkEnd w:id="0"/>
    </w:p>
    <w:p w14:paraId="058C4062" w14:textId="77777777" w:rsidR="00EF248B" w:rsidRDefault="00EF248B">
      <w:pPr>
        <w:tabs>
          <w:tab w:val="left" w:pos="6540"/>
        </w:tabs>
        <w:jc w:val="center"/>
        <w:rPr>
          <w:b/>
          <w:bCs/>
          <w:sz w:val="28"/>
          <w:szCs w:val="28"/>
        </w:rPr>
      </w:pPr>
    </w:p>
    <w:p w14:paraId="708E9630" w14:textId="32A01232" w:rsidR="00EF248B" w:rsidRDefault="00000000">
      <w:pPr>
        <w:tabs>
          <w:tab w:val="left" w:pos="6540"/>
        </w:tabs>
        <w:jc w:val="center"/>
        <w:rPr>
          <w:b/>
          <w:bCs/>
          <w:sz w:val="28"/>
          <w:szCs w:val="28"/>
        </w:rPr>
      </w:pPr>
      <w:r>
        <w:rPr>
          <w:b/>
          <w:bCs/>
          <w:sz w:val="28"/>
          <w:szCs w:val="28"/>
        </w:rPr>
        <w:t>Student name: Ionela</w:t>
      </w:r>
      <w:r w:rsidR="00C13B14">
        <w:rPr>
          <w:b/>
          <w:bCs/>
          <w:sz w:val="28"/>
          <w:szCs w:val="28"/>
        </w:rPr>
        <w:t xml:space="preserve"> Velichi</w:t>
      </w:r>
    </w:p>
    <w:p w14:paraId="29249E2F" w14:textId="04806750" w:rsidR="00EF248B" w:rsidRDefault="00000000">
      <w:pPr>
        <w:tabs>
          <w:tab w:val="left" w:pos="6540"/>
        </w:tabs>
        <w:jc w:val="center"/>
        <w:rPr>
          <w:b/>
          <w:bCs/>
          <w:sz w:val="28"/>
          <w:szCs w:val="28"/>
        </w:rPr>
      </w:pPr>
      <w:r>
        <w:rPr>
          <w:b/>
          <w:bCs/>
          <w:sz w:val="28"/>
          <w:szCs w:val="28"/>
        </w:rPr>
        <w:t>Student ID:</w:t>
      </w:r>
      <w:r w:rsidR="00C13B14">
        <w:rPr>
          <w:b/>
          <w:bCs/>
          <w:sz w:val="28"/>
          <w:szCs w:val="28"/>
        </w:rPr>
        <w:t xml:space="preserve"> 2438802</w:t>
      </w:r>
    </w:p>
    <w:p w14:paraId="7CD53688" w14:textId="77777777" w:rsidR="00EF248B" w:rsidRDefault="00EF248B">
      <w:pPr>
        <w:tabs>
          <w:tab w:val="left" w:pos="6540"/>
        </w:tabs>
        <w:jc w:val="center"/>
        <w:rPr>
          <w:b/>
          <w:bCs/>
          <w:sz w:val="28"/>
          <w:szCs w:val="28"/>
        </w:rPr>
      </w:pPr>
    </w:p>
    <w:p w14:paraId="1A99E7DC" w14:textId="77777777" w:rsidR="00EF248B" w:rsidRDefault="00000000">
      <w:pPr>
        <w:tabs>
          <w:tab w:val="left" w:pos="6540"/>
        </w:tabs>
        <w:jc w:val="center"/>
        <w:rPr>
          <w:b/>
          <w:bCs/>
          <w:sz w:val="28"/>
          <w:szCs w:val="28"/>
        </w:rPr>
      </w:pPr>
      <w:r>
        <w:rPr>
          <w:b/>
          <w:bCs/>
          <w:sz w:val="28"/>
          <w:szCs w:val="28"/>
        </w:rPr>
        <w:t>Module name: Introduction to Health and Social Care</w:t>
      </w:r>
    </w:p>
    <w:p w14:paraId="1D609E7E" w14:textId="77777777" w:rsidR="00EF248B" w:rsidRDefault="00000000">
      <w:pPr>
        <w:tabs>
          <w:tab w:val="left" w:pos="6540"/>
        </w:tabs>
        <w:jc w:val="center"/>
        <w:rPr>
          <w:b/>
          <w:bCs/>
          <w:sz w:val="28"/>
          <w:szCs w:val="28"/>
        </w:rPr>
      </w:pPr>
      <w:r>
        <w:rPr>
          <w:b/>
          <w:bCs/>
          <w:sz w:val="28"/>
          <w:szCs w:val="28"/>
        </w:rPr>
        <w:t>Module code: LCHS4003</w:t>
      </w:r>
    </w:p>
    <w:p w14:paraId="1EAD0AC3" w14:textId="309C801F" w:rsidR="00EF248B" w:rsidRDefault="00000000">
      <w:pPr>
        <w:jc w:val="center"/>
        <w:rPr>
          <w:b/>
          <w:bCs/>
          <w:sz w:val="28"/>
          <w:szCs w:val="28"/>
        </w:rPr>
        <w:sectPr w:rsidR="00EF248B">
          <w:headerReference w:type="default" r:id="rId8"/>
          <w:footerReference w:type="default" r:id="rId9"/>
          <w:pgSz w:w="11906" w:h="16838"/>
          <w:pgMar w:top="1440" w:right="1440" w:bottom="1440" w:left="1440" w:header="708" w:footer="708" w:gutter="0"/>
          <w:pgNumType w:start="1"/>
          <w:cols w:space="720"/>
        </w:sectPr>
      </w:pPr>
      <w:r>
        <w:rPr>
          <w:b/>
          <w:bCs/>
          <w:sz w:val="28"/>
          <w:szCs w:val="28"/>
        </w:rPr>
        <w:t>Lecturer name</w:t>
      </w:r>
      <w:r w:rsidR="00C13B14">
        <w:rPr>
          <w:b/>
          <w:bCs/>
          <w:sz w:val="28"/>
          <w:szCs w:val="28"/>
        </w:rPr>
        <w:t>: Mark Kane</w:t>
      </w:r>
      <w:r>
        <w:rPr>
          <w:b/>
          <w:bCs/>
          <w:sz w:val="28"/>
          <w:szCs w:val="28"/>
        </w:rPr>
        <w:t xml:space="preserve"> </w:t>
      </w:r>
    </w:p>
    <w:p w14:paraId="6F829D26" w14:textId="77777777" w:rsidR="00EF248B" w:rsidRDefault="00EF248B"/>
    <w:p w14:paraId="00D3B17F" w14:textId="0436F0BD" w:rsidR="00EF248B" w:rsidRDefault="00EF248B">
      <w:pPr>
        <w:rPr>
          <w:b/>
          <w:bCs/>
          <w:sz w:val="28"/>
          <w:szCs w:val="28"/>
        </w:rPr>
      </w:pPr>
    </w:p>
    <w:p w14:paraId="544CFDD2" w14:textId="77777777" w:rsidR="00EF248B" w:rsidRDefault="00EF248B">
      <w:pPr>
        <w:keepNext/>
        <w:keepLines/>
        <w:pBdr>
          <w:top w:val="nil"/>
          <w:left w:val="nil"/>
          <w:bottom w:val="nil"/>
          <w:right w:val="nil"/>
          <w:between w:val="nil"/>
        </w:pBdr>
        <w:spacing w:before="240" w:after="0" w:line="259" w:lineRule="auto"/>
        <w:jc w:val="left"/>
        <w:rPr>
          <w:sz w:val="32"/>
          <w:szCs w:val="32"/>
        </w:rPr>
      </w:pPr>
    </w:p>
    <w:sdt>
      <w:sdtPr>
        <w:id w:val="-839847478"/>
        <w:docPartObj>
          <w:docPartGallery w:val="Table of Contents"/>
          <w:docPartUnique/>
        </w:docPartObj>
      </w:sdtPr>
      <w:sdtContent>
        <w:p w14:paraId="34392D8C" w14:textId="26F160E9" w:rsidR="00C13B14" w:rsidRDefault="00000000">
          <w:pPr>
            <w:pStyle w:val="TOC1"/>
            <w:tabs>
              <w:tab w:val="right" w:pos="13948"/>
            </w:tabs>
            <w:rPr>
              <w:noProof/>
            </w:rPr>
          </w:pPr>
          <w:r>
            <w:fldChar w:fldCharType="begin"/>
          </w:r>
          <w:r>
            <w:instrText xml:space="preserve"> TOC \h \u \z \t "Heading 1,1,Heading 2,2,Heading 3,3,"</w:instrText>
          </w:r>
          <w:r>
            <w:fldChar w:fldCharType="separate"/>
          </w:r>
        </w:p>
        <w:p w14:paraId="10952F93" w14:textId="151FA490" w:rsidR="00C13B14" w:rsidRDefault="00C13B14">
          <w:pPr>
            <w:pStyle w:val="TOC1"/>
            <w:tabs>
              <w:tab w:val="right" w:pos="13948"/>
            </w:tabs>
            <w:rPr>
              <w:noProof/>
            </w:rPr>
          </w:pPr>
        </w:p>
        <w:p w14:paraId="464EDA77" w14:textId="79F8DA96" w:rsidR="00C13B14" w:rsidRDefault="00C13B14">
          <w:pPr>
            <w:pStyle w:val="TOC1"/>
            <w:tabs>
              <w:tab w:val="right" w:pos="13948"/>
            </w:tabs>
            <w:rPr>
              <w:noProof/>
            </w:rPr>
          </w:pPr>
        </w:p>
        <w:p w14:paraId="4E81FBA6" w14:textId="5A1FECAF" w:rsidR="00EF248B" w:rsidRDefault="00000000">
          <w:r>
            <w:fldChar w:fldCharType="end"/>
          </w:r>
        </w:p>
      </w:sdtContent>
    </w:sdt>
    <w:p w14:paraId="6B9FE9E4" w14:textId="77777777" w:rsidR="00EF248B" w:rsidRDefault="00EF248B"/>
    <w:p w14:paraId="5FDE0ED4" w14:textId="3E1562F7" w:rsidR="00EF248B" w:rsidRDefault="00000000" w:rsidP="00C13B14">
      <w:r>
        <w:br w:type="page"/>
      </w:r>
    </w:p>
    <w:p w14:paraId="64EBD36C" w14:textId="376B6125" w:rsidR="00EF248B" w:rsidRDefault="00FB3A12">
      <w:pPr>
        <w:sectPr w:rsidR="00EF248B">
          <w:pgSz w:w="16838" w:h="11906" w:orient="landscape"/>
          <w:pgMar w:top="1440" w:right="1440" w:bottom="1440" w:left="1440" w:header="708" w:footer="708" w:gutter="0"/>
          <w:cols w:space="720"/>
        </w:sectPr>
      </w:pPr>
      <w:r>
        <w:rPr>
          <w:noProof/>
        </w:rPr>
        <w:lastRenderedPageBreak/>
        <mc:AlternateContent>
          <mc:Choice Requires="wps">
            <w:drawing>
              <wp:anchor distT="45720" distB="45720" distL="114300" distR="114300" simplePos="0" relativeHeight="251664384" behindDoc="0" locked="0" layoutInCell="1" hidden="0" allowOverlap="1" wp14:anchorId="0A89E615" wp14:editId="1FD292BB">
                <wp:simplePos x="0" y="0"/>
                <wp:positionH relativeFrom="column">
                  <wp:posOffset>-773430</wp:posOffset>
                </wp:positionH>
                <wp:positionV relativeFrom="paragraph">
                  <wp:posOffset>3215640</wp:posOffset>
                </wp:positionV>
                <wp:extent cx="3112770" cy="2461260"/>
                <wp:effectExtent l="19050" t="19050" r="30480" b="34290"/>
                <wp:wrapSquare wrapText="bothSides" distT="45720" distB="45720" distL="114300" distR="114300"/>
                <wp:docPr id="1566670327" name="Rectangle 1566670327"/>
                <wp:cNvGraphicFramePr/>
                <a:graphic xmlns:a="http://schemas.openxmlformats.org/drawingml/2006/main">
                  <a:graphicData uri="http://schemas.microsoft.com/office/word/2010/wordprocessingShape">
                    <wps:wsp>
                      <wps:cNvSpPr/>
                      <wps:spPr>
                        <a:xfrm>
                          <a:off x="0" y="0"/>
                          <a:ext cx="3112770" cy="2461260"/>
                        </a:xfrm>
                        <a:prstGeom prst="rect">
                          <a:avLst/>
                        </a:prstGeom>
                        <a:solidFill>
                          <a:srgbClr val="FFFFFF"/>
                        </a:solidFill>
                        <a:ln w="47625" cap="flat" cmpd="sng">
                          <a:solidFill>
                            <a:srgbClr val="953734"/>
                          </a:solidFill>
                          <a:prstDash val="solid"/>
                          <a:miter lim="800000"/>
                          <a:headEnd type="none" w="sm" len="sm"/>
                          <a:tailEnd type="none" w="sm" len="sm"/>
                        </a:ln>
                      </wps:spPr>
                      <wps:txbx>
                        <w:txbxContent>
                          <w:p w14:paraId="655C20F3" w14:textId="77777777" w:rsidR="00EF248B" w:rsidRDefault="00000000">
                            <w:pPr>
                              <w:spacing w:line="258" w:lineRule="auto"/>
                              <w:textDirection w:val="btLr"/>
                            </w:pPr>
                            <w:r>
                              <w:rPr>
                                <w:b/>
                                <w:color w:val="000000"/>
                                <w:sz w:val="24"/>
                              </w:rPr>
                              <w:t>Two challenges faced by Pharmacy services</w:t>
                            </w:r>
                          </w:p>
                          <w:p w14:paraId="1A68F0EF" w14:textId="77777777" w:rsidR="00EF248B" w:rsidRDefault="00000000">
                            <w:pPr>
                              <w:spacing w:after="0" w:line="258" w:lineRule="auto"/>
                              <w:textDirection w:val="btLr"/>
                            </w:pPr>
                            <w:r>
                              <w:rPr>
                                <w:color w:val="000000"/>
                                <w:sz w:val="24"/>
                              </w:rPr>
                              <w:t xml:space="preserve">The pressure on pharmacy services in the UK is </w:t>
                            </w:r>
                            <w:proofErr w:type="gramStart"/>
                            <w:r>
                              <w:rPr>
                                <w:color w:val="000000"/>
                                <w:sz w:val="24"/>
                              </w:rPr>
                              <w:t>enormous</w:t>
                            </w:r>
                            <w:proofErr w:type="gramEnd"/>
                            <w:r>
                              <w:rPr>
                                <w:color w:val="000000"/>
                                <w:sz w:val="24"/>
                              </w:rPr>
                              <w:t xml:space="preserve"> and this presents a risk to the sustainability and efficiency of the services even though they are successful and accessible. </w:t>
                            </w:r>
                          </w:p>
                          <w:p w14:paraId="46EFAE75" w14:textId="77777777" w:rsidR="00EF248B" w:rsidRDefault="00000000">
                            <w:pPr>
                              <w:spacing w:after="0" w:line="258" w:lineRule="auto"/>
                              <w:textDirection w:val="btLr"/>
                            </w:pPr>
                            <w:r>
                              <w:rPr>
                                <w:color w:val="000000"/>
                                <w:sz w:val="24"/>
                              </w:rPr>
                              <w:t xml:space="preserve">Funding pressure is one of the rising problems over the past decade. The Pharmaceutical Services Negotiating Committee (PSNC, 2023) records that since the year 2016 more than 1,000 community pharmacies in England have shut down, mainly because of financial pressure (Tolley et al., 2023). </w:t>
                            </w:r>
                          </w:p>
                          <w:p w14:paraId="740489BB" w14:textId="77777777" w:rsidR="00EF248B" w:rsidRDefault="00000000">
                            <w:pPr>
                              <w:spacing w:after="0" w:line="258" w:lineRule="auto"/>
                              <w:textDirection w:val="btLr"/>
                            </w:pPr>
                            <w:r>
                              <w:rPr>
                                <w:color w:val="000000"/>
                                <w:sz w:val="24"/>
                              </w:rPr>
                              <w:t xml:space="preserve">These shutdowns are more disproportionately impacting deprived and rural </w:t>
                            </w:r>
                            <w:proofErr w:type="gramStart"/>
                            <w:r>
                              <w:rPr>
                                <w:color w:val="000000"/>
                                <w:sz w:val="24"/>
                              </w:rPr>
                              <w:t>spots, and</w:t>
                            </w:r>
                            <w:proofErr w:type="gramEnd"/>
                            <w:r>
                              <w:rPr>
                                <w:color w:val="000000"/>
                                <w:sz w:val="24"/>
                              </w:rPr>
                              <w:t xml:space="preserve"> lessening equitable access to fundamental medical care. </w:t>
                            </w:r>
                          </w:p>
                          <w:p w14:paraId="6D24B2DB" w14:textId="77777777" w:rsidR="00EF248B" w:rsidRDefault="00000000">
                            <w:pPr>
                              <w:spacing w:after="0" w:line="258" w:lineRule="auto"/>
                              <w:textDirection w:val="btLr"/>
                            </w:pPr>
                            <w:r>
                              <w:rPr>
                                <w:color w:val="000000"/>
                                <w:sz w:val="24"/>
                              </w:rPr>
                              <w:t xml:space="preserve">Another problem is that most pharmacies cannot access or retain qualified pharmacists and technicians, which creates more workloads and burnout amongst employees. </w:t>
                            </w:r>
                          </w:p>
                          <w:p w14:paraId="33EE795D" w14:textId="77777777" w:rsidR="00EF248B" w:rsidRDefault="00000000">
                            <w:pPr>
                              <w:spacing w:after="0" w:line="258" w:lineRule="auto"/>
                              <w:textDirection w:val="btLr"/>
                            </w:pPr>
                            <w:r>
                              <w:rPr>
                                <w:color w:val="000000"/>
                                <w:sz w:val="24"/>
                              </w:rPr>
                              <w:t>Royal Pharmaceutical Society (2024) has also emphasised the importance of workforce planning, enhanced compensation structure, and enhanced professional growth to make sure that pharmacy services are sustainable (</w:t>
                            </w:r>
                            <w:proofErr w:type="spellStart"/>
                            <w:r>
                              <w:rPr>
                                <w:color w:val="000000"/>
                                <w:sz w:val="24"/>
                              </w:rPr>
                              <w:t>Rpharms</w:t>
                            </w:r>
                            <w:proofErr w:type="spellEnd"/>
                            <w:r>
                              <w:rPr>
                                <w:color w:val="000000"/>
                                <w:sz w:val="24"/>
                              </w:rPr>
                              <w:t>, 2024). These concerns may prevent the sector from serving patients and achieve goals in NHS unless they are properly managed.</w:t>
                            </w:r>
                          </w:p>
                          <w:p w14:paraId="5EB2BDB9" w14:textId="77777777" w:rsidR="00EF248B" w:rsidRDefault="00EF248B">
                            <w:pPr>
                              <w:spacing w:line="258" w:lineRule="auto"/>
                              <w:textDirection w:val="btLr"/>
                            </w:pPr>
                          </w:p>
                          <w:p w14:paraId="0A25535A" w14:textId="77777777" w:rsidR="00EF248B" w:rsidRDefault="00EF248B">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0A89E615" id="Rectangle 1566670327" o:spid="_x0000_s1026" style="position:absolute;left:0;text-align:left;margin-left:-60.9pt;margin-top:253.2pt;width:245.1pt;height:193.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JcyGQIAAEEEAAAOAAAAZHJzL2Uyb0RvYy54bWysU9uO0zAQfUfiHyy/0zTpbbdqukJbipBW&#10;sNLCB7iO3VjyDY/bpH/P2CltF5CQEHlwxvZ45syZM6uH3mhyFAGUszUtR2NKhOWuUXZf029ft+/u&#10;KIHIbMO0s6KmJwH0Yf32zarzS1G51ulGBIJBLCw7X9M2Rr8sCuCtMAxGzguLl9IFwyJuw75oAusw&#10;utFFNR7Pi86FxgfHBQCeboZLus7xpRQ8fpESRCS6pogt5jXkdZfWYr1iy31gvlX8DIP9AwrDlMWk&#10;l1AbFhk5BPVbKKN4cOBkHHFnCiel4iLXgNWU41+qeWmZF7kWJAf8hSb4f2H55+OLfw5IQ+dhCWim&#10;KnoZTPojPtJnsk4XskQfCcfDSVlWiwVyyvGums7Lap7pLK7PfYD4UThDklHTgN3IJLHjE0RMia4/&#10;XVI2cFo1W6V13oT97lEHcmTYuW3+UrPwySs3bUlX0+liXs0QCUMFSc0imsY3NQW7zwlfPYHbyPez&#10;yWIy/VPkhGzDoB0Q5AiDWoyKKFmtTE3vxukbjlvBmg+2IfHkUecW1U4TNDCUaIGzgUYWW2RK/90P&#10;69QWy712JVmx3/XnVu1cc3oOBDzfKkT6xCA+s4DaLTEt6hkTfj+wgCD0J4uCuS+niaKYN9PZAmGT&#10;cHuzu71hlrcOxwSZHMzHmIcmdca694fopModTKgGKGewqNPcpfNMpUG43Wev6+SvfwAAAP//AwBQ&#10;SwMEFAAGAAgAAAAhAC6PWQziAAAADAEAAA8AAABkcnMvZG93bnJldi54bWxMj8FqwzAQRO+F/oPY&#10;QG+JZDd1bddyCIHSg6HQpJDrxtrYJpZkLDlx/77qqbntsMPMm2Iz655daXSdNRKilQBGpraqM42E&#10;78P7MgXmPBqFvTUk4YccbMrHhwJzZW/mi65737AQYlyOElrvh5xzV7ek0a3sQCb8znbU6IMcG65G&#10;vIVw3fNYiIRr7ExoaHGgXUv1ZT9pCdWunQ74UX1mVWy3x9ejx7PIpHxazNs3YJ5m/2+GP/yADmVg&#10;OtnJKMd6CcsojgK7l/AikjWwYHlO0nCcJKTZWgAvC34/ovwFAAD//wMAUEsBAi0AFAAGAAgAAAAh&#10;ALaDOJL+AAAA4QEAABMAAAAAAAAAAAAAAAAAAAAAAFtDb250ZW50X1R5cGVzXS54bWxQSwECLQAU&#10;AAYACAAAACEAOP0h/9YAAACUAQAACwAAAAAAAAAAAAAAAAAvAQAAX3JlbHMvLnJlbHNQSwECLQAU&#10;AAYACAAAACEAFQiXMhkCAABBBAAADgAAAAAAAAAAAAAAAAAuAgAAZHJzL2Uyb0RvYy54bWxQSwEC&#10;LQAUAAYACAAAACEALo9ZDOIAAAAMAQAADwAAAAAAAAAAAAAAAABzBAAAZHJzL2Rvd25yZXYueG1s&#10;UEsFBgAAAAAEAAQA8wAAAIIFAAAAAA==&#10;" strokecolor="#953734" strokeweight="3.75pt">
                <v:stroke startarrowwidth="narrow" startarrowlength="short" endarrowwidth="narrow" endarrowlength="short"/>
                <v:textbox inset="2.53958mm,1.2694mm,2.53958mm,1.2694mm">
                  <w:txbxContent>
                    <w:p w14:paraId="655C20F3" w14:textId="77777777" w:rsidR="00EF248B" w:rsidRDefault="00000000">
                      <w:pPr>
                        <w:spacing w:line="258" w:lineRule="auto"/>
                        <w:textDirection w:val="btLr"/>
                      </w:pPr>
                      <w:r>
                        <w:rPr>
                          <w:b/>
                          <w:color w:val="000000"/>
                          <w:sz w:val="24"/>
                        </w:rPr>
                        <w:t>Two challenges faced by Pharmacy services</w:t>
                      </w:r>
                    </w:p>
                    <w:p w14:paraId="1A68F0EF" w14:textId="77777777" w:rsidR="00EF248B" w:rsidRDefault="00000000">
                      <w:pPr>
                        <w:spacing w:after="0" w:line="258" w:lineRule="auto"/>
                        <w:textDirection w:val="btLr"/>
                      </w:pPr>
                      <w:r>
                        <w:rPr>
                          <w:color w:val="000000"/>
                          <w:sz w:val="24"/>
                        </w:rPr>
                        <w:t xml:space="preserve">The pressure on pharmacy services in the UK is </w:t>
                      </w:r>
                      <w:proofErr w:type="gramStart"/>
                      <w:r>
                        <w:rPr>
                          <w:color w:val="000000"/>
                          <w:sz w:val="24"/>
                        </w:rPr>
                        <w:t>enormous</w:t>
                      </w:r>
                      <w:proofErr w:type="gramEnd"/>
                      <w:r>
                        <w:rPr>
                          <w:color w:val="000000"/>
                          <w:sz w:val="24"/>
                        </w:rPr>
                        <w:t xml:space="preserve"> and this presents a risk to the sustainability and efficiency of the services even though they are successful and accessible. </w:t>
                      </w:r>
                    </w:p>
                    <w:p w14:paraId="46EFAE75" w14:textId="77777777" w:rsidR="00EF248B" w:rsidRDefault="00000000">
                      <w:pPr>
                        <w:spacing w:after="0" w:line="258" w:lineRule="auto"/>
                        <w:textDirection w:val="btLr"/>
                      </w:pPr>
                      <w:r>
                        <w:rPr>
                          <w:color w:val="000000"/>
                          <w:sz w:val="24"/>
                        </w:rPr>
                        <w:t xml:space="preserve">Funding pressure is one of the rising problems over the past decade. The Pharmaceutical Services Negotiating Committee (PSNC, 2023) records that since the year 2016 more than 1,000 community pharmacies in England have shut down, mainly because of financial pressure (Tolley et al., 2023). </w:t>
                      </w:r>
                    </w:p>
                    <w:p w14:paraId="740489BB" w14:textId="77777777" w:rsidR="00EF248B" w:rsidRDefault="00000000">
                      <w:pPr>
                        <w:spacing w:after="0" w:line="258" w:lineRule="auto"/>
                        <w:textDirection w:val="btLr"/>
                      </w:pPr>
                      <w:r>
                        <w:rPr>
                          <w:color w:val="000000"/>
                          <w:sz w:val="24"/>
                        </w:rPr>
                        <w:t xml:space="preserve">These shutdowns are more disproportionately impacting deprived and rural </w:t>
                      </w:r>
                      <w:proofErr w:type="gramStart"/>
                      <w:r>
                        <w:rPr>
                          <w:color w:val="000000"/>
                          <w:sz w:val="24"/>
                        </w:rPr>
                        <w:t>spots, and</w:t>
                      </w:r>
                      <w:proofErr w:type="gramEnd"/>
                      <w:r>
                        <w:rPr>
                          <w:color w:val="000000"/>
                          <w:sz w:val="24"/>
                        </w:rPr>
                        <w:t xml:space="preserve"> lessening equitable access to fundamental medical care. </w:t>
                      </w:r>
                    </w:p>
                    <w:p w14:paraId="6D24B2DB" w14:textId="77777777" w:rsidR="00EF248B" w:rsidRDefault="00000000">
                      <w:pPr>
                        <w:spacing w:after="0" w:line="258" w:lineRule="auto"/>
                        <w:textDirection w:val="btLr"/>
                      </w:pPr>
                      <w:r>
                        <w:rPr>
                          <w:color w:val="000000"/>
                          <w:sz w:val="24"/>
                        </w:rPr>
                        <w:t xml:space="preserve">Another problem is that most pharmacies cannot access or retain qualified pharmacists and technicians, which creates more workloads and burnout amongst employees. </w:t>
                      </w:r>
                    </w:p>
                    <w:p w14:paraId="33EE795D" w14:textId="77777777" w:rsidR="00EF248B" w:rsidRDefault="00000000">
                      <w:pPr>
                        <w:spacing w:after="0" w:line="258" w:lineRule="auto"/>
                        <w:textDirection w:val="btLr"/>
                      </w:pPr>
                      <w:r>
                        <w:rPr>
                          <w:color w:val="000000"/>
                          <w:sz w:val="24"/>
                        </w:rPr>
                        <w:t>Royal Pharmaceutical Society (2024) has also emphasised the importance of workforce planning, enhanced compensation structure, and enhanced professional growth to make sure that pharmacy services are sustainable (</w:t>
                      </w:r>
                      <w:proofErr w:type="spellStart"/>
                      <w:r>
                        <w:rPr>
                          <w:color w:val="000000"/>
                          <w:sz w:val="24"/>
                        </w:rPr>
                        <w:t>Rpharms</w:t>
                      </w:r>
                      <w:proofErr w:type="spellEnd"/>
                      <w:r>
                        <w:rPr>
                          <w:color w:val="000000"/>
                          <w:sz w:val="24"/>
                        </w:rPr>
                        <w:t>, 2024). These concerns may prevent the sector from serving patients and achieve goals in NHS unless they are properly managed.</w:t>
                      </w:r>
                    </w:p>
                    <w:p w14:paraId="5EB2BDB9" w14:textId="77777777" w:rsidR="00EF248B" w:rsidRDefault="00EF248B">
                      <w:pPr>
                        <w:spacing w:line="258" w:lineRule="auto"/>
                        <w:textDirection w:val="btLr"/>
                      </w:pPr>
                    </w:p>
                    <w:p w14:paraId="0A25535A" w14:textId="77777777" w:rsidR="00EF248B" w:rsidRDefault="00EF248B">
                      <w:pPr>
                        <w:spacing w:line="258" w:lineRule="auto"/>
                        <w:textDirection w:val="btLr"/>
                      </w:pPr>
                    </w:p>
                  </w:txbxContent>
                </v:textbox>
                <w10:wrap type="square"/>
              </v:rect>
            </w:pict>
          </mc:Fallback>
        </mc:AlternateContent>
      </w:r>
      <w:r>
        <w:rPr>
          <w:noProof/>
        </w:rPr>
        <mc:AlternateContent>
          <mc:Choice Requires="wps">
            <w:drawing>
              <wp:anchor distT="0" distB="0" distL="114300" distR="114300" simplePos="0" relativeHeight="251665408" behindDoc="0" locked="0" layoutInCell="1" hidden="0" allowOverlap="1" wp14:anchorId="7AC89535" wp14:editId="57ADFC3C">
                <wp:simplePos x="0" y="0"/>
                <wp:positionH relativeFrom="column">
                  <wp:posOffset>6568440</wp:posOffset>
                </wp:positionH>
                <wp:positionV relativeFrom="paragraph">
                  <wp:posOffset>3634740</wp:posOffset>
                </wp:positionV>
                <wp:extent cx="3067050" cy="3893820"/>
                <wp:effectExtent l="0" t="0" r="19050" b="11430"/>
                <wp:wrapNone/>
                <wp:docPr id="1566670329" name="Rectangle 1566670329"/>
                <wp:cNvGraphicFramePr/>
                <a:graphic xmlns:a="http://schemas.openxmlformats.org/drawingml/2006/main">
                  <a:graphicData uri="http://schemas.microsoft.com/office/word/2010/wordprocessingShape">
                    <wps:wsp>
                      <wps:cNvSpPr/>
                      <wps:spPr>
                        <a:xfrm>
                          <a:off x="0" y="0"/>
                          <a:ext cx="3067050" cy="3893820"/>
                        </a:xfrm>
                        <a:prstGeom prst="rect">
                          <a:avLst/>
                        </a:prstGeom>
                        <a:gradFill>
                          <a:gsLst>
                            <a:gs pos="0">
                              <a:srgbClr val="DAFEA4"/>
                            </a:gs>
                            <a:gs pos="35000">
                              <a:srgbClr val="E3FEBF"/>
                            </a:gs>
                            <a:gs pos="100000">
                              <a:srgbClr val="F4FEE6"/>
                            </a:gs>
                          </a:gsLst>
                          <a:lin ang="16200000" scaled="0"/>
                        </a:gradFill>
                        <a:ln w="9525" cap="flat" cmpd="sng">
                          <a:solidFill>
                            <a:srgbClr val="97B853"/>
                          </a:solidFill>
                          <a:prstDash val="solid"/>
                          <a:round/>
                          <a:headEnd type="none" w="sm" len="sm"/>
                          <a:tailEnd type="none" w="sm" len="sm"/>
                        </a:ln>
                      </wps:spPr>
                      <wps:txbx>
                        <w:txbxContent>
                          <w:p w14:paraId="70C689BA" w14:textId="77777777" w:rsidR="00C13B14" w:rsidRDefault="00000000" w:rsidP="00C13B14">
                            <w:pPr>
                              <w:spacing w:after="0" w:line="240" w:lineRule="auto"/>
                              <w:textDirection w:val="btLr"/>
                            </w:pPr>
                            <w:r>
                              <w:rPr>
                                <w:b/>
                                <w:color w:val="000000"/>
                                <w:sz w:val="24"/>
                              </w:rPr>
                              <w:t>References</w:t>
                            </w:r>
                            <w:r w:rsidR="00C13B14">
                              <w:t xml:space="preserve"> </w:t>
                            </w:r>
                          </w:p>
                          <w:p w14:paraId="7EDCD061" w14:textId="77777777" w:rsidR="00C13B14" w:rsidRDefault="00000000" w:rsidP="00C13B14">
                            <w:pPr>
                              <w:spacing w:after="0" w:line="240" w:lineRule="auto"/>
                              <w:textDirection w:val="btLr"/>
                            </w:pPr>
                            <w:r>
                              <w:rPr>
                                <w:color w:val="000000"/>
                                <w:sz w:val="24"/>
                              </w:rPr>
                              <w:t xml:space="preserve">Anderson, C., and Sharma, R. (2020) ‘Primary health care policy and vision for community pharmacy and pharmacists in England’. </w:t>
                            </w:r>
                            <w:r>
                              <w:rPr>
                                <w:i/>
                                <w:color w:val="000000"/>
                                <w:sz w:val="24"/>
                              </w:rPr>
                              <w:t>Pharmacy Practice (Internet)</w:t>
                            </w:r>
                            <w:r>
                              <w:rPr>
                                <w:color w:val="000000"/>
                                <w:sz w:val="24"/>
                              </w:rPr>
                              <w:t xml:space="preserve">, </w:t>
                            </w:r>
                            <w:r>
                              <w:rPr>
                                <w:i/>
                                <w:color w:val="000000"/>
                                <w:sz w:val="24"/>
                              </w:rPr>
                              <w:t>18</w:t>
                            </w:r>
                            <w:r>
                              <w:rPr>
                                <w:color w:val="000000"/>
                                <w:sz w:val="24"/>
                              </w:rPr>
                              <w:t>(1), 1870.</w:t>
                            </w:r>
                          </w:p>
                          <w:p w14:paraId="6A50A404" w14:textId="1157773A" w:rsidR="00EF248B" w:rsidRDefault="00000000" w:rsidP="00C13B14">
                            <w:pPr>
                              <w:spacing w:after="0" w:line="240" w:lineRule="auto"/>
                              <w:textDirection w:val="btLr"/>
                            </w:pPr>
                            <w:r>
                              <w:rPr>
                                <w:color w:val="000000"/>
                                <w:sz w:val="24"/>
                              </w:rPr>
                              <w:t>Aronson, J.K. and Ferner, R.E., (2017) ‘Unlicensed and off</w:t>
                            </w:r>
                            <w:r>
                              <w:rPr>
                                <w:rFonts w:ascii="Cambria Math" w:eastAsia="Cambria Math" w:hAnsi="Cambria Math" w:cs="Cambria Math"/>
                                <w:color w:val="000000"/>
                                <w:sz w:val="24"/>
                              </w:rPr>
                              <w:t>‐</w:t>
                            </w:r>
                            <w:r>
                              <w:rPr>
                                <w:color w:val="000000"/>
                                <w:sz w:val="24"/>
                              </w:rPr>
                              <w:t xml:space="preserve">label uses of medicines: definitions and clarification of terminology’. </w:t>
                            </w:r>
                            <w:r>
                              <w:rPr>
                                <w:i/>
                                <w:color w:val="000000"/>
                                <w:sz w:val="24"/>
                              </w:rPr>
                              <w:t>British Journal of Clinical Pharmacology</w:t>
                            </w:r>
                            <w:r>
                              <w:rPr>
                                <w:color w:val="000000"/>
                                <w:sz w:val="24"/>
                              </w:rPr>
                              <w:t xml:space="preserve">, </w:t>
                            </w:r>
                            <w:r>
                              <w:rPr>
                                <w:i/>
                                <w:color w:val="000000"/>
                                <w:sz w:val="24"/>
                              </w:rPr>
                              <w:t>83</w:t>
                            </w:r>
                            <w:r>
                              <w:rPr>
                                <w:color w:val="000000"/>
                                <w:sz w:val="24"/>
                              </w:rPr>
                              <w:t>(12), pp.2615-2625.</w:t>
                            </w:r>
                            <w:r w:rsidR="00C13B14">
                              <w:t xml:space="preserve"> </w:t>
                            </w:r>
                            <w:r>
                              <w:rPr>
                                <w:color w:val="000000"/>
                                <w:sz w:val="24"/>
                              </w:rPr>
                              <w:t xml:space="preserve">Aziza, F.N., (2022) ‘Review and Comparison of Food Drug Administration (FDA) and Medicines and Healthcare products Regulatory Agency (MHRA) on Good Manufacturing Practice (GMP) Implementation’. </w:t>
                            </w:r>
                            <w:proofErr w:type="spellStart"/>
                            <w:r>
                              <w:rPr>
                                <w:i/>
                                <w:color w:val="000000"/>
                                <w:sz w:val="24"/>
                              </w:rPr>
                              <w:t>Majalah</w:t>
                            </w:r>
                            <w:proofErr w:type="spellEnd"/>
                            <w:r>
                              <w:rPr>
                                <w:i/>
                                <w:color w:val="000000"/>
                                <w:sz w:val="24"/>
                              </w:rPr>
                              <w:t xml:space="preserve"> Farmaseutik</w:t>
                            </w:r>
                            <w:r>
                              <w:rPr>
                                <w:color w:val="000000"/>
                                <w:sz w:val="24"/>
                              </w:rPr>
                              <w:t xml:space="preserve">, </w:t>
                            </w:r>
                            <w:r>
                              <w:rPr>
                                <w:i/>
                                <w:color w:val="000000"/>
                                <w:sz w:val="24"/>
                              </w:rPr>
                              <w:t>18</w:t>
                            </w:r>
                            <w:r>
                              <w:rPr>
                                <w:color w:val="000000"/>
                                <w:sz w:val="24"/>
                              </w:rPr>
                              <w:t>(2), pp.236-240.</w:t>
                            </w:r>
                          </w:p>
                          <w:p w14:paraId="32B11574" w14:textId="77777777" w:rsidR="00EF248B" w:rsidRDefault="00000000">
                            <w:pPr>
                              <w:spacing w:before="200" w:after="0" w:line="240" w:lineRule="auto"/>
                              <w:textDirection w:val="btLr"/>
                            </w:pPr>
                            <w:proofErr w:type="spellStart"/>
                            <w:r>
                              <w:rPr>
                                <w:color w:val="000000"/>
                                <w:sz w:val="24"/>
                              </w:rPr>
                              <w:t>Fovargue</w:t>
                            </w:r>
                            <w:proofErr w:type="spellEnd"/>
                            <w:r>
                              <w:rPr>
                                <w:color w:val="000000"/>
                                <w:sz w:val="24"/>
                              </w:rPr>
                              <w:t>, S. and Neal, M., (2021) ‘Pharmacists' perception of ethical conflict and professional guidance in light of the revised General Pharmaceutical Council Standards of Conduct, Ethics and Performance’.</w:t>
                            </w:r>
                          </w:p>
                          <w:p w14:paraId="4E90E17A" w14:textId="77777777" w:rsidR="00EF248B" w:rsidRDefault="00000000">
                            <w:pPr>
                              <w:spacing w:before="200" w:after="0" w:line="240" w:lineRule="auto"/>
                              <w:textDirection w:val="btLr"/>
                            </w:pPr>
                            <w:proofErr w:type="spellStart"/>
                            <w:r>
                              <w:rPr>
                                <w:color w:val="000000"/>
                                <w:sz w:val="24"/>
                              </w:rPr>
                              <w:t>Linkedin</w:t>
                            </w:r>
                            <w:proofErr w:type="spellEnd"/>
                            <w:r>
                              <w:rPr>
                                <w:color w:val="000000"/>
                                <w:sz w:val="24"/>
                              </w:rPr>
                              <w:t xml:space="preserve">. (2025) </w:t>
                            </w:r>
                            <w:r>
                              <w:rPr>
                                <w:i/>
                                <w:color w:val="000000"/>
                                <w:sz w:val="24"/>
                              </w:rPr>
                              <w:t>From dispensaries to indispensable: community pharmacy as the true front door to the NHS</w:t>
                            </w:r>
                            <w:r>
                              <w:rPr>
                                <w:color w:val="000000"/>
                                <w:sz w:val="24"/>
                              </w:rPr>
                              <w:t xml:space="preserve"> (Online) Available at: </w:t>
                            </w:r>
                            <w:r>
                              <w:rPr>
                                <w:color w:val="000000"/>
                                <w:sz w:val="24"/>
                                <w:u w:val="single"/>
                              </w:rPr>
                              <w:t>https://www.linkedin.com/pulse/from-dispensaries-indispensable-community-pharmacy-true-xg9se#:~:text=Introduction,digital%20isolation%20and%20structural%20fragmentation</w:t>
                            </w:r>
                            <w:r>
                              <w:rPr>
                                <w:color w:val="000000"/>
                                <w:sz w:val="24"/>
                              </w:rPr>
                              <w:t>. (Accessed: October 30, 2025)</w:t>
                            </w:r>
                          </w:p>
                          <w:p w14:paraId="2726D319" w14:textId="77777777" w:rsidR="00EF248B" w:rsidRDefault="00000000">
                            <w:pPr>
                              <w:spacing w:before="200" w:after="0" w:line="240" w:lineRule="auto"/>
                              <w:textDirection w:val="btLr"/>
                            </w:pPr>
                            <w:proofErr w:type="spellStart"/>
                            <w:r>
                              <w:rPr>
                                <w:color w:val="000000"/>
                                <w:sz w:val="24"/>
                              </w:rPr>
                              <w:t>Rpharms</w:t>
                            </w:r>
                            <w:proofErr w:type="spellEnd"/>
                            <w:r>
                              <w:rPr>
                                <w:color w:val="000000"/>
                                <w:sz w:val="24"/>
                              </w:rPr>
                              <w:t xml:space="preserve">. (2024) </w:t>
                            </w:r>
                            <w:r>
                              <w:rPr>
                                <w:i/>
                                <w:color w:val="000000"/>
                                <w:sz w:val="24"/>
                              </w:rPr>
                              <w:t>Workforce and Wellbeing Survey 2024</w:t>
                            </w:r>
                            <w:r>
                              <w:rPr>
                                <w:color w:val="000000"/>
                                <w:sz w:val="24"/>
                              </w:rPr>
                              <w:t xml:space="preserve">. Available at: </w:t>
                            </w:r>
                            <w:r>
                              <w:rPr>
                                <w:color w:val="000000"/>
                                <w:sz w:val="24"/>
                                <w:u w:val="single"/>
                              </w:rPr>
                              <w:t>https://www.rpharms.com/Portals/0/RPS%20document%20library/Open%20access/Workforce%20Wellbeing/RPS%202024%20Workforce%20Wellbeing%20Survey.pdf</w:t>
                            </w:r>
                            <w:r>
                              <w:rPr>
                                <w:color w:val="000000"/>
                                <w:sz w:val="24"/>
                              </w:rPr>
                              <w:t xml:space="preserve"> (Accessed 15 Oct 2025)</w:t>
                            </w:r>
                          </w:p>
                          <w:p w14:paraId="177D2E64" w14:textId="77777777" w:rsidR="00EF248B" w:rsidRDefault="00000000">
                            <w:pPr>
                              <w:spacing w:before="200" w:after="0" w:line="240" w:lineRule="auto"/>
                              <w:textDirection w:val="btLr"/>
                            </w:pPr>
                            <w:r>
                              <w:rPr>
                                <w:color w:val="000000"/>
                                <w:sz w:val="24"/>
                              </w:rPr>
                              <w:t xml:space="preserve">Sudarsono, J., </w:t>
                            </w:r>
                            <w:proofErr w:type="spellStart"/>
                            <w:r>
                              <w:rPr>
                                <w:color w:val="000000"/>
                                <w:sz w:val="24"/>
                              </w:rPr>
                              <w:t>Satibi</w:t>
                            </w:r>
                            <w:proofErr w:type="spellEnd"/>
                            <w:r>
                              <w:rPr>
                                <w:color w:val="000000"/>
                                <w:sz w:val="24"/>
                              </w:rPr>
                              <w:t xml:space="preserve">, S., </w:t>
                            </w:r>
                            <w:proofErr w:type="spellStart"/>
                            <w:r>
                              <w:rPr>
                                <w:color w:val="000000"/>
                                <w:sz w:val="24"/>
                              </w:rPr>
                              <w:t>Lazuardi</w:t>
                            </w:r>
                            <w:proofErr w:type="spellEnd"/>
                            <w:r>
                              <w:rPr>
                                <w:color w:val="000000"/>
                                <w:sz w:val="24"/>
                              </w:rPr>
                              <w:t xml:space="preserve">, L. and Widayanti, A.W., (2025) ‘Healthcare professionals’ perceptions of electronic prescription systems in outpatient services: a qualitative study at UNS hospital’. </w:t>
                            </w:r>
                            <w:r>
                              <w:rPr>
                                <w:i/>
                                <w:color w:val="000000"/>
                                <w:sz w:val="24"/>
                              </w:rPr>
                              <w:t>Cost Effectiveness and Resource Allocation</w:t>
                            </w:r>
                            <w:r>
                              <w:rPr>
                                <w:color w:val="000000"/>
                                <w:sz w:val="24"/>
                              </w:rPr>
                              <w:t xml:space="preserve">, </w:t>
                            </w:r>
                            <w:r>
                              <w:rPr>
                                <w:i/>
                                <w:color w:val="000000"/>
                                <w:sz w:val="24"/>
                              </w:rPr>
                              <w:t>23</w:t>
                            </w:r>
                            <w:r>
                              <w:rPr>
                                <w:color w:val="000000"/>
                                <w:sz w:val="24"/>
                              </w:rPr>
                              <w:t>(1), p.31.</w:t>
                            </w:r>
                          </w:p>
                          <w:p w14:paraId="386970AB" w14:textId="77777777" w:rsidR="00EF248B" w:rsidRDefault="00000000">
                            <w:pPr>
                              <w:spacing w:line="240" w:lineRule="auto"/>
                              <w:jc w:val="center"/>
                              <w:textDirection w:val="btLr"/>
                            </w:pPr>
                            <w:r>
                              <w:rPr>
                                <w:color w:val="000000"/>
                                <w:sz w:val="24"/>
                              </w:rPr>
                              <w:t>Tolley, C., Seymour, H., Watson, N., Nazar, H., Heed, J. and Belshaw, D., (2023) ‘Barriers</w:t>
                            </w:r>
                          </w:p>
                        </w:txbxContent>
                      </wps:txbx>
                      <wps:bodyPr spcFirstLastPara="1" wrap="square" lIns="91425" tIns="45700" rIns="91425" bIns="45700" anchor="ctr" anchorCtr="0">
                        <a:noAutofit/>
                      </wps:bodyPr>
                    </wps:wsp>
                  </a:graphicData>
                </a:graphic>
                <wp14:sizeRelH relativeFrom="margin">
                  <wp14:pctWidth>0</wp14:pctWidth>
                </wp14:sizeRelH>
                <wp14:sizeRelV relativeFrom="margin">
                  <wp14:pctHeight>0</wp14:pctHeight>
                </wp14:sizeRelV>
              </wp:anchor>
            </w:drawing>
          </mc:Choice>
          <mc:Fallback>
            <w:pict>
              <v:rect w14:anchorId="7AC89535" id="Rectangle 1566670329" o:spid="_x0000_s1027" style="position:absolute;left:0;text-align:left;margin-left:517.2pt;margin-top:286.2pt;width:241.5pt;height:306.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1+9WgIAAOkEAAAOAAAAZHJzL2Uyb0RvYy54bWysVNuK2zAQfS/0H4Teu7Zz2yTEWbKbuBSW&#10;dmHbD5jIciyQJVWj3P6+IyVN0nahUPoijzQXnXM049nDodNsJz0qa0pe3OWcSSNsrcym5N++Vh/G&#10;nGEAU4O2Rpb8KJE/zN+/m+3dVPZsa3UtPaMiBqd7V/I2BDfNMhSt7ADvrJOGnI31HQTa+k1We9hT&#10;9U5nvTwfZXvra+etkIh0ujw5+TzVbxopwpemQRmYLjlhC2n1aV3HNZvPYLrx4FolzjDgH1B0oAxd&#10;eim1hABs69UfpTolvEXbhDthu8w2jRIycSA2Rf4bm9cWnExcSBx0F5nw/5UVn3ev7sWTDHuHUyQz&#10;sjg0votfwscOSazjRSx5CEzQYT8f3edD0lSQrz+e9Me9JGd2TXcew0dpOxaNknt6jSQS7J4x0JUU&#10;+jPkrF1dKa2TjRRyMpizRDhPmeg36yft2Q7oPZeLarUYxCekQhu8je4P8/yNjFW/Wj1Wb2YUlPBW&#10;SjWoVqvRTUq66wxOK8MgdnoxomaM+QwFaFmf1YqxHi6ktGH7kk+GvSGpBtTtjYZAZucoAc3mRNFq&#10;dcn4he/k/nE87J+h4G1YVHEJ2J50Sa4YBlNvt6ZOViuhXpmahaOjMTQ0jDyCwY4zLWl0yUhxAZT+&#10;exwR04Z0vzZNtMJhfWCKuBSxVjxZ2/r44hk6USnC+AwYXsDThBV0O00d3ft9C56w6E+GXnlSDKI4&#10;IW0Gw/uoqL/1rG89YERraZhF8JzeIW6eQhruyN3YxTbYRqVOu4I5o6Z5OvXNafbjwN7uU9T1DzX/&#10;AQAA//8DAFBLAwQUAAYACAAAACEAHqemVeQAAAAOAQAADwAAAGRycy9kb3ducmV2LnhtbEyPUUvD&#10;MBSF3wX/Q7iCL+LSznUbtekQYaAyUKeIj1kT27rmpiRp1vnrvXvSt3O4h3O/U6xG07GonW8tCkgn&#10;CTCNlVUt1gLe39bXS2A+SFSys6gFHLWHVXl+Vshc2QO+6rgNNaMS9LkU0ITQ55z7qtFG+ontNdLt&#10;yzojA1lXc+XkgcpNx6dJMudGtkgfGtnr+0ZX++1gBHw8Hx+eBocv++/P4XET1jH+XEUhLi/Gu1tg&#10;QY/hLwwnfEKHkph2dkDlWUc+uZnNKCsgW0xJnCJZuiC1I5UusznwsuD/Z5S/AAAA//8DAFBLAQIt&#10;ABQABgAIAAAAIQC2gziS/gAAAOEBAAATAAAAAAAAAAAAAAAAAAAAAABbQ29udGVudF9UeXBlc10u&#10;eG1sUEsBAi0AFAAGAAgAAAAhADj9If/WAAAAlAEAAAsAAAAAAAAAAAAAAAAALwEAAF9yZWxzLy5y&#10;ZWxzUEsBAi0AFAAGAAgAAAAhAFUXX71aAgAA6QQAAA4AAAAAAAAAAAAAAAAALgIAAGRycy9lMm9E&#10;b2MueG1sUEsBAi0AFAAGAAgAAAAhAB6nplXkAAAADgEAAA8AAAAAAAAAAAAAAAAAtAQAAGRycy9k&#10;b3ducmV2LnhtbFBLBQYAAAAABAAEAPMAAADFBQAAAAA=&#10;" fillcolor="#dafea4" strokecolor="#97b853">
                <v:fill color2="#f4fee6" angle="180" colors="0 #dafea4;22938f #e3febf;1 #f4fee6" focus="100%" type="gradient">
                  <o:fill v:ext="view" type="gradientUnscaled"/>
                </v:fill>
                <v:stroke startarrowwidth="narrow" startarrowlength="short" endarrowwidth="narrow" endarrowlength="short" joinstyle="round"/>
                <v:textbox inset="2.53958mm,1.2694mm,2.53958mm,1.2694mm">
                  <w:txbxContent>
                    <w:p w14:paraId="70C689BA" w14:textId="77777777" w:rsidR="00C13B14" w:rsidRDefault="00000000" w:rsidP="00C13B14">
                      <w:pPr>
                        <w:spacing w:after="0" w:line="240" w:lineRule="auto"/>
                        <w:textDirection w:val="btLr"/>
                      </w:pPr>
                      <w:r>
                        <w:rPr>
                          <w:b/>
                          <w:color w:val="000000"/>
                          <w:sz w:val="24"/>
                        </w:rPr>
                        <w:t>References</w:t>
                      </w:r>
                      <w:r w:rsidR="00C13B14">
                        <w:t xml:space="preserve"> </w:t>
                      </w:r>
                    </w:p>
                    <w:p w14:paraId="7EDCD061" w14:textId="77777777" w:rsidR="00C13B14" w:rsidRDefault="00000000" w:rsidP="00C13B14">
                      <w:pPr>
                        <w:spacing w:after="0" w:line="240" w:lineRule="auto"/>
                        <w:textDirection w:val="btLr"/>
                      </w:pPr>
                      <w:r>
                        <w:rPr>
                          <w:color w:val="000000"/>
                          <w:sz w:val="24"/>
                        </w:rPr>
                        <w:t xml:space="preserve">Anderson, C., and Sharma, R. (2020) ‘Primary health care policy and vision for community pharmacy and pharmacists in England’. </w:t>
                      </w:r>
                      <w:r>
                        <w:rPr>
                          <w:i/>
                          <w:color w:val="000000"/>
                          <w:sz w:val="24"/>
                        </w:rPr>
                        <w:t>Pharmacy Practice (Internet)</w:t>
                      </w:r>
                      <w:r>
                        <w:rPr>
                          <w:color w:val="000000"/>
                          <w:sz w:val="24"/>
                        </w:rPr>
                        <w:t xml:space="preserve">, </w:t>
                      </w:r>
                      <w:r>
                        <w:rPr>
                          <w:i/>
                          <w:color w:val="000000"/>
                          <w:sz w:val="24"/>
                        </w:rPr>
                        <w:t>18</w:t>
                      </w:r>
                      <w:r>
                        <w:rPr>
                          <w:color w:val="000000"/>
                          <w:sz w:val="24"/>
                        </w:rPr>
                        <w:t>(1), 1870.</w:t>
                      </w:r>
                    </w:p>
                    <w:p w14:paraId="6A50A404" w14:textId="1157773A" w:rsidR="00EF248B" w:rsidRDefault="00000000" w:rsidP="00C13B14">
                      <w:pPr>
                        <w:spacing w:after="0" w:line="240" w:lineRule="auto"/>
                        <w:textDirection w:val="btLr"/>
                      </w:pPr>
                      <w:r>
                        <w:rPr>
                          <w:color w:val="000000"/>
                          <w:sz w:val="24"/>
                        </w:rPr>
                        <w:t>Aronson, J.K. and Ferner, R.E., (2017) ‘Unlicensed and off</w:t>
                      </w:r>
                      <w:r>
                        <w:rPr>
                          <w:rFonts w:ascii="Cambria Math" w:eastAsia="Cambria Math" w:hAnsi="Cambria Math" w:cs="Cambria Math"/>
                          <w:color w:val="000000"/>
                          <w:sz w:val="24"/>
                        </w:rPr>
                        <w:t>‐</w:t>
                      </w:r>
                      <w:r>
                        <w:rPr>
                          <w:color w:val="000000"/>
                          <w:sz w:val="24"/>
                        </w:rPr>
                        <w:t xml:space="preserve">label uses of medicines: definitions and clarification of terminology’. </w:t>
                      </w:r>
                      <w:r>
                        <w:rPr>
                          <w:i/>
                          <w:color w:val="000000"/>
                          <w:sz w:val="24"/>
                        </w:rPr>
                        <w:t>British Journal of Clinical Pharmacology</w:t>
                      </w:r>
                      <w:r>
                        <w:rPr>
                          <w:color w:val="000000"/>
                          <w:sz w:val="24"/>
                        </w:rPr>
                        <w:t xml:space="preserve">, </w:t>
                      </w:r>
                      <w:r>
                        <w:rPr>
                          <w:i/>
                          <w:color w:val="000000"/>
                          <w:sz w:val="24"/>
                        </w:rPr>
                        <w:t>83</w:t>
                      </w:r>
                      <w:r>
                        <w:rPr>
                          <w:color w:val="000000"/>
                          <w:sz w:val="24"/>
                        </w:rPr>
                        <w:t>(12), pp.2615-2625.</w:t>
                      </w:r>
                      <w:r w:rsidR="00C13B14">
                        <w:t xml:space="preserve"> </w:t>
                      </w:r>
                      <w:r>
                        <w:rPr>
                          <w:color w:val="000000"/>
                          <w:sz w:val="24"/>
                        </w:rPr>
                        <w:t xml:space="preserve">Aziza, F.N., (2022) ‘Review and Comparison of Food Drug Administration (FDA) and Medicines and Healthcare products Regulatory Agency (MHRA) on Good Manufacturing Practice (GMP) Implementation’. </w:t>
                      </w:r>
                      <w:proofErr w:type="spellStart"/>
                      <w:r>
                        <w:rPr>
                          <w:i/>
                          <w:color w:val="000000"/>
                          <w:sz w:val="24"/>
                        </w:rPr>
                        <w:t>Majalah</w:t>
                      </w:r>
                      <w:proofErr w:type="spellEnd"/>
                      <w:r>
                        <w:rPr>
                          <w:i/>
                          <w:color w:val="000000"/>
                          <w:sz w:val="24"/>
                        </w:rPr>
                        <w:t xml:space="preserve"> Farmaseutik</w:t>
                      </w:r>
                      <w:r>
                        <w:rPr>
                          <w:color w:val="000000"/>
                          <w:sz w:val="24"/>
                        </w:rPr>
                        <w:t xml:space="preserve">, </w:t>
                      </w:r>
                      <w:r>
                        <w:rPr>
                          <w:i/>
                          <w:color w:val="000000"/>
                          <w:sz w:val="24"/>
                        </w:rPr>
                        <w:t>18</w:t>
                      </w:r>
                      <w:r>
                        <w:rPr>
                          <w:color w:val="000000"/>
                          <w:sz w:val="24"/>
                        </w:rPr>
                        <w:t>(2), pp.236-240.</w:t>
                      </w:r>
                    </w:p>
                    <w:p w14:paraId="32B11574" w14:textId="77777777" w:rsidR="00EF248B" w:rsidRDefault="00000000">
                      <w:pPr>
                        <w:spacing w:before="200" w:after="0" w:line="240" w:lineRule="auto"/>
                        <w:textDirection w:val="btLr"/>
                      </w:pPr>
                      <w:proofErr w:type="spellStart"/>
                      <w:r>
                        <w:rPr>
                          <w:color w:val="000000"/>
                          <w:sz w:val="24"/>
                        </w:rPr>
                        <w:t>Fovargue</w:t>
                      </w:r>
                      <w:proofErr w:type="spellEnd"/>
                      <w:r>
                        <w:rPr>
                          <w:color w:val="000000"/>
                          <w:sz w:val="24"/>
                        </w:rPr>
                        <w:t>, S. and Neal, M., (2021) ‘Pharmacists' perception of ethical conflict and professional guidance in light of the revised General Pharmaceutical Council Standards of Conduct, Ethics and Performance’.</w:t>
                      </w:r>
                    </w:p>
                    <w:p w14:paraId="4E90E17A" w14:textId="77777777" w:rsidR="00EF248B" w:rsidRDefault="00000000">
                      <w:pPr>
                        <w:spacing w:before="200" w:after="0" w:line="240" w:lineRule="auto"/>
                        <w:textDirection w:val="btLr"/>
                      </w:pPr>
                      <w:proofErr w:type="spellStart"/>
                      <w:r>
                        <w:rPr>
                          <w:color w:val="000000"/>
                          <w:sz w:val="24"/>
                        </w:rPr>
                        <w:t>Linkedin</w:t>
                      </w:r>
                      <w:proofErr w:type="spellEnd"/>
                      <w:r>
                        <w:rPr>
                          <w:color w:val="000000"/>
                          <w:sz w:val="24"/>
                        </w:rPr>
                        <w:t xml:space="preserve">. (2025) </w:t>
                      </w:r>
                      <w:r>
                        <w:rPr>
                          <w:i/>
                          <w:color w:val="000000"/>
                          <w:sz w:val="24"/>
                        </w:rPr>
                        <w:t>From dispensaries to indispensable: community pharmacy as the true front door to the NHS</w:t>
                      </w:r>
                      <w:r>
                        <w:rPr>
                          <w:color w:val="000000"/>
                          <w:sz w:val="24"/>
                        </w:rPr>
                        <w:t xml:space="preserve"> (Online) Available at: </w:t>
                      </w:r>
                      <w:r>
                        <w:rPr>
                          <w:color w:val="000000"/>
                          <w:sz w:val="24"/>
                          <w:u w:val="single"/>
                        </w:rPr>
                        <w:t>https://www.linkedin.com/pulse/from-dispensaries-indispensable-community-pharmacy-true-xg9se#:~:text=Introduction,digital%20isolation%20and%20structural%20fragmentation</w:t>
                      </w:r>
                      <w:r>
                        <w:rPr>
                          <w:color w:val="000000"/>
                          <w:sz w:val="24"/>
                        </w:rPr>
                        <w:t>. (Accessed: October 30, 2025)</w:t>
                      </w:r>
                    </w:p>
                    <w:p w14:paraId="2726D319" w14:textId="77777777" w:rsidR="00EF248B" w:rsidRDefault="00000000">
                      <w:pPr>
                        <w:spacing w:before="200" w:after="0" w:line="240" w:lineRule="auto"/>
                        <w:textDirection w:val="btLr"/>
                      </w:pPr>
                      <w:proofErr w:type="spellStart"/>
                      <w:r>
                        <w:rPr>
                          <w:color w:val="000000"/>
                          <w:sz w:val="24"/>
                        </w:rPr>
                        <w:t>Rpharms</w:t>
                      </w:r>
                      <w:proofErr w:type="spellEnd"/>
                      <w:r>
                        <w:rPr>
                          <w:color w:val="000000"/>
                          <w:sz w:val="24"/>
                        </w:rPr>
                        <w:t xml:space="preserve">. (2024) </w:t>
                      </w:r>
                      <w:r>
                        <w:rPr>
                          <w:i/>
                          <w:color w:val="000000"/>
                          <w:sz w:val="24"/>
                        </w:rPr>
                        <w:t>Workforce and Wellbeing Survey 2024</w:t>
                      </w:r>
                      <w:r>
                        <w:rPr>
                          <w:color w:val="000000"/>
                          <w:sz w:val="24"/>
                        </w:rPr>
                        <w:t xml:space="preserve">. Available at: </w:t>
                      </w:r>
                      <w:r>
                        <w:rPr>
                          <w:color w:val="000000"/>
                          <w:sz w:val="24"/>
                          <w:u w:val="single"/>
                        </w:rPr>
                        <w:t>https://www.rpharms.com/Portals/0/RPS%20document%20library/Open%20access/Workforce%20Wellbeing/RPS%202024%20Workforce%20Wellbeing%20Survey.pdf</w:t>
                      </w:r>
                      <w:r>
                        <w:rPr>
                          <w:color w:val="000000"/>
                          <w:sz w:val="24"/>
                        </w:rPr>
                        <w:t xml:space="preserve"> (Accessed 15 Oct 2025)</w:t>
                      </w:r>
                    </w:p>
                    <w:p w14:paraId="177D2E64" w14:textId="77777777" w:rsidR="00EF248B" w:rsidRDefault="00000000">
                      <w:pPr>
                        <w:spacing w:before="200" w:after="0" w:line="240" w:lineRule="auto"/>
                        <w:textDirection w:val="btLr"/>
                      </w:pPr>
                      <w:r>
                        <w:rPr>
                          <w:color w:val="000000"/>
                          <w:sz w:val="24"/>
                        </w:rPr>
                        <w:t xml:space="preserve">Sudarsono, J., </w:t>
                      </w:r>
                      <w:proofErr w:type="spellStart"/>
                      <w:r>
                        <w:rPr>
                          <w:color w:val="000000"/>
                          <w:sz w:val="24"/>
                        </w:rPr>
                        <w:t>Satibi</w:t>
                      </w:r>
                      <w:proofErr w:type="spellEnd"/>
                      <w:r>
                        <w:rPr>
                          <w:color w:val="000000"/>
                          <w:sz w:val="24"/>
                        </w:rPr>
                        <w:t xml:space="preserve">, S., </w:t>
                      </w:r>
                      <w:proofErr w:type="spellStart"/>
                      <w:r>
                        <w:rPr>
                          <w:color w:val="000000"/>
                          <w:sz w:val="24"/>
                        </w:rPr>
                        <w:t>Lazuardi</w:t>
                      </w:r>
                      <w:proofErr w:type="spellEnd"/>
                      <w:r>
                        <w:rPr>
                          <w:color w:val="000000"/>
                          <w:sz w:val="24"/>
                        </w:rPr>
                        <w:t xml:space="preserve">, L. and Widayanti, A.W., (2025) ‘Healthcare professionals’ perceptions of electronic prescription systems in outpatient services: a qualitative study at UNS hospital’. </w:t>
                      </w:r>
                      <w:r>
                        <w:rPr>
                          <w:i/>
                          <w:color w:val="000000"/>
                          <w:sz w:val="24"/>
                        </w:rPr>
                        <w:t>Cost Effectiveness and Resource Allocation</w:t>
                      </w:r>
                      <w:r>
                        <w:rPr>
                          <w:color w:val="000000"/>
                          <w:sz w:val="24"/>
                        </w:rPr>
                        <w:t xml:space="preserve">, </w:t>
                      </w:r>
                      <w:r>
                        <w:rPr>
                          <w:i/>
                          <w:color w:val="000000"/>
                          <w:sz w:val="24"/>
                        </w:rPr>
                        <w:t>23</w:t>
                      </w:r>
                      <w:r>
                        <w:rPr>
                          <w:color w:val="000000"/>
                          <w:sz w:val="24"/>
                        </w:rPr>
                        <w:t>(1), p.31.</w:t>
                      </w:r>
                    </w:p>
                    <w:p w14:paraId="386970AB" w14:textId="77777777" w:rsidR="00EF248B" w:rsidRDefault="00000000">
                      <w:pPr>
                        <w:spacing w:line="240" w:lineRule="auto"/>
                        <w:jc w:val="center"/>
                        <w:textDirection w:val="btLr"/>
                      </w:pPr>
                      <w:r>
                        <w:rPr>
                          <w:color w:val="000000"/>
                          <w:sz w:val="24"/>
                        </w:rPr>
                        <w:t>Tolley, C., Seymour, H., Watson, N., Nazar, H., Heed, J. and Belshaw, D., (2023) ‘Barriers</w:t>
                      </w:r>
                    </w:p>
                  </w:txbxContent>
                </v:textbox>
              </v:rect>
            </w:pict>
          </mc:Fallback>
        </mc:AlternateContent>
      </w:r>
      <w:r w:rsidR="004E562A">
        <w:rPr>
          <w:noProof/>
        </w:rPr>
        <mc:AlternateContent>
          <mc:Choice Requires="wps">
            <w:drawing>
              <wp:anchor distT="45720" distB="45720" distL="114300" distR="114300" simplePos="0" relativeHeight="251661312" behindDoc="0" locked="0" layoutInCell="1" hidden="0" allowOverlap="1" wp14:anchorId="48CB3756" wp14:editId="38AB4D61">
                <wp:simplePos x="0" y="0"/>
                <wp:positionH relativeFrom="column">
                  <wp:posOffset>-750570</wp:posOffset>
                </wp:positionH>
                <wp:positionV relativeFrom="paragraph">
                  <wp:posOffset>1078230</wp:posOffset>
                </wp:positionV>
                <wp:extent cx="3177540" cy="2084070"/>
                <wp:effectExtent l="19050" t="19050" r="41910" b="30480"/>
                <wp:wrapSquare wrapText="bothSides" distT="45720" distB="45720" distL="114300" distR="114300"/>
                <wp:docPr id="1566670333" name="Rectangle 1566670333"/>
                <wp:cNvGraphicFramePr/>
                <a:graphic xmlns:a="http://schemas.openxmlformats.org/drawingml/2006/main">
                  <a:graphicData uri="http://schemas.microsoft.com/office/word/2010/wordprocessingShape">
                    <wps:wsp>
                      <wps:cNvSpPr/>
                      <wps:spPr>
                        <a:xfrm>
                          <a:off x="0" y="0"/>
                          <a:ext cx="3177540" cy="208407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14:paraId="38C28F6E" w14:textId="77777777" w:rsidR="00EF248B" w:rsidRDefault="00000000">
                            <w:pPr>
                              <w:spacing w:line="258" w:lineRule="auto"/>
                              <w:jc w:val="center"/>
                              <w:textDirection w:val="btLr"/>
                            </w:pPr>
                            <w:r>
                              <w:rPr>
                                <w:b/>
                                <w:color w:val="385623"/>
                                <w:sz w:val="24"/>
                              </w:rPr>
                              <w:t>Background of Pharmacy services</w:t>
                            </w:r>
                          </w:p>
                          <w:p w14:paraId="1B05437C" w14:textId="77777777" w:rsidR="00EF248B" w:rsidRDefault="00000000">
                            <w:pPr>
                              <w:spacing w:line="258" w:lineRule="auto"/>
                              <w:textDirection w:val="btLr"/>
                            </w:pPr>
                            <w:r>
                              <w:rPr>
                                <w:color w:val="000000"/>
                                <w:sz w:val="24"/>
                              </w:rPr>
                              <w:t xml:space="preserve">Pharmacy services can be recognised as one of the vital components of the healthcare system in the UK and form an essential part of the National Health Service. One of the primary roles of the pharmacy services is to ensure the safe, effective and appropriate use of medicine </w:t>
                            </w:r>
                            <w:proofErr w:type="gramStart"/>
                            <w:r>
                              <w:rPr>
                                <w:color w:val="000000"/>
                                <w:sz w:val="24"/>
                              </w:rPr>
                              <w:t>in order to</w:t>
                            </w:r>
                            <w:proofErr w:type="gramEnd"/>
                            <w:r>
                              <w:rPr>
                                <w:color w:val="000000"/>
                                <w:sz w:val="24"/>
                              </w:rPr>
                              <w:t xml:space="preserve"> improve health outcomes of patients. </w:t>
                            </w:r>
                          </w:p>
                          <w:p w14:paraId="33FA9B54" w14:textId="77777777" w:rsidR="00EF248B" w:rsidRDefault="00000000">
                            <w:pPr>
                              <w:spacing w:line="258" w:lineRule="auto"/>
                              <w:textDirection w:val="btLr"/>
                            </w:pPr>
                            <w:r>
                              <w:rPr>
                                <w:color w:val="000000"/>
                                <w:sz w:val="24"/>
                              </w:rPr>
                              <w:t xml:space="preserve">Pharmacists are highly trained through healthcare professionals who dispense different types of prescription medicines and can provide advice on their safe use. These can provide support to individuals in managing both acute and long-term medical conditions. On the other hand, Anderson and Sharma (2020) demonstrated that pharmacy services are delivered through several sectors, including community pharmacies, hospital pharmacies and different types of primary care network pharmacy teams. </w:t>
                            </w:r>
                          </w:p>
                          <w:p w14:paraId="3025B098" w14:textId="77777777" w:rsidR="00EF248B" w:rsidRDefault="00000000">
                            <w:pPr>
                              <w:spacing w:line="258" w:lineRule="auto"/>
                              <w:textDirection w:val="btLr"/>
                            </w:pPr>
                            <w:r>
                              <w:rPr>
                                <w:color w:val="000000"/>
                                <w:sz w:val="24"/>
                              </w:rPr>
                              <w:t>Community pharmacies can be recognised as the most publicly accessible healthcare setting in the NHS, with more than 11,000 located across England (</w:t>
                            </w:r>
                            <w:proofErr w:type="spellStart"/>
                            <w:r>
                              <w:rPr>
                                <w:color w:val="000000"/>
                                <w:sz w:val="24"/>
                              </w:rPr>
                              <w:t>Linkedin</w:t>
                            </w:r>
                            <w:proofErr w:type="spellEnd"/>
                            <w:r>
                              <w:rPr>
                                <w:color w:val="000000"/>
                                <w:sz w:val="24"/>
                              </w:rPr>
                              <w:t xml:space="preserve">, 2025). This can act as the first point of contact for minor elements and medication-related queries that are obtained without the need for a general physician appointment. </w:t>
                            </w:r>
                          </w:p>
                          <w:p w14:paraId="30F49135" w14:textId="77777777" w:rsidR="00EF248B" w:rsidRDefault="00000000">
                            <w:pPr>
                              <w:spacing w:line="258" w:lineRule="auto"/>
                              <w:textDirection w:val="btLr"/>
                            </w:pPr>
                            <w:r>
                              <w:rPr>
                                <w:color w:val="000000"/>
                                <w:sz w:val="24"/>
                              </w:rPr>
                              <w:t>In this aspect, hospital pharmacies support inpatients and outpatients by ensuring the correct supply of doses and monitoring of medicines prescribed by the doctors. In addition to traditional dispensing, modern pharmacy services provide a wide range of clinical and public health functions, such as vaccination services, smoking cessation programmes, blood pressure checks, contraception advice, and medication reviews.</w:t>
                            </w:r>
                          </w:p>
                          <w:p w14:paraId="31737DDD" w14:textId="77777777" w:rsidR="00EF248B" w:rsidRDefault="00EF248B">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48CB3756" id="Rectangle 1566670333" o:spid="_x0000_s1028" style="position:absolute;left:0;text-align:left;margin-left:-59.1pt;margin-top:84.9pt;width:250.2pt;height:164.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zj1HQIAAEsEAAAOAAAAZHJzL2Uyb0RvYy54bWysVNuOGjEMfa/Uf4jyXmagsLCIYVUtpaq0&#10;apG2+wEmk2Ei5dbEMMPf1wkU2LZSparzEJzEsY+Pj1k89EazgwxROVvx4aDkTFrhamV3FX/5tn43&#10;4ywi2Bq0s7LiRxn5w/Ltm0Xn53LkWqdrGRgFsXHe+Yq3iH5eFFG00kAcOC8tXTYuGEDahl1RB+go&#10;utHFqCzvis6F2gcnZIx0ujpd8mWO3zRS4NemiRKZrjhhw7yGvG7TWiwXMN8F8K0SZxjwDygMKEtJ&#10;L6FWgMD2Qf0WyigRXHQNDoQzhWsaJWSugaoZlr9U89yCl7kWIif6C03x/4UVXw7PfhOIhs7HeSQz&#10;VdE3waRfwsf6TNbxQpbskQk6fD+cTidj4lTQ3aicjctpprO4Pvch4ifpDEtGxQN1I5MEh6eIlJJc&#10;f7qkbNFpVa+V1nkTdttHHdgBqHPr/KVm0ZNXbtqyruLj6d1oQkiAFNRoQDKNryse7S4nfPUka0te&#10;YoMQ0uLoT8ETuBXE9gQiBzkJxigk1WplKj4r03c6biXUH23N8OhJ6pYEzxO6aDjTksaDjKw3BKX/&#10;7kelaksVXxuTLOy3PVNUW0acTrauPm4Ci16sFQF+gogbCKTiIWUnZVPe73sIhEV/tiSd++E4kYV5&#10;M55MCT0Ltzfb2xuwonU0MMTpyXzEPD6pR9Z92KNrVO7lFcoZMyk29+s8XWkkbvfZ6/ofsPwBAAD/&#10;/wMAUEsDBBQABgAIAAAAIQBMhkxz3wAAAAwBAAAPAAAAZHJzL2Rvd25yZXYueG1sTI/NTsMwEITv&#10;SLyDtUjcWjuhqpIQp6qKkCpuFB5ga7txhH+i2G1Tnp7lBMed+TQ7025m79jFTGmIQUKxFMBMUFEP&#10;oZfw+fG6qICljEGji8FIuJkEm+7+rsVGx2t4N5dD7hmFhNSgBJvz2HCelDUe0zKOJpB3ipPHTOfU&#10;cz3hlcK946UQa+5xCPTB4mh21qivw9lL+FZWuP3pZatqtKvk9oPbvd2kfHyYt8/AspnzHwy/9ak6&#10;dNTpGM9BJ+YkLIqiKoklZ13TCEKeqpKUo4RVXQngXcv/j+h+AAAA//8DAFBLAQItABQABgAIAAAA&#10;IQC2gziS/gAAAOEBAAATAAAAAAAAAAAAAAAAAAAAAABbQ29udGVudF9UeXBlc10ueG1sUEsBAi0A&#10;FAAGAAgAAAAhADj9If/WAAAAlAEAAAsAAAAAAAAAAAAAAAAALwEAAF9yZWxzLy5yZWxzUEsBAi0A&#10;FAAGAAgAAAAhAON/OPUdAgAASwQAAA4AAAAAAAAAAAAAAAAALgIAAGRycy9lMm9Eb2MueG1sUEsB&#10;Ai0AFAAGAAgAAAAhAEyGTHPfAAAADAEAAA8AAAAAAAAAAAAAAAAAdwQAAGRycy9kb3ducmV2Lnht&#10;bFBLBQYAAAAABAAEAPMAAACDBQAAAAA=&#10;" strokecolor="#c0504d [3205]" strokeweight="3.75pt">
                <v:stroke startarrowwidth="narrow" startarrowlength="short" endarrowwidth="narrow" endarrowlength="short"/>
                <v:textbox inset="2.53958mm,1.2694mm,2.53958mm,1.2694mm">
                  <w:txbxContent>
                    <w:p w14:paraId="38C28F6E" w14:textId="77777777" w:rsidR="00EF248B" w:rsidRDefault="00000000">
                      <w:pPr>
                        <w:spacing w:line="258" w:lineRule="auto"/>
                        <w:jc w:val="center"/>
                        <w:textDirection w:val="btLr"/>
                      </w:pPr>
                      <w:r>
                        <w:rPr>
                          <w:b/>
                          <w:color w:val="385623"/>
                          <w:sz w:val="24"/>
                        </w:rPr>
                        <w:t>Background of Pharmacy services</w:t>
                      </w:r>
                    </w:p>
                    <w:p w14:paraId="1B05437C" w14:textId="77777777" w:rsidR="00EF248B" w:rsidRDefault="00000000">
                      <w:pPr>
                        <w:spacing w:line="258" w:lineRule="auto"/>
                        <w:textDirection w:val="btLr"/>
                      </w:pPr>
                      <w:r>
                        <w:rPr>
                          <w:color w:val="000000"/>
                          <w:sz w:val="24"/>
                        </w:rPr>
                        <w:t xml:space="preserve">Pharmacy services can be recognised as one of the vital components of the healthcare system in the UK and form an essential part of the National Health Service. One of the primary roles of the pharmacy services is to ensure the safe, effective and appropriate use of medicine </w:t>
                      </w:r>
                      <w:proofErr w:type="gramStart"/>
                      <w:r>
                        <w:rPr>
                          <w:color w:val="000000"/>
                          <w:sz w:val="24"/>
                        </w:rPr>
                        <w:t>in order to</w:t>
                      </w:r>
                      <w:proofErr w:type="gramEnd"/>
                      <w:r>
                        <w:rPr>
                          <w:color w:val="000000"/>
                          <w:sz w:val="24"/>
                        </w:rPr>
                        <w:t xml:space="preserve"> improve health outcomes of patients. </w:t>
                      </w:r>
                    </w:p>
                    <w:p w14:paraId="33FA9B54" w14:textId="77777777" w:rsidR="00EF248B" w:rsidRDefault="00000000">
                      <w:pPr>
                        <w:spacing w:line="258" w:lineRule="auto"/>
                        <w:textDirection w:val="btLr"/>
                      </w:pPr>
                      <w:r>
                        <w:rPr>
                          <w:color w:val="000000"/>
                          <w:sz w:val="24"/>
                        </w:rPr>
                        <w:t xml:space="preserve">Pharmacists are highly trained through healthcare professionals who dispense different types of prescription medicines and can provide advice on their safe use. These can provide support to individuals in managing both acute and long-term medical conditions. On the other hand, Anderson and Sharma (2020) demonstrated that pharmacy services are delivered through several sectors, including community pharmacies, hospital pharmacies and different types of primary care network pharmacy teams. </w:t>
                      </w:r>
                    </w:p>
                    <w:p w14:paraId="3025B098" w14:textId="77777777" w:rsidR="00EF248B" w:rsidRDefault="00000000">
                      <w:pPr>
                        <w:spacing w:line="258" w:lineRule="auto"/>
                        <w:textDirection w:val="btLr"/>
                      </w:pPr>
                      <w:r>
                        <w:rPr>
                          <w:color w:val="000000"/>
                          <w:sz w:val="24"/>
                        </w:rPr>
                        <w:t>Community pharmacies can be recognised as the most publicly accessible healthcare setting in the NHS, with more than 11,000 located across England (</w:t>
                      </w:r>
                      <w:proofErr w:type="spellStart"/>
                      <w:r>
                        <w:rPr>
                          <w:color w:val="000000"/>
                          <w:sz w:val="24"/>
                        </w:rPr>
                        <w:t>Linkedin</w:t>
                      </w:r>
                      <w:proofErr w:type="spellEnd"/>
                      <w:r>
                        <w:rPr>
                          <w:color w:val="000000"/>
                          <w:sz w:val="24"/>
                        </w:rPr>
                        <w:t xml:space="preserve">, 2025). This can act as the first point of contact for minor elements and medication-related queries that are obtained without the need for a general physician appointment. </w:t>
                      </w:r>
                    </w:p>
                    <w:p w14:paraId="30F49135" w14:textId="77777777" w:rsidR="00EF248B" w:rsidRDefault="00000000">
                      <w:pPr>
                        <w:spacing w:line="258" w:lineRule="auto"/>
                        <w:textDirection w:val="btLr"/>
                      </w:pPr>
                      <w:r>
                        <w:rPr>
                          <w:color w:val="000000"/>
                          <w:sz w:val="24"/>
                        </w:rPr>
                        <w:t>In this aspect, hospital pharmacies support inpatients and outpatients by ensuring the correct supply of doses and monitoring of medicines prescribed by the doctors. In addition to traditional dispensing, modern pharmacy services provide a wide range of clinical and public health functions, such as vaccination services, smoking cessation programmes, blood pressure checks, contraception advice, and medication reviews.</w:t>
                      </w:r>
                    </w:p>
                    <w:p w14:paraId="31737DDD" w14:textId="77777777" w:rsidR="00EF248B" w:rsidRDefault="00EF248B">
                      <w:pPr>
                        <w:textDirection w:val="btLr"/>
                      </w:pPr>
                    </w:p>
                  </w:txbxContent>
                </v:textbox>
                <w10:wrap type="square"/>
              </v:rect>
            </w:pict>
          </mc:Fallback>
        </mc:AlternateContent>
      </w:r>
      <w:r w:rsidR="004E562A">
        <w:rPr>
          <w:noProof/>
        </w:rPr>
        <mc:AlternateContent>
          <mc:Choice Requires="wps">
            <w:drawing>
              <wp:anchor distT="45720" distB="45720" distL="114300" distR="114300" simplePos="0" relativeHeight="251660288" behindDoc="0" locked="0" layoutInCell="1" hidden="0" allowOverlap="1" wp14:anchorId="427D62F7" wp14:editId="5846D4D3">
                <wp:simplePos x="0" y="0"/>
                <wp:positionH relativeFrom="column">
                  <wp:posOffset>762000</wp:posOffset>
                </wp:positionH>
                <wp:positionV relativeFrom="paragraph">
                  <wp:posOffset>0</wp:posOffset>
                </wp:positionV>
                <wp:extent cx="6546215" cy="1043940"/>
                <wp:effectExtent l="0" t="0" r="26035" b="22860"/>
                <wp:wrapSquare wrapText="bothSides" distT="45720" distB="45720" distL="114300" distR="114300"/>
                <wp:docPr id="1566670330" name="Rectangle 1566670330"/>
                <wp:cNvGraphicFramePr/>
                <a:graphic xmlns:a="http://schemas.openxmlformats.org/drawingml/2006/main">
                  <a:graphicData uri="http://schemas.microsoft.com/office/word/2010/wordprocessingShape">
                    <wps:wsp>
                      <wps:cNvSpPr/>
                      <wps:spPr>
                        <a:xfrm>
                          <a:off x="0" y="0"/>
                          <a:ext cx="6546215" cy="104394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006965C" w14:textId="77777777" w:rsidR="004E562A" w:rsidRDefault="00000000" w:rsidP="004E562A">
                            <w:pPr>
                              <w:spacing w:line="258" w:lineRule="auto"/>
                              <w:jc w:val="center"/>
                              <w:textDirection w:val="btLr"/>
                              <w:rPr>
                                <w:rFonts w:ascii="Calibri" w:eastAsia="Calibri" w:hAnsi="Calibri" w:cs="Calibri"/>
                                <w:color w:val="000000"/>
                                <w:sz w:val="28"/>
                              </w:rPr>
                            </w:pPr>
                            <w:r>
                              <w:rPr>
                                <w:rFonts w:ascii="Calibri" w:eastAsia="Calibri" w:hAnsi="Calibri" w:cs="Calibri"/>
                                <w:b/>
                                <w:i/>
                                <w:color w:val="00B0F0"/>
                                <w:sz w:val="70"/>
                              </w:rPr>
                              <w:t xml:space="preserve">Pharmacy services </w:t>
                            </w:r>
                            <w:r w:rsidR="004E562A">
                              <w:rPr>
                                <w:rFonts w:ascii="Calibri" w:eastAsia="Calibri" w:hAnsi="Calibri" w:cs="Calibri"/>
                                <w:color w:val="000000"/>
                                <w:sz w:val="28"/>
                              </w:rPr>
                              <w:t>Ionela Velichi</w:t>
                            </w:r>
                            <w:r>
                              <w:rPr>
                                <w:rFonts w:ascii="Calibri" w:eastAsia="Calibri" w:hAnsi="Calibri" w:cs="Calibri"/>
                                <w:color w:val="000000"/>
                                <w:sz w:val="28"/>
                              </w:rPr>
                              <w:t>,</w:t>
                            </w:r>
                            <w:r w:rsidR="004E562A">
                              <w:rPr>
                                <w:rFonts w:ascii="Calibri" w:eastAsia="Calibri" w:hAnsi="Calibri" w:cs="Calibri"/>
                                <w:color w:val="000000"/>
                                <w:sz w:val="28"/>
                              </w:rPr>
                              <w:t xml:space="preserve">  </w:t>
                            </w:r>
                          </w:p>
                          <w:p w14:paraId="51F087E9" w14:textId="2BD6A413" w:rsidR="00EF248B" w:rsidRPr="004E562A" w:rsidRDefault="004E562A" w:rsidP="004E562A">
                            <w:pPr>
                              <w:spacing w:line="258" w:lineRule="auto"/>
                              <w:jc w:val="center"/>
                              <w:textDirection w:val="btLr"/>
                              <w:rPr>
                                <w:rFonts w:ascii="Calibri" w:eastAsia="Calibri" w:hAnsi="Calibri" w:cs="Calibri"/>
                                <w:color w:val="000000"/>
                                <w:sz w:val="28"/>
                              </w:rPr>
                            </w:pPr>
                            <w:r>
                              <w:rPr>
                                <w:rFonts w:ascii="Calibri" w:eastAsia="Calibri" w:hAnsi="Calibri" w:cs="Calibri"/>
                                <w:color w:val="000000"/>
                                <w:sz w:val="28"/>
                              </w:rPr>
                              <w:t>Introduction to Health and Social Care</w:t>
                            </w:r>
                            <w:r w:rsidR="00000000">
                              <w:rPr>
                                <w:rFonts w:ascii="Calibri" w:eastAsia="Calibri" w:hAnsi="Calibri" w:cs="Calibri"/>
                                <w:color w:val="000000"/>
                                <w:sz w:val="28"/>
                              </w:rPr>
                              <w:t xml:space="preserve">, </w:t>
                            </w:r>
                            <w:r>
                              <w:rPr>
                                <w:rFonts w:ascii="Calibri" w:eastAsia="Calibri" w:hAnsi="Calibri" w:cs="Calibri"/>
                                <w:color w:val="000000"/>
                                <w:sz w:val="28"/>
                              </w:rPr>
                              <w:t>2438802@student.uwtsd.ac.uk</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427D62F7" id="Rectangle 1566670330" o:spid="_x0000_s1029" style="position:absolute;left:0;text-align:left;margin-left:60pt;margin-top:0;width:515.45pt;height:82.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6twGAIAAEcEAAAOAAAAZHJzL2Uyb0RvYy54bWysU9uO2jAQfa/Uf7D8XpKwQJeIsKqWUlVa&#10;dZG2/YDBsYkl32obEv6+Y0OBbStVqpoHZ2yPz5yZObN4GLQiB+6DtKah1aikhBtmW2l2Df32df3u&#10;npIQwbSgrOENPfJAH5Zv3yx6V/Ox7axquScIYkLdu4Z2Mbq6KALruIYwso4bvBTWa4i49bui9dAj&#10;ulbFuCxnRW9967xlPAQ8XZ0u6TLjC8FZfBYi8EhUQ5FbzKvP6zatxXIB9c6D6yQ704B/YKFBGgx6&#10;gVpBBLL38jcoLZm3wYo4YlYXVgjJeM4Bs6nKX7J56cDxnAsWJ7hLmcL/g2VfDi9u47EMvQt1QDNl&#10;MQiv0x/5kSEX63gpFh8iYXg4m05m42pKCcO7qpzczSe5nMX1ufMhfuJWk2Q01GM3cpHg8BQihkTX&#10;ny4pWrBKtmupVN743fZReXIA7Nw6f6lZ+OSVmzKkb+h8Ok5EAAUkFEQ0tWsbGswux3v1ItwCl/n7&#10;E3AitoLQnQhkhJNYtIyoWCV1Q+8vr6HuOLQfTUvi0aHMDYqdJmZBU6I4jgYaWWsRpPq7H6apDGZ7&#10;bUqy4rAdiMTE7hJWOtna9rjxJDi2lkj4CULcgEcFVxgdVY1xv+/BIxf12aBs5tUkVSrmzWT6vsSZ&#10;8Lc329sbMKyzOCxY0JP5GPPopP4Y+2EfrZC5j1cqZ86o1tyr82SlcbjdZ6/r/C9/AAAA//8DAFBL&#10;AwQUAAYACAAAACEAU0ZSidsAAAAJAQAADwAAAGRycy9kb3ducmV2LnhtbEyPzU7DQAyE70i8w8pI&#10;XBDdFEppQzYVROIIEikP4CYmidj1RtnND2+Pe4KL5dGMxp+zw+KsmmgInWcD61UCirjydceNgc/j&#10;6+0OVIjINVrPZOCHAhzyy4sM09rP/EFTGRslJRxSNNDG2Kdah6olh2Hle2LxvvzgMIocGl0POEu5&#10;s/ouSbbaYcdyocWeipaq73J0Bo7hvivIlo9hmsq3l2K8cTO+G3N9tTw/gYq0xL8wnPEFHXJhOvmR&#10;66CsaKmXqAGZZ3v9kOxBnWTbbjag80z//yD/BQAA//8DAFBLAQItABQABgAIAAAAIQC2gziS/gAA&#10;AOEBAAATAAAAAAAAAAAAAAAAAAAAAABbQ29udGVudF9UeXBlc10ueG1sUEsBAi0AFAAGAAgAAAAh&#10;ADj9If/WAAAAlAEAAAsAAAAAAAAAAAAAAAAALwEAAF9yZWxzLy5yZWxzUEsBAi0AFAAGAAgAAAAh&#10;AKe3q3AYAgAARwQAAA4AAAAAAAAAAAAAAAAALgIAAGRycy9lMm9Eb2MueG1sUEsBAi0AFAAGAAgA&#10;AAAhAFNGUonbAAAACQEAAA8AAAAAAAAAAAAAAAAAcgQAAGRycy9kb3ducmV2LnhtbFBLBQYAAAAA&#10;BAAEAPMAAAB6BQAAAAA=&#10;">
                <v:stroke startarrowwidth="narrow" startarrowlength="short" endarrowwidth="narrow" endarrowlength="short"/>
                <v:textbox inset="2.53958mm,1.2694mm,2.53958mm,1.2694mm">
                  <w:txbxContent>
                    <w:p w14:paraId="3006965C" w14:textId="77777777" w:rsidR="004E562A" w:rsidRDefault="00000000" w:rsidP="004E562A">
                      <w:pPr>
                        <w:spacing w:line="258" w:lineRule="auto"/>
                        <w:jc w:val="center"/>
                        <w:textDirection w:val="btLr"/>
                        <w:rPr>
                          <w:rFonts w:ascii="Calibri" w:eastAsia="Calibri" w:hAnsi="Calibri" w:cs="Calibri"/>
                          <w:color w:val="000000"/>
                          <w:sz w:val="28"/>
                        </w:rPr>
                      </w:pPr>
                      <w:r>
                        <w:rPr>
                          <w:rFonts w:ascii="Calibri" w:eastAsia="Calibri" w:hAnsi="Calibri" w:cs="Calibri"/>
                          <w:b/>
                          <w:i/>
                          <w:color w:val="00B0F0"/>
                          <w:sz w:val="70"/>
                        </w:rPr>
                        <w:t xml:space="preserve">Pharmacy services </w:t>
                      </w:r>
                      <w:r w:rsidR="004E562A">
                        <w:rPr>
                          <w:rFonts w:ascii="Calibri" w:eastAsia="Calibri" w:hAnsi="Calibri" w:cs="Calibri"/>
                          <w:color w:val="000000"/>
                          <w:sz w:val="28"/>
                        </w:rPr>
                        <w:t>Ionela Velichi</w:t>
                      </w:r>
                      <w:r>
                        <w:rPr>
                          <w:rFonts w:ascii="Calibri" w:eastAsia="Calibri" w:hAnsi="Calibri" w:cs="Calibri"/>
                          <w:color w:val="000000"/>
                          <w:sz w:val="28"/>
                        </w:rPr>
                        <w:t>,</w:t>
                      </w:r>
                      <w:r w:rsidR="004E562A">
                        <w:rPr>
                          <w:rFonts w:ascii="Calibri" w:eastAsia="Calibri" w:hAnsi="Calibri" w:cs="Calibri"/>
                          <w:color w:val="000000"/>
                          <w:sz w:val="28"/>
                        </w:rPr>
                        <w:t xml:space="preserve">  </w:t>
                      </w:r>
                    </w:p>
                    <w:p w14:paraId="51F087E9" w14:textId="2BD6A413" w:rsidR="00EF248B" w:rsidRPr="004E562A" w:rsidRDefault="004E562A" w:rsidP="004E562A">
                      <w:pPr>
                        <w:spacing w:line="258" w:lineRule="auto"/>
                        <w:jc w:val="center"/>
                        <w:textDirection w:val="btLr"/>
                        <w:rPr>
                          <w:rFonts w:ascii="Calibri" w:eastAsia="Calibri" w:hAnsi="Calibri" w:cs="Calibri"/>
                          <w:color w:val="000000"/>
                          <w:sz w:val="28"/>
                        </w:rPr>
                      </w:pPr>
                      <w:r>
                        <w:rPr>
                          <w:rFonts w:ascii="Calibri" w:eastAsia="Calibri" w:hAnsi="Calibri" w:cs="Calibri"/>
                          <w:color w:val="000000"/>
                          <w:sz w:val="28"/>
                        </w:rPr>
                        <w:t>Introduction to Health and Social Care</w:t>
                      </w:r>
                      <w:r w:rsidR="00000000">
                        <w:rPr>
                          <w:rFonts w:ascii="Calibri" w:eastAsia="Calibri" w:hAnsi="Calibri" w:cs="Calibri"/>
                          <w:color w:val="000000"/>
                          <w:sz w:val="28"/>
                        </w:rPr>
                        <w:t xml:space="preserve">, </w:t>
                      </w:r>
                      <w:r>
                        <w:rPr>
                          <w:rFonts w:ascii="Calibri" w:eastAsia="Calibri" w:hAnsi="Calibri" w:cs="Calibri"/>
                          <w:color w:val="000000"/>
                          <w:sz w:val="28"/>
                        </w:rPr>
                        <w:t>2438802@student.uwtsd.ac.uk</w:t>
                      </w:r>
                    </w:p>
                  </w:txbxContent>
                </v:textbox>
                <w10:wrap type="square"/>
              </v:rect>
            </w:pict>
          </mc:Fallback>
        </mc:AlternateContent>
      </w:r>
      <w:r w:rsidR="004E562A">
        <w:rPr>
          <w:noProof/>
        </w:rPr>
        <mc:AlternateContent>
          <mc:Choice Requires="wps">
            <w:drawing>
              <wp:anchor distT="45720" distB="45720" distL="114300" distR="114300" simplePos="0" relativeHeight="251662336" behindDoc="0" locked="0" layoutInCell="1" hidden="0" allowOverlap="1" wp14:anchorId="7FF3D487" wp14:editId="36C6D2F4">
                <wp:simplePos x="0" y="0"/>
                <wp:positionH relativeFrom="column">
                  <wp:posOffset>2465070</wp:posOffset>
                </wp:positionH>
                <wp:positionV relativeFrom="paragraph">
                  <wp:posOffset>1070610</wp:posOffset>
                </wp:positionV>
                <wp:extent cx="4052570" cy="2129790"/>
                <wp:effectExtent l="19050" t="19050" r="24130" b="22860"/>
                <wp:wrapSquare wrapText="bothSides" distT="45720" distB="45720" distL="114300" distR="114300"/>
                <wp:docPr id="1566670331" name="Rectangle 1566670331"/>
                <wp:cNvGraphicFramePr/>
                <a:graphic xmlns:a="http://schemas.openxmlformats.org/drawingml/2006/main">
                  <a:graphicData uri="http://schemas.microsoft.com/office/word/2010/wordprocessingShape">
                    <wps:wsp>
                      <wps:cNvSpPr/>
                      <wps:spPr>
                        <a:xfrm>
                          <a:off x="0" y="0"/>
                          <a:ext cx="4052570" cy="2129790"/>
                        </a:xfrm>
                        <a:prstGeom prst="rect">
                          <a:avLst/>
                        </a:prstGeom>
                        <a:solidFill>
                          <a:srgbClr val="FFFFFF"/>
                        </a:solidFill>
                        <a:ln w="44450" cap="flat" cmpd="sng">
                          <a:solidFill>
                            <a:srgbClr val="E36C09"/>
                          </a:solidFill>
                          <a:prstDash val="solid"/>
                          <a:miter lim="800000"/>
                          <a:headEnd type="none" w="sm" len="sm"/>
                          <a:tailEnd type="none" w="sm" len="sm"/>
                        </a:ln>
                      </wps:spPr>
                      <wps:txbx>
                        <w:txbxContent>
                          <w:p w14:paraId="263D694D" w14:textId="77777777" w:rsidR="00EF248B" w:rsidRDefault="00000000">
                            <w:pPr>
                              <w:spacing w:line="258" w:lineRule="auto"/>
                              <w:textDirection w:val="btLr"/>
                            </w:pPr>
                            <w:r>
                              <w:rPr>
                                <w:b/>
                                <w:color w:val="000000"/>
                                <w:sz w:val="24"/>
                              </w:rPr>
                              <w:t>Brief history</w:t>
                            </w:r>
                          </w:p>
                          <w:p w14:paraId="424BC9B4" w14:textId="73CBEB24" w:rsidR="00EF248B" w:rsidRDefault="00000000">
                            <w:pPr>
                              <w:spacing w:line="258" w:lineRule="auto"/>
                              <w:textDirection w:val="btLr"/>
                            </w:pPr>
                            <w:r>
                              <w:rPr>
                                <w:color w:val="000000"/>
                                <w:sz w:val="24"/>
                              </w:rPr>
                              <w:t xml:space="preserve">The origins of pharmacy services in the UK can be traced back to the early apothecaries of the 18th and 19th centuries, who prepared and sold medicines privately. Before the establishment of the NHS in 1948, pharmacy practice mainly remained commercial, and patients had to pay directly for medicines. The creation of the NHS can be recognised as a measure and significant turning point in the pharmacy aspects in the UK since it introduced a publicly funded healthcare system which focuses on the supply of prescribed medicine free at the point of use. The Medicines Act was implemented in 1968, which formally brought regulation to the sale and supply of medicines (Aronson and Ferner, 2017). </w:t>
                            </w:r>
                          </w:p>
                          <w:p w14:paraId="7085E304" w14:textId="77777777" w:rsidR="00EF248B" w:rsidRDefault="00000000">
                            <w:pPr>
                              <w:spacing w:line="258" w:lineRule="auto"/>
                              <w:textDirection w:val="btLr"/>
                            </w:pPr>
                            <w:r>
                              <w:rPr>
                                <w:color w:val="000000"/>
                                <w:sz w:val="24"/>
                              </w:rPr>
                              <w:t xml:space="preserve">This takes place with division into three categories, including prescription-only, pharmacy-only, and general sale medicines. In the 1960s and 1970s, the provision of hospital pharmacy departments expanded and pharmacy involvement in clinical decisions was more pronounced. At the same time, by the early 2000s, the rule of pharmacies began to evolve efficiently from the traditional dispensing to a clinical and patient-centred model. </w:t>
                            </w:r>
                          </w:p>
                          <w:p w14:paraId="5B630E7B" w14:textId="77777777" w:rsidR="00EF248B" w:rsidRDefault="00000000">
                            <w:pPr>
                              <w:spacing w:line="258" w:lineRule="auto"/>
                              <w:textDirection w:val="btLr"/>
                            </w:pPr>
                            <w:r>
                              <w:rPr>
                                <w:color w:val="000000"/>
                                <w:sz w:val="24"/>
                              </w:rPr>
                              <w:t xml:space="preserve">The new Community Pharmacy contractual framework was identified as a landmark for the effective development of Different pharmacies as Key Health professionals, particularly in the case of medicine management and prevention of disease. The integration of the pharmacy first service specifically in the context of ICS allows pharmacists to diagnose and treat common conditions of patients without referral to a general physician. These can further integrate pharmacy into more frontline care of the National Health Service. </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7FF3D487" id="Rectangle 1566670331" o:spid="_x0000_s1030" style="position:absolute;left:0;text-align:left;margin-left:194.1pt;margin-top:84.3pt;width:319.1pt;height:167.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bNMHQIAAEgEAAAOAAAAZHJzL2Uyb0RvYy54bWysVNuO2jAQfa/Uf7D8XhLSsLsgwqqCpaq0&#10;apG2/QDj2MSSb/UYEv6+Y0OBbStVqpoHM7bHZ86cmWH+OBhNDiKAcrah41FJibDctcruGvrt6/rd&#10;AyUQmW2ZdlY09CiAPi7evpn3fiYq1zndikAQxMKs9w3tYvSzogDeCcNg5LyweCldMCziNuyKNrAe&#10;0Y0uqrK8K3oXWh8cFwB4ujpd0kXGl1Lw+EVKEJHohiK3mNeQ121ai8WczXaB+U7xMw32DywMUxaD&#10;XqBWLDKyD+o3KKN4cOBkHHFnCiel4iLngNmMy1+yeemYFzkXFAf8RSb4f7D88+HFbwLK0HuYAZop&#10;i0EGk36RHxmyWMeLWGKIhONhXU6qyT1qyvGuGlfT+2mWs7g+9wHiR+EMSUZDA1Yji8QOzxAxJLr+&#10;dEnRwGnVrpXWeRN226UO5MCwcuv8pWLhk1du2pIeudT1JDFh2EFSs4im8W1Dwe5ywFdP4Bb56f3d&#10;spz+CTkxWzHoTgwywqlbjIrYslqZhj6U6Tsdd4K1T7Yl8eixzy12O03UwFCiBc4GGrnZIlP6736Y&#10;p7aY7rUqyYrDdiAKE6sTVjrZuva4CQQ8Xysk/MwgbljAFh5jdGxrjPt9zwJy0Z8s9s10XFcTnIO8&#10;qbF+KFu4vdne3jDLO4fTgoKezGXMs5MKZN2HfXRS5UJeqZw5Y7vmYp1HK83D7T57Xf8AFj8AAAD/&#10;/wMAUEsDBBQABgAIAAAAIQBCiSPu4QAAAAwBAAAPAAAAZHJzL2Rvd25yZXYueG1sTI/LbsIwEEX3&#10;lfoP1iB1V2xSEtw0DkJ9qBIbBH2sTTwkEfE4ig2kf1+zapeje3TvmWI52o6dcfCtIwWzqQCGVDnT&#10;Uq3g8+PtXgLzQZPRnSNU8IMeluXtTaFz4y60xfMu1CyWkM+1giaEPufcVw1a7aeuR4rZwQ1Wh3gO&#10;NTeDvsRy2/FEiIxb3VJcaHSPzw1Wx93JKliL71UYN/I1HF826/dF+vg1S41Sd5Nx9QQs4Bj+YLjq&#10;R3Uoo9Pench41il4kDKJaAwymQG7EiLJ5sD2ClIxF8DLgv9/ovwFAAD//wMAUEsBAi0AFAAGAAgA&#10;AAAhALaDOJL+AAAA4QEAABMAAAAAAAAAAAAAAAAAAAAAAFtDb250ZW50X1R5cGVzXS54bWxQSwEC&#10;LQAUAAYACAAAACEAOP0h/9YAAACUAQAACwAAAAAAAAAAAAAAAAAvAQAAX3JlbHMvLnJlbHNQSwEC&#10;LQAUAAYACAAAACEA5PWzTB0CAABIBAAADgAAAAAAAAAAAAAAAAAuAgAAZHJzL2Uyb0RvYy54bWxQ&#10;SwECLQAUAAYACAAAACEAQokj7uEAAAAMAQAADwAAAAAAAAAAAAAAAAB3BAAAZHJzL2Rvd25yZXYu&#10;eG1sUEsFBgAAAAAEAAQA8wAAAIUFAAAAAA==&#10;" strokecolor="#e36c09" strokeweight="3.5pt">
                <v:stroke startarrowwidth="narrow" startarrowlength="short" endarrowwidth="narrow" endarrowlength="short"/>
                <v:textbox inset="2.53958mm,1.2694mm,2.53958mm,1.2694mm">
                  <w:txbxContent>
                    <w:p w14:paraId="263D694D" w14:textId="77777777" w:rsidR="00EF248B" w:rsidRDefault="00000000">
                      <w:pPr>
                        <w:spacing w:line="258" w:lineRule="auto"/>
                        <w:textDirection w:val="btLr"/>
                      </w:pPr>
                      <w:r>
                        <w:rPr>
                          <w:b/>
                          <w:color w:val="000000"/>
                          <w:sz w:val="24"/>
                        </w:rPr>
                        <w:t>Brief history</w:t>
                      </w:r>
                    </w:p>
                    <w:p w14:paraId="424BC9B4" w14:textId="73CBEB24" w:rsidR="00EF248B" w:rsidRDefault="00000000">
                      <w:pPr>
                        <w:spacing w:line="258" w:lineRule="auto"/>
                        <w:textDirection w:val="btLr"/>
                      </w:pPr>
                      <w:r>
                        <w:rPr>
                          <w:color w:val="000000"/>
                          <w:sz w:val="24"/>
                        </w:rPr>
                        <w:t xml:space="preserve">The origins of pharmacy services in the UK can be traced back to the early apothecaries of the 18th and 19th centuries, who prepared and sold medicines privately. Before the establishment of the NHS in 1948, pharmacy practice mainly remained commercial, and patients had to pay directly for medicines. The creation of the NHS can be recognised as a measure and significant turning point in the pharmacy aspects in the UK since it introduced a publicly funded healthcare system which focuses on the supply of prescribed medicine free at the point of use. The Medicines Act was implemented in 1968, which formally brought regulation to the sale and supply of medicines (Aronson and Ferner, 2017). </w:t>
                      </w:r>
                    </w:p>
                    <w:p w14:paraId="7085E304" w14:textId="77777777" w:rsidR="00EF248B" w:rsidRDefault="00000000">
                      <w:pPr>
                        <w:spacing w:line="258" w:lineRule="auto"/>
                        <w:textDirection w:val="btLr"/>
                      </w:pPr>
                      <w:r>
                        <w:rPr>
                          <w:color w:val="000000"/>
                          <w:sz w:val="24"/>
                        </w:rPr>
                        <w:t xml:space="preserve">This takes place with division into three categories, including prescription-only, pharmacy-only, and general sale medicines. In the 1960s and 1970s, the provision of hospital pharmacy departments expanded and pharmacy involvement in clinical decisions was more pronounced. At the same time, by the early 2000s, the rule of pharmacies began to evolve efficiently from the traditional dispensing to a clinical and patient-centred model. </w:t>
                      </w:r>
                    </w:p>
                    <w:p w14:paraId="5B630E7B" w14:textId="77777777" w:rsidR="00EF248B" w:rsidRDefault="00000000">
                      <w:pPr>
                        <w:spacing w:line="258" w:lineRule="auto"/>
                        <w:textDirection w:val="btLr"/>
                      </w:pPr>
                      <w:r>
                        <w:rPr>
                          <w:color w:val="000000"/>
                          <w:sz w:val="24"/>
                        </w:rPr>
                        <w:t xml:space="preserve">The new Community Pharmacy contractual framework was identified as a landmark for the effective development of Different pharmacies as Key Health professionals, particularly in the case of medicine management and prevention of disease. The integration of the pharmacy first service specifically in the context of ICS allows pharmacists to diagnose and treat common conditions of patients without referral to a general physician. These can further integrate pharmacy into more frontline care of the National Health Service. </w:t>
                      </w:r>
                    </w:p>
                  </w:txbxContent>
                </v:textbox>
                <w10:wrap type="square"/>
              </v:rect>
            </w:pict>
          </mc:Fallback>
        </mc:AlternateContent>
      </w:r>
      <w:r w:rsidR="00C13B14">
        <w:rPr>
          <w:noProof/>
        </w:rPr>
        <mc:AlternateContent>
          <mc:Choice Requires="wps">
            <w:drawing>
              <wp:anchor distT="0" distB="0" distL="0" distR="0" simplePos="0" relativeHeight="251659264" behindDoc="1" locked="0" layoutInCell="1" hidden="0" allowOverlap="1" wp14:anchorId="600DA45C" wp14:editId="62FB02D8">
                <wp:simplePos x="0" y="0"/>
                <wp:positionH relativeFrom="column">
                  <wp:posOffset>-774065</wp:posOffset>
                </wp:positionH>
                <wp:positionV relativeFrom="paragraph">
                  <wp:posOffset>-235585</wp:posOffset>
                </wp:positionV>
                <wp:extent cx="10688320" cy="6870700"/>
                <wp:effectExtent l="0" t="0" r="0" b="0"/>
                <wp:wrapNone/>
                <wp:docPr id="1566670332" name="Rectangle 1566670332"/>
                <wp:cNvGraphicFramePr/>
                <a:graphic xmlns:a="http://schemas.openxmlformats.org/drawingml/2006/main">
                  <a:graphicData uri="http://schemas.microsoft.com/office/word/2010/wordprocessingShape">
                    <wps:wsp>
                      <wps:cNvSpPr/>
                      <wps:spPr>
                        <a:xfrm>
                          <a:off x="0" y="0"/>
                          <a:ext cx="10688320" cy="6870700"/>
                        </a:xfrm>
                        <a:prstGeom prst="rect">
                          <a:avLst/>
                        </a:prstGeom>
                        <a:solidFill>
                          <a:srgbClr val="7F7F7F">
                            <a:alpha val="45098"/>
                          </a:srgbClr>
                        </a:solidFill>
                        <a:ln w="12700" cap="flat" cmpd="sng">
                          <a:solidFill>
                            <a:srgbClr val="92D050"/>
                          </a:solidFill>
                          <a:prstDash val="solid"/>
                          <a:miter lim="800000"/>
                          <a:headEnd type="none" w="sm" len="sm"/>
                          <a:tailEnd type="none" w="sm" len="sm"/>
                        </a:ln>
                      </wps:spPr>
                      <wps:txbx>
                        <w:txbxContent>
                          <w:p w14:paraId="5E004BDE" w14:textId="77777777" w:rsidR="00EF248B" w:rsidRDefault="00EF248B">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600DA45C" id="Rectangle 1566670332" o:spid="_x0000_s1031" style="position:absolute;left:0;text-align:left;margin-left:-60.95pt;margin-top:-18.55pt;width:841.6pt;height:541pt;z-index:-251657216;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DWmJwIAAGwEAAAOAAAAZHJzL2Uyb0RvYy54bWysVNuO2jAQfa/Uf7D8XhLSBQIirKqlVJVW&#10;XaRtP2BwHGLJt9qGhL/v2GGBtqpWWjWRzMx4cubMjeV9ryQ5cueF0RUdj3JKuGamFnpf0R/fNx9K&#10;SnwAXYM0mlf0xD29X71/t+zsghemNbLmjiCI9ovOVrQNwS6yzLOWK/AjY7nGy8Y4BQFVt89qBx2i&#10;K5kVeT7NOuNq6wzj3qN1PVzSVcJvGs7CU9N4HoisKHIL6XTp3MUzWy1hsXdgW8HONOANLBQIjUEv&#10;UGsIQA5O/AWlBHPGmyaMmFGZaRrBeMoBsxnnf2Tz3ILlKRcsjreXMvn/B8u+HZ/t1mEZOusXHsWY&#10;Rd84FX+RH+lTsU6XYvE+EIbGcT4ty48FFpXh5bSc5bM81TO7fm+dD1+4USQKFXXYjlQlOD76gDHR&#10;9cUlhvNGinojpEyK2+8epCNHwNbNNvEdvpW2hcF6N8nnZWwh4vjBfZBvcaQmHbItIjvCAGeskRBQ&#10;VLauqNf7hPrv0PNinU9eEvvNLVJfg28HMulqmCclAg61FKqiZR6fwdxyqD/rmoSTxU3QuA80UvOK&#10;Eslxe1BI4xhAyNf9MGepMd1r36IU+l1PBCY2iVjRsjP1aeuIt2wjkPAj+LAFh0M+xug4+Bj35wEc&#10;cpFfNU7WfHxXTHBTbhV3q+xuFdCsNbhPLDhKBuUhpP2KPdTm0yGYRqReX8mcWeNIp3ad1y/uzK2e&#10;vK5/EqtfAAAA//8DAFBLAwQUAAYACAAAACEASnWT8eAAAAAOAQAADwAAAGRycy9kb3ducmV2Lnht&#10;bEyPwW7CMAyG75P2DpEn7QZpgHbQNUVs0qRxHBt305i2apNUSQrd2y+cxu23/On352I76Z5dyPnW&#10;GglingAjU1nVmlrCz/fHbA3MBzQKe2tIwi952JaPDwXmyl7NF10OoWaxxPgcJTQhDDnnvmpIo5/b&#10;gUzcna3TGOLoaq4cXmO57vkiSTKusTXxQoMDvTdUdYdRS8D0vBsz1XZvuB8/0yOGfeeUlM9P0+4V&#10;WKAp/MNw04/qUEankx2N8qyXMBMLsYlsTMsXAeyGpJlYAjvFlKxWG+Blwe/fKP8AAAD//wMAUEsB&#10;Ai0AFAAGAAgAAAAhALaDOJL+AAAA4QEAABMAAAAAAAAAAAAAAAAAAAAAAFtDb250ZW50X1R5cGVz&#10;XS54bWxQSwECLQAUAAYACAAAACEAOP0h/9YAAACUAQAACwAAAAAAAAAAAAAAAAAvAQAAX3JlbHMv&#10;LnJlbHNQSwECLQAUAAYACAAAACEANBA1picCAABsBAAADgAAAAAAAAAAAAAAAAAuAgAAZHJzL2Uy&#10;b0RvYy54bWxQSwECLQAUAAYACAAAACEASnWT8eAAAAAOAQAADwAAAAAAAAAAAAAAAACBBAAAZHJz&#10;L2Rvd25yZXYueG1sUEsFBgAAAAAEAAQA8wAAAI4FAAAAAA==&#10;" fillcolor="#7f7f7f" strokecolor="#92d050" strokeweight="1pt">
                <v:fill opacity="29555f"/>
                <v:stroke startarrowwidth="narrow" startarrowlength="short" endarrowwidth="narrow" endarrowlength="short"/>
                <v:textbox inset="2.53958mm,2.53958mm,2.53958mm,2.53958mm">
                  <w:txbxContent>
                    <w:p w14:paraId="5E004BDE" w14:textId="77777777" w:rsidR="00EF248B" w:rsidRDefault="00EF248B">
                      <w:pPr>
                        <w:spacing w:after="0" w:line="240" w:lineRule="auto"/>
                        <w:jc w:val="left"/>
                        <w:textDirection w:val="btLr"/>
                      </w:pPr>
                    </w:p>
                  </w:txbxContent>
                </v:textbox>
              </v:rect>
            </w:pict>
          </mc:Fallback>
        </mc:AlternateContent>
      </w:r>
      <w:r w:rsidR="00000000">
        <w:rPr>
          <w:noProof/>
        </w:rPr>
        <mc:AlternateContent>
          <mc:Choice Requires="wps">
            <w:drawing>
              <wp:anchor distT="45720" distB="45720" distL="114300" distR="114300" simplePos="0" relativeHeight="251663360" behindDoc="0" locked="0" layoutInCell="1" hidden="0" allowOverlap="1" wp14:anchorId="097315FD" wp14:editId="6EFF6540">
                <wp:simplePos x="0" y="0"/>
                <wp:positionH relativeFrom="column">
                  <wp:posOffset>6569075</wp:posOffset>
                </wp:positionH>
                <wp:positionV relativeFrom="paragraph">
                  <wp:posOffset>1073150</wp:posOffset>
                </wp:positionV>
                <wp:extent cx="3081655" cy="2511425"/>
                <wp:effectExtent l="0" t="0" r="0" b="0"/>
                <wp:wrapSquare wrapText="bothSides" distT="45720" distB="45720" distL="114300" distR="114300"/>
                <wp:docPr id="1566670328" name="Rectangle 1566670328"/>
                <wp:cNvGraphicFramePr/>
                <a:graphic xmlns:a="http://schemas.openxmlformats.org/drawingml/2006/main">
                  <a:graphicData uri="http://schemas.microsoft.com/office/word/2010/wordprocessingShape">
                    <wps:wsp>
                      <wps:cNvSpPr/>
                      <wps:spPr>
                        <a:xfrm>
                          <a:off x="3827398" y="2546513"/>
                          <a:ext cx="3037205" cy="2466975"/>
                        </a:xfrm>
                        <a:prstGeom prst="rect">
                          <a:avLst/>
                        </a:prstGeom>
                        <a:solidFill>
                          <a:srgbClr val="FFFFFF"/>
                        </a:solidFill>
                        <a:ln w="44450" cap="flat" cmpd="sng">
                          <a:solidFill>
                            <a:schemeClr val="accent1"/>
                          </a:solidFill>
                          <a:prstDash val="solid"/>
                          <a:miter lim="800000"/>
                          <a:headEnd type="none" w="sm" len="sm"/>
                          <a:tailEnd type="none" w="sm" len="sm"/>
                        </a:ln>
                      </wps:spPr>
                      <wps:txbx>
                        <w:txbxContent>
                          <w:p w14:paraId="714C69B1" w14:textId="77777777" w:rsidR="00EF248B" w:rsidRDefault="00000000">
                            <w:pPr>
                              <w:spacing w:line="258" w:lineRule="auto"/>
                              <w:jc w:val="center"/>
                              <w:textDirection w:val="btLr"/>
                            </w:pPr>
                            <w:r>
                              <w:rPr>
                                <w:b/>
                                <w:color w:val="385623"/>
                                <w:sz w:val="24"/>
                              </w:rPr>
                              <w:t>Current functioning</w:t>
                            </w:r>
                          </w:p>
                          <w:p w14:paraId="0748D191" w14:textId="77777777" w:rsidR="00EF248B" w:rsidRDefault="00000000">
                            <w:pPr>
                              <w:spacing w:after="0" w:line="258" w:lineRule="auto"/>
                              <w:textDirection w:val="btLr"/>
                            </w:pPr>
                            <w:r>
                              <w:rPr>
                                <w:color w:val="000000"/>
                                <w:sz w:val="24"/>
                              </w:rPr>
                              <w:t xml:space="preserve">In recent days, Pharmacy Services operates in the UK within a structured framework under the NHS, which is regulated and commissioned through several key organisations. </w:t>
                            </w:r>
                          </w:p>
                          <w:p w14:paraId="0F9C534A" w14:textId="77777777" w:rsidR="00EF248B" w:rsidRDefault="00000000">
                            <w:pPr>
                              <w:spacing w:after="0" w:line="258" w:lineRule="auto"/>
                              <w:textDirection w:val="btLr"/>
                            </w:pPr>
                            <w:r>
                              <w:rPr>
                                <w:color w:val="000000"/>
                                <w:sz w:val="24"/>
                              </w:rPr>
                              <w:t xml:space="preserve">The General Pharmaceutical Council (GPhC) focuses on professional registration, which helps to ensure that pharmacy technicians and pharmacies </w:t>
                            </w:r>
                            <w:proofErr w:type="gramStart"/>
                            <w:r>
                              <w:rPr>
                                <w:color w:val="000000"/>
                                <w:sz w:val="24"/>
                              </w:rPr>
                              <w:t>are able to</w:t>
                            </w:r>
                            <w:proofErr w:type="gramEnd"/>
                            <w:r>
                              <w:rPr>
                                <w:color w:val="000000"/>
                                <w:sz w:val="24"/>
                              </w:rPr>
                              <w:t xml:space="preserve"> meet required standards of practice (</w:t>
                            </w:r>
                            <w:proofErr w:type="spellStart"/>
                            <w:r>
                              <w:rPr>
                                <w:color w:val="000000"/>
                                <w:sz w:val="24"/>
                              </w:rPr>
                              <w:t>Fovargue</w:t>
                            </w:r>
                            <w:proofErr w:type="spellEnd"/>
                            <w:r>
                              <w:rPr>
                                <w:color w:val="000000"/>
                                <w:sz w:val="24"/>
                              </w:rPr>
                              <w:t xml:space="preserve"> and Neal, 2021). On the other hand, the Medicines and Healthcare Products Regulatory Agency (MHRA) </w:t>
                            </w:r>
                            <w:proofErr w:type="gramStart"/>
                            <w:r>
                              <w:rPr>
                                <w:color w:val="000000"/>
                                <w:sz w:val="24"/>
                              </w:rPr>
                              <w:t>is</w:t>
                            </w:r>
                            <w:proofErr w:type="gramEnd"/>
                            <w:r>
                              <w:rPr>
                                <w:color w:val="000000"/>
                                <w:sz w:val="24"/>
                              </w:rPr>
                              <w:t xml:space="preserve"> highly responsible for maintaining the safety, quality and efficiency of each medicine used in the UK (Aziza, 2022). </w:t>
                            </w:r>
                          </w:p>
                          <w:p w14:paraId="7B33E66A" w14:textId="77777777" w:rsidR="00EF248B" w:rsidRDefault="00000000">
                            <w:pPr>
                              <w:spacing w:after="0" w:line="258" w:lineRule="auto"/>
                              <w:textDirection w:val="btLr"/>
                            </w:pPr>
                            <w:r>
                              <w:rPr>
                                <w:color w:val="000000"/>
                                <w:sz w:val="24"/>
                              </w:rPr>
                              <w:t>In this aspect, England Commissioned Community Pharmacy provides services with the help of the Community Pharmacy Contractual Framework (CPCF). Pharmacies in the UK currently provide three main tiers of services, which have been listed in the section below,</w:t>
                            </w:r>
                          </w:p>
                          <w:p w14:paraId="111B7AFA" w14:textId="77777777" w:rsidR="00EF248B" w:rsidRDefault="00000000">
                            <w:pPr>
                              <w:spacing w:after="0" w:line="258" w:lineRule="auto"/>
                              <w:textDirection w:val="btLr"/>
                            </w:pPr>
                            <w:r>
                              <w:rPr>
                                <w:color w:val="000000"/>
                                <w:sz w:val="24"/>
                              </w:rPr>
                              <w:t>The services, which are vital, are the dispensing of prescriptions, the disposal of the unwanted medicines, and the promotion of healthy living.</w:t>
                            </w:r>
                          </w:p>
                          <w:p w14:paraId="66499612" w14:textId="77777777" w:rsidR="00EF248B" w:rsidRDefault="00000000">
                            <w:pPr>
                              <w:spacing w:after="0" w:line="258" w:lineRule="auto"/>
                              <w:textDirection w:val="btLr"/>
                            </w:pPr>
                            <w:r>
                              <w:rPr>
                                <w:color w:val="000000"/>
                                <w:sz w:val="24"/>
                              </w:rPr>
                              <w:t>The clinical services offered under the advanced services include the New Medicine Service (NMS), flu vaccination, and appliance use review.</w:t>
                            </w:r>
                          </w:p>
                          <w:p w14:paraId="300F14CB" w14:textId="77777777" w:rsidR="00EF248B" w:rsidRDefault="00000000">
                            <w:pPr>
                              <w:spacing w:after="0" w:line="258" w:lineRule="auto"/>
                              <w:textDirection w:val="btLr"/>
                            </w:pPr>
                            <w:r>
                              <w:rPr>
                                <w:color w:val="000000"/>
                                <w:sz w:val="24"/>
                              </w:rPr>
                              <w:t>There are also improved services like stop-smoking programmes, sexual health services and blood pressure services based on the local requirements.</w:t>
                            </w:r>
                          </w:p>
                          <w:p w14:paraId="4D9D8AEF" w14:textId="77777777" w:rsidR="00EF248B" w:rsidRDefault="00000000">
                            <w:pPr>
                              <w:spacing w:after="0" w:line="258" w:lineRule="auto"/>
                              <w:textDirection w:val="btLr"/>
                            </w:pPr>
                            <w:r>
                              <w:rPr>
                                <w:color w:val="000000"/>
                                <w:sz w:val="24"/>
                              </w:rPr>
                              <w:t xml:space="preserve">In addition, the implementation of the Electronic Prescription Service (EPS) has changed how prescription is handled (Sudarsono et al. 2025). </w:t>
                            </w:r>
                          </w:p>
                          <w:p w14:paraId="2FE7CED6" w14:textId="77777777" w:rsidR="00EF248B" w:rsidRDefault="00000000">
                            <w:pPr>
                              <w:spacing w:after="0" w:line="258" w:lineRule="auto"/>
                              <w:textDirection w:val="btLr"/>
                            </w:pPr>
                            <w:r>
                              <w:rPr>
                                <w:color w:val="000000"/>
                                <w:sz w:val="24"/>
                              </w:rPr>
                              <w:t xml:space="preserve">This will enable general physicians to electronically order the prescription drug to the pharmacy of the choice of the patient. This has enhanced efficiency and minimized administrative burden to both the patients and the </w:t>
                            </w:r>
                            <w:r>
                              <w:rPr>
                                <w:b/>
                                <w:color w:val="000000"/>
                                <w:sz w:val="24"/>
                              </w:rPr>
                              <w:t>practitioners.</w:t>
                            </w:r>
                          </w:p>
                          <w:p w14:paraId="6AF6C3AD" w14:textId="77777777" w:rsidR="00EF248B" w:rsidRDefault="00EF248B">
                            <w:pPr>
                              <w:spacing w:after="0" w:line="258" w:lineRule="auto"/>
                              <w:ind w:left="360" w:firstLine="360"/>
                              <w:textDirection w:val="btLr"/>
                            </w:pPr>
                          </w:p>
                        </w:txbxContent>
                      </wps:txbx>
                      <wps:bodyPr spcFirstLastPara="1" wrap="square" lIns="91425" tIns="45700" rIns="91425" bIns="45700" anchor="t" anchorCtr="0">
                        <a:noAutofit/>
                      </wps:bodyPr>
                    </wps:wsp>
                  </a:graphicData>
                </a:graphic>
              </wp:anchor>
            </w:drawing>
          </mc:Choice>
          <mc:Fallback>
            <w:pict>
              <v:rect w14:anchorId="097315FD" id="Rectangle 1566670328" o:spid="_x0000_s1032" style="position:absolute;left:0;text-align:left;margin-left:517.25pt;margin-top:84.5pt;width:242.65pt;height:197.75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F+8KAIAAFcEAAAOAAAAZHJzL2Uyb0RvYy54bWysVNuO0zAQfUfiHyy/01ya9KamK7SlCGkF&#10;Ky18wNRxGku+Ybu3v2fslLYLSEiIPDhje3LmzMyZLB9OSpIDd14Y3dBilFPCNTOt0LuGfvu6eTej&#10;xAfQLUijeUPP3NOH1ds3y6Nd8NL0RrbcEQTRfnG0De1DsIss86znCvzIWK7xsjNOQcCt22WtgyOi&#10;K5mVeT7Jjsa11hnGvcfT9XBJVwm/6zgLX7rO80BkQ5FbSKtL6zau2WoJi50D2wt2oQH/wEKB0Bj0&#10;CrWGAGTvxG9QSjBnvOnCiBmVma4TjKccMJsi/yWblx4sT7lgcby9lsn/P1j2+fBinx2W4Wj9wqMZ&#10;szh1TsU38iOnho5n5XQ8x06eG1rW1aQuxkPh+CkQFh3y8bTMa0pY9Kgmk/m0jh7ZDco6Hz5yo0g0&#10;GuqwM6lgcHjyYXD96RIjeyNFuxFSpo3bbR+lIwfALm7Sc0F/5SY1OTa0qqoaO80A1dRJCGgq2zbU&#10;610K+OqTpDN+xQbGuA7Fn8AjuTX4fiCRQIYaKBFQwVKohs7y+AzHPYf2g25JOFuUvUbx08jOK0ok&#10;x1FBI2kvgJB/98NCSo31vDUpWuG0PRGBuU0iVjzZmvb87Ii3bCOQ8BP48AwOFV1gdFQ5xv2+B4dc&#10;5CeNMpoXVYltC2lT1VNkT9z9zfb+BjTrDQ4P1nQwH0Mapdgjbd7vg+lE6uWNyoUzqjep4TJpcTzu&#10;98nr9j9Y/QAAAP//AwBQSwMEFAAGAAgAAAAhACAiuNTdAAAADQEAAA8AAABkcnMvZG93bnJldi54&#10;bWxMj81OwzAQhO9IvIO1SNyo3UKiNsSpEH/iSkGcN/ESR43tKHaa8PZsT3Db0XyanSn3i+vFicbY&#10;Ba9hvVIgyDfBdL7V8PnxcrMFERN6g33wpOGHIuyry4sSCxNm/06nQ2oFh/hYoAab0lBIGRtLDuMq&#10;DOTZ+w6jw8RybKUZceZw18uNUrl02Hn+YHGgR0vN8TA5DbWcn6Ldvh0zDF+KXjtym+dJ6+ur5eEe&#10;RKIl/cFwrs/VoeJOdZi8iaJnrW7vMmb5yne86oxk6x3PqTVkOXuyKuX/FdUvAAAA//8DAFBLAQIt&#10;ABQABgAIAAAAIQC2gziS/gAAAOEBAAATAAAAAAAAAAAAAAAAAAAAAABbQ29udGVudF9UeXBlc10u&#10;eG1sUEsBAi0AFAAGAAgAAAAhADj9If/WAAAAlAEAAAsAAAAAAAAAAAAAAAAALwEAAF9yZWxzLy5y&#10;ZWxzUEsBAi0AFAAGAAgAAAAhAIQAX7woAgAAVwQAAA4AAAAAAAAAAAAAAAAALgIAAGRycy9lMm9E&#10;b2MueG1sUEsBAi0AFAAGAAgAAAAhACAiuNTdAAAADQEAAA8AAAAAAAAAAAAAAAAAggQAAGRycy9k&#10;b3ducmV2LnhtbFBLBQYAAAAABAAEAPMAAACMBQAAAAA=&#10;" strokecolor="#4f81bd [3204]" strokeweight="3.5pt">
                <v:stroke startarrowwidth="narrow" startarrowlength="short" endarrowwidth="narrow" endarrowlength="short"/>
                <v:textbox inset="2.53958mm,1.2694mm,2.53958mm,1.2694mm">
                  <w:txbxContent>
                    <w:p w14:paraId="714C69B1" w14:textId="77777777" w:rsidR="00EF248B" w:rsidRDefault="00000000">
                      <w:pPr>
                        <w:spacing w:line="258" w:lineRule="auto"/>
                        <w:jc w:val="center"/>
                        <w:textDirection w:val="btLr"/>
                      </w:pPr>
                      <w:r>
                        <w:rPr>
                          <w:b/>
                          <w:color w:val="385623"/>
                          <w:sz w:val="24"/>
                        </w:rPr>
                        <w:t>Current functioning</w:t>
                      </w:r>
                    </w:p>
                    <w:p w14:paraId="0748D191" w14:textId="77777777" w:rsidR="00EF248B" w:rsidRDefault="00000000">
                      <w:pPr>
                        <w:spacing w:after="0" w:line="258" w:lineRule="auto"/>
                        <w:textDirection w:val="btLr"/>
                      </w:pPr>
                      <w:r>
                        <w:rPr>
                          <w:color w:val="000000"/>
                          <w:sz w:val="24"/>
                        </w:rPr>
                        <w:t xml:space="preserve">In recent days, Pharmacy Services operates in the UK within a structured framework under the NHS, which is regulated and commissioned through several key organisations. </w:t>
                      </w:r>
                    </w:p>
                    <w:p w14:paraId="0F9C534A" w14:textId="77777777" w:rsidR="00EF248B" w:rsidRDefault="00000000">
                      <w:pPr>
                        <w:spacing w:after="0" w:line="258" w:lineRule="auto"/>
                        <w:textDirection w:val="btLr"/>
                      </w:pPr>
                      <w:r>
                        <w:rPr>
                          <w:color w:val="000000"/>
                          <w:sz w:val="24"/>
                        </w:rPr>
                        <w:t xml:space="preserve">The General Pharmaceutical Council (GPhC) focuses on professional registration, which helps to ensure that pharmacy technicians and pharmacies </w:t>
                      </w:r>
                      <w:proofErr w:type="gramStart"/>
                      <w:r>
                        <w:rPr>
                          <w:color w:val="000000"/>
                          <w:sz w:val="24"/>
                        </w:rPr>
                        <w:t>are able to</w:t>
                      </w:r>
                      <w:proofErr w:type="gramEnd"/>
                      <w:r>
                        <w:rPr>
                          <w:color w:val="000000"/>
                          <w:sz w:val="24"/>
                        </w:rPr>
                        <w:t xml:space="preserve"> meet required standards of practice (</w:t>
                      </w:r>
                      <w:proofErr w:type="spellStart"/>
                      <w:r>
                        <w:rPr>
                          <w:color w:val="000000"/>
                          <w:sz w:val="24"/>
                        </w:rPr>
                        <w:t>Fovargue</w:t>
                      </w:r>
                      <w:proofErr w:type="spellEnd"/>
                      <w:r>
                        <w:rPr>
                          <w:color w:val="000000"/>
                          <w:sz w:val="24"/>
                        </w:rPr>
                        <w:t xml:space="preserve"> and Neal, 2021). On the other hand, the Medicines and Healthcare Products Regulatory Agency (MHRA) </w:t>
                      </w:r>
                      <w:proofErr w:type="gramStart"/>
                      <w:r>
                        <w:rPr>
                          <w:color w:val="000000"/>
                          <w:sz w:val="24"/>
                        </w:rPr>
                        <w:t>is</w:t>
                      </w:r>
                      <w:proofErr w:type="gramEnd"/>
                      <w:r>
                        <w:rPr>
                          <w:color w:val="000000"/>
                          <w:sz w:val="24"/>
                        </w:rPr>
                        <w:t xml:space="preserve"> highly responsible for maintaining the safety, quality and efficiency of each medicine used in the UK (Aziza, 2022). </w:t>
                      </w:r>
                    </w:p>
                    <w:p w14:paraId="7B33E66A" w14:textId="77777777" w:rsidR="00EF248B" w:rsidRDefault="00000000">
                      <w:pPr>
                        <w:spacing w:after="0" w:line="258" w:lineRule="auto"/>
                        <w:textDirection w:val="btLr"/>
                      </w:pPr>
                      <w:r>
                        <w:rPr>
                          <w:color w:val="000000"/>
                          <w:sz w:val="24"/>
                        </w:rPr>
                        <w:t>In this aspect, England Commissioned Community Pharmacy provides services with the help of the Community Pharmacy Contractual Framework (CPCF). Pharmacies in the UK currently provide three main tiers of services, which have been listed in the section below,</w:t>
                      </w:r>
                    </w:p>
                    <w:p w14:paraId="111B7AFA" w14:textId="77777777" w:rsidR="00EF248B" w:rsidRDefault="00000000">
                      <w:pPr>
                        <w:spacing w:after="0" w:line="258" w:lineRule="auto"/>
                        <w:textDirection w:val="btLr"/>
                      </w:pPr>
                      <w:r>
                        <w:rPr>
                          <w:color w:val="000000"/>
                          <w:sz w:val="24"/>
                        </w:rPr>
                        <w:t>The services, which are vital, are the dispensing of prescriptions, the disposal of the unwanted medicines, and the promotion of healthy living.</w:t>
                      </w:r>
                    </w:p>
                    <w:p w14:paraId="66499612" w14:textId="77777777" w:rsidR="00EF248B" w:rsidRDefault="00000000">
                      <w:pPr>
                        <w:spacing w:after="0" w:line="258" w:lineRule="auto"/>
                        <w:textDirection w:val="btLr"/>
                      </w:pPr>
                      <w:r>
                        <w:rPr>
                          <w:color w:val="000000"/>
                          <w:sz w:val="24"/>
                        </w:rPr>
                        <w:t>The clinical services offered under the advanced services include the New Medicine Service (NMS), flu vaccination, and appliance use review.</w:t>
                      </w:r>
                    </w:p>
                    <w:p w14:paraId="300F14CB" w14:textId="77777777" w:rsidR="00EF248B" w:rsidRDefault="00000000">
                      <w:pPr>
                        <w:spacing w:after="0" w:line="258" w:lineRule="auto"/>
                        <w:textDirection w:val="btLr"/>
                      </w:pPr>
                      <w:r>
                        <w:rPr>
                          <w:color w:val="000000"/>
                          <w:sz w:val="24"/>
                        </w:rPr>
                        <w:t>There are also improved services like stop-smoking programmes, sexual health services and blood pressure services based on the local requirements.</w:t>
                      </w:r>
                    </w:p>
                    <w:p w14:paraId="4D9D8AEF" w14:textId="77777777" w:rsidR="00EF248B" w:rsidRDefault="00000000">
                      <w:pPr>
                        <w:spacing w:after="0" w:line="258" w:lineRule="auto"/>
                        <w:textDirection w:val="btLr"/>
                      </w:pPr>
                      <w:r>
                        <w:rPr>
                          <w:color w:val="000000"/>
                          <w:sz w:val="24"/>
                        </w:rPr>
                        <w:t xml:space="preserve">In addition, the implementation of the Electronic Prescription Service (EPS) has changed how prescription is handled (Sudarsono et al. 2025). </w:t>
                      </w:r>
                    </w:p>
                    <w:p w14:paraId="2FE7CED6" w14:textId="77777777" w:rsidR="00EF248B" w:rsidRDefault="00000000">
                      <w:pPr>
                        <w:spacing w:after="0" w:line="258" w:lineRule="auto"/>
                        <w:textDirection w:val="btLr"/>
                      </w:pPr>
                      <w:r>
                        <w:rPr>
                          <w:color w:val="000000"/>
                          <w:sz w:val="24"/>
                        </w:rPr>
                        <w:t xml:space="preserve">This will enable general physicians to electronically order the prescription drug to the pharmacy of the choice of the patient. This has enhanced efficiency and minimized administrative burden to both the patients and the </w:t>
                      </w:r>
                      <w:r>
                        <w:rPr>
                          <w:b/>
                          <w:color w:val="000000"/>
                          <w:sz w:val="24"/>
                        </w:rPr>
                        <w:t>practitioners.</w:t>
                      </w:r>
                    </w:p>
                    <w:p w14:paraId="6AF6C3AD" w14:textId="77777777" w:rsidR="00EF248B" w:rsidRDefault="00EF248B">
                      <w:pPr>
                        <w:spacing w:after="0" w:line="258" w:lineRule="auto"/>
                        <w:ind w:left="360" w:firstLine="360"/>
                        <w:textDirection w:val="btLr"/>
                      </w:pPr>
                    </w:p>
                  </w:txbxContent>
                </v:textbox>
                <w10:wrap type="square"/>
              </v:rect>
            </w:pict>
          </mc:Fallback>
        </mc:AlternateContent>
      </w:r>
      <w:r w:rsidR="00000000">
        <w:rPr>
          <w:noProof/>
        </w:rPr>
        <mc:AlternateContent>
          <mc:Choice Requires="wps">
            <w:drawing>
              <wp:anchor distT="45720" distB="45720" distL="114300" distR="114300" simplePos="0" relativeHeight="251666432" behindDoc="0" locked="0" layoutInCell="1" hidden="0" allowOverlap="1" wp14:anchorId="35E4057E" wp14:editId="07B3728B">
                <wp:simplePos x="0" y="0"/>
                <wp:positionH relativeFrom="column">
                  <wp:posOffset>2400300</wp:posOffset>
                </wp:positionH>
                <wp:positionV relativeFrom="paragraph">
                  <wp:posOffset>3200400</wp:posOffset>
                </wp:positionV>
                <wp:extent cx="4095750" cy="2476500"/>
                <wp:effectExtent l="0" t="0" r="0" b="0"/>
                <wp:wrapSquare wrapText="bothSides" distT="45720" distB="45720" distL="114300" distR="114300"/>
                <wp:docPr id="1566670326" name="Rectangle 1566670326"/>
                <wp:cNvGraphicFramePr/>
                <a:graphic xmlns:a="http://schemas.openxmlformats.org/drawingml/2006/main">
                  <a:graphicData uri="http://schemas.microsoft.com/office/word/2010/wordprocessingShape">
                    <wps:wsp>
                      <wps:cNvSpPr/>
                      <wps:spPr>
                        <a:xfrm>
                          <a:off x="0" y="0"/>
                          <a:ext cx="4095750" cy="2476500"/>
                        </a:xfrm>
                        <a:prstGeom prst="rect">
                          <a:avLst/>
                        </a:prstGeom>
                        <a:solidFill>
                          <a:srgbClr val="FFFFFF"/>
                        </a:solidFill>
                        <a:ln w="47625" cap="flat" cmpd="sng">
                          <a:solidFill>
                            <a:schemeClr val="bg2">
                              <a:lumMod val="75000"/>
                            </a:schemeClr>
                          </a:solidFill>
                          <a:prstDash val="solid"/>
                          <a:miter lim="800000"/>
                          <a:headEnd type="none" w="sm" len="sm"/>
                          <a:tailEnd type="none" w="sm" len="sm"/>
                        </a:ln>
                      </wps:spPr>
                      <wps:txbx>
                        <w:txbxContent>
                          <w:p w14:paraId="61528BC3" w14:textId="77777777" w:rsidR="00000000" w:rsidRDefault="00000000" w:rsidP="00FB1736">
                            <w:pPr>
                              <w:spacing w:line="258" w:lineRule="auto"/>
                              <w:textDirection w:val="btLr"/>
                            </w:pPr>
                            <w:r>
                              <w:rPr>
                                <w:noProof/>
                              </w:rPr>
                              <w:drawing>
                                <wp:inline distT="0" distB="0" distL="0" distR="0" wp14:anchorId="126CFEFB" wp14:editId="68AC9B54">
                                  <wp:extent cx="3952630" cy="2354580"/>
                                  <wp:effectExtent l="0" t="0" r="0" b="7620"/>
                                  <wp:docPr id="126913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33559" name=""/>
                                          <pic:cNvPicPr/>
                                        </pic:nvPicPr>
                                        <pic:blipFill>
                                          <a:blip r:embed="rId10"/>
                                          <a:stretch>
                                            <a:fillRect/>
                                          </a:stretch>
                                        </pic:blipFill>
                                        <pic:spPr>
                                          <a:xfrm>
                                            <a:off x="0" y="0"/>
                                            <a:ext cx="4009959" cy="2388731"/>
                                          </a:xfrm>
                                          <a:prstGeom prst="rect">
                                            <a:avLst/>
                                          </a:prstGeom>
                                        </pic:spPr>
                                      </pic:pic>
                                    </a:graphicData>
                                  </a:graphic>
                                </wp:inline>
                              </w:drawing>
                            </w:r>
                          </w:p>
                        </w:txbxContent>
                      </wps:txbx>
                      <wps:bodyPr spcFirstLastPara="1" wrap="square" lIns="91425" tIns="45700" rIns="91425" bIns="45700" anchor="t" anchorCtr="0">
                        <a:noAutofit/>
                      </wps:bodyPr>
                    </wps:wsp>
                  </a:graphicData>
                </a:graphic>
              </wp:anchor>
            </w:drawing>
          </mc:Choice>
          <mc:Fallback>
            <w:pict>
              <v:rect w14:anchorId="35E4057E" id="Rectangle 1566670326" o:spid="_x0000_s1033" style="position:absolute;left:0;text-align:left;margin-left:189pt;margin-top:252pt;width:322.5pt;height:195pt;z-index:25166643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xPeKgIAAGsEAAAOAAAAZHJzL2Uyb0RvYy54bWysVNtu2zAMfR+wfxD0vtgJcmmNOMXQLMOA&#10;bg3Q7QNoWbYF6DZJSZy/HyVnTro+DBiWB4WSqMPDQ9Lrh15JcuTOC6NLOp3klHDNTC10W9If33cf&#10;7ijxAXQN0mhe0jP39GHz/t36ZAs+M52RNXcEQbQvTrakXQi2yDLPOq7AT4zlGi8b4xQE3Lo2qx2c&#10;EF3JbJbny+xkXG2dYdx7PN0Ol3ST8JuGs/DcNJ4HIkuK3EJaXVqruGabNRStA9sJdqEB/8BCgdAY&#10;dITaQgBycOINlBLMGW+aMGFGZaZpBOMpB8xmmv+RzUsHlqdcUBxvR5n8/4Nl344vdu9QhpP1hUcz&#10;ZtE3TsV/5Ef6JNZ5FIv3gTA8nOf3i9UCNWV4N5uvlos8yZldn1vnw2duFIlGSR1WI4kExycfMCS6&#10;/naJ0byRot4JKdPGtdWjdOQIWLld+sVi4ZNXblKTE3JZLWcLZALYQY2EgKaydUm9blPAV09Sb/ER&#10;u2pnyUce1FdTD/EwrzGZ0f1t8Eh+C74bHqUgQ0MpEbCrpVAlvUOkAQuKjkP9SdcknC2OgsaBoJG9&#10;V5RIjuODRurHAEL+3Q+lkBpJXQsXrdBXPRGY+ypixZPK1Oe9I96ynUDCT+DDHhx2+RSjY+dj3J8H&#10;cMhFftHYWvfTeRQzpM18sUL2xN3eVLc3oFlncKBQ88F8DGm8Yg21+XgIphGp1lcqF87Y0UnSy/TF&#10;kbndJ6/rN2LzCwAA//8DAFBLAwQUAAYACAAAACEAUesKaOAAAAAMAQAADwAAAGRycy9kb3ducmV2&#10;LnhtbEyPzU7DMBCE70i8g7VI3KhNyk8asqkQ0Au3hla9uolJotrrELtt6NOzPdHb7O5o9pt8Pjor&#10;DmYInSeE+4kCYajydUcNwuprcZeCCFFTra0ng/BrAsyL66tcZ7U/0tIcytgIDqGQaYQ2xj6TMlSt&#10;cTpMfG+Ib99+cDryODSyHvSRw52ViVJP0umO+EOre/PWmmpX7h3CZlWFTn+e3sv10n4kdh03u58Z&#10;4u3N+PoCIpox/pvhjM/oUDDT1u+pDsIiTJ9T7hIRHtUDi7NDJVNWW4R0xitZ5PKyRPEHAAD//wMA&#10;UEsBAi0AFAAGAAgAAAAhALaDOJL+AAAA4QEAABMAAAAAAAAAAAAAAAAAAAAAAFtDb250ZW50X1R5&#10;cGVzXS54bWxQSwECLQAUAAYACAAAACEAOP0h/9YAAACUAQAACwAAAAAAAAAAAAAAAAAvAQAAX3Jl&#10;bHMvLnJlbHNQSwECLQAUAAYACAAAACEAid8T3ioCAABrBAAADgAAAAAAAAAAAAAAAAAuAgAAZHJz&#10;L2Uyb0RvYy54bWxQSwECLQAUAAYACAAAACEAUesKaOAAAAAMAQAADwAAAAAAAAAAAAAAAACEBAAA&#10;ZHJzL2Rvd25yZXYueG1sUEsFBgAAAAAEAAQA8wAAAJEFAAAAAA==&#10;" strokecolor="#c4bc96 [2414]" strokeweight="3.75pt">
                <v:stroke startarrowwidth="narrow" startarrowlength="short" endarrowwidth="narrow" endarrowlength="short"/>
                <v:textbox inset="2.53958mm,1.2694mm,2.53958mm,1.2694mm">
                  <w:txbxContent>
                    <w:p w14:paraId="61528BC3" w14:textId="77777777" w:rsidR="00000000" w:rsidRDefault="00000000" w:rsidP="00FB1736">
                      <w:pPr>
                        <w:spacing w:line="258" w:lineRule="auto"/>
                        <w:textDirection w:val="btLr"/>
                      </w:pPr>
                      <w:r>
                        <w:rPr>
                          <w:noProof/>
                        </w:rPr>
                        <w:drawing>
                          <wp:inline distT="0" distB="0" distL="0" distR="0" wp14:anchorId="126CFEFB" wp14:editId="68AC9B54">
                            <wp:extent cx="3952630" cy="2354580"/>
                            <wp:effectExtent l="0" t="0" r="0" b="7620"/>
                            <wp:docPr id="126913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33559" name=""/>
                                    <pic:cNvPicPr/>
                                  </pic:nvPicPr>
                                  <pic:blipFill>
                                    <a:blip r:embed="rId10"/>
                                    <a:stretch>
                                      <a:fillRect/>
                                    </a:stretch>
                                  </pic:blipFill>
                                  <pic:spPr>
                                    <a:xfrm>
                                      <a:off x="0" y="0"/>
                                      <a:ext cx="4009959" cy="2388731"/>
                                    </a:xfrm>
                                    <a:prstGeom prst="rect">
                                      <a:avLst/>
                                    </a:prstGeom>
                                  </pic:spPr>
                                </pic:pic>
                              </a:graphicData>
                            </a:graphic>
                          </wp:inline>
                        </w:drawing>
                      </w:r>
                    </w:p>
                  </w:txbxContent>
                </v:textbox>
                <w10:wrap type="square"/>
              </v:rect>
            </w:pict>
          </mc:Fallback>
        </mc:AlternateContent>
      </w:r>
      <w:r w:rsidR="00000000">
        <w:rPr>
          <w:noProof/>
        </w:rPr>
        <mc:AlternateContent>
          <mc:Choice Requires="wps">
            <w:drawing>
              <wp:anchor distT="45720" distB="45720" distL="114300" distR="114300" simplePos="0" relativeHeight="251667456" behindDoc="0" locked="0" layoutInCell="1" hidden="0" allowOverlap="1" wp14:anchorId="0A3DE1B7" wp14:editId="0308EB32">
                <wp:simplePos x="0" y="0"/>
                <wp:positionH relativeFrom="column">
                  <wp:posOffset>7375525</wp:posOffset>
                </wp:positionH>
                <wp:positionV relativeFrom="paragraph">
                  <wp:posOffset>25404</wp:posOffset>
                </wp:positionV>
                <wp:extent cx="2233930" cy="998220"/>
                <wp:effectExtent l="0" t="0" r="0" b="0"/>
                <wp:wrapSquare wrapText="bothSides" distT="45720" distB="45720" distL="114300" distR="114300"/>
                <wp:docPr id="1566670325" name="Rectangle 1566670325"/>
                <wp:cNvGraphicFramePr/>
                <a:graphic xmlns:a="http://schemas.openxmlformats.org/drawingml/2006/main">
                  <a:graphicData uri="http://schemas.microsoft.com/office/word/2010/wordprocessingShape">
                    <wps:wsp>
                      <wps:cNvSpPr/>
                      <wps:spPr>
                        <a:xfrm>
                          <a:off x="0" y="0"/>
                          <a:ext cx="2233930" cy="998220"/>
                        </a:xfrm>
                        <a:prstGeom prst="rect">
                          <a:avLst/>
                        </a:prstGeom>
                        <a:solidFill>
                          <a:srgbClr val="FFFFFF"/>
                        </a:solidFill>
                        <a:ln w="44450" cap="flat" cmpd="sng">
                          <a:solidFill>
                            <a:schemeClr val="accent6">
                              <a:lumMod val="75000"/>
                            </a:schemeClr>
                          </a:solidFill>
                          <a:prstDash val="solid"/>
                          <a:miter lim="800000"/>
                          <a:headEnd type="none" w="sm" len="sm"/>
                          <a:tailEnd type="none" w="sm" len="sm"/>
                        </a:ln>
                      </wps:spPr>
                      <wps:txbx>
                        <w:txbxContent>
                          <w:p w14:paraId="48304A62" w14:textId="77777777" w:rsidR="00000000" w:rsidRPr="00EC3C53" w:rsidRDefault="00000000" w:rsidP="007A7CE1">
                            <w:pPr>
                              <w:spacing w:line="258" w:lineRule="auto"/>
                              <w:textDirection w:val="btLr"/>
                              <w:rPr>
                                <w:sz w:val="13"/>
                                <w:szCs w:val="13"/>
                                <w:lang w:val="en-IN"/>
                              </w:rPr>
                            </w:pPr>
                            <w:r>
                              <w:rPr>
                                <w:noProof/>
                              </w:rPr>
                              <w:drawing>
                                <wp:inline distT="0" distB="0" distL="0" distR="0" wp14:anchorId="66E7D1BC" wp14:editId="666609E9">
                                  <wp:extent cx="2001982" cy="862330"/>
                                  <wp:effectExtent l="0" t="0" r="0" b="0"/>
                                  <wp:docPr id="1566670323" name="Picture 11" descr="UK HealthCare Pharmacy Service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HealthCare Pharmacy Services | LinkedIn"/>
                                          <pic:cNvPicPr>
                                            <a:picLocks noChangeAspect="1" noChangeArrowheads="1"/>
                                          </pic:cNvPicPr>
                                        </pic:nvPicPr>
                                        <pic:blipFill>
                                          <a:blip r:embed="rId11"/>
                                          <a:srcRect/>
                                          <a:stretch>
                                            <a:fillRect/>
                                          </a:stretch>
                                        </pic:blipFill>
                                        <pic:spPr bwMode="auto">
                                          <a:xfrm>
                                            <a:off x="0" y="0"/>
                                            <a:ext cx="2005333" cy="863773"/>
                                          </a:xfrm>
                                          <a:prstGeom prst="rect">
                                            <a:avLst/>
                                          </a:prstGeom>
                                          <a:noFill/>
                                          <a:ln>
                                            <a:noFill/>
                                          </a:ln>
                                        </pic:spPr>
                                      </pic:pic>
                                    </a:graphicData>
                                  </a:graphic>
                                </wp:inline>
                              </w:drawing>
                            </w:r>
                          </w:p>
                        </w:txbxContent>
                      </wps:txbx>
                      <wps:bodyPr spcFirstLastPara="1" wrap="square" lIns="91425" tIns="45700" rIns="91425" bIns="45700" anchor="t" anchorCtr="0">
                        <a:noAutofit/>
                      </wps:bodyPr>
                    </wps:wsp>
                  </a:graphicData>
                </a:graphic>
              </wp:anchor>
            </w:drawing>
          </mc:Choice>
          <mc:Fallback>
            <w:pict>
              <v:rect w14:anchorId="0A3DE1B7" id="Rectangle 1566670325" o:spid="_x0000_s1034" style="position:absolute;left:0;text-align:left;margin-left:580.75pt;margin-top:2pt;width:175.9pt;height:78.6pt;z-index:25166745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COwLgIAAG4EAAAOAAAAZHJzL2Uyb0RvYy54bWysVNuO2jAQfa/Uf7D8XhIC7EJEWFVLqSpt&#10;W6RtP2BwHGLJt9qGhL/v2GGB7T5UqsqDGXtuZ87MZPnQK0mO3HlhdEXHo5wSrpmphd5X9OePzYc5&#10;JT6ArkEazSt64p4+rN6/W3a25IVpjay5IxhE+7KzFW1DsGWWedZyBX5kLNeobIxTEPDq9lntoMPo&#10;SmZFnt9lnXG1dYZx7/F1PSjpKsVvGs7C96bxPBBZUcQW0unSuYtntlpCuXdgW8HOMOAfUCgQGpNe&#10;Qq0hADk48SaUEswZb5owYkZlpmkE46kGrGac/1HNcwuWp1qQHG8vNPn/F5Z9Oz7brUMaOutLj2Ks&#10;om+civ+Ij/SJrNOFLN4HwvCxKCaTxQQ5ZahbLOZFkdjMrt7W+fCZG0WiUFGHzUgcwfHJB8yIpi8m&#10;MZk3UtQbIWW6uP3uUTpyBGzcJv1ir9DllZnUpKvodDqdRSCAA9RICCgqW1fU631K+MoljRa/xAbG&#10;uA53yU4e1FdTDznvZ3n+UtDF5S2AWMAafDs4pUTDTCkRcLClUBWdY6QhFpQth/qTrkk4WdwGjTtB&#10;YwVeUSI5bhAKaSQDCPl3O6RDagR17V2UQr/ricD65zFWfNmZ+rR1xFu2EQj4CXzYgsNBH2N2HH7M&#10;++sADrHILxqnazGeFjPclnSZzu4RPXG3mt2tBjRrDe4U8j6IjyFtWOyjNh8PwTQi9fsK5YwZhzpR&#10;el7AuDW392R1/UysfgMAAP//AwBQSwMEFAAGAAgAAAAhAAyWfTvgAAAACwEAAA8AAABkcnMvZG93&#10;bnJldi54bWxMj01PwkAQhu8m/ofNmHiT7YJUUrslaELiRZHKhdvSTj9id7Z0F6j/3uGkt3kzT96P&#10;dDnaTpxx8K0jDWoSgUAqXNlSrWH3tX5YgPDBUGk6R6jhBz0ss9ub1CSlu9AWz3moBZuQT4yGJoQ+&#10;kdIXDVrjJ65H4l/lBmsCy6GW5WAubG47OY2iWFrTEic0psfXBovv/GQ1vOS7p7h4e1fH6mN/XG+i&#10;VbXtP7W+vxtXzyACjuEPhmt9rg4Zdzq4E5VedKxVrObManjkTVdgrmYzEAe+YjUFmaXy/4bsFwAA&#10;//8DAFBLAQItABQABgAIAAAAIQC2gziS/gAAAOEBAAATAAAAAAAAAAAAAAAAAAAAAABbQ29udGVu&#10;dF9UeXBlc10ueG1sUEsBAi0AFAAGAAgAAAAhADj9If/WAAAAlAEAAAsAAAAAAAAAAAAAAAAALwEA&#10;AF9yZWxzLy5yZWxzUEsBAi0AFAAGAAgAAAAhAOrUI7AuAgAAbgQAAA4AAAAAAAAAAAAAAAAALgIA&#10;AGRycy9lMm9Eb2MueG1sUEsBAi0AFAAGAAgAAAAhAAyWfTvgAAAACwEAAA8AAAAAAAAAAAAAAAAA&#10;iAQAAGRycy9kb3ducmV2LnhtbFBLBQYAAAAABAAEAPMAAACVBQAAAAA=&#10;" strokecolor="#e36c0a [2409]" strokeweight="3.5pt">
                <v:stroke startarrowwidth="narrow" startarrowlength="short" endarrowwidth="narrow" endarrowlength="short"/>
                <v:textbox inset="2.53958mm,1.2694mm,2.53958mm,1.2694mm">
                  <w:txbxContent>
                    <w:p w14:paraId="48304A62" w14:textId="77777777" w:rsidR="00000000" w:rsidRPr="00EC3C53" w:rsidRDefault="00000000" w:rsidP="007A7CE1">
                      <w:pPr>
                        <w:spacing w:line="258" w:lineRule="auto"/>
                        <w:textDirection w:val="btLr"/>
                        <w:rPr>
                          <w:sz w:val="13"/>
                          <w:szCs w:val="13"/>
                          <w:lang w:val="en-IN"/>
                        </w:rPr>
                      </w:pPr>
                      <w:r>
                        <w:rPr>
                          <w:noProof/>
                        </w:rPr>
                        <w:drawing>
                          <wp:inline distT="0" distB="0" distL="0" distR="0" wp14:anchorId="66E7D1BC" wp14:editId="666609E9">
                            <wp:extent cx="2001982" cy="862330"/>
                            <wp:effectExtent l="0" t="0" r="0" b="0"/>
                            <wp:docPr id="1566670323" name="Picture 11" descr="UK HealthCare Pharmacy Service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HealthCare Pharmacy Services | LinkedIn"/>
                                    <pic:cNvPicPr>
                                      <a:picLocks noChangeAspect="1" noChangeArrowheads="1"/>
                                    </pic:cNvPicPr>
                                  </pic:nvPicPr>
                                  <pic:blipFill>
                                    <a:blip r:embed="rId11"/>
                                    <a:srcRect/>
                                    <a:stretch>
                                      <a:fillRect/>
                                    </a:stretch>
                                  </pic:blipFill>
                                  <pic:spPr bwMode="auto">
                                    <a:xfrm>
                                      <a:off x="0" y="0"/>
                                      <a:ext cx="2005333" cy="863773"/>
                                    </a:xfrm>
                                    <a:prstGeom prst="rect">
                                      <a:avLst/>
                                    </a:prstGeom>
                                    <a:noFill/>
                                    <a:ln>
                                      <a:noFill/>
                                    </a:ln>
                                  </pic:spPr>
                                </pic:pic>
                              </a:graphicData>
                            </a:graphic>
                          </wp:inline>
                        </w:drawing>
                      </w:r>
                    </w:p>
                  </w:txbxContent>
                </v:textbox>
                <w10:wrap type="square"/>
              </v:rect>
            </w:pict>
          </mc:Fallback>
        </mc:AlternateContent>
      </w:r>
      <w:r w:rsidR="00000000">
        <w:rPr>
          <w:noProof/>
        </w:rPr>
        <mc:AlternateContent>
          <mc:Choice Requires="wps">
            <w:drawing>
              <wp:anchor distT="45720" distB="45720" distL="114300" distR="114300" simplePos="0" relativeHeight="251668480" behindDoc="0" locked="0" layoutInCell="1" hidden="0" allowOverlap="1" wp14:anchorId="08339C1C" wp14:editId="3EF88177">
                <wp:simplePos x="0" y="0"/>
                <wp:positionH relativeFrom="column">
                  <wp:posOffset>-729611</wp:posOffset>
                </wp:positionH>
                <wp:positionV relativeFrom="paragraph">
                  <wp:posOffset>19054</wp:posOffset>
                </wp:positionV>
                <wp:extent cx="1442085" cy="998220"/>
                <wp:effectExtent l="0" t="0" r="0" b="0"/>
                <wp:wrapSquare wrapText="bothSides" distT="45720" distB="45720" distL="114300" distR="114300"/>
                <wp:docPr id="1566670324" name="Rectangle 1566670324"/>
                <wp:cNvGraphicFramePr/>
                <a:graphic xmlns:a="http://schemas.openxmlformats.org/drawingml/2006/main">
                  <a:graphicData uri="http://schemas.microsoft.com/office/word/2010/wordprocessingShape">
                    <wps:wsp>
                      <wps:cNvSpPr/>
                      <wps:spPr>
                        <a:xfrm>
                          <a:off x="0" y="0"/>
                          <a:ext cx="1442085" cy="998220"/>
                        </a:xfrm>
                        <a:prstGeom prst="rect">
                          <a:avLst/>
                        </a:prstGeom>
                        <a:solidFill>
                          <a:srgbClr val="FFFFFF"/>
                        </a:solidFill>
                        <a:ln w="44450" cap="flat" cmpd="sng">
                          <a:solidFill>
                            <a:schemeClr val="accent6">
                              <a:lumMod val="75000"/>
                            </a:schemeClr>
                          </a:solidFill>
                          <a:prstDash val="solid"/>
                          <a:miter lim="800000"/>
                          <a:headEnd type="none" w="sm" len="sm"/>
                          <a:tailEnd type="none" w="sm" len="sm"/>
                        </a:ln>
                      </wps:spPr>
                      <wps:txbx>
                        <w:txbxContent>
                          <w:p w14:paraId="139C2FC3" w14:textId="77777777" w:rsidR="00000000" w:rsidRPr="00835B82" w:rsidRDefault="00000000" w:rsidP="007A7CE1">
                            <w:pPr>
                              <w:spacing w:line="258" w:lineRule="auto"/>
                              <w:textDirection w:val="btLr"/>
                              <w:rPr>
                                <w:sz w:val="13"/>
                                <w:szCs w:val="13"/>
                              </w:rPr>
                            </w:pPr>
                            <w:r>
                              <w:rPr>
                                <w:noProof/>
                              </w:rPr>
                              <w:drawing>
                                <wp:inline distT="0" distB="0" distL="0" distR="0" wp14:anchorId="73973012" wp14:editId="0A1C091F">
                                  <wp:extent cx="1205345" cy="824230"/>
                                  <wp:effectExtent l="0" t="0" r="0" b="0"/>
                                  <wp:docPr id="1363155373" name="Picture 10" descr="Financial challenges facing UK Pharmacies in 2025: Navigating funding cuts  and rising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nancial challenges facing UK Pharmacies in 2025: Navigating funding cuts  and rising costs"/>
                                          <pic:cNvPicPr>
                                            <a:picLocks noChangeAspect="1" noChangeArrowheads="1"/>
                                          </pic:cNvPicPr>
                                        </pic:nvPicPr>
                                        <pic:blipFill>
                                          <a:blip r:embed="rId12"/>
                                          <a:srcRect/>
                                          <a:stretch>
                                            <a:fillRect/>
                                          </a:stretch>
                                        </pic:blipFill>
                                        <pic:spPr bwMode="auto">
                                          <a:xfrm>
                                            <a:off x="0" y="0"/>
                                            <a:ext cx="1214840" cy="830723"/>
                                          </a:xfrm>
                                          <a:prstGeom prst="rect">
                                            <a:avLst/>
                                          </a:prstGeom>
                                          <a:noFill/>
                                          <a:ln>
                                            <a:noFill/>
                                          </a:ln>
                                        </pic:spPr>
                                      </pic:pic>
                                    </a:graphicData>
                                  </a:graphic>
                                </wp:inline>
                              </w:drawing>
                            </w:r>
                          </w:p>
                        </w:txbxContent>
                      </wps:txbx>
                      <wps:bodyPr spcFirstLastPara="1" wrap="square" lIns="91425" tIns="45700" rIns="91425" bIns="45700" anchor="t" anchorCtr="0">
                        <a:noAutofit/>
                      </wps:bodyPr>
                    </wps:wsp>
                  </a:graphicData>
                </a:graphic>
              </wp:anchor>
            </w:drawing>
          </mc:Choice>
          <mc:Fallback>
            <w:pict>
              <v:rect w14:anchorId="08339C1C" id="Rectangle 1566670324" o:spid="_x0000_s1035" style="position:absolute;left:0;text-align:left;margin-left:-57.45pt;margin-top:1.5pt;width:113.55pt;height:78.6pt;z-index:25166848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88CLgIAAG4EAAAOAAAAZHJzL2Uyb0RvYy54bWysVNuO2jAQfa/Uf7D8XhKisAsRYVUtpaq0&#10;bZG2/YDBcYgl32obEv6+Y4cFtvtQqSoPZuy5nTkzk+XDoCQ5cueF0TWdTnJKuGamEXpf058/Nh/m&#10;lPgAugFpNK/piXv6sHr/btnbihemM7LhjmAQ7ave1rQLwVZZ5lnHFfiJsVyjsjVOQcCr22eNgx6j&#10;K5kVeX6X9cY11hnGvcfX9aikqxS/bTkL39vW80BkTRFbSKdL5y6e2WoJ1d6B7QQ7w4B/QKFAaEx6&#10;CbWGAOTgxJtQSjBnvGnDhBmVmbYVjKcasJpp/kc1zx1YnmpBcry90OT/X1j27fhstw5p6K2vPIqx&#10;iqF1Kv4jPjIksk4XsvgQCMPHaVkW+XxGCUPdYjEvisRmdvW2zofP3CgShZo6bEbiCI5PPmBGNH0x&#10;icm8kaLZCCnTxe13j9KRI2DjNukXe4Uur8ykJn1Ny7KcYXMZ4AC1EgKKyjY19XqfEr5ySaPFL7GB&#10;Ma7DXbKTB/XVNGPO+1mevxR0cXkLIBawBt+NTinROFNKBBxsKVRN5xhpjAVVx6H5pBsSTha3QeNO&#10;0FiBV5RIjhuEQhrJAEL+3Q7pkBpBXXsXpTDsBiKw/kWMFV92pjltHfGWbQQCfgIftuBw0KeYHYcf&#10;8/46gEMs8ovG6VpMywI7G9KlnN0jeuJuNbtbDWjWGdwp5H0UH0PasNhHbT4egmlF6vcVyhkzDnWi&#10;9LyAcWtu78nq+plY/QYAAP//AwBQSwMEFAAGAAgAAAAhADsjgMvhAAAACgEAAA8AAABkcnMvZG93&#10;bnJldi54bWxMj8tOwzAQRfdI/IM1SOxa2wEFGuJUBakSGx5Nu2HnxpOHiMdp7Lbh73FXsJvRHN05&#10;N19OtmcnHH3nSIGcC2BIlTMdNQp22/XsEZgPmozuHaGCH/SwLK6vcp0Zd6YNnsrQsBhCPtMK2hCG&#10;jHNftWi1n7sBKd5qN1od4jo23Iz6HMNtzxMhUm51R/FDqwd8abH6Lo9WwXO5e0ir1zd5qN+/DusP&#10;sao3w6dStzfT6glYwCn8wXDRj+pQRKe9O5LxrFcwk/J+EVkFd7HTBZBJAmwfh1QkwIuc/69Q/AIA&#10;AP//AwBQSwECLQAUAAYACAAAACEAtoM4kv4AAADhAQAAEwAAAAAAAAAAAAAAAAAAAAAAW0NvbnRl&#10;bnRfVHlwZXNdLnhtbFBLAQItABQABgAIAAAAIQA4/SH/1gAAAJQBAAALAAAAAAAAAAAAAAAAAC8B&#10;AABfcmVscy8ucmVsc1BLAQItABQABgAIAAAAIQBpI88CLgIAAG4EAAAOAAAAAAAAAAAAAAAAAC4C&#10;AABkcnMvZTJvRG9jLnhtbFBLAQItABQABgAIAAAAIQA7I4DL4QAAAAoBAAAPAAAAAAAAAAAAAAAA&#10;AIgEAABkcnMvZG93bnJldi54bWxQSwUGAAAAAAQABADzAAAAlgUAAAAA&#10;" strokecolor="#e36c0a [2409]" strokeweight="3.5pt">
                <v:stroke startarrowwidth="narrow" startarrowlength="short" endarrowwidth="narrow" endarrowlength="short"/>
                <v:textbox inset="2.53958mm,1.2694mm,2.53958mm,1.2694mm">
                  <w:txbxContent>
                    <w:p w14:paraId="139C2FC3" w14:textId="77777777" w:rsidR="00000000" w:rsidRPr="00835B82" w:rsidRDefault="00000000" w:rsidP="007A7CE1">
                      <w:pPr>
                        <w:spacing w:line="258" w:lineRule="auto"/>
                        <w:textDirection w:val="btLr"/>
                        <w:rPr>
                          <w:sz w:val="13"/>
                          <w:szCs w:val="13"/>
                        </w:rPr>
                      </w:pPr>
                      <w:r>
                        <w:rPr>
                          <w:noProof/>
                        </w:rPr>
                        <w:drawing>
                          <wp:inline distT="0" distB="0" distL="0" distR="0" wp14:anchorId="73973012" wp14:editId="0A1C091F">
                            <wp:extent cx="1205345" cy="824230"/>
                            <wp:effectExtent l="0" t="0" r="0" b="0"/>
                            <wp:docPr id="1363155373" name="Picture 10" descr="Financial challenges facing UK Pharmacies in 2025: Navigating funding cuts  and rising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nancial challenges facing UK Pharmacies in 2025: Navigating funding cuts  and rising costs"/>
                                    <pic:cNvPicPr>
                                      <a:picLocks noChangeAspect="1" noChangeArrowheads="1"/>
                                    </pic:cNvPicPr>
                                  </pic:nvPicPr>
                                  <pic:blipFill>
                                    <a:blip r:embed="rId12"/>
                                    <a:srcRect/>
                                    <a:stretch>
                                      <a:fillRect/>
                                    </a:stretch>
                                  </pic:blipFill>
                                  <pic:spPr bwMode="auto">
                                    <a:xfrm>
                                      <a:off x="0" y="0"/>
                                      <a:ext cx="1214840" cy="830723"/>
                                    </a:xfrm>
                                    <a:prstGeom prst="rect">
                                      <a:avLst/>
                                    </a:prstGeom>
                                    <a:noFill/>
                                    <a:ln>
                                      <a:noFill/>
                                    </a:ln>
                                  </pic:spPr>
                                </pic:pic>
                              </a:graphicData>
                            </a:graphic>
                          </wp:inline>
                        </w:drawing>
                      </w:r>
                    </w:p>
                  </w:txbxContent>
                </v:textbox>
                <w10:wrap type="square"/>
              </v:rect>
            </w:pict>
          </mc:Fallback>
        </mc:AlternateContent>
      </w:r>
    </w:p>
    <w:p w14:paraId="461AD277" w14:textId="19EEA8BC" w:rsidR="00EF248B" w:rsidRDefault="00000000">
      <w:pPr>
        <w:pStyle w:val="Heading1"/>
      </w:pPr>
      <w:bookmarkStart w:id="1" w:name="_Toc214278745"/>
      <w:r>
        <w:lastRenderedPageBreak/>
        <w:t>Element 2</w:t>
      </w:r>
      <w:bookmarkEnd w:id="1"/>
      <w:r w:rsidR="00C13B14">
        <w:t xml:space="preserve"> The Origins of National Health Service (NHS)</w:t>
      </w:r>
    </w:p>
    <w:p w14:paraId="0E08FF38" w14:textId="77777777" w:rsidR="00EF248B" w:rsidRDefault="00000000">
      <w:bookmarkStart w:id="2" w:name="_heading=h.i73ozz2aegp5" w:colFirst="0" w:colLast="0"/>
      <w:bookmarkEnd w:id="2"/>
      <w:r>
        <w:t xml:space="preserve">The National Health Service (NHS) is among the greatest social changes in British </w:t>
      </w:r>
      <w:proofErr w:type="gramStart"/>
      <w:r>
        <w:t>history</w:t>
      </w:r>
      <w:proofErr w:type="gramEnd"/>
      <w:r>
        <w:t xml:space="preserve"> and it represents one of the strongest signs of the entity to healthcare being a universal right instead of a privilege. The NHS was established in 1948 based on the principles of equality, universality and holistic care (UK Government, 2023). This essay will look at the origins of the NHS, historical forces that led to its creation and critically look at the modern structure and functioning of the NHS.</w:t>
      </w:r>
    </w:p>
    <w:p w14:paraId="0A33AE9C" w14:textId="77777777" w:rsidR="00EF248B" w:rsidRDefault="00000000">
      <w:bookmarkStart w:id="3" w:name="_heading=h.6jtsea6x57p6" w:colFirst="0" w:colLast="0"/>
      <w:bookmarkEnd w:id="3"/>
      <w:r>
        <w:t xml:space="preserve">In the year of 1948 the foundation of in ages in the universal healthcare access significantly changes the Integrated Care System, while in the year of 2020 the Integration of Health and Social Care Act significantly restructured the NHS services with the help of providing more control to Clinical Commissioning Groups (CCG). </w:t>
      </w:r>
      <w:r w:rsidRPr="00C13B14">
        <w:rPr>
          <w:color w:val="000000" w:themeColor="text1"/>
        </w:rPr>
        <w:t xml:space="preserve">At the same time, integration of the Health and Social care act 2012 helps to abolish the strategic health authorities and primary care trusts associated with CCGs (Bramwell </w:t>
      </w:r>
      <w:r w:rsidRPr="00C13B14">
        <w:rPr>
          <w:i/>
          <w:iCs/>
          <w:color w:val="000000" w:themeColor="text1"/>
        </w:rPr>
        <w:t>et al.</w:t>
      </w:r>
      <w:r w:rsidRPr="00C13B14">
        <w:rPr>
          <w:color w:val="000000" w:themeColor="text1"/>
        </w:rPr>
        <w:t xml:space="preserve"> 2023).</w:t>
      </w:r>
      <w:r>
        <w:rPr>
          <w:color w:val="EE0000"/>
        </w:rPr>
        <w:t xml:space="preserve"> </w:t>
      </w:r>
      <w:r>
        <w:t>Prior to the NHS, healthcare services in Britain were divided and thus mostly relied on income or charity (Bowles et al., 2023). The poor depended on hospitals and voluntary institutions in their local authorities, and the rich could afford personal medication. An early move towards a socialised medicine came in 1911 with the Liberal government introducing the National Insurance Act which provided some healthcare to working men by a contributory scheme. Nonetheless, the system left out dependents, unemployed and a large proportion of the population, meaning that many people did not get an opportunity to get proper medical care. The architect of the NHS was Aneurin Bevan, the Labour Minister of Health of Clement Attlee in his post-war government (Temple, 2022). Bevan managed to pass the National Health Service Act of 1946 successfully despite its intense opposition by the other segments of the medical profession and the conservative party. On 5 July 1948, the NHS officially opened and addressed the needs of all people, be free at point of delivery and be founded on clinical need and not on financial capacity to pay (Powell and Williams, 2024). This was a groundbreaking model which reestablished the relationship between the state and the citizenry.</w:t>
      </w:r>
    </w:p>
    <w:p w14:paraId="7BBE510A" w14:textId="77777777" w:rsidR="00EF248B" w:rsidRDefault="00000000">
      <w:bookmarkStart w:id="4" w:name="_heading=h.p1jb1m5u298q" w:colFirst="0" w:colLast="0"/>
      <w:bookmarkEnd w:id="4"/>
      <w:r>
        <w:t xml:space="preserve">The NHS is a devolved organisation today, and it is due to the fact that healthcare services are managed independently in England, Scotland, Wales, and Northern Ireland (Instituteforgovernment, 2021). All the systems work under the principles set under 1948 yet they differ in administrative systems. In England, the NHS is managed by the department of health and social care, which formulates policy and provides funds. NHS England is the body that plans and commissions services with the Integrated Care Systems (ICSs) organising the services in localities (NHS England, 2023). In this regard, the funds contributing to the Integrated Care system are the small percentage of funding is done by National Insurance. </w:t>
      </w:r>
      <w:r>
        <w:lastRenderedPageBreak/>
        <w:t>Therefore, the Integrated Care Board (ICB) within the NHS focuses on planning and managing health care services specifically in local areas. At the same time Integrated Care Partnerships (ICP) of NHS with local council and other communities helps to improve public health. The provision of services is done through a combination of the NHS Trusts, General Practitioners (GPs), as well as community health organisations (Bi and Liu, 2023). The NHS experiences severe challenges even though it has been successful over the years. Increased financial pressures have been brought about by the growing demand, which is influenced by an ageing population and improvements in medical technology. The system has also been worsened by shortages of workforce, long queues, and inequalities in access and outcomes across regions. Gräf and Schmalz (2023) have said that market-oriented reforms, which have been implemented since the 1990s in a focus of competition, efficiency and involvement of the private sector, have been welcomed as well as criticised. Proponents believe that with such reforms, innovation and accountability will be promoted, whereas opponents feel that such reforms do not serve the original intent behind the NHS, which was to foster equality and service to the people.</w:t>
      </w:r>
    </w:p>
    <w:p w14:paraId="4F37D994" w14:textId="77777777" w:rsidR="00EF248B" w:rsidRDefault="00000000">
      <w:pPr>
        <w:sectPr w:rsidR="00EF248B">
          <w:pgSz w:w="11906" w:h="16838"/>
          <w:pgMar w:top="1440" w:right="1440" w:bottom="1440" w:left="1440" w:header="708" w:footer="708" w:gutter="0"/>
          <w:cols w:space="720"/>
        </w:sectPr>
      </w:pPr>
      <w:bookmarkStart w:id="5" w:name="_heading=h.9w1iveiwd4xu" w:colFirst="0" w:colLast="0"/>
      <w:bookmarkEnd w:id="5"/>
      <w:r>
        <w:t xml:space="preserve">The NHS was formed as the result of social change and reflects the post-war idea of mutual good and equality. It is based on the idea that healthcare is a human right and it has given generations of British people access to healthcare services universally. In order to maintain the original values, the policymakers need to strike a balance between efficiency and equity and redesign its structure to correspond to the needs of the changing society. The NHS is not just a British institution but also a challenge to the level of </w:t>
      </w:r>
      <w:r w:rsidRPr="00C13B14">
        <w:rPr>
          <w:color w:val="000000" w:themeColor="text1"/>
        </w:rPr>
        <w:t>social justice in 21st century Britain which specifically refers to the fairness in accessing healthcare services based on the needs of individuals rather than paying for them.</w:t>
      </w:r>
    </w:p>
    <w:p w14:paraId="2CA2E0CD" w14:textId="77777777" w:rsidR="00EF248B" w:rsidRDefault="00000000">
      <w:pPr>
        <w:pStyle w:val="Heading1"/>
      </w:pPr>
      <w:bookmarkStart w:id="6" w:name="_heading=h.4v8clawl398r" w:colFirst="0" w:colLast="0"/>
      <w:bookmarkStart w:id="7" w:name="_Toc214278746"/>
      <w:bookmarkEnd w:id="6"/>
      <w:r>
        <w:lastRenderedPageBreak/>
        <w:t>References</w:t>
      </w:r>
      <w:bookmarkEnd w:id="7"/>
    </w:p>
    <w:p w14:paraId="7F96F0BC" w14:textId="77777777" w:rsidR="00EF248B" w:rsidRDefault="00000000">
      <w:pPr>
        <w:spacing w:before="200" w:after="0"/>
        <w:rPr>
          <w:highlight w:val="white"/>
        </w:rPr>
      </w:pPr>
      <w:r>
        <w:rPr>
          <w:highlight w:val="white"/>
        </w:rPr>
        <w:t xml:space="preserve">Anderson, C., and Sharma, R. (2020) ‘Primary health care policy and vision for community pharmacy and pharmacists in England’. </w:t>
      </w:r>
      <w:r>
        <w:rPr>
          <w:i/>
          <w:iCs/>
          <w:highlight w:val="white"/>
        </w:rPr>
        <w:t>Pharmacy Practice (Internet)</w:t>
      </w:r>
      <w:r>
        <w:rPr>
          <w:highlight w:val="white"/>
        </w:rPr>
        <w:t xml:space="preserve">, </w:t>
      </w:r>
      <w:r>
        <w:rPr>
          <w:i/>
          <w:iCs/>
          <w:highlight w:val="white"/>
        </w:rPr>
        <w:t>18</w:t>
      </w:r>
      <w:r>
        <w:rPr>
          <w:highlight w:val="white"/>
        </w:rPr>
        <w:t>(1), 1870.</w:t>
      </w:r>
    </w:p>
    <w:p w14:paraId="5C9E5B73" w14:textId="77777777" w:rsidR="00EF248B" w:rsidRDefault="00000000">
      <w:pPr>
        <w:spacing w:before="200" w:after="0"/>
        <w:rPr>
          <w:highlight w:val="white"/>
        </w:rPr>
      </w:pPr>
      <w:r>
        <w:rPr>
          <w:highlight w:val="white"/>
        </w:rPr>
        <w:t>Aronson, J.K. and Ferner, R.E., (2017) ‘Unlicensed and off</w:t>
      </w:r>
      <w:r>
        <w:rPr>
          <w:rFonts w:ascii="Cambria Math" w:eastAsia="Cambria Math" w:hAnsi="Cambria Math" w:cs="Cambria Math"/>
          <w:highlight w:val="white"/>
        </w:rPr>
        <w:t>‐</w:t>
      </w:r>
      <w:r>
        <w:rPr>
          <w:highlight w:val="white"/>
        </w:rPr>
        <w:t xml:space="preserve">label uses of medicines: definitions and clarification of terminology’. </w:t>
      </w:r>
      <w:r>
        <w:rPr>
          <w:i/>
          <w:iCs/>
          <w:highlight w:val="white"/>
        </w:rPr>
        <w:t>British Journal of Clinical Pharmacology</w:t>
      </w:r>
      <w:r>
        <w:rPr>
          <w:highlight w:val="white"/>
        </w:rPr>
        <w:t xml:space="preserve">, </w:t>
      </w:r>
      <w:r>
        <w:rPr>
          <w:i/>
          <w:iCs/>
          <w:highlight w:val="white"/>
        </w:rPr>
        <w:t>83</w:t>
      </w:r>
      <w:r>
        <w:rPr>
          <w:highlight w:val="white"/>
        </w:rPr>
        <w:t>(12), pp.2615-2625.</w:t>
      </w:r>
    </w:p>
    <w:p w14:paraId="42272E0F" w14:textId="77777777" w:rsidR="00EF248B" w:rsidRDefault="00000000">
      <w:pPr>
        <w:spacing w:before="200" w:after="0"/>
        <w:rPr>
          <w:highlight w:val="white"/>
        </w:rPr>
      </w:pPr>
      <w:r>
        <w:rPr>
          <w:highlight w:val="white"/>
        </w:rPr>
        <w:t xml:space="preserve">Aziza, F.N., (2022) ‘Review and Comparison of Food Drug Administration (FDA) and Medicines and Healthcare products Regulatory Agency (MHRA) on Good Manufacturing Practice (GMP) Implementation’. </w:t>
      </w:r>
      <w:r>
        <w:rPr>
          <w:i/>
          <w:iCs/>
          <w:highlight w:val="white"/>
        </w:rPr>
        <w:t>Majalah Farmaseutik</w:t>
      </w:r>
      <w:r>
        <w:rPr>
          <w:highlight w:val="white"/>
        </w:rPr>
        <w:t xml:space="preserve">, </w:t>
      </w:r>
      <w:r>
        <w:rPr>
          <w:i/>
          <w:iCs/>
          <w:highlight w:val="white"/>
        </w:rPr>
        <w:t>18</w:t>
      </w:r>
      <w:r>
        <w:rPr>
          <w:highlight w:val="white"/>
        </w:rPr>
        <w:t>(2), pp.236-240.</w:t>
      </w:r>
    </w:p>
    <w:p w14:paraId="741EC2C6" w14:textId="77777777" w:rsidR="00EF248B" w:rsidRDefault="00000000">
      <w:pPr>
        <w:spacing w:before="200" w:after="0"/>
        <w:rPr>
          <w:highlight w:val="white"/>
        </w:rPr>
      </w:pPr>
      <w:r>
        <w:rPr>
          <w:highlight w:val="white"/>
        </w:rPr>
        <w:t xml:space="preserve">Bi, Y.N. and Liu, Y.A., (2023) ‘GPs in UK: From health gatekeepers in primary care to health agents in primary health care’. </w:t>
      </w:r>
      <w:r>
        <w:rPr>
          <w:i/>
          <w:iCs/>
          <w:highlight w:val="white"/>
        </w:rPr>
        <w:t>Risk Management and Healthcare Policy</w:t>
      </w:r>
      <w:r>
        <w:rPr>
          <w:highlight w:val="white"/>
        </w:rPr>
        <w:t>, pp.1929-1939.</w:t>
      </w:r>
    </w:p>
    <w:p w14:paraId="5B231127" w14:textId="77777777" w:rsidR="00EF248B" w:rsidRDefault="00000000">
      <w:pPr>
        <w:spacing w:before="200" w:after="0"/>
        <w:rPr>
          <w:highlight w:val="white"/>
        </w:rPr>
      </w:pPr>
      <w:r>
        <w:rPr>
          <w:highlight w:val="white"/>
        </w:rPr>
        <w:t xml:space="preserve">Bowles, J., Clifford, D. and Mohan, J., (2023) ‘The place of charity in a public health service: inequality and persistence in charitable support for NHS Trusts in England’. </w:t>
      </w:r>
      <w:r>
        <w:rPr>
          <w:i/>
          <w:iCs/>
          <w:highlight w:val="white"/>
        </w:rPr>
        <w:t>Social Science &amp; Medicine</w:t>
      </w:r>
      <w:r>
        <w:rPr>
          <w:highlight w:val="white"/>
        </w:rPr>
        <w:t xml:space="preserve">, </w:t>
      </w:r>
      <w:r>
        <w:rPr>
          <w:i/>
          <w:iCs/>
          <w:highlight w:val="white"/>
        </w:rPr>
        <w:t>322</w:t>
      </w:r>
      <w:r>
        <w:rPr>
          <w:highlight w:val="white"/>
        </w:rPr>
        <w:t>, p.115805.</w:t>
      </w:r>
    </w:p>
    <w:p w14:paraId="6B55DC4F" w14:textId="77777777" w:rsidR="00EF248B" w:rsidRPr="00C13B14" w:rsidRDefault="00000000">
      <w:pPr>
        <w:spacing w:before="200" w:after="0"/>
        <w:rPr>
          <w:color w:val="000000" w:themeColor="text1"/>
        </w:rPr>
      </w:pPr>
      <w:r w:rsidRPr="00C13B14">
        <w:rPr>
          <w:color w:val="000000" w:themeColor="text1"/>
        </w:rPr>
        <w:t>Bramwell, D., Checkland, K., Shields, J. and Allen, P., 2023. 2010–2015: The Health and Social Care Act, NHS fragmentation. In </w:t>
      </w:r>
      <w:r w:rsidRPr="00C13B14">
        <w:rPr>
          <w:i/>
          <w:iCs/>
          <w:color w:val="000000" w:themeColor="text1"/>
        </w:rPr>
        <w:t>Community Nursing Services in England: An Historical Policy Analysis</w:t>
      </w:r>
      <w:r w:rsidRPr="00C13B14">
        <w:rPr>
          <w:color w:val="000000" w:themeColor="text1"/>
        </w:rPr>
        <w:t> (pp. 75-82). Cham: Springer International Publishing.</w:t>
      </w:r>
    </w:p>
    <w:p w14:paraId="57F1A60E" w14:textId="77777777" w:rsidR="00EF248B" w:rsidRDefault="00000000">
      <w:pPr>
        <w:spacing w:before="200" w:after="0"/>
        <w:rPr>
          <w:highlight w:val="white"/>
        </w:rPr>
      </w:pPr>
      <w:r>
        <w:rPr>
          <w:highlight w:val="white"/>
        </w:rPr>
        <w:t>Fovargue, S. and Neal, M., (2021) ‘Pharmacists' perception of ethical conflict and professional guidance in light of the revised General Pharmaceutical Council Standards of Conduct, Ethics and Performance’.</w:t>
      </w:r>
    </w:p>
    <w:p w14:paraId="6C7C3B87" w14:textId="77777777" w:rsidR="00EF248B" w:rsidRDefault="00000000">
      <w:pPr>
        <w:spacing w:before="200" w:after="0"/>
        <w:rPr>
          <w:sz w:val="20"/>
          <w:szCs w:val="20"/>
        </w:rPr>
      </w:pPr>
      <w:r>
        <w:rPr>
          <w:highlight w:val="white"/>
        </w:rPr>
        <w:t xml:space="preserve">Gräf, H. and Schmalz, S., (2023) ‘Avoiding the China shock: How Chinese state-backed internationalization drives changes in European economic governance’. </w:t>
      </w:r>
      <w:r>
        <w:rPr>
          <w:i/>
          <w:iCs/>
          <w:highlight w:val="white"/>
        </w:rPr>
        <w:t>Competition &amp; Change</w:t>
      </w:r>
      <w:r>
        <w:rPr>
          <w:highlight w:val="white"/>
        </w:rPr>
        <w:t>, p.10245294231207990.</w:t>
      </w:r>
    </w:p>
    <w:p w14:paraId="75049F14" w14:textId="77777777" w:rsidR="00EF248B" w:rsidRDefault="00000000">
      <w:pPr>
        <w:spacing w:before="200" w:after="0"/>
        <w:rPr>
          <w:highlight w:val="white"/>
        </w:rPr>
      </w:pPr>
      <w:r>
        <w:rPr>
          <w:highlight w:val="white"/>
        </w:rPr>
        <w:t xml:space="preserve">Instituteforgovernment. (2021) </w:t>
      </w:r>
      <w:r>
        <w:rPr>
          <w:i/>
          <w:iCs/>
          <w:highlight w:val="white"/>
        </w:rPr>
        <w:t>Devolution and the NHS</w:t>
      </w:r>
      <w:r>
        <w:rPr>
          <w:highlight w:val="white"/>
        </w:rPr>
        <w:t xml:space="preserve">. Available at: </w:t>
      </w:r>
      <w:hyperlink r:id="rId13">
        <w:r>
          <w:rPr>
            <w:highlight w:val="white"/>
            <w:u w:val="single"/>
          </w:rPr>
          <w:t>https://www.instituteforgovernment.org.uk/explainer/devolution-and-nhs</w:t>
        </w:r>
      </w:hyperlink>
      <w:r>
        <w:rPr>
          <w:highlight w:val="white"/>
        </w:rPr>
        <w:t xml:space="preserve"> (Accessed 10 Oct 2025)</w:t>
      </w:r>
    </w:p>
    <w:p w14:paraId="4D57B7FA" w14:textId="77777777" w:rsidR="00EF248B" w:rsidRDefault="00000000">
      <w:pPr>
        <w:spacing w:before="200" w:after="0"/>
        <w:rPr>
          <w:highlight w:val="white"/>
        </w:rPr>
      </w:pPr>
      <w:r>
        <w:rPr>
          <w:highlight w:val="white"/>
        </w:rPr>
        <w:t xml:space="preserve">Linkedin. (2025) </w:t>
      </w:r>
      <w:r>
        <w:rPr>
          <w:i/>
          <w:iCs/>
          <w:highlight w:val="white"/>
        </w:rPr>
        <w:t>From dispensaries to indispensable: community pharmacy as the true front door to the NHS</w:t>
      </w:r>
      <w:r>
        <w:rPr>
          <w:highlight w:val="white"/>
        </w:rPr>
        <w:t xml:space="preserve"> (Online) Available at:</w:t>
      </w:r>
      <w:hyperlink r:id="rId14" w:anchor=":~:text=Introduction,digital%20isolation%20and%20structural%20fragmentation">
        <w:r>
          <w:rPr>
            <w:highlight w:val="white"/>
          </w:rPr>
          <w:t xml:space="preserve"> </w:t>
        </w:r>
      </w:hyperlink>
      <w:hyperlink r:id="rId15" w:anchor=":~:text=Introduction,digital%20isolation%20and%20structural%20fragmentation">
        <w:r>
          <w:rPr>
            <w:highlight w:val="white"/>
            <w:u w:val="single"/>
          </w:rPr>
          <w:t>https://www.linkedin.com/pulse/from-dispensaries-indispensable-community-pharmacy-true-xg9se#:~:text=Introduction,digital%20isolation%20and%20structural%20fragmentation</w:t>
        </w:r>
      </w:hyperlink>
      <w:r>
        <w:rPr>
          <w:highlight w:val="white"/>
        </w:rPr>
        <w:t>. (Accessed: October 30, 2025)</w:t>
      </w:r>
    </w:p>
    <w:p w14:paraId="3939D972" w14:textId="77777777" w:rsidR="00EF248B" w:rsidRDefault="00000000">
      <w:pPr>
        <w:spacing w:before="200" w:after="0"/>
        <w:rPr>
          <w:highlight w:val="white"/>
        </w:rPr>
      </w:pPr>
      <w:r>
        <w:rPr>
          <w:highlight w:val="white"/>
        </w:rPr>
        <w:lastRenderedPageBreak/>
        <w:t xml:space="preserve">NHS England. (2023). </w:t>
      </w:r>
      <w:r>
        <w:rPr>
          <w:i/>
          <w:iCs/>
          <w:highlight w:val="white"/>
        </w:rPr>
        <w:t>What are integrated care systems?</w:t>
      </w:r>
      <w:r>
        <w:rPr>
          <w:highlight w:val="white"/>
        </w:rPr>
        <w:t xml:space="preserve">. Available at: </w:t>
      </w:r>
      <w:hyperlink r:id="rId16">
        <w:r>
          <w:rPr>
            <w:highlight w:val="white"/>
            <w:u w:val="single"/>
          </w:rPr>
          <w:t>https://www.england.nhs.uk/integratedcare/what-is-integrated-care/</w:t>
        </w:r>
      </w:hyperlink>
      <w:r>
        <w:rPr>
          <w:highlight w:val="white"/>
        </w:rPr>
        <w:t xml:space="preserve"> (Accessed 10 Oct 2025)</w:t>
      </w:r>
    </w:p>
    <w:p w14:paraId="7B57CC44" w14:textId="77777777" w:rsidR="00EF248B" w:rsidRDefault="00000000">
      <w:pPr>
        <w:spacing w:before="200" w:after="0"/>
        <w:rPr>
          <w:highlight w:val="white"/>
        </w:rPr>
      </w:pPr>
      <w:r>
        <w:rPr>
          <w:highlight w:val="white"/>
        </w:rPr>
        <w:t xml:space="preserve">Powell, M. and Williams, I., (2024) ‘What is a ‘National’‘Health’‘Service’? A keyword analysis of policy documents leading to the formation of the UK NHS’. </w:t>
      </w:r>
      <w:r>
        <w:rPr>
          <w:i/>
          <w:iCs/>
          <w:highlight w:val="white"/>
        </w:rPr>
        <w:t>Health Economics, Policy and Law</w:t>
      </w:r>
      <w:r>
        <w:rPr>
          <w:highlight w:val="white"/>
        </w:rPr>
        <w:t xml:space="preserve">, </w:t>
      </w:r>
      <w:r>
        <w:rPr>
          <w:i/>
          <w:iCs/>
          <w:highlight w:val="white"/>
        </w:rPr>
        <w:t>19</w:t>
      </w:r>
      <w:r>
        <w:rPr>
          <w:highlight w:val="white"/>
        </w:rPr>
        <w:t>(3), pp.323-336.</w:t>
      </w:r>
    </w:p>
    <w:p w14:paraId="72445572" w14:textId="77777777" w:rsidR="00EF248B" w:rsidRDefault="00000000">
      <w:pPr>
        <w:spacing w:before="200" w:after="0"/>
      </w:pPr>
      <w:r>
        <w:t xml:space="preserve">Rpharms. (2024) </w:t>
      </w:r>
      <w:r>
        <w:rPr>
          <w:i/>
          <w:iCs/>
        </w:rPr>
        <w:t>Workforce and Wellbeing Survey 2024</w:t>
      </w:r>
      <w:r>
        <w:t xml:space="preserve">. Available at: </w:t>
      </w:r>
      <w:hyperlink r:id="rId17">
        <w:r>
          <w:rPr>
            <w:u w:val="single"/>
          </w:rPr>
          <w:t>https://www.rpharms.com/Portals/0/RPS%20document%20library/Open%20access/Workforce%20Wellbeing/RPS%202024%20Workforce%20Wellbeing%20Survey.pdf</w:t>
        </w:r>
      </w:hyperlink>
      <w:r>
        <w:t xml:space="preserve"> (Accessed 15 Oct 2025)</w:t>
      </w:r>
    </w:p>
    <w:p w14:paraId="428EE349" w14:textId="77777777" w:rsidR="00EF248B" w:rsidRDefault="00000000">
      <w:pPr>
        <w:spacing w:before="200" w:after="0"/>
        <w:rPr>
          <w:highlight w:val="white"/>
        </w:rPr>
      </w:pPr>
      <w:r>
        <w:rPr>
          <w:highlight w:val="white"/>
        </w:rPr>
        <w:t xml:space="preserve">Sudarsono, J., Satibi, S., Lazuardi, L. and Widayanti, A.W., (2025) ‘Healthcare professionals’ perceptions of electronic prescription systems in outpatient services: a qualitative study at UNS hospital’. </w:t>
      </w:r>
      <w:r>
        <w:rPr>
          <w:i/>
          <w:iCs/>
          <w:highlight w:val="white"/>
        </w:rPr>
        <w:t>Cost Effectiveness and Resource Allocation</w:t>
      </w:r>
      <w:r>
        <w:rPr>
          <w:highlight w:val="white"/>
        </w:rPr>
        <w:t xml:space="preserve">, </w:t>
      </w:r>
      <w:r>
        <w:rPr>
          <w:i/>
          <w:iCs/>
          <w:highlight w:val="white"/>
        </w:rPr>
        <w:t>23</w:t>
      </w:r>
      <w:r>
        <w:rPr>
          <w:highlight w:val="white"/>
        </w:rPr>
        <w:t>(1), p.31.</w:t>
      </w:r>
    </w:p>
    <w:p w14:paraId="7EB23E82" w14:textId="77777777" w:rsidR="00EF248B" w:rsidRDefault="00000000">
      <w:pPr>
        <w:spacing w:before="200" w:after="0"/>
        <w:rPr>
          <w:highlight w:val="white"/>
        </w:rPr>
      </w:pPr>
      <w:r>
        <w:rPr>
          <w:highlight w:val="white"/>
        </w:rPr>
        <w:t xml:space="preserve">Temple, J.R., (2022) ‘A Radical and Progressive Legacy: Labour’s Housing Record, 1945 to 1951’. </w:t>
      </w:r>
      <w:r>
        <w:rPr>
          <w:i/>
          <w:iCs/>
          <w:highlight w:val="white"/>
        </w:rPr>
        <w:t>Labour History Review</w:t>
      </w:r>
      <w:r>
        <w:rPr>
          <w:highlight w:val="white"/>
        </w:rPr>
        <w:t xml:space="preserve">, </w:t>
      </w:r>
      <w:r>
        <w:rPr>
          <w:i/>
          <w:iCs/>
          <w:highlight w:val="white"/>
        </w:rPr>
        <w:t>87</w:t>
      </w:r>
      <w:r>
        <w:rPr>
          <w:highlight w:val="white"/>
        </w:rPr>
        <w:t>(1), pp.65-89.</w:t>
      </w:r>
    </w:p>
    <w:p w14:paraId="1714FD03" w14:textId="77777777" w:rsidR="00EF248B" w:rsidRDefault="00000000">
      <w:pPr>
        <w:spacing w:before="200" w:after="0"/>
        <w:rPr>
          <w:highlight w:val="white"/>
        </w:rPr>
      </w:pPr>
      <w:r>
        <w:rPr>
          <w:highlight w:val="white"/>
        </w:rPr>
        <w:t xml:space="preserve">Tolley, C., Seymour, H., Watson, N., Nazar, H., Heed, J. and Belshaw, D., (2023) ‘Barriers and opportunities for the use of digital tools in medicines optimization across the interfaces of care: stakeholder interviews in the United Kingdom’. </w:t>
      </w:r>
      <w:r>
        <w:rPr>
          <w:i/>
          <w:iCs/>
          <w:highlight w:val="white"/>
        </w:rPr>
        <w:t>JMIR Medical Informatics</w:t>
      </w:r>
      <w:r>
        <w:rPr>
          <w:highlight w:val="white"/>
        </w:rPr>
        <w:t xml:space="preserve">, </w:t>
      </w:r>
      <w:r>
        <w:rPr>
          <w:i/>
          <w:iCs/>
          <w:highlight w:val="white"/>
        </w:rPr>
        <w:t>11</w:t>
      </w:r>
      <w:r>
        <w:rPr>
          <w:highlight w:val="white"/>
        </w:rPr>
        <w:t>(1), p.e42458.</w:t>
      </w:r>
    </w:p>
    <w:p w14:paraId="1B3B1244" w14:textId="77777777" w:rsidR="00EF248B" w:rsidRDefault="00000000">
      <w:pPr>
        <w:spacing w:before="200" w:after="0"/>
      </w:pPr>
      <w:r>
        <w:t xml:space="preserve">UK Government. (2023) </w:t>
      </w:r>
      <w:r>
        <w:rPr>
          <w:i/>
          <w:iCs/>
        </w:rPr>
        <w:t>The founding of the NHS: 75 years on</w:t>
      </w:r>
      <w:r>
        <w:t xml:space="preserve">. </w:t>
      </w:r>
      <w:hyperlink r:id="rId18">
        <w:r>
          <w:rPr>
            <w:u w:val="single"/>
          </w:rPr>
          <w:t>https://history.blog.gov.uk/2023/07/13/the-founding-of-the-nhs-75-years-on/</w:t>
        </w:r>
      </w:hyperlink>
      <w:r>
        <w:t xml:space="preserve"> (Accessed 10 Oct 2025)</w:t>
      </w:r>
    </w:p>
    <w:p w14:paraId="44387AB1" w14:textId="77777777" w:rsidR="00EF248B" w:rsidRDefault="00EF248B">
      <w:pPr>
        <w:spacing w:before="200" w:after="0"/>
      </w:pPr>
    </w:p>
    <w:sectPr w:rsidR="00EF248B">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CD457" w14:textId="77777777" w:rsidR="00733B62" w:rsidRDefault="00733B62">
      <w:pPr>
        <w:spacing w:after="0" w:line="240" w:lineRule="auto"/>
      </w:pPr>
      <w:r>
        <w:separator/>
      </w:r>
    </w:p>
  </w:endnote>
  <w:endnote w:type="continuationSeparator" w:id="0">
    <w:p w14:paraId="199E1EB5" w14:textId="77777777" w:rsidR="00733B62" w:rsidRDefault="00733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ECE1DF30-FDEB-46D2-9AC0-39D06E2061A7}"/>
  </w:font>
  <w:font w:name="Calibri">
    <w:panose1 w:val="020F0502020204030204"/>
    <w:charset w:val="00"/>
    <w:family w:val="swiss"/>
    <w:pitch w:val="variable"/>
    <w:sig w:usb0="E4002EFF" w:usb1="C200247B" w:usb2="00000009" w:usb3="00000000" w:csb0="000001FF" w:csb1="00000000"/>
    <w:embedRegular r:id="rId2" w:fontKey="{F7919665-246D-4F5B-9CFD-EFAD0366F044}"/>
    <w:embedBoldItalic r:id="rId3" w:fontKey="{EAA25E8C-E137-47B6-8B14-D1CB6F25D75B}"/>
  </w:font>
  <w:font w:name="Cambria Math">
    <w:panose1 w:val="02040503050406030204"/>
    <w:charset w:val="00"/>
    <w:family w:val="roman"/>
    <w:pitch w:val="variable"/>
    <w:sig w:usb0="E00006FF" w:usb1="420024FF" w:usb2="02000000" w:usb3="00000000" w:csb0="0000019F" w:csb1="00000000"/>
    <w:embedRegular r:id="rId4" w:fontKey="{C1417C04-47E3-4B41-BC6A-620C7F1CF31B}"/>
  </w:font>
  <w:font w:name="Cambria">
    <w:panose1 w:val="02040503050406030204"/>
    <w:charset w:val="00"/>
    <w:family w:val="roman"/>
    <w:pitch w:val="variable"/>
    <w:sig w:usb0="E00006FF" w:usb1="420024FF" w:usb2="02000000" w:usb3="00000000" w:csb0="0000019F" w:csb1="00000000"/>
    <w:embedRegular r:id="rId5" w:fontKey="{2713F52A-748B-4BE5-9ACB-FAD0EA148E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6B4BF" w14:textId="77777777" w:rsidR="00EF248B" w:rsidRDefault="00EF248B">
    <w:pPr>
      <w:pBdr>
        <w:top w:val="nil"/>
        <w:left w:val="nil"/>
        <w:bottom w:val="nil"/>
        <w:right w:val="nil"/>
        <w:between w:val="nil"/>
      </w:pBdr>
      <w:tabs>
        <w:tab w:val="center" w:pos="4513"/>
        <w:tab w:val="right" w:pos="9026"/>
      </w:tabs>
      <w:spacing w:after="0" w:line="240" w:lineRule="auto"/>
      <w:jc w:val="right"/>
      <w:rPr>
        <w:rFonts w:ascii="Calibri" w:eastAsia="Calibri" w:hAnsi="Calibri" w:cs="Calibri"/>
        <w:color w:val="000000"/>
      </w:rPr>
    </w:pPr>
  </w:p>
  <w:p w14:paraId="4BF0D030" w14:textId="77777777" w:rsidR="00EF248B" w:rsidRDefault="00EF248B">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B7E15" w14:textId="77777777" w:rsidR="00733B62" w:rsidRDefault="00733B62">
      <w:pPr>
        <w:spacing w:after="0" w:line="240" w:lineRule="auto"/>
      </w:pPr>
      <w:r>
        <w:separator/>
      </w:r>
    </w:p>
  </w:footnote>
  <w:footnote w:type="continuationSeparator" w:id="0">
    <w:p w14:paraId="045E7D7F" w14:textId="77777777" w:rsidR="00733B62" w:rsidRDefault="00733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8ECA0" w14:textId="77777777" w:rsidR="00EF248B" w:rsidRDefault="00000000">
    <w:pPr>
      <w:pBdr>
        <w:top w:val="nil"/>
        <w:left w:val="nil"/>
        <w:bottom w:val="nil"/>
        <w:right w:val="nil"/>
        <w:between w:val="nil"/>
      </w:pBdr>
      <w:tabs>
        <w:tab w:val="center" w:pos="4513"/>
        <w:tab w:val="right" w:pos="9026"/>
      </w:tabs>
      <w:spacing w:after="0" w:line="240" w:lineRule="auto"/>
      <w:ind w:left="11520"/>
      <w:jc w:val="left"/>
      <w:rPr>
        <w:rFonts w:ascii="Calibri" w:eastAsia="Calibri" w:hAnsi="Calibri" w:cs="Calibri"/>
        <w:color w:val="000000"/>
      </w:rPr>
    </w:pPr>
    <w:r>
      <w:rPr>
        <w:rFonts w:ascii="Calibri" w:eastAsia="Calibri" w:hAnsi="Calibri" w:cs="Calibri"/>
        <w:noProof/>
        <w:color w:val="000000"/>
      </w:rPr>
      <w:drawing>
        <wp:inline distT="0" distB="0" distL="0" distR="0" wp14:anchorId="4FA65A87" wp14:editId="3BEBBEB7">
          <wp:extent cx="2184540" cy="436908"/>
          <wp:effectExtent l="0" t="0" r="0" b="0"/>
          <wp:docPr id="1566670334" name="image5.png" descr="UWTSD LOGO"/>
          <wp:cNvGraphicFramePr/>
          <a:graphic xmlns:a="http://schemas.openxmlformats.org/drawingml/2006/main">
            <a:graphicData uri="http://schemas.openxmlformats.org/drawingml/2006/picture">
              <pic:pic xmlns:pic="http://schemas.openxmlformats.org/drawingml/2006/picture">
                <pic:nvPicPr>
                  <pic:cNvPr id="0" name="image5.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48B"/>
    <w:rsid w:val="004E562A"/>
    <w:rsid w:val="00733B62"/>
    <w:rsid w:val="007D6806"/>
    <w:rsid w:val="00C13B14"/>
    <w:rsid w:val="00EF248B"/>
    <w:rsid w:val="00FB3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58351"/>
  <w15:docId w15:val="{4A1F4EDE-0F10-4231-A890-7005926EE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4"/>
      <w:szCs w:val="24"/>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C13B14"/>
    <w:pPr>
      <w:spacing w:after="100"/>
    </w:pPr>
  </w:style>
  <w:style w:type="character" w:styleId="Hyperlink">
    <w:name w:val="Hyperlink"/>
    <w:basedOn w:val="DefaultParagraphFont"/>
    <w:uiPriority w:val="99"/>
    <w:unhideWhenUsed/>
    <w:rsid w:val="00C13B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instituteforgovernment.org.uk/explainer/devolution-and-nhs" TargetMode="External"/><Relationship Id="rId18" Type="http://schemas.openxmlformats.org/officeDocument/2006/relationships/hyperlink" Target="https://history.blog.gov.uk/2023/07/13/the-founding-of-the-nhs-75-years-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hyperlink" Target="https://www.rpharms.com/Portals/0/RPS%20document%20library/Open%20access/Workforce%20Wellbeing/RPS%202024%20Workforce%20Wellbeing%20Survey.pdf" TargetMode="External"/><Relationship Id="rId2" Type="http://schemas.openxmlformats.org/officeDocument/2006/relationships/styles" Target="styles.xml"/><Relationship Id="rId16" Type="http://schemas.openxmlformats.org/officeDocument/2006/relationships/hyperlink" Target="https://www.england.nhs.uk/integratedcare/what-is-integrated-ca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www.linkedin.com/pulse/from-dispensaries-indispensable-community-pharmacy-true-xg9s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linkedin.com/pulse/from-dispensaries-indispensable-community-pharmacy-true-xg9s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JvrzrE88A71Xg38ox0S0TrpAYg==">CgMxLjAyDmguMzI3OTJhbHpxemZxMg1oLjdmcmh0M2FlcXJqMg5oLnBpeHY5NzFpemI4aDIOaC5pNzNvenoyYWVncDUyDmguNmp0c2VhNng1N3A2Mg5oLnAxamIxbTV1Mjk4cTIOaC45dzFpdmVpd2Q0eHUyDmguNHY4Y2xhd2wzOThyOAByITFVSHFReE53aGJmUVBleTFzUnMzeU9qN0JoV2lQSHBsSQ==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1445</Words>
  <Characters>8240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Gabriel</dc:creator>
  <cp:lastModifiedBy>Ionela Velichi (2438802)</cp:lastModifiedBy>
  <cp:revision>2</cp:revision>
  <dcterms:created xsi:type="dcterms:W3CDTF">2025-11-17T13:58:00Z</dcterms:created>
  <dcterms:modified xsi:type="dcterms:W3CDTF">2025-11-17T13:58:00Z</dcterms:modified>
</cp:coreProperties>
</file>