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pPr>
      <w:r w:rsidDel="00000000" w:rsidR="00000000" w:rsidRPr="00000000">
        <w:rPr>
          <w:rtl w:val="0"/>
        </w:rPr>
      </w:r>
    </w:p>
    <w:p w:rsidR="00000000" w:rsidDel="00000000" w:rsidP="00000000" w:rsidRDefault="00000000" w:rsidRPr="00000000" w14:paraId="00000002">
      <w:pPr>
        <w:rPr/>
      </w:pPr>
      <w:r w:rsidDel="00000000" w:rsidR="00000000" w:rsidRPr="00000000">
        <w:rPr/>
        <mc:AlternateContent>
          <mc:Choice Requires="wpg">
            <w:drawing>
              <wp:anchor allowOverlap="1" behindDoc="0" distB="0" distT="0" distL="0" distR="0" hidden="0" layoutInCell="1" locked="0" relativeHeight="0" simplePos="0">
                <wp:simplePos x="0" y="0"/>
                <wp:positionH relativeFrom="page">
                  <wp:align>center</wp:align>
                </wp:positionH>
                <wp:positionV relativeFrom="page">
                  <wp:align>center</wp:align>
                </wp:positionV>
                <wp:extent cx="7781925" cy="10067925"/>
                <wp:effectExtent b="0" l="0" r="0" t="0"/>
                <wp:wrapSquare wrapText="bothSides" distB="0" distT="0" distL="0" distR="0"/>
                <wp:docPr id="1" name=""/>
                <a:graphic>
                  <a:graphicData uri="http://schemas.microsoft.com/office/word/2010/wordprocessingShape">
                    <wps:wsp>
                      <wps:cNvSpPr/>
                      <wps:cNvPr id="2" name="Shape 2"/>
                      <wps:spPr>
                        <a:xfrm>
                          <a:off x="1459800" y="0"/>
                          <a:ext cx="7772400" cy="7560000"/>
                        </a:xfrm>
                        <a:prstGeom prst="rect">
                          <a:avLst/>
                        </a:prstGeom>
                        <a:solidFill>
                          <a:srgbClr val="FFFFFF"/>
                        </a:solidFill>
                        <a:ln>
                          <a:noFill/>
                        </a:ln>
                      </wps:spPr>
                      <wps:txbx>
                        <w:txbxContent>
                          <w:p w:rsidR="00000000" w:rsidDel="00000000" w:rsidP="00000000" w:rsidRDefault="00000000" w:rsidRPr="00000000">
                            <w:pPr>
                              <w:spacing w:after="160" w:before="0" w:line="258.99999618530273"/>
                              <w:ind w:left="0" w:right="0" w:firstLine="0"/>
                              <w:jc w:val="left"/>
                              <w:textDirection w:val="btLr"/>
                            </w:pPr>
                            <w:r w:rsidDel="00000000" w:rsidR="00000000" w:rsidRPr="00000000">
                              <w:rPr>
                                <w:rFonts w:ascii="Cambria" w:cs="Cambria" w:eastAsia="Cambria" w:hAnsi="Cambria"/>
                                <w:b w:val="1"/>
                                <w:i w:val="0"/>
                                <w:smallCaps w:val="0"/>
                                <w:strike w:val="0"/>
                                <w:color w:val="eeece1"/>
                                <w:sz w:val="72"/>
                                <w:vertAlign w:val="baseline"/>
                              </w:rPr>
                              <w:t xml:space="preserve">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wertyuiopasdfghjklzxcvbnmqwertyuiopasdfghjklz</w:t>
                            </w:r>
                            <w:r w:rsidDel="00000000" w:rsidR="00000000" w:rsidRPr="00000000">
                              <w:rPr>
                                <w:rFonts w:ascii="Cambria" w:cs="Cambria" w:eastAsia="Cambria" w:hAnsi="Cambria"/>
                                <w:b w:val="1"/>
                                <w:i w:val="0"/>
                                <w:smallCaps w:val="0"/>
                                <w:strike w:val="0"/>
                                <w:color w:val="eeece1"/>
                                <w:sz w:val="72"/>
                                <w:u w:val="single"/>
                                <w:vertAlign w:val="baseline"/>
                              </w:rPr>
                              <w:t xml:space="preserve">xcvbnmqwertyuiopasdfghjklzxcvbnmqw</w:t>
                            </w:r>
                            <w:r w:rsidDel="00000000" w:rsidR="00000000" w:rsidRPr="00000000">
                              <w:rPr>
                                <w:rFonts w:ascii="Cambria" w:cs="Cambria" w:eastAsia="Cambria" w:hAnsi="Cambria"/>
                                <w:b w:val="1"/>
                                <w:i w:val="0"/>
                                <w:smallCaps w:val="0"/>
                                <w:strike w:val="0"/>
                                <w:color w:val="eeece1"/>
                                <w:sz w:val="72"/>
                                <w:vertAlign w:val="baseline"/>
                              </w:rPr>
                              <w:t xml:space="preserve">ertyuiopasdfghjklzxcvbnm</w:t>
                            </w:r>
                          </w:p>
                        </w:txbxContent>
                      </wps:txbx>
                      <wps:bodyPr anchorCtr="0" anchor="t" bIns="45700" lIns="91425" spcFirstLastPara="1" rIns="91425" wrap="square" tIns="45700">
                        <a:noAutofit/>
                      </wps:bodyPr>
                    </wps:wsp>
                  </a:graphicData>
                </a:graphic>
              </wp:anchor>
            </w:drawing>
          </mc:Choice>
          <mc:Fallback>
            <w:drawing>
              <wp:anchor allowOverlap="1" behindDoc="0" distB="0" distT="0" distL="0" distR="0" hidden="0" layoutInCell="1" locked="0" relativeHeight="0" simplePos="0">
                <wp:simplePos x="0" y="0"/>
                <wp:positionH relativeFrom="page">
                  <wp:align>center</wp:align>
                </wp:positionH>
                <wp:positionV relativeFrom="page">
                  <wp:align>center</wp:align>
                </wp:positionV>
                <wp:extent cx="7781925" cy="10067925"/>
                <wp:effectExtent b="0" l="0" r="0" t="0"/>
                <wp:wrapSquare wrapText="bothSides" distB="0" distT="0" distL="0" distR="0"/>
                <wp:docPr id="1" name="image1.png"/>
                <a:graphic>
                  <a:graphicData uri="http://schemas.openxmlformats.org/drawingml/2006/picture">
                    <pic:pic>
                      <pic:nvPicPr>
                        <pic:cNvPr id="0" name="image1.png"/>
                        <pic:cNvPicPr preferRelativeResize="0"/>
                      </pic:nvPicPr>
                      <pic:blipFill>
                        <a:blip r:embed="rId6"/>
                        <a:srcRect/>
                        <a:stretch>
                          <a:fillRect/>
                        </a:stretch>
                      </pic:blipFill>
                      <pic:spPr>
                        <a:xfrm>
                          <a:off x="0" y="0"/>
                          <a:ext cx="7781925" cy="10067925"/>
                        </a:xfrm>
                        <a:prstGeom prst="rect"/>
                        <a:ln/>
                      </pic:spPr>
                    </pic:pic>
                  </a:graphicData>
                </a:graphic>
              </wp:anchor>
            </w:drawing>
          </mc:Fallback>
        </mc:AlternateContent>
      </w:r>
      <w:r w:rsidDel="00000000" w:rsidR="00000000" w:rsidRPr="00000000">
        <w:rPr>
          <w:rtl w:val="0"/>
        </w:rPr>
      </w:r>
    </w:p>
    <w:p w:rsidR="00000000" w:rsidDel="00000000" w:rsidP="00000000" w:rsidRDefault="00000000" w:rsidRPr="00000000" w14:paraId="00000003">
      <w:pPr>
        <w:rPr/>
      </w:pPr>
      <w:r w:rsidDel="00000000" w:rsidR="00000000" w:rsidRPr="00000000">
        <w:rPr>
          <w:rtl w:val="0"/>
        </w:rPr>
      </w:r>
    </w:p>
    <w:tbl>
      <w:tblPr>
        <w:tblStyle w:val="Table1"/>
        <w:tblW w:w="6715.0" w:type="dxa"/>
        <w:jc w:val="center"/>
        <w:tblBorders>
          <w:top w:color="632423" w:space="0" w:sz="36" w:val="single"/>
          <w:left w:color="632423" w:space="0" w:sz="36" w:val="single"/>
          <w:bottom w:color="632423" w:space="0" w:sz="36" w:val="single"/>
          <w:right w:color="632423" w:space="0" w:sz="36" w:val="single"/>
        </w:tblBorders>
        <w:tblLayout w:type="fixed"/>
        <w:tblLook w:val="0400"/>
      </w:tblPr>
      <w:tblGrid>
        <w:gridCol w:w="6715"/>
        <w:tblGridChange w:id="0">
          <w:tblGrid>
            <w:gridCol w:w="6715"/>
          </w:tblGrid>
        </w:tblGridChange>
      </w:tblGrid>
      <w:tr>
        <w:trPr>
          <w:trHeight w:val="3770" w:hRule="atLeast"/>
        </w:trPr>
        <w:tc>
          <w:tcPr>
            <w:shd w:fill="ffffff" w:val="clear"/>
            <w:vAlign w:val="center"/>
          </w:tcPr>
          <w:p w:rsidR="00000000" w:rsidDel="00000000" w:rsidP="00000000" w:rsidRDefault="00000000" w:rsidRPr="00000000" w14:paraId="0000000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mbria" w:cs="Cambria" w:eastAsia="Cambria" w:hAnsi="Cambria"/>
                <w:b w:val="0"/>
                <w:i w:val="0"/>
                <w:smallCaps w:val="0"/>
                <w:strike w:val="0"/>
                <w:color w:val="000000"/>
                <w:sz w:val="40"/>
                <w:szCs w:val="40"/>
                <w:u w:val="none"/>
                <w:shd w:fill="auto" w:val="clear"/>
                <w:vertAlign w:val="baseline"/>
              </w:rPr>
            </w:pPr>
            <w:r w:rsidDel="00000000" w:rsidR="00000000" w:rsidRPr="00000000">
              <w:rPr>
                <w:rFonts w:ascii="Cambria" w:cs="Cambria" w:eastAsia="Cambria" w:hAnsi="Cambria"/>
                <w:b w:val="0"/>
                <w:i w:val="0"/>
                <w:smallCaps w:val="0"/>
                <w:strike w:val="0"/>
                <w:color w:val="000000"/>
                <w:sz w:val="40"/>
                <w:szCs w:val="40"/>
                <w:u w:val="none"/>
                <w:shd w:fill="auto" w:val="clear"/>
                <w:vertAlign w:val="baseline"/>
                <w:rtl w:val="0"/>
              </w:rPr>
              <w:t xml:space="preserve">PSYCHOLOGY FOR HEALTH AND </w:t>
            </w:r>
            <w:r w:rsidDel="00000000" w:rsidR="00000000" w:rsidRPr="00000000">
              <w:rPr>
                <w:rFonts w:ascii="Cambria" w:cs="Cambria" w:eastAsia="Cambria" w:hAnsi="Cambria"/>
                <w:sz w:val="40"/>
                <w:szCs w:val="40"/>
                <w:rtl w:val="0"/>
              </w:rPr>
              <w:t xml:space="preserve">SOCIAL</w:t>
            </w:r>
            <w:r w:rsidDel="00000000" w:rsidR="00000000" w:rsidRPr="00000000">
              <w:rPr>
                <w:rFonts w:ascii="Cambria" w:cs="Cambria" w:eastAsia="Cambria" w:hAnsi="Cambria"/>
                <w:b w:val="0"/>
                <w:i w:val="0"/>
                <w:smallCaps w:val="0"/>
                <w:strike w:val="0"/>
                <w:color w:val="000000"/>
                <w:sz w:val="40"/>
                <w:szCs w:val="40"/>
                <w:u w:val="none"/>
                <w:shd w:fill="auto" w:val="clear"/>
                <w:vertAlign w:val="baseline"/>
                <w:rtl w:val="0"/>
              </w:rPr>
              <w:t xml:space="preserve"> CARE</w:t>
            </w:r>
          </w:p>
          <w:p w:rsidR="00000000" w:rsidDel="00000000" w:rsidP="00000000" w:rsidRDefault="00000000" w:rsidRPr="00000000" w14:paraId="0000000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mbria" w:cs="Cambria" w:eastAsia="Cambria" w:hAnsi="Cambria"/>
                <w:b w:val="0"/>
                <w:i w:val="0"/>
                <w:smallCaps w:val="0"/>
                <w:strike w:val="0"/>
                <w:color w:val="000000"/>
                <w:sz w:val="32"/>
                <w:szCs w:val="32"/>
                <w:u w:val="none"/>
                <w:shd w:fill="auto" w:val="clear"/>
                <w:vertAlign w:val="baseline"/>
              </w:rPr>
            </w:pPr>
            <w:r w:rsidDel="00000000" w:rsidR="00000000" w:rsidRPr="00000000">
              <w:rPr>
                <w:rFonts w:ascii="Cambria" w:cs="Cambria" w:eastAsia="Cambria" w:hAnsi="Cambria"/>
                <w:b w:val="0"/>
                <w:i w:val="0"/>
                <w:smallCaps w:val="0"/>
                <w:strike w:val="0"/>
                <w:color w:val="000000"/>
                <w:sz w:val="32"/>
                <w:szCs w:val="32"/>
                <w:u w:val="none"/>
                <w:shd w:fill="auto" w:val="clear"/>
                <w:vertAlign w:val="baseline"/>
                <w:rtl w:val="0"/>
              </w:rPr>
              <w:t xml:space="preserve">ESSAY</w:t>
            </w:r>
          </w:p>
          <w:p w:rsidR="00000000" w:rsidDel="00000000" w:rsidP="00000000" w:rsidRDefault="00000000" w:rsidRPr="00000000" w14:paraId="0000000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1"/>
                <w:i w:val="0"/>
                <w:smallCaps w:val="0"/>
                <w:strike w:val="0"/>
                <w:color w:val="000000"/>
                <w:sz w:val="28"/>
                <w:szCs w:val="28"/>
                <w:u w:val="none"/>
                <w:shd w:fill="auto" w:val="clear"/>
                <w:vertAlign w:val="baseline"/>
              </w:rPr>
            </w:pPr>
            <w:r w:rsidDel="00000000" w:rsidR="00000000" w:rsidRPr="00000000">
              <w:rPr>
                <w:rFonts w:ascii="Calibri" w:cs="Calibri" w:eastAsia="Calibri" w:hAnsi="Calibri"/>
                <w:b w:val="1"/>
                <w:i w:val="0"/>
                <w:smallCaps w:val="0"/>
                <w:strike w:val="0"/>
                <w:color w:val="000000"/>
                <w:sz w:val="28"/>
                <w:szCs w:val="28"/>
                <w:u w:val="none"/>
                <w:shd w:fill="auto" w:val="clear"/>
                <w:vertAlign w:val="baseline"/>
                <w:rtl w:val="0"/>
              </w:rPr>
              <w:t xml:space="preserve">By BENAH NASANDE</w:t>
            </w:r>
          </w:p>
          <w:p w:rsidR="00000000" w:rsidDel="00000000" w:rsidP="00000000" w:rsidRDefault="00000000" w:rsidRPr="00000000" w14:paraId="0000000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1"/>
                <w:i w:val="0"/>
                <w:smallCaps w:val="0"/>
                <w:strike w:val="0"/>
                <w:color w:val="000000"/>
                <w:sz w:val="28"/>
                <w:szCs w:val="28"/>
                <w:u w:val="none"/>
                <w:shd w:fill="auto" w:val="clear"/>
                <w:vertAlign w:val="baseline"/>
                <w:rtl w:val="0"/>
              </w:rPr>
              <w:t xml:space="preserve">ID: 1917243</w:t>
            </w:r>
            <w:r w:rsidDel="00000000" w:rsidR="00000000" w:rsidRPr="00000000">
              <w:rPr>
                <w:rtl w:val="0"/>
              </w:rPr>
            </w:r>
          </w:p>
          <w:p w:rsidR="00000000" w:rsidDel="00000000" w:rsidP="00000000" w:rsidRDefault="00000000" w:rsidRPr="00000000" w14:paraId="0000000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r>
    </w:tbl>
    <w:p w:rsidR="00000000" w:rsidDel="00000000" w:rsidP="00000000" w:rsidRDefault="00000000" w:rsidRPr="00000000" w14:paraId="0000000C">
      <w:pPr>
        <w:rPr/>
      </w:pPr>
      <w:r w:rsidDel="00000000" w:rsidR="00000000" w:rsidRPr="00000000">
        <w:rPr>
          <w:rtl w:val="0"/>
        </w:rPr>
      </w:r>
    </w:p>
    <w:p w:rsidR="00000000" w:rsidDel="00000000" w:rsidP="00000000" w:rsidRDefault="00000000" w:rsidRPr="00000000" w14:paraId="0000000D">
      <w:pPr>
        <w:rPr>
          <w:b w:val="1"/>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0E">
      <w:pPr>
        <w:rPr>
          <w:b w:val="1"/>
          <w:sz w:val="24"/>
          <w:szCs w:val="24"/>
        </w:rPr>
      </w:pPr>
      <w:r w:rsidDel="00000000" w:rsidR="00000000" w:rsidRPr="00000000">
        <w:rPr>
          <w:b w:val="1"/>
          <w:sz w:val="24"/>
          <w:szCs w:val="24"/>
          <w:rtl w:val="0"/>
        </w:rPr>
        <w:t xml:space="preserve">Introduction </w:t>
      </w:r>
    </w:p>
    <w:p w:rsidR="00000000" w:rsidDel="00000000" w:rsidP="00000000" w:rsidRDefault="00000000" w:rsidRPr="00000000" w14:paraId="0000000F">
      <w:pPr>
        <w:jc w:val="both"/>
        <w:rPr>
          <w:sz w:val="24"/>
          <w:szCs w:val="24"/>
        </w:rPr>
      </w:pPr>
      <w:r w:rsidDel="00000000" w:rsidR="00000000" w:rsidRPr="00000000">
        <w:rPr>
          <w:sz w:val="24"/>
          <w:szCs w:val="24"/>
          <w:rtl w:val="0"/>
        </w:rPr>
        <w:t xml:space="preserve">This is an individual essay that explains the role of psychological perspectives in the context of health and social care. To begin with, psychology can be defined as “the effort to understand the human mind and behavior” by looking at reasons why people behave the way they do when it comes to health and wellbeing. In particular, this essay examines the developmental psychological perspectives in regards to infancy development; biological, behaviorists, social learning, cognitive, psychodynamic and humanistic. The essay also entails Freud’s psychosexual and Erikson’s psychological theories to explain the psychological development in children. </w:t>
      </w:r>
    </w:p>
    <w:p w:rsidR="00000000" w:rsidDel="00000000" w:rsidP="00000000" w:rsidRDefault="00000000" w:rsidRPr="00000000" w14:paraId="00000010">
      <w:pPr>
        <w:rPr>
          <w:b w:val="1"/>
          <w:sz w:val="24"/>
          <w:szCs w:val="24"/>
        </w:rPr>
      </w:pPr>
      <w:r w:rsidDel="00000000" w:rsidR="00000000" w:rsidRPr="00000000">
        <w:rPr>
          <w:b w:val="1"/>
          <w:sz w:val="24"/>
          <w:szCs w:val="24"/>
          <w:rtl w:val="0"/>
        </w:rPr>
        <w:t xml:space="preserve">Freud’s psychosexual theory of development</w:t>
      </w:r>
    </w:p>
    <w:p w:rsidR="00000000" w:rsidDel="00000000" w:rsidP="00000000" w:rsidRDefault="00000000" w:rsidRPr="00000000" w14:paraId="00000011">
      <w:pPr>
        <w:jc w:val="both"/>
        <w:rPr>
          <w:sz w:val="24"/>
          <w:szCs w:val="24"/>
        </w:rPr>
      </w:pPr>
      <w:r w:rsidDel="00000000" w:rsidR="00000000" w:rsidRPr="00000000">
        <w:rPr>
          <w:sz w:val="24"/>
          <w:szCs w:val="24"/>
          <w:rtl w:val="0"/>
        </w:rPr>
        <w:t xml:space="preserve">To understand infancy psychological development, it is important to look at Freud’s psychosexual theory that explains impact of early childhood experiences on the thoughts, emotions and behavior of children as they grow up. According to Freud, what we experience as children will eventually shape our personalities and the way we behave as we develop from infancy, adolescence and as adults. (Papalia et al, 2008). Freud proposed five stages including; oral, anal, phallic, latency, and genital. </w:t>
      </w:r>
    </w:p>
    <w:p w:rsidR="00000000" w:rsidDel="00000000" w:rsidP="00000000" w:rsidRDefault="00000000" w:rsidRPr="00000000" w14:paraId="00000012">
      <w:pPr>
        <w:jc w:val="both"/>
        <w:rPr>
          <w:sz w:val="24"/>
          <w:szCs w:val="24"/>
        </w:rPr>
      </w:pPr>
      <w:r w:rsidDel="00000000" w:rsidR="00000000" w:rsidRPr="00000000">
        <w:rPr>
          <w:sz w:val="24"/>
          <w:szCs w:val="24"/>
          <w:rtl w:val="0"/>
        </w:rPr>
        <w:t xml:space="preserve">For the purposes of this essay that focuses on infancy stage, focus is put on the first three stages up to six years, since they are most fundamental on the development of an individual’s personality as explained by Freud’s theory. At oral stage, Freud believed that children between 0 years to one and half years find pleasure in feeding. At this stage, what children feed on is very crucial because the food consumed determines the brain’s capacity to function well. (Papalia et al, 2008). Therefore, if some of the oral needs are not met at early childhood, negative oral behaviors may come up at early earlier stages or in adult. A good example of oral negative behavior is nail biting in children, adolescents and adults. Unmet oral needs may also lead to vices like smoking in adults. (Timothy J., 2020). </w:t>
      </w:r>
    </w:p>
    <w:p w:rsidR="00000000" w:rsidDel="00000000" w:rsidP="00000000" w:rsidRDefault="00000000" w:rsidRPr="00000000" w14:paraId="00000013">
      <w:pPr>
        <w:jc w:val="both"/>
        <w:rPr>
          <w:sz w:val="24"/>
          <w:szCs w:val="24"/>
        </w:rPr>
      </w:pPr>
      <w:r w:rsidDel="00000000" w:rsidR="00000000" w:rsidRPr="00000000">
        <w:rPr>
          <w:sz w:val="24"/>
          <w:szCs w:val="24"/>
          <w:rtl w:val="0"/>
        </w:rPr>
        <w:t xml:space="preserve">At anal stage, infants between 1 year and a half and 3 years begin to develop a sense of satisfaction and pleasure from defecating. Freud believed that children in this age group start developing ego as they get to identify that they also human beings in a home. With this, the child starts to develop ego. Kids start being royal, rebellious, or even stubborn. For example, care givers or parents start enforcing authority over the children for example teaching them how to use the potty, and the way authority is shown while teaching the child determines whether they will be royal, rebellious or stubborn in future.</w:t>
      </w:r>
    </w:p>
    <w:p w:rsidR="00000000" w:rsidDel="00000000" w:rsidP="00000000" w:rsidRDefault="00000000" w:rsidRPr="00000000" w14:paraId="00000014">
      <w:pPr>
        <w:jc w:val="both"/>
        <w:rPr>
          <w:sz w:val="24"/>
          <w:szCs w:val="24"/>
        </w:rPr>
      </w:pPr>
      <w:r w:rsidDel="00000000" w:rsidR="00000000" w:rsidRPr="00000000">
        <w:rPr>
          <w:sz w:val="24"/>
          <w:szCs w:val="24"/>
          <w:rtl w:val="0"/>
        </w:rPr>
        <w:t xml:space="preserve">At Phallic stage (3 to 6 years), according to Freud, a child’s pleasure shifts from the anus to the genitals and they start feeling sensitive in their genitals. Therefore, at the age of 5 years or 6 years, Freud believed that a child will start developing an attachment to the parent of the same sex and they will begin spending more time with them because they want to learn sex-appropriate and how to behave morally. (Papalia, Olds, &amp; Feldman, 2008).</w:t>
      </w:r>
    </w:p>
    <w:p w:rsidR="00000000" w:rsidDel="00000000" w:rsidP="00000000" w:rsidRDefault="00000000" w:rsidRPr="00000000" w14:paraId="00000015">
      <w:pPr>
        <w:jc w:val="both"/>
        <w:rPr>
          <w:b w:val="1"/>
          <w:sz w:val="24"/>
          <w:szCs w:val="24"/>
        </w:rPr>
      </w:pPr>
      <w:bookmarkStart w:colFirst="0" w:colLast="0" w:name="_gjdgxs" w:id="0"/>
      <w:bookmarkEnd w:id="0"/>
      <w:r w:rsidDel="00000000" w:rsidR="00000000" w:rsidRPr="00000000">
        <w:rPr>
          <w:b w:val="1"/>
          <w:sz w:val="24"/>
          <w:szCs w:val="24"/>
          <w:rtl w:val="0"/>
        </w:rPr>
        <w:t xml:space="preserve">Erikson’s psychosocial theory of development </w:t>
      </w:r>
    </w:p>
    <w:p w:rsidR="00000000" w:rsidDel="00000000" w:rsidP="00000000" w:rsidRDefault="00000000" w:rsidRPr="00000000" w14:paraId="00000016">
      <w:pPr>
        <w:jc w:val="both"/>
        <w:rPr>
          <w:sz w:val="24"/>
          <w:szCs w:val="24"/>
        </w:rPr>
      </w:pPr>
      <w:r w:rsidDel="00000000" w:rsidR="00000000" w:rsidRPr="00000000">
        <w:rPr>
          <w:sz w:val="24"/>
          <w:szCs w:val="24"/>
          <w:rtl w:val="0"/>
        </w:rPr>
        <w:t xml:space="preserve">On the contrary, Erikson’s psychosocial theory looks at the social nature in the development of children from stage to stage instead of sexual nature as proposed by Freud’s theory. Erikson believed that one’s personality is developed or shaped through lifespan. Erikson (1963) proposed that development of children from birth to one year is based on trust, therefore, a child will develop trust or mistrust. For example a care giver or parent who is kind and sensitive to the needs of the child automatically wins the child’s trust and the child will grow up thinking that the world is a safer place to live in. On the other hand, kids will develop mistrust for those who mistreat them or ignore how they feel and they will grow up thinking that life is unpredictable. (Kendra, 2020)</w:t>
      </w:r>
    </w:p>
    <w:p w:rsidR="00000000" w:rsidDel="00000000" w:rsidP="00000000" w:rsidRDefault="00000000" w:rsidRPr="00000000" w14:paraId="00000017">
      <w:pPr>
        <w:jc w:val="both"/>
        <w:rPr>
          <w:sz w:val="24"/>
          <w:szCs w:val="24"/>
        </w:rPr>
      </w:pPr>
      <w:r w:rsidDel="00000000" w:rsidR="00000000" w:rsidRPr="00000000">
        <w:rPr>
          <w:sz w:val="24"/>
          <w:szCs w:val="24"/>
          <w:rtl w:val="0"/>
        </w:rPr>
        <w:t xml:space="preserve">According to Erikson (1963), children between 1 and 3 years begin to learn how to control their actions and start developing tastes and preferences by choosing food they like, toys to play with and clothes of their choice. At this stage, development is based on “autonomy vs. shame and doubt” and a child has a task to resolve issues to avoid shame and doubt. For example, children at 2 years usually feel possessed with certain foods like ice cream and cakes and may they usually prefer wearing clothes of choice even though they don’t match the occasion, if the parent thinks others in this situation, the child may feel doubt and grow up doubting her abilities and relying on parents on what to wear or eat. Kids who are allow to do whatever they want usually feel satisfied and follow their abilities. (McLeod, 2018).</w:t>
      </w:r>
    </w:p>
    <w:p w:rsidR="00000000" w:rsidDel="00000000" w:rsidP="00000000" w:rsidRDefault="00000000" w:rsidRPr="00000000" w14:paraId="00000018">
      <w:pPr>
        <w:jc w:val="both"/>
        <w:rPr>
          <w:sz w:val="24"/>
          <w:szCs w:val="24"/>
        </w:rPr>
      </w:pPr>
      <w:r w:rsidDel="00000000" w:rsidR="00000000" w:rsidRPr="00000000">
        <w:rPr>
          <w:sz w:val="24"/>
          <w:szCs w:val="24"/>
          <w:rtl w:val="0"/>
        </w:rPr>
        <w:t xml:space="preserve">At the age between 3 years and 6 years, Erikson believed that children at this stage have a task of resolving issues around initiative vs. guilt. Basically, these are pre-school children their brain is a bit developed. At this stage, kids start coming up with different activities and begin to identify their social class. For example, a child begins to get friends in the society, start getting interested in activities like electronic games, inventing things and they are actually inquisitive to discover. A child who relates easily with other kids while playing develops self-confidence and those who find it difficult will develop shame and guilt and will begin to doubt their abilities around other kids. </w:t>
      </w:r>
    </w:p>
    <w:p w:rsidR="00000000" w:rsidDel="00000000" w:rsidP="00000000" w:rsidRDefault="00000000" w:rsidRPr="00000000" w14:paraId="00000019">
      <w:pPr>
        <w:jc w:val="both"/>
        <w:rPr>
          <w:sz w:val="24"/>
          <w:szCs w:val="24"/>
        </w:rPr>
      </w:pPr>
      <w:r w:rsidDel="00000000" w:rsidR="00000000" w:rsidRPr="00000000">
        <w:rPr>
          <w:b w:val="1"/>
          <w:sz w:val="24"/>
          <w:szCs w:val="24"/>
          <w:rtl w:val="0"/>
        </w:rPr>
        <w:t xml:space="preserve">The role of psychological perspectives in health and social care</w:t>
      </w:r>
      <w:r w:rsidDel="00000000" w:rsidR="00000000" w:rsidRPr="00000000">
        <w:rPr>
          <w:sz w:val="24"/>
          <w:szCs w:val="24"/>
          <w:rtl w:val="0"/>
        </w:rPr>
        <w:t xml:space="preserve">. </w:t>
      </w:r>
    </w:p>
    <w:p w:rsidR="00000000" w:rsidDel="00000000" w:rsidP="00000000" w:rsidRDefault="00000000" w:rsidRPr="00000000" w14:paraId="0000001A">
      <w:pPr>
        <w:jc w:val="both"/>
        <w:rPr>
          <w:sz w:val="24"/>
          <w:szCs w:val="24"/>
        </w:rPr>
      </w:pPr>
      <w:r w:rsidDel="00000000" w:rsidR="00000000" w:rsidRPr="00000000">
        <w:rPr>
          <w:sz w:val="24"/>
          <w:szCs w:val="24"/>
          <w:rtl w:val="0"/>
        </w:rPr>
        <w:t xml:space="preserve">In the health and social care act, psychological perspectives are very important by applying the behaviorists and social learning theorists to help doctors, care takers and social workers to understand that some behaviors are learnt, some behaviors are adopted from the society and then teach the service users some new behaviors for their health and wellbeing. On the other hand, the workers in health and social care sector should look at humanist’s theories which guide that clients should get services with a kind and understanding heart instead of being judgmental to these individuals. </w:t>
      </w:r>
    </w:p>
    <w:p w:rsidR="00000000" w:rsidDel="00000000" w:rsidP="00000000" w:rsidRDefault="00000000" w:rsidRPr="00000000" w14:paraId="0000001B">
      <w:pPr>
        <w:jc w:val="both"/>
        <w:rPr>
          <w:sz w:val="24"/>
          <w:szCs w:val="24"/>
        </w:rPr>
      </w:pPr>
      <w:r w:rsidDel="00000000" w:rsidR="00000000" w:rsidRPr="00000000">
        <w:rPr>
          <w:sz w:val="24"/>
          <w:szCs w:val="24"/>
          <w:rtl w:val="0"/>
        </w:rPr>
        <w:t xml:space="preserve">Therefore, below are theories that will help people in the social care to understand factors that influence people’s health related behaviors and lifestyles choices, and this will help the doctors, nurses, social workers, and care takers to intervene in the life of their clients as a way of helping them.</w:t>
      </w:r>
    </w:p>
    <w:p w:rsidR="00000000" w:rsidDel="00000000" w:rsidP="00000000" w:rsidRDefault="00000000" w:rsidRPr="00000000" w14:paraId="0000001C">
      <w:pPr>
        <w:jc w:val="both"/>
        <w:rPr>
          <w:sz w:val="24"/>
          <w:szCs w:val="24"/>
        </w:rPr>
      </w:pPr>
      <w:r w:rsidDel="00000000" w:rsidR="00000000" w:rsidRPr="00000000">
        <w:rPr>
          <w:sz w:val="24"/>
          <w:szCs w:val="24"/>
          <w:rtl w:val="0"/>
        </w:rPr>
        <w:t xml:space="preserve">Biological </w:t>
      </w:r>
    </w:p>
    <w:p w:rsidR="00000000" w:rsidDel="00000000" w:rsidP="00000000" w:rsidRDefault="00000000" w:rsidRPr="00000000" w14:paraId="0000001D">
      <w:pPr>
        <w:jc w:val="both"/>
        <w:rPr>
          <w:sz w:val="24"/>
          <w:szCs w:val="24"/>
        </w:rPr>
      </w:pPr>
      <w:r w:rsidDel="00000000" w:rsidR="00000000" w:rsidRPr="00000000">
        <w:rPr>
          <w:sz w:val="24"/>
          <w:szCs w:val="24"/>
          <w:rtl w:val="0"/>
        </w:rPr>
        <w:t xml:space="preserve">Biological perspectives help the medical workers or social workers to understand that some individuals’ health and wellbeing could be as a result of their genetics. Some people have different illness and diseases because of their genetic nature. By understanding this, the care giver will know the impact of stress on the individuals and will therefore intervene to provide ways on how to manage it. It is also important for social workers and care givers to understand the value of developmental norms for their clients. (McLeod, 2013). </w:t>
      </w:r>
    </w:p>
    <w:p w:rsidR="00000000" w:rsidDel="00000000" w:rsidP="00000000" w:rsidRDefault="00000000" w:rsidRPr="00000000" w14:paraId="0000001E">
      <w:pPr>
        <w:jc w:val="both"/>
        <w:rPr>
          <w:sz w:val="24"/>
          <w:szCs w:val="24"/>
        </w:rPr>
      </w:pPr>
      <w:r w:rsidDel="00000000" w:rsidR="00000000" w:rsidRPr="00000000">
        <w:rPr>
          <w:sz w:val="24"/>
          <w:szCs w:val="24"/>
          <w:rtl w:val="0"/>
        </w:rPr>
        <w:t xml:space="preserve">Behaviorist perspective </w:t>
      </w:r>
    </w:p>
    <w:p w:rsidR="00000000" w:rsidDel="00000000" w:rsidP="00000000" w:rsidRDefault="00000000" w:rsidRPr="00000000" w14:paraId="0000001F">
      <w:pPr>
        <w:jc w:val="both"/>
        <w:rPr>
          <w:sz w:val="24"/>
          <w:szCs w:val="24"/>
        </w:rPr>
      </w:pPr>
      <w:r w:rsidDel="00000000" w:rsidR="00000000" w:rsidRPr="00000000">
        <w:rPr>
          <w:sz w:val="24"/>
          <w:szCs w:val="24"/>
          <w:rtl w:val="0"/>
        </w:rPr>
        <w:t xml:space="preserve">A care giver should use their training knowledge and expertise to understand why some people behave the way they do. Shape of the behaviors is due to many factors and should be used to help service users. (McAdams, 2001). For example some children do not want to socialize and prefer being in isolation because they are afraid of failing or making mistakes, and therefore the care taker should know ways of dealing with such behavioral changes by introducing strategies like the PACE model which stands for Playfulness, Acceptance, curiosity and Empathy as a way of helping the child. (Ashly, 2019). The best way to help these children is through recognizing their individual needs, show empathy, understand them and do not be judgmental. (McLeod, 2019). </w:t>
      </w:r>
    </w:p>
    <w:p w:rsidR="00000000" w:rsidDel="00000000" w:rsidP="00000000" w:rsidRDefault="00000000" w:rsidRPr="00000000" w14:paraId="00000020">
      <w:pPr>
        <w:jc w:val="both"/>
        <w:rPr>
          <w:sz w:val="24"/>
          <w:szCs w:val="24"/>
        </w:rPr>
      </w:pPr>
      <w:r w:rsidDel="00000000" w:rsidR="00000000" w:rsidRPr="00000000">
        <w:rPr>
          <w:sz w:val="24"/>
          <w:szCs w:val="24"/>
          <w:rtl w:val="0"/>
        </w:rPr>
        <w:t xml:space="preserve">Social learning</w:t>
      </w:r>
    </w:p>
    <w:p w:rsidR="00000000" w:rsidDel="00000000" w:rsidP="00000000" w:rsidRDefault="00000000" w:rsidRPr="00000000" w14:paraId="00000021">
      <w:pPr>
        <w:jc w:val="both"/>
        <w:rPr>
          <w:sz w:val="24"/>
          <w:szCs w:val="24"/>
        </w:rPr>
      </w:pPr>
      <w:r w:rsidDel="00000000" w:rsidR="00000000" w:rsidRPr="00000000">
        <w:rPr>
          <w:sz w:val="24"/>
          <w:szCs w:val="24"/>
          <w:rtl w:val="0"/>
        </w:rPr>
        <w:t xml:space="preserve">People dealing with the health and wellbeing of children should engage in practices that shape the behavior of these children in order to improve their health. For example, children should be fed on foods that are rich in a balanced diet in order to fight conditions like obesity, high blood pressure at a young age. Teach children to look up to models in the society as a way of encouraging them to live healthy. It is also fundamental to engage parents to health education and teach them how to help their children and improve their health wellbeing. (Borghi &amp; Fini, 2019).</w:t>
      </w:r>
    </w:p>
    <w:p w:rsidR="00000000" w:rsidDel="00000000" w:rsidP="00000000" w:rsidRDefault="00000000" w:rsidRPr="00000000" w14:paraId="00000022">
      <w:pPr>
        <w:jc w:val="both"/>
        <w:rPr>
          <w:sz w:val="24"/>
          <w:szCs w:val="24"/>
        </w:rPr>
      </w:pPr>
      <w:r w:rsidDel="00000000" w:rsidR="00000000" w:rsidRPr="00000000">
        <w:rPr>
          <w:sz w:val="24"/>
          <w:szCs w:val="24"/>
          <w:rtl w:val="0"/>
        </w:rPr>
        <w:t xml:space="preserve">Cognitive </w:t>
      </w:r>
    </w:p>
    <w:p w:rsidR="00000000" w:rsidDel="00000000" w:rsidP="00000000" w:rsidRDefault="00000000" w:rsidRPr="00000000" w14:paraId="00000023">
      <w:pPr>
        <w:jc w:val="both"/>
        <w:rPr>
          <w:sz w:val="24"/>
          <w:szCs w:val="24"/>
        </w:rPr>
      </w:pPr>
      <w:r w:rsidDel="00000000" w:rsidR="00000000" w:rsidRPr="00000000">
        <w:rPr>
          <w:sz w:val="24"/>
          <w:szCs w:val="24"/>
          <w:rtl w:val="0"/>
        </w:rPr>
        <w:t xml:space="preserve">Health workers should be actively involved in the process of understanding cognitive development of children by looking at their mental processes, memory functioning, judgment and reasoning and their emotional behaviors. (Hay, 2013). By understanding this, it becomes easy to intervene in their life of children with certain conditions like learning disabilities and how to support them whether through therapy or any other means. </w:t>
      </w:r>
    </w:p>
    <w:p w:rsidR="00000000" w:rsidDel="00000000" w:rsidP="00000000" w:rsidRDefault="00000000" w:rsidRPr="00000000" w14:paraId="00000024">
      <w:pPr>
        <w:jc w:val="both"/>
        <w:rPr>
          <w:sz w:val="24"/>
          <w:szCs w:val="24"/>
        </w:rPr>
      </w:pPr>
      <w:r w:rsidDel="00000000" w:rsidR="00000000" w:rsidRPr="00000000">
        <w:rPr>
          <w:sz w:val="24"/>
          <w:szCs w:val="24"/>
          <w:rtl w:val="0"/>
        </w:rPr>
        <w:t xml:space="preserve">Psychodynamic </w:t>
      </w:r>
    </w:p>
    <w:p w:rsidR="00000000" w:rsidDel="00000000" w:rsidP="00000000" w:rsidRDefault="00000000" w:rsidRPr="00000000" w14:paraId="00000025">
      <w:pPr>
        <w:jc w:val="both"/>
        <w:rPr>
          <w:sz w:val="24"/>
          <w:szCs w:val="24"/>
        </w:rPr>
      </w:pPr>
      <w:r w:rsidDel="00000000" w:rsidR="00000000" w:rsidRPr="00000000">
        <w:rPr>
          <w:sz w:val="24"/>
          <w:szCs w:val="24"/>
          <w:rtl w:val="0"/>
        </w:rPr>
        <w:t xml:space="preserve">When it comes to children, early childhood experiences have a great impact on their health wellbeing, it could be physical or emotional. (Freud, Bowlby). Children have unconscious and submerged mind that impacts and influences the way they behave. A good example in children is the social anxiety as identified by Erikson (1963). Therefore, a medical doctor or care taker of these children should apply therapy strategies to deal with anxiety, emotional problems and those with relationship difficulties. </w:t>
      </w:r>
    </w:p>
    <w:p w:rsidR="00000000" w:rsidDel="00000000" w:rsidP="00000000" w:rsidRDefault="00000000" w:rsidRPr="00000000" w14:paraId="00000026">
      <w:pPr>
        <w:jc w:val="both"/>
        <w:rPr>
          <w:b w:val="1"/>
          <w:sz w:val="24"/>
          <w:szCs w:val="24"/>
        </w:rPr>
      </w:pPr>
      <w:r w:rsidDel="00000000" w:rsidR="00000000" w:rsidRPr="00000000">
        <w:rPr>
          <w:b w:val="1"/>
          <w:sz w:val="24"/>
          <w:szCs w:val="24"/>
          <w:rtl w:val="0"/>
        </w:rPr>
        <w:t xml:space="preserve">Evaluation of the perspectives basing on the most recent research studies in health and social care</w:t>
      </w:r>
    </w:p>
    <w:p w:rsidR="00000000" w:rsidDel="00000000" w:rsidP="00000000" w:rsidRDefault="00000000" w:rsidRPr="00000000" w14:paraId="00000027">
      <w:pPr>
        <w:jc w:val="both"/>
        <w:rPr>
          <w:sz w:val="24"/>
          <w:szCs w:val="24"/>
        </w:rPr>
      </w:pPr>
      <w:r w:rsidDel="00000000" w:rsidR="00000000" w:rsidRPr="00000000">
        <w:rPr>
          <w:sz w:val="24"/>
          <w:szCs w:val="24"/>
          <w:rtl w:val="0"/>
        </w:rPr>
        <w:t xml:space="preserve">According to recent research carried by Center for Disease control and Prevention (2019), they attempted to learn more about the health and development of children to better understand various conditions that occur to children as they grow up. Their research came up with the following conclusions;</w:t>
      </w:r>
    </w:p>
    <w:p w:rsidR="00000000" w:rsidDel="00000000" w:rsidP="00000000" w:rsidRDefault="00000000" w:rsidRPr="00000000" w14:paraId="00000028">
      <w:pPr>
        <w:jc w:val="both"/>
        <w:rPr>
          <w:sz w:val="24"/>
          <w:szCs w:val="24"/>
        </w:rPr>
      </w:pPr>
      <w:r w:rsidDel="00000000" w:rsidR="00000000" w:rsidRPr="00000000">
        <w:rPr>
          <w:sz w:val="24"/>
          <w:szCs w:val="24"/>
          <w:rtl w:val="0"/>
        </w:rPr>
        <w:t xml:space="preserve">The findings agree with Erikson’s psychosocial theory of development that a child’s mental, health and wellbeing is associated with the kind of environment he/she has grown up from. The report showed that the society has a great impact on the behavior and actions of a child as they grow up. According to Center for Disease Control and Prevention, childhood disorders such as Tourette syndrome, behavior disorders, mood and anxiety disorders, autism spectrum disorders and others, are all psychological and they depends on the society and environment in which the child has interacted. </w:t>
      </w:r>
    </w:p>
    <w:p w:rsidR="00000000" w:rsidDel="00000000" w:rsidP="00000000" w:rsidRDefault="00000000" w:rsidRPr="00000000" w14:paraId="00000029">
      <w:pPr>
        <w:jc w:val="both"/>
        <w:rPr>
          <w:sz w:val="24"/>
          <w:szCs w:val="24"/>
        </w:rPr>
      </w:pPr>
      <w:r w:rsidDel="00000000" w:rsidR="00000000" w:rsidRPr="00000000">
        <w:rPr>
          <w:sz w:val="24"/>
          <w:szCs w:val="24"/>
          <w:rtl w:val="0"/>
        </w:rPr>
        <w:t xml:space="preserve">Olivia Karaolis (2020) from The University of Sydney carried out research that was aimed at finding out “why children do not open up” to their care givers or parents. She explained that children come into the world ready to communicate which simply explains the crying at birth. She discovered that children been to understand basic ways of communicating at the age of three and indicated that “the relationship between the parent and child determines how the child communicates”. According to her research, she found out that parents who are tough instill fear in the child and therefore, the child finds it hard to open to the parent in case of any issue in his/her life. </w:t>
      </w:r>
    </w:p>
    <w:p w:rsidR="00000000" w:rsidDel="00000000" w:rsidP="00000000" w:rsidRDefault="00000000" w:rsidRPr="00000000" w14:paraId="0000002A">
      <w:pPr>
        <w:jc w:val="both"/>
        <w:rPr>
          <w:sz w:val="24"/>
          <w:szCs w:val="24"/>
        </w:rPr>
      </w:pPr>
      <w:r w:rsidDel="00000000" w:rsidR="00000000" w:rsidRPr="00000000">
        <w:rPr>
          <w:sz w:val="24"/>
          <w:szCs w:val="24"/>
          <w:rtl w:val="0"/>
        </w:rPr>
        <w:t xml:space="preserve">Therefore, she recommended that parents should adopt “talking through play” by playing with children games that can make them feel comfortable around the parents and hence be free to open up to them. She indicated that the best way to do this is through use of puppets to help the “child feel less self-conscious and open up”. </w:t>
      </w:r>
    </w:p>
    <w:p w:rsidR="00000000" w:rsidDel="00000000" w:rsidP="00000000" w:rsidRDefault="00000000" w:rsidRPr="00000000" w14:paraId="0000002B">
      <w:pPr>
        <w:jc w:val="both"/>
        <w:rPr>
          <w:sz w:val="24"/>
          <w:szCs w:val="24"/>
        </w:rPr>
      </w:pPr>
      <w:r w:rsidDel="00000000" w:rsidR="00000000" w:rsidRPr="00000000">
        <w:rPr>
          <w:sz w:val="24"/>
          <w:szCs w:val="24"/>
          <w:rtl w:val="0"/>
        </w:rPr>
        <w:t xml:space="preserve">Also McLeod (2019) cited Freud’s psychosexual stages of development and concluded similarly as Fisher &amp; Greenberg (1996) that there is evidence to support Freud’s concepts of oral and anal personalities.</w:t>
      </w:r>
    </w:p>
    <w:p w:rsidR="00000000" w:rsidDel="00000000" w:rsidP="00000000" w:rsidRDefault="00000000" w:rsidRPr="00000000" w14:paraId="0000002C">
      <w:pPr>
        <w:jc w:val="both"/>
        <w:rPr>
          <w:b w:val="1"/>
          <w:sz w:val="24"/>
          <w:szCs w:val="24"/>
        </w:rPr>
      </w:pPr>
      <w:r w:rsidDel="00000000" w:rsidR="00000000" w:rsidRPr="00000000">
        <w:rPr>
          <w:b w:val="1"/>
          <w:sz w:val="24"/>
          <w:szCs w:val="24"/>
          <w:rtl w:val="0"/>
        </w:rPr>
        <w:t xml:space="preserve">Conclusion</w:t>
      </w:r>
    </w:p>
    <w:p w:rsidR="00000000" w:rsidDel="00000000" w:rsidP="00000000" w:rsidRDefault="00000000" w:rsidRPr="00000000" w14:paraId="0000002D">
      <w:pPr>
        <w:jc w:val="both"/>
        <w:rPr>
          <w:sz w:val="24"/>
          <w:szCs w:val="24"/>
        </w:rPr>
      </w:pPr>
      <w:r w:rsidDel="00000000" w:rsidR="00000000" w:rsidRPr="00000000">
        <w:rPr>
          <w:sz w:val="24"/>
          <w:szCs w:val="24"/>
          <w:rtl w:val="0"/>
        </w:rPr>
        <w:t xml:space="preserve">This essay concludes that all the perspectives are helpful in describing the growth and development of child from birth to adolescent and adult life. The theories and perspectives clearly indicate why children behave the way they do by examining their emotions, behaviors and actions. To a larger extent, this essay finds Erikson’s psychosocial theory of development more relevant in the explanation of how children develop compared to Freud’s psychosexual stages of development. In conclusion therefore, the emotions, behavior and actions of children as they grow is dependent on biological factors, social factors, cognitive factors, humanistic and psychodynamic factors.</w:t>
      </w:r>
    </w:p>
    <w:p w:rsidR="00000000" w:rsidDel="00000000" w:rsidP="00000000" w:rsidRDefault="00000000" w:rsidRPr="00000000" w14:paraId="0000002E">
      <w:pPr>
        <w:jc w:val="both"/>
        <w:rPr>
          <w:b w:val="1"/>
          <w:sz w:val="24"/>
          <w:szCs w:val="24"/>
        </w:rPr>
      </w:pPr>
      <w:r w:rsidDel="00000000" w:rsidR="00000000" w:rsidRPr="00000000">
        <w:rPr>
          <w:b w:val="1"/>
          <w:sz w:val="24"/>
          <w:szCs w:val="24"/>
          <w:rtl w:val="0"/>
        </w:rPr>
        <w:t xml:space="preserve">References </w:t>
      </w:r>
    </w:p>
    <w:p w:rsidR="00000000" w:rsidDel="00000000" w:rsidP="00000000" w:rsidRDefault="00000000" w:rsidRPr="00000000" w14:paraId="0000002F">
      <w:pPr>
        <w:jc w:val="both"/>
        <w:rPr>
          <w:sz w:val="24"/>
          <w:szCs w:val="24"/>
        </w:rPr>
      </w:pPr>
      <w:r w:rsidDel="00000000" w:rsidR="00000000" w:rsidRPr="00000000">
        <w:rPr>
          <w:sz w:val="24"/>
          <w:szCs w:val="24"/>
          <w:rtl w:val="0"/>
        </w:rPr>
        <w:t xml:space="preserve">McLeod, S.A. (2019, July 18). Psychosexual stages. Simply Psychology. </w:t>
      </w:r>
      <w:hyperlink r:id="rId7">
        <w:r w:rsidDel="00000000" w:rsidR="00000000" w:rsidRPr="00000000">
          <w:rPr>
            <w:color w:val="0563c1"/>
            <w:sz w:val="24"/>
            <w:szCs w:val="24"/>
            <w:u w:val="single"/>
            <w:rtl w:val="0"/>
          </w:rPr>
          <w:t xml:space="preserve">https://www.simplypsychology.org/psychosexual.html</w:t>
        </w:r>
      </w:hyperlink>
      <w:r w:rsidDel="00000000" w:rsidR="00000000" w:rsidRPr="00000000">
        <w:rPr>
          <w:sz w:val="24"/>
          <w:szCs w:val="24"/>
          <w:rtl w:val="0"/>
        </w:rPr>
        <w:t xml:space="preserve">.</w:t>
      </w:r>
    </w:p>
    <w:p w:rsidR="00000000" w:rsidDel="00000000" w:rsidP="00000000" w:rsidRDefault="00000000" w:rsidRPr="00000000" w14:paraId="00000030">
      <w:pPr>
        <w:jc w:val="both"/>
        <w:rPr>
          <w:sz w:val="24"/>
          <w:szCs w:val="24"/>
        </w:rPr>
      </w:pPr>
      <w:r w:rsidDel="00000000" w:rsidR="00000000" w:rsidRPr="00000000">
        <w:rPr>
          <w:sz w:val="24"/>
          <w:szCs w:val="24"/>
          <w:rtl w:val="0"/>
        </w:rPr>
        <w:t xml:space="preserve">Freud, S. (1905). Three essays on the theory of sexuality. Standard Edition 7:123-246.</w:t>
      </w:r>
    </w:p>
    <w:p w:rsidR="00000000" w:rsidDel="00000000" w:rsidP="00000000" w:rsidRDefault="00000000" w:rsidRPr="00000000" w14:paraId="00000031">
      <w:pPr>
        <w:jc w:val="both"/>
        <w:rPr>
          <w:sz w:val="24"/>
          <w:szCs w:val="24"/>
        </w:rPr>
      </w:pPr>
      <w:r w:rsidDel="00000000" w:rsidR="00000000" w:rsidRPr="00000000">
        <w:rPr>
          <w:sz w:val="24"/>
          <w:szCs w:val="24"/>
          <w:rtl w:val="0"/>
        </w:rPr>
        <w:t xml:space="preserve">Shdainah, C., Palley, E. &amp; Miller, A. (2018). “Voices of child Care providers: An explanatory study on the Impact of Policy changes.” International Journal of Child care and Education Policy. 12(4). Pp. 8-18.</w:t>
      </w:r>
    </w:p>
    <w:p w:rsidR="00000000" w:rsidDel="00000000" w:rsidP="00000000" w:rsidRDefault="00000000" w:rsidRPr="00000000" w14:paraId="00000032">
      <w:pPr>
        <w:jc w:val="both"/>
        <w:rPr>
          <w:sz w:val="24"/>
          <w:szCs w:val="24"/>
        </w:rPr>
      </w:pPr>
      <w:r w:rsidDel="00000000" w:rsidR="00000000" w:rsidRPr="00000000">
        <w:rPr>
          <w:sz w:val="24"/>
          <w:szCs w:val="24"/>
          <w:rtl w:val="0"/>
        </w:rPr>
        <w:t xml:space="preserve">Borghi, A.M &amp; Fini, C. (2019). Theories and Explanations Psychology. Fron. Psychol. 10: 958. </w:t>
      </w:r>
    </w:p>
    <w:p w:rsidR="00000000" w:rsidDel="00000000" w:rsidP="00000000" w:rsidRDefault="00000000" w:rsidRPr="00000000" w14:paraId="00000033">
      <w:pPr>
        <w:jc w:val="both"/>
        <w:rPr>
          <w:sz w:val="24"/>
          <w:szCs w:val="24"/>
        </w:rPr>
      </w:pPr>
      <w:r w:rsidDel="00000000" w:rsidR="00000000" w:rsidRPr="00000000">
        <w:rPr>
          <w:sz w:val="24"/>
          <w:szCs w:val="24"/>
          <w:rtl w:val="0"/>
        </w:rPr>
        <w:t xml:space="preserve">Olivia, K. (2020). Talking through play: 3 ways puppets can help your child open up. The academic Journal. The University of Sydney. </w:t>
      </w:r>
    </w:p>
    <w:p w:rsidR="00000000" w:rsidDel="00000000" w:rsidP="00000000" w:rsidRDefault="00000000" w:rsidRPr="00000000" w14:paraId="00000034">
      <w:pPr>
        <w:jc w:val="both"/>
        <w:rPr>
          <w:sz w:val="24"/>
          <w:szCs w:val="24"/>
        </w:rPr>
      </w:pPr>
      <w:r w:rsidDel="00000000" w:rsidR="00000000" w:rsidRPr="00000000">
        <w:rPr>
          <w:sz w:val="24"/>
          <w:szCs w:val="24"/>
          <w:rtl w:val="0"/>
        </w:rPr>
        <w:t xml:space="preserve">Fisher, S. &amp; Greenberg, R.P. (1996). Freud scientifically reappraised: Testing the theories and therapy. New York: Wiley.</w:t>
      </w:r>
    </w:p>
    <w:p w:rsidR="00000000" w:rsidDel="00000000" w:rsidP="00000000" w:rsidRDefault="00000000" w:rsidRPr="00000000" w14:paraId="00000035">
      <w:pPr>
        <w:jc w:val="both"/>
        <w:rPr>
          <w:sz w:val="24"/>
          <w:szCs w:val="24"/>
        </w:rPr>
      </w:pPr>
      <w:r w:rsidDel="00000000" w:rsidR="00000000" w:rsidRPr="00000000">
        <w:rPr>
          <w:sz w:val="24"/>
          <w:szCs w:val="24"/>
          <w:rtl w:val="0"/>
        </w:rPr>
        <w:t xml:space="preserve">McLeod, S.A. (2018, May 03). Erik Erikson’s stages of psychosocial development. Simply Psychology. </w:t>
      </w:r>
      <w:hyperlink r:id="rId8">
        <w:r w:rsidDel="00000000" w:rsidR="00000000" w:rsidRPr="00000000">
          <w:rPr>
            <w:color w:val="0563c1"/>
            <w:sz w:val="24"/>
            <w:szCs w:val="24"/>
            <w:u w:val="single"/>
            <w:rtl w:val="0"/>
          </w:rPr>
          <w:t xml:space="preserve">https://www.simplypsychology.org/Erik-Erikson.html</w:t>
        </w:r>
      </w:hyperlink>
      <w:r w:rsidDel="00000000" w:rsidR="00000000" w:rsidRPr="00000000">
        <w:rPr>
          <w:sz w:val="24"/>
          <w:szCs w:val="24"/>
          <w:rtl w:val="0"/>
        </w:rPr>
        <w:t xml:space="preserve">.</w:t>
      </w:r>
    </w:p>
    <w:p w:rsidR="00000000" w:rsidDel="00000000" w:rsidP="00000000" w:rsidRDefault="00000000" w:rsidRPr="00000000" w14:paraId="00000036">
      <w:pPr>
        <w:jc w:val="both"/>
        <w:rPr>
          <w:sz w:val="24"/>
          <w:szCs w:val="24"/>
        </w:rPr>
      </w:pPr>
      <w:r w:rsidDel="00000000" w:rsidR="00000000" w:rsidRPr="00000000">
        <w:rPr>
          <w:sz w:val="24"/>
          <w:szCs w:val="24"/>
          <w:rtl w:val="0"/>
        </w:rPr>
        <w:t xml:space="preserve">Erikson, E.H (1963). Youth: Change and Challenge. New York: Basic books.</w:t>
      </w:r>
    </w:p>
    <w:p w:rsidR="00000000" w:rsidDel="00000000" w:rsidP="00000000" w:rsidRDefault="00000000" w:rsidRPr="00000000" w14:paraId="00000037">
      <w:pPr>
        <w:jc w:val="both"/>
        <w:rPr>
          <w:sz w:val="24"/>
          <w:szCs w:val="24"/>
        </w:rPr>
      </w:pPr>
      <w:r w:rsidDel="00000000" w:rsidR="00000000" w:rsidRPr="00000000">
        <w:rPr>
          <w:sz w:val="24"/>
          <w:szCs w:val="24"/>
          <w:rtl w:val="0"/>
        </w:rPr>
        <w:t xml:space="preserve">McCrae, R. R., &amp; Costa Jr, P.T. (1997). Personality trait structure as a human universal. American Psychologist, 52(5), 509.</w:t>
      </w:r>
    </w:p>
    <w:p w:rsidR="00000000" w:rsidDel="00000000" w:rsidP="00000000" w:rsidRDefault="00000000" w:rsidRPr="00000000" w14:paraId="00000038">
      <w:pPr>
        <w:jc w:val="both"/>
        <w:rPr>
          <w:sz w:val="24"/>
          <w:szCs w:val="24"/>
        </w:rPr>
      </w:pPr>
      <w:r w:rsidDel="00000000" w:rsidR="00000000" w:rsidRPr="00000000">
        <w:rPr>
          <w:sz w:val="24"/>
          <w:szCs w:val="24"/>
          <w:rtl w:val="0"/>
        </w:rPr>
        <w:t xml:space="preserve">McAdams, D.P. (2001). The psychology of life stories. Review of General Psychology, 5(2), 100. </w:t>
      </w:r>
    </w:p>
    <w:p w:rsidR="00000000" w:rsidDel="00000000" w:rsidP="00000000" w:rsidRDefault="00000000" w:rsidRPr="00000000" w14:paraId="00000039">
      <w:pPr>
        <w:ind w:firstLine="720"/>
        <w:jc w:val="both"/>
        <w:rPr>
          <w:sz w:val="24"/>
          <w:szCs w:val="24"/>
        </w:rPr>
      </w:pPr>
      <w:r w:rsidDel="00000000" w:rsidR="00000000" w:rsidRPr="00000000">
        <w:rPr>
          <w:sz w:val="24"/>
          <w:szCs w:val="24"/>
          <w:rtl w:val="0"/>
        </w:rPr>
        <w:t xml:space="preserve"> </w:t>
      </w:r>
    </w:p>
    <w:p w:rsidR="00000000" w:rsidDel="00000000" w:rsidP="00000000" w:rsidRDefault="00000000" w:rsidRPr="00000000" w14:paraId="0000003A">
      <w:pPr>
        <w:ind w:firstLine="720"/>
        <w:jc w:val="both"/>
        <w:rPr>
          <w:sz w:val="24"/>
          <w:szCs w:val="24"/>
        </w:rPr>
      </w:pPr>
      <w:r w:rsidDel="00000000" w:rsidR="00000000" w:rsidRPr="00000000">
        <w:rPr>
          <w:rtl w:val="0"/>
        </w:rPr>
      </w:r>
    </w:p>
    <w:p w:rsidR="00000000" w:rsidDel="00000000" w:rsidP="00000000" w:rsidRDefault="00000000" w:rsidRPr="00000000" w14:paraId="0000003B">
      <w:pPr>
        <w:jc w:val="both"/>
        <w:rPr>
          <w:sz w:val="24"/>
          <w:szCs w:val="24"/>
        </w:rPr>
      </w:pPr>
      <w:r w:rsidDel="00000000" w:rsidR="00000000" w:rsidRPr="00000000">
        <w:rPr>
          <w:rtl w:val="0"/>
        </w:rPr>
      </w:r>
    </w:p>
    <w:p w:rsidR="00000000" w:rsidDel="00000000" w:rsidP="00000000" w:rsidRDefault="00000000" w:rsidRPr="00000000" w14:paraId="0000003C">
      <w:pPr>
        <w:jc w:val="both"/>
        <w:rPr>
          <w:sz w:val="24"/>
          <w:szCs w:val="24"/>
        </w:rPr>
      </w:pPr>
      <w:r w:rsidDel="00000000" w:rsidR="00000000" w:rsidRPr="00000000">
        <w:rPr>
          <w:rtl w:val="0"/>
        </w:rPr>
      </w:r>
    </w:p>
    <w:p w:rsidR="00000000" w:rsidDel="00000000" w:rsidP="00000000" w:rsidRDefault="00000000" w:rsidRPr="00000000" w14:paraId="0000003D">
      <w:pPr>
        <w:rPr>
          <w:sz w:val="24"/>
          <w:szCs w:val="24"/>
        </w:rPr>
      </w:pPr>
      <w:r w:rsidDel="00000000" w:rsidR="00000000" w:rsidRPr="00000000">
        <w:rPr>
          <w:rtl w:val="0"/>
        </w:rPr>
      </w:r>
    </w:p>
    <w:sectPr>
      <w:footerReference r:id="rId9" w:type="default"/>
      <w:pgSz w:h="15840" w:w="12240" w:orient="portrait"/>
      <w:pgMar w:bottom="1440" w:top="1440" w:left="1440" w:right="1440" w:header="720" w:footer="720"/>
      <w:pgNumType w:start="0"/>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Cambria"/>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3E">
    <w:pPr>
      <w:keepNext w:val="0"/>
      <w:keepLines w:val="0"/>
      <w:widowControl w:val="1"/>
      <w:pBdr>
        <w:top w:space="0" w:sz="0" w:val="nil"/>
        <w:left w:space="0" w:sz="0" w:val="nil"/>
        <w:bottom w:space="0" w:sz="0" w:val="nil"/>
        <w:right w:space="0" w:sz="0" w:val="nil"/>
        <w:between w:space="0" w:sz="0" w:val="nil"/>
      </w:pBdr>
      <w:shd w:fill="auto" w:val="clear"/>
      <w:tabs>
        <w:tab w:val="center" w:pos="4680"/>
        <w:tab w:val="right" w:pos="9360"/>
      </w:tabs>
      <w:spacing w:after="0" w:before="0" w:line="240" w:lineRule="auto"/>
      <w:ind w:left="0" w:right="0"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3F">
    <w:pPr>
      <w:keepNext w:val="0"/>
      <w:keepLines w:val="0"/>
      <w:widowControl w:val="1"/>
      <w:pBdr>
        <w:top w:space="0" w:sz="0" w:val="nil"/>
        <w:left w:space="0" w:sz="0" w:val="nil"/>
        <w:bottom w:space="0" w:sz="0" w:val="nil"/>
        <w:right w:space="0" w:sz="0" w:val="nil"/>
        <w:between w:space="0" w:sz="0" w:val="nil"/>
      </w:pBdr>
      <w:shd w:fill="auto" w:val="clear"/>
      <w:tabs>
        <w:tab w:val="center" w:pos="4680"/>
        <w:tab w:val="right" w:pos="9360"/>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US"/>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footer" Target="footer1.xml"/><Relationship Id="rId5" Type="http://schemas.openxmlformats.org/officeDocument/2006/relationships/styles" Target="styles.xml"/><Relationship Id="rId6" Type="http://schemas.openxmlformats.org/officeDocument/2006/relationships/image" Target="media/image1.png"/><Relationship Id="rId7" Type="http://schemas.openxmlformats.org/officeDocument/2006/relationships/hyperlink" Target="https://www.simplypsychology.org/psychosexual.html" TargetMode="External"/><Relationship Id="rId8" Type="http://schemas.openxmlformats.org/officeDocument/2006/relationships/hyperlink" Target="https://www.simplypsychology.org/Erik-Erikson.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