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157E85" w14:textId="579C0AA1" w:rsidR="00FB1459" w:rsidRDefault="00FB1459">
      <w:pPr>
        <w:spacing w:before="1600" w:after="200"/>
        <w:jc w:val="center"/>
        <w:rPr>
          <w:b/>
          <w:bCs/>
          <w:color w:val="1F4E79"/>
          <w:sz w:val="30"/>
          <w:szCs w:val="30"/>
        </w:rPr>
      </w:pPr>
      <w:r>
        <w:rPr>
          <w:noProof/>
        </w:rPr>
        <w:drawing>
          <wp:anchor distT="0" distB="0" distL="114300" distR="114300" simplePos="0" relativeHeight="251658240" behindDoc="1" locked="0" layoutInCell="1" allowOverlap="1" wp14:anchorId="1AD77AA1" wp14:editId="0DCF5731">
            <wp:simplePos x="0" y="0"/>
            <wp:positionH relativeFrom="margin">
              <wp:align>center</wp:align>
            </wp:positionH>
            <wp:positionV relativeFrom="paragraph">
              <wp:posOffset>-617220</wp:posOffset>
            </wp:positionV>
            <wp:extent cx="5303520" cy="2651760"/>
            <wp:effectExtent l="0" t="0" r="0" b="0"/>
            <wp:wrapNone/>
            <wp:docPr id="599948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03520" cy="26517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5AC8B2" w14:textId="77777777" w:rsidR="00FB1459" w:rsidRDefault="00FB1459">
      <w:pPr>
        <w:spacing w:after="600"/>
        <w:jc w:val="center"/>
        <w:rPr>
          <w:b/>
          <w:bCs/>
          <w:color w:val="1F4E79"/>
          <w:sz w:val="30"/>
          <w:szCs w:val="30"/>
        </w:rPr>
      </w:pPr>
    </w:p>
    <w:p w14:paraId="0402F0F0" w14:textId="6650B5C9" w:rsidR="008D74E1" w:rsidRDefault="00000000">
      <w:pPr>
        <w:spacing w:after="600"/>
        <w:jc w:val="center"/>
      </w:pPr>
      <w:r>
        <w:rPr>
          <w:color w:val="595959"/>
        </w:rPr>
        <w:t>BMHP5015 — Changemakers: Building Your Personal Brand for Sustainable Employment</w:t>
      </w:r>
    </w:p>
    <w:p w14:paraId="7FE1D976" w14:textId="77777777" w:rsidR="008D74E1" w:rsidRDefault="00000000">
      <w:pPr>
        <w:spacing w:after="160"/>
        <w:jc w:val="center"/>
      </w:pPr>
      <w:r>
        <w:rPr>
          <w:b/>
          <w:bCs/>
          <w:color w:val="1F4E79"/>
          <w:sz w:val="40"/>
          <w:szCs w:val="40"/>
        </w:rPr>
        <w:t>Component 1: Online Portfolio</w:t>
      </w:r>
    </w:p>
    <w:p w14:paraId="16607F80" w14:textId="77777777" w:rsidR="008D74E1" w:rsidRDefault="00000000">
      <w:pPr>
        <w:spacing w:after="800"/>
        <w:jc w:val="center"/>
      </w:pPr>
      <w:r>
        <w:rPr>
          <w:i/>
          <w:iCs/>
          <w:color w:val="595959"/>
        </w:rPr>
        <w:t>A Reflective Portfolio on the Four Units of the Module</w:t>
      </w:r>
    </w:p>
    <w:p w14:paraId="0F082041" w14:textId="127F8C05" w:rsidR="008D74E1" w:rsidRPr="004B56D4" w:rsidRDefault="00000000" w:rsidP="004B56D4">
      <w:pPr>
        <w:spacing w:after="80"/>
        <w:ind w:left="2160"/>
        <w:rPr>
          <w:b/>
          <w:bCs/>
          <w:sz w:val="32"/>
          <w:szCs w:val="32"/>
        </w:rPr>
      </w:pPr>
      <w:r w:rsidRPr="004B56D4">
        <w:rPr>
          <w:b/>
          <w:bCs/>
          <w:sz w:val="32"/>
          <w:szCs w:val="32"/>
        </w:rPr>
        <w:t>Student Name</w:t>
      </w:r>
      <w:r w:rsidR="004B56D4" w:rsidRPr="004B56D4">
        <w:rPr>
          <w:b/>
          <w:bCs/>
          <w:sz w:val="32"/>
          <w:szCs w:val="32"/>
        </w:rPr>
        <w:tab/>
      </w:r>
      <w:r w:rsidRPr="004B56D4">
        <w:rPr>
          <w:b/>
          <w:bCs/>
          <w:sz w:val="32"/>
          <w:szCs w:val="32"/>
        </w:rPr>
        <w:t>:</w:t>
      </w:r>
      <w:r w:rsidR="00FB1459" w:rsidRPr="004B56D4">
        <w:rPr>
          <w:b/>
          <w:bCs/>
          <w:sz w:val="32"/>
          <w:szCs w:val="32"/>
        </w:rPr>
        <w:t xml:space="preserve"> Busra Akter Rusi</w:t>
      </w:r>
      <w:r w:rsidRPr="004B56D4">
        <w:rPr>
          <w:b/>
          <w:bCs/>
          <w:sz w:val="32"/>
          <w:szCs w:val="32"/>
        </w:rPr>
        <w:t xml:space="preserve"> </w:t>
      </w:r>
    </w:p>
    <w:p w14:paraId="45CA0D6B" w14:textId="68D6C63A" w:rsidR="008D74E1" w:rsidRPr="004B56D4" w:rsidRDefault="00000000" w:rsidP="004B56D4">
      <w:pPr>
        <w:spacing w:after="80"/>
        <w:ind w:left="2160"/>
        <w:rPr>
          <w:b/>
          <w:bCs/>
          <w:sz w:val="32"/>
          <w:szCs w:val="32"/>
        </w:rPr>
      </w:pPr>
      <w:r w:rsidRPr="004B56D4">
        <w:rPr>
          <w:b/>
          <w:bCs/>
          <w:sz w:val="32"/>
          <w:szCs w:val="32"/>
        </w:rPr>
        <w:t>Student ID</w:t>
      </w:r>
      <w:r w:rsidR="004B56D4" w:rsidRPr="004B56D4">
        <w:rPr>
          <w:b/>
          <w:bCs/>
          <w:sz w:val="32"/>
          <w:szCs w:val="32"/>
        </w:rPr>
        <w:tab/>
      </w:r>
      <w:r w:rsidR="004B56D4" w:rsidRPr="004B56D4">
        <w:rPr>
          <w:b/>
          <w:bCs/>
          <w:sz w:val="32"/>
          <w:szCs w:val="32"/>
        </w:rPr>
        <w:tab/>
      </w:r>
      <w:r w:rsidRPr="004B56D4">
        <w:rPr>
          <w:b/>
          <w:bCs/>
          <w:sz w:val="32"/>
          <w:szCs w:val="32"/>
        </w:rPr>
        <w:t>:</w:t>
      </w:r>
      <w:r w:rsidR="00FB1459" w:rsidRPr="004B56D4">
        <w:rPr>
          <w:b/>
          <w:bCs/>
          <w:sz w:val="32"/>
          <w:szCs w:val="32"/>
        </w:rPr>
        <w:t xml:space="preserve"> 2413161</w:t>
      </w:r>
    </w:p>
    <w:p w14:paraId="7371975D" w14:textId="1328FAF0" w:rsidR="008D74E1" w:rsidRPr="004B56D4" w:rsidRDefault="00FB1459" w:rsidP="004B56D4">
      <w:pPr>
        <w:spacing w:after="80"/>
        <w:ind w:left="2160"/>
        <w:rPr>
          <w:b/>
          <w:bCs/>
          <w:sz w:val="32"/>
          <w:szCs w:val="32"/>
        </w:rPr>
      </w:pPr>
      <w:r w:rsidRPr="004B56D4">
        <w:rPr>
          <w:b/>
          <w:bCs/>
          <w:sz w:val="32"/>
          <w:szCs w:val="32"/>
        </w:rPr>
        <w:t>Lecturer</w:t>
      </w:r>
      <w:r w:rsidR="004B56D4" w:rsidRPr="004B56D4">
        <w:rPr>
          <w:b/>
          <w:bCs/>
          <w:sz w:val="32"/>
          <w:szCs w:val="32"/>
        </w:rPr>
        <w:tab/>
      </w:r>
      <w:r w:rsidR="004B56D4" w:rsidRPr="004B56D4">
        <w:rPr>
          <w:b/>
          <w:bCs/>
          <w:sz w:val="32"/>
          <w:szCs w:val="32"/>
        </w:rPr>
        <w:tab/>
      </w:r>
      <w:r w:rsidRPr="004B56D4">
        <w:rPr>
          <w:b/>
          <w:bCs/>
          <w:sz w:val="32"/>
          <w:szCs w:val="32"/>
        </w:rPr>
        <w:t>: Brian Mashumba</w:t>
      </w:r>
    </w:p>
    <w:p w14:paraId="388A0253" w14:textId="77777777" w:rsidR="004B56D4" w:rsidRPr="004B56D4" w:rsidRDefault="004B56D4" w:rsidP="004B56D4">
      <w:pPr>
        <w:spacing w:after="80"/>
        <w:rPr>
          <w:b/>
          <w:bCs/>
          <w:sz w:val="32"/>
          <w:szCs w:val="32"/>
        </w:rPr>
      </w:pPr>
    </w:p>
    <w:p w14:paraId="77FA30DE" w14:textId="77777777" w:rsidR="004B56D4" w:rsidRPr="004B56D4" w:rsidRDefault="004B56D4" w:rsidP="004B56D4">
      <w:pPr>
        <w:spacing w:after="80"/>
        <w:rPr>
          <w:b/>
          <w:bCs/>
          <w:sz w:val="32"/>
          <w:szCs w:val="32"/>
        </w:rPr>
      </w:pPr>
    </w:p>
    <w:p w14:paraId="1127CA0D" w14:textId="77777777" w:rsidR="004B56D4" w:rsidRPr="004B56D4" w:rsidRDefault="004B56D4" w:rsidP="004B56D4">
      <w:pPr>
        <w:spacing w:after="80"/>
        <w:rPr>
          <w:b/>
          <w:bCs/>
          <w:sz w:val="32"/>
          <w:szCs w:val="32"/>
        </w:rPr>
      </w:pPr>
    </w:p>
    <w:p w14:paraId="2DF3D577" w14:textId="77777777" w:rsidR="004B56D4" w:rsidRPr="004B56D4" w:rsidRDefault="004B56D4" w:rsidP="004B56D4">
      <w:pPr>
        <w:spacing w:after="80"/>
        <w:rPr>
          <w:b/>
          <w:bCs/>
          <w:sz w:val="32"/>
          <w:szCs w:val="32"/>
        </w:rPr>
      </w:pPr>
    </w:p>
    <w:p w14:paraId="18D32F1E" w14:textId="6180A2E6" w:rsidR="008D74E1" w:rsidRPr="004B56D4" w:rsidRDefault="004B56D4" w:rsidP="004B56D4">
      <w:pPr>
        <w:spacing w:after="80"/>
        <w:rPr>
          <w:b/>
          <w:bCs/>
          <w:sz w:val="32"/>
          <w:szCs w:val="32"/>
        </w:rPr>
      </w:pPr>
      <w:r w:rsidRPr="004B56D4">
        <w:rPr>
          <w:b/>
          <w:bCs/>
          <w:sz w:val="32"/>
          <w:szCs w:val="32"/>
        </w:rPr>
        <w:t>Submitted on: 30/07/2026</w:t>
      </w:r>
      <w:r w:rsidR="00000000" w:rsidRPr="004B56D4">
        <w:rPr>
          <w:b/>
          <w:bCs/>
          <w:sz w:val="32"/>
          <w:szCs w:val="32"/>
        </w:rPr>
        <w:br w:type="page"/>
      </w:r>
    </w:p>
    <w:p w14:paraId="78C34A64" w14:textId="77777777" w:rsidR="008D74E1" w:rsidRDefault="00000000">
      <w:pPr>
        <w:pStyle w:val="Heading1"/>
        <w:spacing w:before="320" w:after="140"/>
      </w:pPr>
      <w:r>
        <w:rPr>
          <w:b/>
          <w:bCs/>
          <w:color w:val="1F4E79"/>
          <w:sz w:val="30"/>
          <w:szCs w:val="30"/>
        </w:rPr>
        <w:lastRenderedPageBreak/>
        <w:t>Introduction</w:t>
      </w:r>
    </w:p>
    <w:p w14:paraId="7709DCE1" w14:textId="77777777" w:rsidR="008D74E1" w:rsidRDefault="00000000">
      <w:pPr>
        <w:spacing w:after="160" w:line="320" w:lineRule="auto"/>
        <w:jc w:val="both"/>
      </w:pPr>
      <w:r>
        <w:t xml:space="preserve">This portfolio looks back on what I learned across the four units of the </w:t>
      </w:r>
      <w:r>
        <w:rPr>
          <w:i/>
          <w:iCs/>
        </w:rPr>
        <w:t>Changemakers: Building Your Personal Brand for Sustainable Employment</w:t>
      </w:r>
      <w:r>
        <w:t xml:space="preserve"> module, and on how each unit has shaped the way I think about my future in health and social care. When I started the module I saw employability as little more than having the right qualifications on paper. Over the eight weeks that view changed. Unit 1 (Brand You) got me thinking about ambition, motivation and emotional intelligence. Unit 2 (It's a Small World) opened my eyes to networking and diversity. Unit 3 (Opportunity Knocks) showed me how to spot and create opportunities, and Unit 4 (The Pursuit of Happiness) made me consider my own wellbeing and resilience. Wherever I could, I have tried to connect what I learned to real practice in health and social care and to back it up with academic reading. If there is one idea that ties the whole module together for me, it is that lasting professional growth has to come from within (Pink, 2011). The reflections below set out what I took from each unit, alongside screenshots of the forum activities I completed along the way.</w:t>
      </w:r>
    </w:p>
    <w:p w14:paraId="506B9BFF" w14:textId="3CA34C1F" w:rsidR="008D74E1" w:rsidRDefault="00000000">
      <w:pPr>
        <w:pStyle w:val="Heading1"/>
        <w:spacing w:before="320" w:after="140"/>
      </w:pPr>
      <w:r>
        <w:rPr>
          <w:b/>
          <w:bCs/>
          <w:color w:val="1F4E79"/>
          <w:sz w:val="30"/>
          <w:szCs w:val="30"/>
        </w:rPr>
        <w:t xml:space="preserve">Reflection on Unit 1: Brand </w:t>
      </w:r>
      <w:r w:rsidR="00A35017">
        <w:rPr>
          <w:b/>
          <w:bCs/>
          <w:color w:val="1F4E79"/>
          <w:sz w:val="30"/>
          <w:szCs w:val="30"/>
        </w:rPr>
        <w:t>You</w:t>
      </w:r>
    </w:p>
    <w:p w14:paraId="4B4C7401" w14:textId="77777777" w:rsidR="008D74E1" w:rsidRDefault="00000000">
      <w:pPr>
        <w:spacing w:after="160" w:line="320" w:lineRule="auto"/>
        <w:jc w:val="both"/>
      </w:pPr>
      <w:r>
        <w:t>Unit 1 was my introduction to personal branding, self-awareness, ambition and emotional intelligence, and it honestly changed how I see myself as a professional. We started with ambition. I used to think of ambition as wanting money or status, but I came to understand it more simply as a keen desire to move forward personally and professionally. What struck me was learning that ambition matters because it strengthens my belief in myself and gives me the energy to keep going when things get difficult; it pushes me to take sensible risks and to stay on course even when the path is not obvious, and that persistence is really a form of self-efficacy (Maddux, 2016). Thinking this through, I set myself a clear goal: to move from being a care assistant towards a supervisory role, and in time into management within a care setting.</w:t>
      </w:r>
    </w:p>
    <w:p w14:paraId="4F0B398E" w14:textId="77777777" w:rsidR="008D74E1" w:rsidRDefault="00000000">
      <w:pPr>
        <w:spacing w:after="160" w:line="320" w:lineRule="auto"/>
        <w:jc w:val="both"/>
      </w:pPr>
      <w:r>
        <w:t xml:space="preserve">The idea that stayed with me most was Pink's model of autonomy, mastery and purpose. I came to see that people do their best work when they have some control over what they do, a chance to get genuinely good at it, and a reason that matters to them (Pink, 2011). In care, I linked autonomy straight away to person-centred practice — letting the people I support decide what they wear, what they eat, where they spend their time, and involving them in planning their own care. Mastery, for me, is about steadily getting better at communicating and building relationships so I can give competent, compassionate care, while purpose keeps me motivated to keep improving. This connected to self-awareness too: I learned that being </w:t>
      </w:r>
      <w:r>
        <w:lastRenderedPageBreak/>
        <w:t>self-aware in a care setting improves my competence and the satisfaction of the people I look after, and helps me stay calm and keep my confidence in difficult moments.</w:t>
      </w:r>
    </w:p>
    <w:p w14:paraId="7CABEBB4" w14:textId="77777777" w:rsidR="008D74E1" w:rsidRDefault="00000000">
      <w:pPr>
        <w:spacing w:after="160" w:line="320" w:lineRule="auto"/>
        <w:jc w:val="both"/>
      </w:pPr>
      <w:r>
        <w:t xml:space="preserve">Emotional intelligence, though, had the biggest impact on me. Put simply, it is the ability to understand and manage my own emotions and to read the emotions of others (Salovey, Caruso and Mayer, 2004), and it is now widely seen as central to delivering patient-centred care (Johnson, 2015). Taking the online emotional intelligence quiz was a useful reality check — it showed me that empathy and self-awareness are strengths of mine, but that I still need to work on staying composed under pressure. We also touched on boundaryless careers, where a career moves across different organisations and sectors rather than sitting with one employer (Arthur, </w:t>
      </w:r>
      <w:proofErr w:type="spellStart"/>
      <w:r>
        <w:t>Khapova</w:t>
      </w:r>
      <w:proofErr w:type="spellEnd"/>
      <w:r>
        <w:t xml:space="preserve"> and </w:t>
      </w:r>
      <w:proofErr w:type="spellStart"/>
      <w:r>
        <w:t>Wilderom</w:t>
      </w:r>
      <w:proofErr w:type="spellEnd"/>
      <w:r>
        <w:t>, 2005). Pulling all of this together, I now understand my personal brand as something built on being authentic, self-aware and carrying transferable skills that travel with me across the many different settings in health and social care.</w:t>
      </w:r>
    </w:p>
    <w:p w14:paraId="6A7E408A" w14:textId="77777777" w:rsidR="008D74E1" w:rsidRDefault="00000000">
      <w:pPr>
        <w:pStyle w:val="Heading2"/>
        <w:spacing w:before="200" w:after="80"/>
      </w:pPr>
      <w:r>
        <w:rPr>
          <w:b/>
          <w:bCs/>
          <w:i/>
          <w:iCs/>
          <w:color w:val="595959"/>
          <w:sz w:val="24"/>
          <w:szCs w:val="24"/>
        </w:rPr>
        <w:t>Screenshots — Unit 1 Online Activities</w:t>
      </w:r>
    </w:p>
    <w:p w14:paraId="087EDA8F" w14:textId="77777777" w:rsidR="008D74E1" w:rsidRDefault="00000000">
      <w:pPr>
        <w:spacing w:before="60" w:after="40"/>
        <w:jc w:val="center"/>
      </w:pPr>
      <w:r>
        <w:rPr>
          <w:noProof/>
        </w:rPr>
        <w:drawing>
          <wp:inline distT="0" distB="0" distL="0" distR="0" wp14:anchorId="53D16EB3" wp14:editId="2490B42D">
            <wp:extent cx="5334000" cy="30003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334000" cy="3000375"/>
                    </a:xfrm>
                    <a:prstGeom prst="rect">
                      <a:avLst/>
                    </a:prstGeom>
                  </pic:spPr>
                </pic:pic>
              </a:graphicData>
            </a:graphic>
          </wp:inline>
        </w:drawing>
      </w:r>
    </w:p>
    <w:p w14:paraId="05934D0F" w14:textId="77777777" w:rsidR="008D74E1" w:rsidRDefault="00000000">
      <w:pPr>
        <w:spacing w:after="200"/>
        <w:jc w:val="center"/>
      </w:pPr>
      <w:r>
        <w:rPr>
          <w:b/>
          <w:bCs/>
          <w:i/>
          <w:iCs/>
          <w:color w:val="595959"/>
          <w:sz w:val="20"/>
          <w:szCs w:val="20"/>
        </w:rPr>
        <w:t xml:space="preserve">Screenshot 1.1 — </w:t>
      </w:r>
      <w:r>
        <w:rPr>
          <w:i/>
          <w:iCs/>
          <w:color w:val="595959"/>
          <w:sz w:val="20"/>
          <w:szCs w:val="20"/>
        </w:rPr>
        <w:t>My Week 1 forum post setting out my career goal of progressing from care assistant to a senior/management role, showing my ambition and goal-setting.</w:t>
      </w:r>
    </w:p>
    <w:p w14:paraId="7EFFF942" w14:textId="77777777" w:rsidR="008D74E1" w:rsidRDefault="00000000">
      <w:pPr>
        <w:spacing w:before="60" w:after="40"/>
        <w:jc w:val="center"/>
      </w:pPr>
      <w:r>
        <w:rPr>
          <w:noProof/>
        </w:rPr>
        <w:lastRenderedPageBreak/>
        <w:drawing>
          <wp:inline distT="0" distB="0" distL="0" distR="0" wp14:anchorId="5E5CF272" wp14:editId="2ECDDFEC">
            <wp:extent cx="5334000" cy="3000375"/>
            <wp:effectExtent l="0" t="0" r="0" b="0"/>
            <wp:docPr id="503105359" name="Picture 5031053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334000" cy="3000375"/>
                    </a:xfrm>
                    <a:prstGeom prst="rect">
                      <a:avLst/>
                    </a:prstGeom>
                  </pic:spPr>
                </pic:pic>
              </a:graphicData>
            </a:graphic>
          </wp:inline>
        </w:drawing>
      </w:r>
    </w:p>
    <w:p w14:paraId="3D0A5DC0" w14:textId="77777777" w:rsidR="008D74E1" w:rsidRDefault="00000000">
      <w:pPr>
        <w:spacing w:after="200"/>
        <w:jc w:val="center"/>
      </w:pPr>
      <w:r>
        <w:rPr>
          <w:b/>
          <w:bCs/>
          <w:i/>
          <w:iCs/>
          <w:color w:val="595959"/>
          <w:sz w:val="20"/>
          <w:szCs w:val="20"/>
        </w:rPr>
        <w:t xml:space="preserve">Screenshot 1.2 — </w:t>
      </w:r>
      <w:r>
        <w:rPr>
          <w:i/>
          <w:iCs/>
          <w:color w:val="595959"/>
          <w:sz w:val="20"/>
          <w:szCs w:val="20"/>
        </w:rPr>
        <w:t>My forum post explaining the meaning of autonomy and self-determination, which I linked to Pink's autonomy, mastery and purpose.</w:t>
      </w:r>
    </w:p>
    <w:p w14:paraId="51BB637E" w14:textId="77777777" w:rsidR="008D74E1" w:rsidRDefault="00000000">
      <w:pPr>
        <w:spacing w:before="60" w:after="40"/>
        <w:jc w:val="center"/>
      </w:pPr>
      <w:r>
        <w:rPr>
          <w:noProof/>
        </w:rPr>
        <w:drawing>
          <wp:inline distT="0" distB="0" distL="0" distR="0" wp14:anchorId="2B1438C7" wp14:editId="41D2EE2E">
            <wp:extent cx="5334000" cy="3000375"/>
            <wp:effectExtent l="0" t="0" r="0" b="0"/>
            <wp:docPr id="1492495817" name="Picture 14924958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334000" cy="3000375"/>
                    </a:xfrm>
                    <a:prstGeom prst="rect">
                      <a:avLst/>
                    </a:prstGeom>
                  </pic:spPr>
                </pic:pic>
              </a:graphicData>
            </a:graphic>
          </wp:inline>
        </w:drawing>
      </w:r>
    </w:p>
    <w:p w14:paraId="1CE4C353" w14:textId="77777777" w:rsidR="008D74E1" w:rsidRDefault="00000000">
      <w:pPr>
        <w:spacing w:after="200"/>
        <w:jc w:val="center"/>
      </w:pPr>
      <w:r>
        <w:rPr>
          <w:b/>
          <w:bCs/>
          <w:i/>
          <w:iCs/>
          <w:color w:val="595959"/>
          <w:sz w:val="20"/>
          <w:szCs w:val="20"/>
        </w:rPr>
        <w:t xml:space="preserve">Screenshot 1.3 — </w:t>
      </w:r>
      <w:r>
        <w:rPr>
          <w:i/>
          <w:iCs/>
          <w:color w:val="595959"/>
          <w:sz w:val="20"/>
          <w:szCs w:val="20"/>
        </w:rPr>
        <w:t>My reflection on the emotional intelligence activity, noting how EI supports patient-centred care in a health and social care setting.</w:t>
      </w:r>
    </w:p>
    <w:p w14:paraId="0F2605DF" w14:textId="77777777" w:rsidR="008D74E1" w:rsidRDefault="00000000">
      <w:pPr>
        <w:pStyle w:val="Heading1"/>
        <w:spacing w:before="320" w:after="140"/>
      </w:pPr>
      <w:r>
        <w:rPr>
          <w:b/>
          <w:bCs/>
          <w:color w:val="1F4E79"/>
          <w:sz w:val="30"/>
          <w:szCs w:val="30"/>
        </w:rPr>
        <w:t>Reflection on Unit 2: It's a Small World</w:t>
      </w:r>
    </w:p>
    <w:p w14:paraId="40BBF0C3" w14:textId="77777777" w:rsidR="008D74E1" w:rsidRDefault="00000000">
      <w:pPr>
        <w:spacing w:after="160" w:line="320" w:lineRule="auto"/>
        <w:jc w:val="both"/>
      </w:pPr>
      <w:r>
        <w:t xml:space="preserve">Unit 2 was all about networking, diversity and the wider network society, and it really widened my sense of how connected health and social care is. I learned that networking is simply the process of interacting with others to share information and build professional or social contacts (Gibson, Hardy and Buckley, 2014). The thing that shifted for me was realising networking is not about showing off; in our sector it is a professional duty, because joined-up </w:t>
      </w:r>
      <w:r>
        <w:lastRenderedPageBreak/>
        <w:t>networks between the NHS, social care, local authorities and community organisations lead to better health, wellbeing and community resilience (NHS England, 2022).</w:t>
      </w:r>
    </w:p>
    <w:p w14:paraId="05103DE3" w14:textId="77777777" w:rsidR="008D74E1" w:rsidRDefault="00000000">
      <w:pPr>
        <w:spacing w:after="160" w:line="320" w:lineRule="auto"/>
        <w:jc w:val="both"/>
      </w:pPr>
      <w:r>
        <w:t>I also picked up on the different ways networks can be evaluated. Goal-based, process-based and outcome-based evaluations each help to work out whether a partnership is actually doing what it set out to do. What I took from that is fairly practical: taking the time to reflect on why a piece of joint working succeeded or fell apart will make me better at multi-agency work later on. It fits with what I understand about integrated care, where organisations have to pull together to improve people's physical and mental health.</w:t>
      </w:r>
    </w:p>
    <w:p w14:paraId="5B22E729" w14:textId="77777777" w:rsidR="008D74E1" w:rsidRDefault="00000000">
      <w:pPr>
        <w:spacing w:after="160" w:line="320" w:lineRule="auto"/>
        <w:jc w:val="both"/>
      </w:pPr>
      <w:r>
        <w:t>The part that challenged me most was being told to step outside my comfort zone. We looked at small-world networks and the idea that heterogeneity equals creativity — the more varied my network, the more creative my thinking becomes. If I am honest, I tend to gravitate towards people who are like me, so I have made it a goal to build a more diverse network that reaches beyond my immediate field. In a sector that serves such culturally diverse communities, having diverse connections and cultural awareness is essential if we want to reduce health inequalities. We finished by exploring the network society and social prescribing, which links people to activities, groups and services in their community to meet the practical, social and emotional needs that affect their health (NHS England, 2022). Reflecting on making connections, I now see that building relationships — with service users, colleagues, other services and local partners — sits right at the heart of good practice, and of my own growth. I was also struck by the communication power of the web and the role of persuasion in networking, which helps professionals share information, build trust and make better decisions together. Understanding how networks and hierarchies sit side by side has left me feeling more prepared for multi-agency working in my career.</w:t>
      </w:r>
    </w:p>
    <w:p w14:paraId="650AE47D" w14:textId="77777777" w:rsidR="008D74E1" w:rsidRDefault="00000000">
      <w:pPr>
        <w:pStyle w:val="Heading2"/>
        <w:spacing w:before="200" w:after="80"/>
      </w:pPr>
      <w:r>
        <w:rPr>
          <w:b/>
          <w:bCs/>
          <w:i/>
          <w:iCs/>
          <w:color w:val="595959"/>
          <w:sz w:val="24"/>
          <w:szCs w:val="24"/>
        </w:rPr>
        <w:t>Screenshots — Unit 2 Online Activities</w:t>
      </w:r>
    </w:p>
    <w:p w14:paraId="6DEC6C05" w14:textId="77777777" w:rsidR="008D74E1" w:rsidRDefault="00000000">
      <w:pPr>
        <w:spacing w:before="60" w:after="40"/>
        <w:jc w:val="center"/>
      </w:pPr>
      <w:r>
        <w:rPr>
          <w:noProof/>
        </w:rPr>
        <w:lastRenderedPageBreak/>
        <w:drawing>
          <wp:inline distT="0" distB="0" distL="0" distR="0" wp14:anchorId="540823EA" wp14:editId="5756B39B">
            <wp:extent cx="5334000" cy="3000375"/>
            <wp:effectExtent l="0" t="0" r="0" b="0"/>
            <wp:docPr id="1863488933" name="Picture 18634889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334000" cy="3000375"/>
                    </a:xfrm>
                    <a:prstGeom prst="rect">
                      <a:avLst/>
                    </a:prstGeom>
                  </pic:spPr>
                </pic:pic>
              </a:graphicData>
            </a:graphic>
          </wp:inline>
        </w:drawing>
      </w:r>
    </w:p>
    <w:p w14:paraId="21F8E924" w14:textId="77777777" w:rsidR="008D74E1" w:rsidRDefault="00000000">
      <w:pPr>
        <w:spacing w:after="200"/>
        <w:jc w:val="center"/>
      </w:pPr>
      <w:r>
        <w:rPr>
          <w:b/>
          <w:bCs/>
          <w:i/>
          <w:iCs/>
          <w:color w:val="595959"/>
          <w:sz w:val="20"/>
          <w:szCs w:val="20"/>
        </w:rPr>
        <w:t xml:space="preserve">Screenshot 2.1 — </w:t>
      </w:r>
      <w:r>
        <w:rPr>
          <w:i/>
          <w:iCs/>
          <w:color w:val="595959"/>
          <w:sz w:val="20"/>
          <w:szCs w:val="20"/>
        </w:rPr>
        <w:t>My forum post defining what networking means to me, which I linked to Gibson, Hardy and Buckley (2014).</w:t>
      </w:r>
    </w:p>
    <w:p w14:paraId="6514BE27" w14:textId="77777777" w:rsidR="008D74E1" w:rsidRDefault="00000000">
      <w:pPr>
        <w:spacing w:before="60" w:after="40"/>
        <w:jc w:val="center"/>
      </w:pPr>
      <w:r>
        <w:rPr>
          <w:noProof/>
        </w:rPr>
        <w:drawing>
          <wp:inline distT="0" distB="0" distL="0" distR="0" wp14:anchorId="343514DB" wp14:editId="736DDD56">
            <wp:extent cx="5334000" cy="3000375"/>
            <wp:effectExtent l="0" t="0" r="0" b="0"/>
            <wp:docPr id="30076639" name="Picture 300766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334000" cy="3000375"/>
                    </a:xfrm>
                    <a:prstGeom prst="rect">
                      <a:avLst/>
                    </a:prstGeom>
                  </pic:spPr>
                </pic:pic>
              </a:graphicData>
            </a:graphic>
          </wp:inline>
        </w:drawing>
      </w:r>
    </w:p>
    <w:p w14:paraId="67CFC139" w14:textId="77777777" w:rsidR="008D74E1" w:rsidRDefault="00000000">
      <w:pPr>
        <w:spacing w:after="200"/>
        <w:jc w:val="center"/>
      </w:pPr>
      <w:r>
        <w:rPr>
          <w:b/>
          <w:bCs/>
          <w:i/>
          <w:iCs/>
          <w:color w:val="595959"/>
          <w:sz w:val="20"/>
          <w:szCs w:val="20"/>
        </w:rPr>
        <w:t xml:space="preserve">Screenshot 2.2 — </w:t>
      </w:r>
      <w:r>
        <w:rPr>
          <w:i/>
          <w:iCs/>
          <w:color w:val="595959"/>
          <w:sz w:val="20"/>
          <w:szCs w:val="20"/>
        </w:rPr>
        <w:t>My group case-study response, mapping out a network for Sheela — this showed me how multi-agency networking works in practice.</w:t>
      </w:r>
    </w:p>
    <w:p w14:paraId="2834867E" w14:textId="77777777" w:rsidR="008D74E1" w:rsidRDefault="00000000">
      <w:pPr>
        <w:pStyle w:val="Heading1"/>
        <w:spacing w:before="320" w:after="140"/>
      </w:pPr>
      <w:r>
        <w:rPr>
          <w:b/>
          <w:bCs/>
          <w:color w:val="1F4E79"/>
          <w:sz w:val="30"/>
          <w:szCs w:val="30"/>
        </w:rPr>
        <w:t>Reflection on Unit 3: Opportunity Knocks</w:t>
      </w:r>
    </w:p>
    <w:p w14:paraId="02186100" w14:textId="77777777" w:rsidR="008D74E1" w:rsidRDefault="00000000">
      <w:pPr>
        <w:spacing w:after="160" w:line="320" w:lineRule="auto"/>
        <w:jc w:val="both"/>
      </w:pPr>
      <w:r>
        <w:t>Unit 3 was about learning to notice opportunities and actually do something with them. It opened by asking us to see things differently, and I learned that a change of perspective in health and social care lets you shift from focusing only on the individual to thinking about the health of a whole population, and helps you adapt when new challenges come along. Getting into that mindset made me more alert to opportunities I would probably have walked straight past before.</w:t>
      </w:r>
    </w:p>
    <w:p w14:paraId="7C4DEC93" w14:textId="77777777" w:rsidR="008D74E1" w:rsidRDefault="00000000">
      <w:pPr>
        <w:spacing w:after="160" w:line="320" w:lineRule="auto"/>
        <w:jc w:val="both"/>
      </w:pPr>
      <w:r>
        <w:lastRenderedPageBreak/>
        <w:t>The concept I found most interesting was the serendipity mindset. I learned that serendipity is being able to find something valuable when you were not even looking for it, and that, unlike plain luck, serendipity can actually be planned (</w:t>
      </w:r>
      <w:proofErr w:type="spellStart"/>
      <w:r>
        <w:t>Heinström</w:t>
      </w:r>
      <w:proofErr w:type="spellEnd"/>
      <w:r>
        <w:t xml:space="preserve"> and Sormunen, 2020). I found that quite freeing, because it means I can create my own luck by staying curious, networking regularly and keeping myself open to the unexpected. A good example is a healthcare worker noticing an unexpected improvement in a patient and choosing to follow it up — a chance observation turned into a real learning opportunity.</w:t>
      </w:r>
    </w:p>
    <w:p w14:paraId="5479D0B8" w14:textId="77777777" w:rsidR="008D74E1" w:rsidRDefault="00000000">
      <w:pPr>
        <w:spacing w:after="160" w:line="320" w:lineRule="auto"/>
        <w:jc w:val="both"/>
      </w:pPr>
      <w:r>
        <w:t>We also looked at stretch goals, which are deliberately tough targets meant to push you past your comfort zone and spark better results (Pina e Cunha et al., 2017). Mine is to gain a supervisory qualification sooner than I first planned. On top of this, the unit covered traditional and modern recruitment and how to 'sell' my skills through a strong, tailored CV and by networking on platforms like LinkedIn. What changed my behaviour most, though, was the idea of building a professional online presence. I learned that having a strong online presence really matters in today's digital world, and that writing a blog can support knowledge sharing, build community and help my own development. Actually writing a short blog for the forum showed me how putting my thoughts into words helps me explain my personal brand and show what I know to future employers in health and social care. I also learned to apply the 'Five Cs' to my online presence and to think about my work values — intrinsic, extrinsic and lifestyle — when deciding which opportunities are worth chasing. If there is one lesson here, it is that opportunities rarely just land in your lap; you have to prepare for them, put yourself in the right place, and stay alert enough to grab them when they knock.</w:t>
      </w:r>
    </w:p>
    <w:p w14:paraId="6049036D" w14:textId="77777777" w:rsidR="008D74E1" w:rsidRDefault="00000000">
      <w:pPr>
        <w:pStyle w:val="Heading2"/>
        <w:spacing w:before="200" w:after="80"/>
      </w:pPr>
      <w:r>
        <w:rPr>
          <w:b/>
          <w:bCs/>
          <w:i/>
          <w:iCs/>
          <w:color w:val="595959"/>
          <w:sz w:val="24"/>
          <w:szCs w:val="24"/>
        </w:rPr>
        <w:t>Screenshots — Unit 3 Online Activities</w:t>
      </w:r>
    </w:p>
    <w:p w14:paraId="6C154B9B" w14:textId="77777777" w:rsidR="008D74E1" w:rsidRDefault="00000000">
      <w:pPr>
        <w:spacing w:before="60" w:after="40"/>
        <w:jc w:val="center"/>
      </w:pPr>
      <w:r>
        <w:rPr>
          <w:noProof/>
        </w:rPr>
        <w:lastRenderedPageBreak/>
        <w:drawing>
          <wp:inline distT="0" distB="0" distL="0" distR="0" wp14:anchorId="58D12CE5" wp14:editId="6BB42262">
            <wp:extent cx="5334000" cy="3000375"/>
            <wp:effectExtent l="0" t="0" r="0" b="0"/>
            <wp:docPr id="153208244" name="Picture 153208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334000" cy="3000375"/>
                    </a:xfrm>
                    <a:prstGeom prst="rect">
                      <a:avLst/>
                    </a:prstGeom>
                  </pic:spPr>
                </pic:pic>
              </a:graphicData>
            </a:graphic>
          </wp:inline>
        </w:drawing>
      </w:r>
    </w:p>
    <w:p w14:paraId="08025F71" w14:textId="77777777" w:rsidR="008D74E1" w:rsidRDefault="00000000">
      <w:pPr>
        <w:spacing w:after="200"/>
        <w:jc w:val="center"/>
      </w:pPr>
      <w:r>
        <w:rPr>
          <w:b/>
          <w:bCs/>
          <w:i/>
          <w:iCs/>
          <w:color w:val="595959"/>
          <w:sz w:val="20"/>
          <w:szCs w:val="20"/>
        </w:rPr>
        <w:t xml:space="preserve">Screenshot 3.1 — </w:t>
      </w:r>
      <w:r>
        <w:rPr>
          <w:i/>
          <w:iCs/>
          <w:color w:val="595959"/>
          <w:sz w:val="20"/>
          <w:szCs w:val="20"/>
        </w:rPr>
        <w:t>The short blog I wrote and posted in the Week 6 forum, which shows how blogging helps me build a professional online presence.</w:t>
      </w:r>
    </w:p>
    <w:p w14:paraId="5E141557" w14:textId="77777777" w:rsidR="008D74E1" w:rsidRDefault="00000000">
      <w:pPr>
        <w:pStyle w:val="Heading1"/>
        <w:spacing w:before="320" w:after="140"/>
      </w:pPr>
      <w:r>
        <w:rPr>
          <w:b/>
          <w:bCs/>
          <w:color w:val="1F4E79"/>
          <w:sz w:val="30"/>
          <w:szCs w:val="30"/>
        </w:rPr>
        <w:t>Reflection on Unit 4: The Pursuit of Happiness</w:t>
      </w:r>
    </w:p>
    <w:p w14:paraId="438399A6" w14:textId="77777777" w:rsidR="008D74E1" w:rsidRDefault="00000000">
      <w:pPr>
        <w:spacing w:after="160" w:line="320" w:lineRule="auto"/>
        <w:jc w:val="both"/>
      </w:pPr>
      <w:r>
        <w:t>Unit 4 turned the focus onto wellbeing, resilience and staying motivated for the long haul, and it added to both my personal and professional development. It made me stop and think about why I actually want to work in health and social care, and I reminded myself that it is a rewarding job where I get to make a real difference to people's lives, while also picking up skills that are valued in plenty of other industries.</w:t>
      </w:r>
    </w:p>
    <w:p w14:paraId="2AAA567D" w14:textId="77777777" w:rsidR="008D74E1" w:rsidRDefault="00000000">
      <w:pPr>
        <w:spacing w:after="160" w:line="320" w:lineRule="auto"/>
        <w:jc w:val="both"/>
      </w:pPr>
      <w:r>
        <w:t>Limiting beliefs were a real turning point for me. I learned that these are the convictions we often hold without realising it — things like 'I'm not good enough' — that quietly hold us back (Meadows, 2015). By pausing, reflecting and actually writing my thoughts down, I started to notice and question mine. This matters in practice, because limiting beliefs can get in the way of good care and cloud our decisions, so keeping my own attitudes in check helps me support people better. Tied to this was grit, which Duckworth et al. (2007) describe as passion and perseverance for long-term goals in spite of setbacks. It hit home that building grit is what will keep me going through hard shifts and disappointments.</w:t>
      </w:r>
    </w:p>
    <w:p w14:paraId="63C4C370" w14:textId="77777777" w:rsidR="008D74E1" w:rsidRDefault="00000000">
      <w:pPr>
        <w:spacing w:after="160" w:line="320" w:lineRule="auto"/>
        <w:jc w:val="both"/>
      </w:pPr>
      <w:r>
        <w:t xml:space="preserve">We also worked through some down-to-earth strategies for coping with failure and building resilience, drawing on internal sources like a positive outlook and managing my emotions, and external ones like the support of family and friends. Finally, the unit introduced social learning theory, which is all about learning by watching, modelling and copying other people (Pratt et al., 2010), and the value of having a mentor. I realised a mentor could sharpen my interpersonal skills, deepen my knowledge, widen my network and help me set clearer goals </w:t>
      </w:r>
      <w:r>
        <w:lastRenderedPageBreak/>
        <w:t xml:space="preserve">(Whiting and de </w:t>
      </w:r>
      <w:proofErr w:type="spellStart"/>
      <w:r>
        <w:t>Janasz</w:t>
      </w:r>
      <w:proofErr w:type="spellEnd"/>
      <w:r>
        <w:t>, 2004), so I plan to find a mentor and role model at work to guide me. There was also the idea of antifragility — that resilient people and services can actually grow stronger through uncertainty and pressure rather than just surviving it — and I can see that adapting to new technology through training will be part of my future too. Taken as a whole, this module has given me a clearer personal brand, a stronger network, the confidence to take opportunities and the resilience to keep going. Those skills — self-awareness, networking, adaptability and resilience — are exactly what I will lean on to deliver compassionate, person-centred care.</w:t>
      </w:r>
    </w:p>
    <w:p w14:paraId="0E8A8B37" w14:textId="77777777" w:rsidR="008D74E1" w:rsidRDefault="00000000">
      <w:pPr>
        <w:pStyle w:val="Heading1"/>
        <w:spacing w:before="320" w:after="140"/>
      </w:pPr>
      <w:r>
        <w:rPr>
          <w:b/>
          <w:bCs/>
          <w:color w:val="1F4E79"/>
          <w:sz w:val="30"/>
          <w:szCs w:val="30"/>
        </w:rPr>
        <w:t>Conclusion</w:t>
      </w:r>
    </w:p>
    <w:p w14:paraId="740B6331" w14:textId="77777777" w:rsidR="008D74E1" w:rsidRDefault="00000000">
      <w:pPr>
        <w:spacing w:after="160" w:line="320" w:lineRule="auto"/>
        <w:jc w:val="both"/>
      </w:pPr>
      <w:r>
        <w:t>Looking back across the four units together, this module has given me a clear way of thinking about building a lasting career in health and social care. Unit 1 taught me to build an honest personal brand rooted in ambition, self-awareness and emotional intelligence. Unit 2 widened my understanding of networking, diversity and the connected world that sits behind integrated care. Unit 3 showed me how to make my own luck through a serendipity mindset, stretch goals and a professional online presence. Unit 4 helped me look after my wellbeing by challenging my limiting beliefs and building grit, resilience and the willingness to seek out a mentor. What has really stuck with me is that career resilience depends just as much on knowing myself and building relationships as it does on qualifications. The skills I have developed — person-centred communication, networking, adaptability and emotional resilience — will feed directly into my practice, helping me give high-quality, compassionate care while continuing to grow as a reflective and employable professional.</w:t>
      </w:r>
    </w:p>
    <w:p w14:paraId="73E94110" w14:textId="77777777" w:rsidR="008D74E1" w:rsidRDefault="00000000">
      <w:r>
        <w:br w:type="page"/>
      </w:r>
    </w:p>
    <w:p w14:paraId="5672032A" w14:textId="77777777" w:rsidR="008D74E1" w:rsidRDefault="00000000">
      <w:pPr>
        <w:pStyle w:val="Heading1"/>
        <w:spacing w:before="320" w:after="140"/>
      </w:pPr>
      <w:r>
        <w:rPr>
          <w:b/>
          <w:bCs/>
          <w:color w:val="1F4E79"/>
          <w:sz w:val="30"/>
          <w:szCs w:val="30"/>
        </w:rPr>
        <w:lastRenderedPageBreak/>
        <w:t>References</w:t>
      </w:r>
    </w:p>
    <w:p w14:paraId="6EF041F0" w14:textId="77777777" w:rsidR="008D74E1" w:rsidRDefault="00000000">
      <w:pPr>
        <w:spacing w:after="160" w:line="300" w:lineRule="auto"/>
        <w:ind w:left="720" w:hanging="720"/>
      </w:pPr>
      <w:r>
        <w:t xml:space="preserve">Arthur, M.B., Khapova, S.N. and </w:t>
      </w:r>
      <w:proofErr w:type="spellStart"/>
      <w:r>
        <w:t>Wilderom</w:t>
      </w:r>
      <w:proofErr w:type="spellEnd"/>
      <w:r>
        <w:t xml:space="preserve">, C.P.M. (2005) 'Career success in a boundaryless career world', Journal of Organizational </w:t>
      </w:r>
      <w:proofErr w:type="spellStart"/>
      <w:r>
        <w:t>Behavior</w:t>
      </w:r>
      <w:proofErr w:type="spellEnd"/>
      <w:r>
        <w:t>, 26(2), pp. 177-202.</w:t>
      </w:r>
    </w:p>
    <w:p w14:paraId="121E92AB" w14:textId="77777777" w:rsidR="008D74E1" w:rsidRDefault="00000000">
      <w:pPr>
        <w:spacing w:after="160" w:line="300" w:lineRule="auto"/>
        <w:ind w:left="720" w:hanging="720"/>
      </w:pPr>
      <w:r>
        <w:t>Duckworth, A.L., Peterson, C., Matthews, M.D. and Kelly, D.R. (2007) 'Grit: perseverance and passion for long-term goals', Journal of Personality and Social Psychology, 92(6), pp. 1087-1101.</w:t>
      </w:r>
    </w:p>
    <w:p w14:paraId="39ED74FA" w14:textId="77777777" w:rsidR="008D74E1" w:rsidRDefault="00000000">
      <w:pPr>
        <w:spacing w:after="160" w:line="300" w:lineRule="auto"/>
        <w:ind w:left="720" w:hanging="720"/>
      </w:pPr>
      <w:r>
        <w:t>Gibson, C., Hardy, J.H. and Buckley, M.R. (2014) 'Understanding the role of networking in organizations', Career Development International, 19(2), pp. 146-161.</w:t>
      </w:r>
    </w:p>
    <w:p w14:paraId="65AD5FE7" w14:textId="77777777" w:rsidR="008D74E1" w:rsidRDefault="00000000">
      <w:pPr>
        <w:spacing w:after="160" w:line="300" w:lineRule="auto"/>
        <w:ind w:left="720" w:hanging="720"/>
      </w:pPr>
      <w:proofErr w:type="spellStart"/>
      <w:r>
        <w:t>Heinstrom</w:t>
      </w:r>
      <w:proofErr w:type="spellEnd"/>
      <w:r>
        <w:t>, J. and Sormunen, E. (2020) 'Serendipity as chaos or discovery - exploring the role of personality and sense of coherence', Information Research, 25(4).</w:t>
      </w:r>
    </w:p>
    <w:p w14:paraId="47450CE4" w14:textId="77777777" w:rsidR="008D74E1" w:rsidRDefault="00000000">
      <w:pPr>
        <w:spacing w:after="160" w:line="300" w:lineRule="auto"/>
        <w:ind w:left="720" w:hanging="720"/>
      </w:pPr>
      <w:r>
        <w:t>Johnson, D.R. (2015) 'Emotional intelligence as a crucial component to medical education', International Journal of Medical Education, 6, pp. 179-183.</w:t>
      </w:r>
    </w:p>
    <w:p w14:paraId="3F0C56DA" w14:textId="77777777" w:rsidR="008D74E1" w:rsidRDefault="00000000">
      <w:pPr>
        <w:spacing w:after="160" w:line="300" w:lineRule="auto"/>
        <w:ind w:left="720" w:hanging="720"/>
      </w:pPr>
      <w:r>
        <w:t>Maddux, J.E. (2016) 'Self-efficacy', in Interpersonal and Intrapersonal Expectancies. London: Routledge, pp. 41-46.</w:t>
      </w:r>
    </w:p>
    <w:p w14:paraId="576CC2BC" w14:textId="77777777" w:rsidR="008D74E1" w:rsidRDefault="00000000">
      <w:pPr>
        <w:spacing w:after="160" w:line="300" w:lineRule="auto"/>
        <w:ind w:left="720" w:hanging="720"/>
      </w:pPr>
      <w:r>
        <w:t>Meadows, M. (2015) Confidence: How to Overcome Your Limiting Beliefs and Achieve Your Goals. Meadows Publishing.</w:t>
      </w:r>
    </w:p>
    <w:p w14:paraId="02778276" w14:textId="77777777" w:rsidR="008D74E1" w:rsidRDefault="00000000">
      <w:pPr>
        <w:spacing w:after="160" w:line="300" w:lineRule="auto"/>
        <w:ind w:left="720" w:hanging="720"/>
      </w:pPr>
      <w:r>
        <w:t>NHS England (2022) Working in Partnership with People and Communities: Statutory Guidance. Available at: https://www.england.nhs.uk/long-read/working-in-partnership-with-people-and-communities-statutory-guidance/ (Accessed: 30 July 2026).</w:t>
      </w:r>
    </w:p>
    <w:p w14:paraId="3DD4AC61" w14:textId="77777777" w:rsidR="008D74E1" w:rsidRDefault="00000000">
      <w:pPr>
        <w:spacing w:after="160" w:line="300" w:lineRule="auto"/>
        <w:ind w:left="720" w:hanging="720"/>
      </w:pPr>
      <w:r>
        <w:t>Pina e Cunha, M., Giustiniano, L., Rego, A. and Clegg, S. (2017) 'Mission impossible? The paradoxes of stretch goal setting', Management Learning, 48(2), pp. 140-157.</w:t>
      </w:r>
    </w:p>
    <w:p w14:paraId="22E5D1F8" w14:textId="77777777" w:rsidR="008D74E1" w:rsidRDefault="00000000">
      <w:pPr>
        <w:spacing w:after="160" w:line="300" w:lineRule="auto"/>
        <w:ind w:left="720" w:hanging="720"/>
      </w:pPr>
      <w:r>
        <w:t>Pink, D.H. (2011) Drive: The Surprising Truth About What Motivates Us. Edinburgh: Canongate Books.</w:t>
      </w:r>
    </w:p>
    <w:p w14:paraId="65B4E192" w14:textId="77777777" w:rsidR="008D74E1" w:rsidRDefault="00000000">
      <w:pPr>
        <w:spacing w:after="160" w:line="300" w:lineRule="auto"/>
        <w:ind w:left="720" w:hanging="720"/>
      </w:pPr>
      <w:r>
        <w:t>Pratt, T.C., Cullen, F.T., Sellers, C.S., Winfree, L.T., Madensen, T.D., Daigle, L.E., Fearn, N.E. and Gau, J.M. (2010) 'The empirical status of social learning theory: a meta-analysis', Justice Quarterly, 27(6), pp. 765-802.</w:t>
      </w:r>
    </w:p>
    <w:p w14:paraId="673E8D01" w14:textId="77777777" w:rsidR="008D74E1" w:rsidRDefault="00000000">
      <w:pPr>
        <w:spacing w:after="160" w:line="300" w:lineRule="auto"/>
        <w:ind w:left="720" w:hanging="720"/>
      </w:pPr>
      <w:r>
        <w:t>Salovey, P., Caruso, D. and Mayer, J.D. (2004) 'Emotional intelligence in practice', in Positive Psychology in Practice. Hoboken: Wiley, pp. 447-463.</w:t>
      </w:r>
    </w:p>
    <w:p w14:paraId="65B45FF0" w14:textId="77777777" w:rsidR="008D74E1" w:rsidRDefault="00000000">
      <w:pPr>
        <w:spacing w:after="160" w:line="300" w:lineRule="auto"/>
        <w:ind w:left="720" w:hanging="720"/>
      </w:pPr>
      <w:r>
        <w:t xml:space="preserve">Whiting, V.R. and de </w:t>
      </w:r>
      <w:proofErr w:type="spellStart"/>
      <w:r>
        <w:t>Janasz</w:t>
      </w:r>
      <w:proofErr w:type="spellEnd"/>
      <w:r>
        <w:t>, S.C. (2004) 'Mentoring in the 21st century: using the internet to build skills and networks', Journal of Management Education, 28(3), pp. 275-293.</w:t>
      </w:r>
    </w:p>
    <w:sectPr w:rsidR="008D74E1">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E04E49"/>
    <w:multiLevelType w:val="hybridMultilevel"/>
    <w:tmpl w:val="8690D8B6"/>
    <w:lvl w:ilvl="0" w:tplc="3AC4F682">
      <w:start w:val="1"/>
      <w:numFmt w:val="bullet"/>
      <w:lvlText w:val="●"/>
      <w:lvlJc w:val="left"/>
      <w:pPr>
        <w:ind w:left="720" w:hanging="360"/>
      </w:pPr>
    </w:lvl>
    <w:lvl w:ilvl="1" w:tplc="9CC26AC6">
      <w:start w:val="1"/>
      <w:numFmt w:val="bullet"/>
      <w:lvlText w:val="○"/>
      <w:lvlJc w:val="left"/>
      <w:pPr>
        <w:ind w:left="1440" w:hanging="360"/>
      </w:pPr>
    </w:lvl>
    <w:lvl w:ilvl="2" w:tplc="BB2875B2">
      <w:start w:val="1"/>
      <w:numFmt w:val="bullet"/>
      <w:lvlText w:val="■"/>
      <w:lvlJc w:val="left"/>
      <w:pPr>
        <w:ind w:left="2160" w:hanging="360"/>
      </w:pPr>
    </w:lvl>
    <w:lvl w:ilvl="3" w:tplc="B7888F10">
      <w:start w:val="1"/>
      <w:numFmt w:val="bullet"/>
      <w:lvlText w:val="●"/>
      <w:lvlJc w:val="left"/>
      <w:pPr>
        <w:ind w:left="2880" w:hanging="360"/>
      </w:pPr>
    </w:lvl>
    <w:lvl w:ilvl="4" w:tplc="E08AC932">
      <w:start w:val="1"/>
      <w:numFmt w:val="bullet"/>
      <w:lvlText w:val="○"/>
      <w:lvlJc w:val="left"/>
      <w:pPr>
        <w:ind w:left="3600" w:hanging="360"/>
      </w:pPr>
    </w:lvl>
    <w:lvl w:ilvl="5" w:tplc="3000CAC2">
      <w:start w:val="1"/>
      <w:numFmt w:val="bullet"/>
      <w:lvlText w:val="■"/>
      <w:lvlJc w:val="left"/>
      <w:pPr>
        <w:ind w:left="4320" w:hanging="360"/>
      </w:pPr>
    </w:lvl>
    <w:lvl w:ilvl="6" w:tplc="ECA875EC">
      <w:start w:val="1"/>
      <w:numFmt w:val="bullet"/>
      <w:lvlText w:val="●"/>
      <w:lvlJc w:val="left"/>
      <w:pPr>
        <w:ind w:left="5040" w:hanging="360"/>
      </w:pPr>
    </w:lvl>
    <w:lvl w:ilvl="7" w:tplc="49EE8902">
      <w:start w:val="1"/>
      <w:numFmt w:val="bullet"/>
      <w:lvlText w:val="●"/>
      <w:lvlJc w:val="left"/>
      <w:pPr>
        <w:ind w:left="5760" w:hanging="360"/>
      </w:pPr>
    </w:lvl>
    <w:lvl w:ilvl="8" w:tplc="90CE9EE2">
      <w:start w:val="1"/>
      <w:numFmt w:val="bullet"/>
      <w:lvlText w:val="●"/>
      <w:lvlJc w:val="left"/>
      <w:pPr>
        <w:ind w:left="6480" w:hanging="360"/>
      </w:pPr>
    </w:lvl>
  </w:abstractNum>
  <w:num w:numId="1" w16cid:durableId="194977571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74E1"/>
    <w:rsid w:val="000F52F8"/>
    <w:rsid w:val="003C73A6"/>
    <w:rsid w:val="004B56D4"/>
    <w:rsid w:val="008D74E1"/>
    <w:rsid w:val="00A35017"/>
    <w:rsid w:val="00C862E7"/>
    <w:rsid w:val="00F4799F"/>
    <w:rsid w:val="00FB14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B1B4D"/>
  <w15:docId w15:val="{1D2941BD-0CAD-4D87-9125-C24DC668BD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4480BE-19F9-41AC-B5FB-164FFB9CB1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2333</Words>
  <Characters>13303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Portfolio</dc:creator>
  <cp:lastModifiedBy>Busra Akter Rusi</cp:lastModifiedBy>
  <cp:revision>2</cp:revision>
  <dcterms:created xsi:type="dcterms:W3CDTF">2026-07-30T14:14:00Z</dcterms:created>
  <dcterms:modified xsi:type="dcterms:W3CDTF">2026-07-30T14:14:00Z</dcterms:modified>
</cp:coreProperties>
</file>