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3FA" w:rsidRDefault="009D33FA" w:rsidP="00577752">
      <w:pPr>
        <w:jc w:val="both"/>
        <w:rPr>
          <w:rFonts w:ascii="Georgia" w:hAnsi="Georgia"/>
          <w:b/>
          <w:bCs/>
        </w:rPr>
      </w:pPr>
      <w:bookmarkStart w:id="0" w:name="_GoBack"/>
      <w:r>
        <w:rPr>
          <w:rFonts w:ascii="Georgia" w:hAnsi="Georgia"/>
          <w:b/>
          <w:bCs/>
        </w:rPr>
        <w:t xml:space="preserve">Neoliberalism Key Terms and Persons from Oxford Reference Collection </w:t>
      </w:r>
    </w:p>
    <w:bookmarkEnd w:id="0"/>
    <w:p w:rsidR="009D33FA" w:rsidRDefault="009D33FA" w:rsidP="00577752">
      <w:pPr>
        <w:jc w:val="both"/>
        <w:rPr>
          <w:rFonts w:ascii="Georgia" w:hAnsi="Georgia"/>
          <w:b/>
          <w:bCs/>
        </w:rPr>
      </w:pPr>
    </w:p>
    <w:p w:rsidR="00577752" w:rsidRPr="00577752" w:rsidRDefault="00577752" w:rsidP="00577752">
      <w:pPr>
        <w:jc w:val="both"/>
        <w:rPr>
          <w:rFonts w:ascii="Georgia" w:hAnsi="Georgia"/>
          <w:bCs/>
        </w:rPr>
      </w:pPr>
      <w:r w:rsidRPr="00577752">
        <w:rPr>
          <w:rFonts w:ascii="Georgia" w:hAnsi="Georgia"/>
          <w:b/>
          <w:bCs/>
        </w:rPr>
        <w:t xml:space="preserve"> ‘</w:t>
      </w:r>
      <w:r w:rsidRPr="00577752">
        <w:rPr>
          <w:rFonts w:ascii="Georgia" w:hAnsi="Georgia"/>
          <w:b/>
          <w:bCs/>
        </w:rPr>
        <w:t>The </w:t>
      </w:r>
      <w:r w:rsidRPr="00577752">
        <w:rPr>
          <w:rFonts w:ascii="Georgia" w:hAnsi="Georgia"/>
          <w:b/>
          <w:bCs/>
        </w:rPr>
        <w:t xml:space="preserve">Mont </w:t>
      </w:r>
      <w:proofErr w:type="spellStart"/>
      <w:r w:rsidRPr="00577752">
        <w:rPr>
          <w:rFonts w:ascii="Georgia" w:hAnsi="Georgia"/>
          <w:b/>
          <w:bCs/>
        </w:rPr>
        <w:t>Pelerin</w:t>
      </w:r>
      <w:proofErr w:type="spellEnd"/>
      <w:r w:rsidRPr="00577752">
        <w:rPr>
          <w:rFonts w:ascii="Georgia" w:hAnsi="Georgia"/>
          <w:b/>
          <w:bCs/>
        </w:rPr>
        <w:t xml:space="preserve"> Society,’</w:t>
      </w:r>
      <w:r>
        <w:rPr>
          <w:rFonts w:ascii="Georgia" w:hAnsi="Georgia"/>
          <w:b/>
          <w:bCs/>
        </w:rPr>
        <w:t xml:space="preserve"> in </w:t>
      </w:r>
      <w:proofErr w:type="gramStart"/>
      <w:r w:rsidRPr="00577752">
        <w:rPr>
          <w:rFonts w:ascii="Georgia" w:hAnsi="Georgia"/>
          <w:b/>
          <w:bCs/>
          <w:i/>
        </w:rPr>
        <w:t>A</w:t>
      </w:r>
      <w:proofErr w:type="gramEnd"/>
      <w:r w:rsidRPr="00577752">
        <w:rPr>
          <w:rFonts w:ascii="Georgia" w:hAnsi="Georgia"/>
          <w:b/>
          <w:bCs/>
          <w:i/>
        </w:rPr>
        <w:t xml:space="preserve"> Dictionary of Sociology </w:t>
      </w:r>
      <w:r>
        <w:rPr>
          <w:rFonts w:ascii="Georgia" w:hAnsi="Georgia"/>
          <w:b/>
          <w:bCs/>
        </w:rPr>
        <w:t xml:space="preserve">by </w:t>
      </w:r>
      <w:r w:rsidRPr="00577752">
        <w:rPr>
          <w:rFonts w:ascii="Georgia" w:hAnsi="Georgia"/>
          <w:b/>
          <w:bCs/>
        </w:rPr>
        <w:t>John Scott and Gordon Marshall</w:t>
      </w:r>
      <w:r>
        <w:rPr>
          <w:rFonts w:ascii="Georgia" w:hAnsi="Georgia"/>
          <w:b/>
          <w:bCs/>
        </w:rPr>
        <w:t xml:space="preserve"> eds. </w:t>
      </w:r>
      <w:r w:rsidRPr="00577752">
        <w:rPr>
          <w:rFonts w:ascii="Georgia" w:hAnsi="Georgia"/>
          <w:b/>
          <w:bCs/>
        </w:rPr>
        <w:t>(</w:t>
      </w:r>
      <w:r w:rsidRPr="00577752">
        <w:rPr>
          <w:rFonts w:ascii="Georgia" w:hAnsi="Georgia"/>
          <w:b/>
          <w:bCs/>
        </w:rPr>
        <w:t>Oxford</w:t>
      </w:r>
      <w:r w:rsidRPr="00577752">
        <w:rPr>
          <w:rFonts w:ascii="Georgia" w:hAnsi="Georgia"/>
          <w:b/>
          <w:bCs/>
        </w:rPr>
        <w:t xml:space="preserve">: </w:t>
      </w:r>
      <w:r w:rsidRPr="00577752">
        <w:rPr>
          <w:rFonts w:ascii="Georgia" w:hAnsi="Georgia"/>
          <w:b/>
          <w:bCs/>
        </w:rPr>
        <w:t>Oxford University Press</w:t>
      </w:r>
      <w:r w:rsidRPr="00577752">
        <w:rPr>
          <w:rFonts w:ascii="Georgia" w:hAnsi="Georgia"/>
          <w:b/>
          <w:bCs/>
        </w:rPr>
        <w:t>, 2009)</w:t>
      </w:r>
      <w:r>
        <w:rPr>
          <w:rFonts w:ascii="Georgia" w:hAnsi="Georgia"/>
          <w:b/>
          <w:bCs/>
        </w:rPr>
        <w:t xml:space="preserve">. Via Oxford Reference </w:t>
      </w:r>
      <w:r w:rsidRPr="00577752">
        <w:rPr>
          <w:rFonts w:ascii="Georgia" w:hAnsi="Georgia"/>
          <w:bCs/>
        </w:rPr>
        <w:t>&lt;</w:t>
      </w:r>
      <w:hyperlink r:id="rId4" w:history="1">
        <w:r w:rsidRPr="00577752">
          <w:rPr>
            <w:rStyle w:val="Hyperlink"/>
            <w:rFonts w:ascii="Georgia" w:hAnsi="Georgia"/>
            <w:bCs/>
          </w:rPr>
          <w:t>http://www.oxfordreference.com.ezproxy.uwtsd.ac.uk/view/10.1093/acref/9780199683581.001.0001/acref-9780199683581-e-1473?rskey=lHAHB0&amp;result=1</w:t>
        </w:r>
      </w:hyperlink>
      <w:r>
        <w:rPr>
          <w:rFonts w:ascii="Georgia" w:hAnsi="Georgia"/>
          <w:bCs/>
        </w:rPr>
        <w:t>&gt; [accessed 9 January 2019].</w:t>
      </w:r>
    </w:p>
    <w:p w:rsidR="00577752" w:rsidRPr="00577752" w:rsidRDefault="00577752" w:rsidP="00577752">
      <w:pPr>
        <w:jc w:val="both"/>
        <w:rPr>
          <w:rFonts w:ascii="Georgia" w:hAnsi="Georgia"/>
        </w:rPr>
      </w:pPr>
      <w:r w:rsidRPr="00577752">
        <w:rPr>
          <w:rFonts w:ascii="Georgia" w:hAnsi="Georgia"/>
        </w:rPr>
        <w:t xml:space="preserve">An informal and international association of scholars and public figures dedicated to the generation and dissemination of liberal ideas through its </w:t>
      </w:r>
      <w:proofErr w:type="gramStart"/>
      <w:r w:rsidRPr="00577752">
        <w:rPr>
          <w:rFonts w:ascii="Georgia" w:hAnsi="Georgia"/>
        </w:rPr>
        <w:t>world-wide</w:t>
      </w:r>
      <w:proofErr w:type="gramEnd"/>
      <w:r w:rsidRPr="00577752">
        <w:rPr>
          <w:rFonts w:ascii="Georgia" w:hAnsi="Georgia"/>
        </w:rPr>
        <w:t xml:space="preserve"> network of members. Described by one of its founders, the economist Friedrich </w:t>
      </w:r>
      <w:hyperlink r:id="rId5" w:history="1">
        <w:r w:rsidRPr="00577752">
          <w:rPr>
            <w:rStyle w:val="Hyperlink"/>
            <w:rFonts w:ascii="Georgia" w:hAnsi="Georgia"/>
            <w:color w:val="auto"/>
            <w:u w:val="none"/>
          </w:rPr>
          <w:t>Hayek</w:t>
        </w:r>
      </w:hyperlink>
      <w:r w:rsidRPr="00577752">
        <w:rPr>
          <w:rFonts w:ascii="Georgia" w:hAnsi="Georgia"/>
        </w:rPr>
        <w:t>, as a ‘kind of international academy of political philosophy’ having the aim of ‘regenerating the ideas of classical liberalism and in order to refute socialism’.</w:t>
      </w:r>
    </w:p>
    <w:p w:rsidR="00577752" w:rsidRPr="00577752" w:rsidRDefault="00577752" w:rsidP="00577752">
      <w:pPr>
        <w:jc w:val="both"/>
        <w:rPr>
          <w:rFonts w:ascii="Georgia" w:hAnsi="Georgia"/>
        </w:rPr>
      </w:pPr>
      <w:r w:rsidRPr="00577752">
        <w:rPr>
          <w:rFonts w:ascii="Georgia" w:hAnsi="Georgia"/>
        </w:rPr>
        <w:t xml:space="preserve">The Society first met in 1947, when socialist interventionist views were in the ascendant, in the </w:t>
      </w:r>
      <w:proofErr w:type="spellStart"/>
      <w:r w:rsidRPr="00577752">
        <w:rPr>
          <w:rFonts w:ascii="Georgia" w:hAnsi="Georgia"/>
        </w:rPr>
        <w:t>Hôtel</w:t>
      </w:r>
      <w:proofErr w:type="spellEnd"/>
      <w:r w:rsidRPr="00577752">
        <w:rPr>
          <w:rFonts w:ascii="Georgia" w:hAnsi="Georgia"/>
        </w:rPr>
        <w:t xml:space="preserve"> du </w:t>
      </w:r>
      <w:proofErr w:type="spellStart"/>
      <w:r w:rsidRPr="00577752">
        <w:rPr>
          <w:rFonts w:ascii="Georgia" w:hAnsi="Georgia"/>
        </w:rPr>
        <w:t>Parc</w:t>
      </w:r>
      <w:proofErr w:type="spellEnd"/>
      <w:r w:rsidRPr="00577752">
        <w:rPr>
          <w:rFonts w:ascii="Georgia" w:hAnsi="Georgia"/>
        </w:rPr>
        <w:t xml:space="preserve"> on Mont </w:t>
      </w:r>
      <w:proofErr w:type="spellStart"/>
      <w:r w:rsidRPr="00577752">
        <w:rPr>
          <w:rFonts w:ascii="Georgia" w:hAnsi="Georgia"/>
        </w:rPr>
        <w:t>Pelerin</w:t>
      </w:r>
      <w:proofErr w:type="spellEnd"/>
      <w:r w:rsidRPr="00577752">
        <w:rPr>
          <w:rFonts w:ascii="Georgia" w:hAnsi="Georgia"/>
        </w:rPr>
        <w:t xml:space="preserve"> sur </w:t>
      </w:r>
      <w:proofErr w:type="spellStart"/>
      <w:r w:rsidRPr="00577752">
        <w:rPr>
          <w:rFonts w:ascii="Georgia" w:hAnsi="Georgia"/>
        </w:rPr>
        <w:t>Vevey</w:t>
      </w:r>
      <w:proofErr w:type="spellEnd"/>
      <w:r w:rsidRPr="00577752">
        <w:rPr>
          <w:rFonts w:ascii="Georgia" w:hAnsi="Georgia"/>
        </w:rPr>
        <w:t xml:space="preserve"> in Switzerland. Its members were concerned about the decline of </w:t>
      </w:r>
      <w:hyperlink r:id="rId6" w:history="1">
        <w:r w:rsidRPr="00577752">
          <w:rPr>
            <w:rStyle w:val="Hyperlink"/>
            <w:rFonts w:ascii="Georgia" w:hAnsi="Georgia"/>
            <w:color w:val="auto"/>
            <w:u w:val="none"/>
          </w:rPr>
          <w:t>liberalism</w:t>
        </w:r>
      </w:hyperlink>
      <w:r w:rsidRPr="00577752">
        <w:rPr>
          <w:rFonts w:ascii="Georgia" w:hAnsi="Georgia"/>
        </w:rPr>
        <w:t> and the threat to their vision of the free society posed by the post-1945 political settlement in favour of </w:t>
      </w:r>
      <w:hyperlink r:id="rId7" w:history="1">
        <w:r w:rsidRPr="00577752">
          <w:rPr>
            <w:rStyle w:val="Hyperlink"/>
            <w:rFonts w:ascii="Georgia" w:hAnsi="Georgia"/>
            <w:color w:val="auto"/>
            <w:u w:val="none"/>
          </w:rPr>
          <w:t>collectivism in democratic-capitalist regimes</w:t>
        </w:r>
      </w:hyperlink>
      <w:r w:rsidRPr="00577752">
        <w:rPr>
          <w:rFonts w:ascii="Georgia" w:hAnsi="Georgia"/>
        </w:rPr>
        <w:t> and the authoritarian </w:t>
      </w:r>
      <w:hyperlink r:id="rId8" w:history="1">
        <w:r w:rsidRPr="00577752">
          <w:rPr>
            <w:rStyle w:val="Hyperlink"/>
            <w:rFonts w:ascii="Georgia" w:hAnsi="Georgia"/>
            <w:color w:val="auto"/>
            <w:u w:val="none"/>
          </w:rPr>
          <w:t>socialism</w:t>
        </w:r>
      </w:hyperlink>
      <w:r w:rsidRPr="00577752">
        <w:rPr>
          <w:rFonts w:ascii="Georgia" w:hAnsi="Georgia"/>
        </w:rPr>
        <w:t xml:space="preserve"> of the Soviet empire. </w:t>
      </w:r>
      <w:proofErr w:type="gramStart"/>
      <w:r w:rsidRPr="00577752">
        <w:rPr>
          <w:rFonts w:ascii="Georgia" w:hAnsi="Georgia"/>
        </w:rPr>
        <w:t>Since that time there have been more than 50 meetings; by 1968 the membership of 350 covered 31 countries; in 1984 a survey of members revealed that 50 per cent were academics, 25 per cent were in business, 10 per cent belonged to private research institutions, 7 per cent were politicians, 5 per cent lawyers, and 3 per cent government officials and others.</w:t>
      </w:r>
      <w:proofErr w:type="gramEnd"/>
      <w:r w:rsidRPr="00577752">
        <w:rPr>
          <w:rFonts w:ascii="Georgia" w:hAnsi="Georgia"/>
        </w:rPr>
        <w:t xml:space="preserve"> Distinguished scholars who have belonged to the Society include Carlo Antoni, Frank H. Knight, Michael Polanyi, Karl </w:t>
      </w:r>
      <w:hyperlink r:id="rId9" w:history="1">
        <w:r w:rsidRPr="00577752">
          <w:rPr>
            <w:rStyle w:val="Hyperlink"/>
            <w:rFonts w:ascii="Georgia" w:hAnsi="Georgia"/>
            <w:color w:val="auto"/>
            <w:u w:val="none"/>
          </w:rPr>
          <w:t>Popper</w:t>
        </w:r>
      </w:hyperlink>
      <w:r w:rsidRPr="00577752">
        <w:rPr>
          <w:rFonts w:ascii="Georgia" w:hAnsi="Georgia"/>
        </w:rPr>
        <w:t>, Lionel Robbins, George J. Stigler, Carl Iverson, Ludwig von Mises, Milton Friedman, James M. Buchanan, and Gary S. Becker.</w:t>
      </w:r>
    </w:p>
    <w:p w:rsidR="00577752" w:rsidRDefault="00577752" w:rsidP="00577752">
      <w:pPr>
        <w:jc w:val="both"/>
        <w:rPr>
          <w:rFonts w:ascii="Georgia" w:hAnsi="Georgia"/>
        </w:rPr>
      </w:pPr>
      <w:proofErr w:type="gramStart"/>
      <w:r w:rsidRPr="00577752">
        <w:rPr>
          <w:rFonts w:ascii="Georgia" w:hAnsi="Georgia"/>
        </w:rPr>
        <w:t>The Society did not attempt to shape the formation of government policy directly, being more a ‘meeting of minds’ than a physical organization or pressure group, but there are those who claim that, by waging a constant ‘battle of ideas’ against interventionism, individual members exerted considerable indirect influence on the world of politics generally, and contributed significantly to the revival of liberalism in the West in the 1980s.</w:t>
      </w:r>
      <w:proofErr w:type="gramEnd"/>
      <w:r w:rsidRPr="00577752">
        <w:rPr>
          <w:rFonts w:ascii="Georgia" w:hAnsi="Georgia"/>
        </w:rPr>
        <w:t xml:space="preserve"> For example, twenty-two of the seventy-six economic advisers to Ronald Reagan during the 1980 US presidential campaign were members of the Society, and a dozen or so members were subsequently involved in the implementation of the Reagan programme. Two of the principal architects of German post-war economic prosperity—Walter Eucken and Ludwig Erhard—were also members. The Society continues to act as a network for the effective dissemination of liberal ideas. There is an interesting official history by R. M. Hartwell (</w:t>
      </w:r>
      <w:r w:rsidRPr="00577752">
        <w:rPr>
          <w:rFonts w:ascii="Georgia" w:hAnsi="Georgia"/>
          <w:i/>
          <w:iCs/>
        </w:rPr>
        <w:t xml:space="preserve">A History of the Mont </w:t>
      </w:r>
      <w:proofErr w:type="spellStart"/>
      <w:r w:rsidRPr="00577752">
        <w:rPr>
          <w:rFonts w:ascii="Georgia" w:hAnsi="Georgia"/>
          <w:i/>
          <w:iCs/>
        </w:rPr>
        <w:t>Pelerin</w:t>
      </w:r>
      <w:proofErr w:type="spellEnd"/>
      <w:r w:rsidRPr="00577752">
        <w:rPr>
          <w:rFonts w:ascii="Georgia" w:hAnsi="Georgia"/>
          <w:i/>
          <w:iCs/>
        </w:rPr>
        <w:t xml:space="preserve"> Society</w:t>
      </w:r>
      <w:r w:rsidRPr="00577752">
        <w:rPr>
          <w:rFonts w:ascii="Georgia" w:hAnsi="Georgia"/>
        </w:rPr>
        <w:t>, 1995).</w:t>
      </w:r>
    </w:p>
    <w:p w:rsidR="00DA3184" w:rsidRDefault="00DA3184" w:rsidP="00577752">
      <w:pPr>
        <w:jc w:val="both"/>
        <w:rPr>
          <w:rFonts w:ascii="Georgia" w:hAnsi="Georgia"/>
        </w:rPr>
      </w:pPr>
    </w:p>
    <w:p w:rsidR="00577752" w:rsidRPr="00577752" w:rsidRDefault="00577752" w:rsidP="00577752">
      <w:pPr>
        <w:jc w:val="both"/>
        <w:rPr>
          <w:rFonts w:ascii="Georgia" w:hAnsi="Georgia"/>
          <w:bCs/>
        </w:rPr>
      </w:pPr>
      <w:r w:rsidRPr="00577752">
        <w:rPr>
          <w:rFonts w:ascii="Georgia" w:hAnsi="Georgia"/>
          <w:b/>
        </w:rPr>
        <w:t xml:space="preserve">‘Chicago School of Economics’ in </w:t>
      </w:r>
      <w:r w:rsidRPr="00577752">
        <w:rPr>
          <w:rFonts w:ascii="Georgia" w:hAnsi="Georgia"/>
          <w:b/>
          <w:i/>
        </w:rPr>
        <w:t>Dictionary of the Social Sciences</w:t>
      </w:r>
      <w:r>
        <w:rPr>
          <w:rFonts w:ascii="Georgia" w:hAnsi="Georgia"/>
          <w:b/>
        </w:rPr>
        <w:t xml:space="preserve"> by </w:t>
      </w:r>
      <w:r w:rsidRPr="00577752">
        <w:rPr>
          <w:rFonts w:ascii="Georgia" w:hAnsi="Georgia"/>
          <w:b/>
        </w:rPr>
        <w:t>Craig Calhoun</w:t>
      </w:r>
      <w:r>
        <w:rPr>
          <w:rFonts w:ascii="Georgia" w:hAnsi="Georgia"/>
          <w:b/>
        </w:rPr>
        <w:t xml:space="preserve"> ed. </w:t>
      </w:r>
      <w:r w:rsidRPr="00577752">
        <w:rPr>
          <w:rFonts w:ascii="Georgia" w:hAnsi="Georgia"/>
          <w:b/>
          <w:bCs/>
        </w:rPr>
        <w:t>(Oxford: Oxford University Press</w:t>
      </w:r>
      <w:r>
        <w:rPr>
          <w:rFonts w:ascii="Georgia" w:hAnsi="Georgia"/>
          <w:b/>
          <w:bCs/>
        </w:rPr>
        <w:t>, 2002</w:t>
      </w:r>
      <w:r w:rsidRPr="00577752">
        <w:rPr>
          <w:rFonts w:ascii="Georgia" w:hAnsi="Georgia"/>
          <w:b/>
          <w:bCs/>
        </w:rPr>
        <w:t>)</w:t>
      </w:r>
      <w:r>
        <w:rPr>
          <w:rFonts w:ascii="Georgia" w:hAnsi="Georgia"/>
          <w:b/>
          <w:bCs/>
        </w:rPr>
        <w:t xml:space="preserve">. </w:t>
      </w:r>
      <w:r w:rsidRPr="00577752">
        <w:rPr>
          <w:rFonts w:ascii="Georgia" w:hAnsi="Georgia"/>
          <w:bCs/>
        </w:rPr>
        <w:t>&lt;</w:t>
      </w:r>
      <w:r w:rsidRPr="00066E79">
        <w:rPr>
          <w:rFonts w:ascii="Georgia" w:hAnsi="Georgia"/>
          <w:bCs/>
          <w:u w:val="single"/>
        </w:rPr>
        <w:t>http://www.oxfordreference.com.ezproxy.uwtsd.ac.uk/view/10.1093/acref/9780195123715.001.0001/acref-9780195123715-e-248</w:t>
      </w:r>
      <w:r w:rsidRPr="00577752">
        <w:rPr>
          <w:rFonts w:ascii="Georgia" w:hAnsi="Georgia"/>
          <w:bCs/>
        </w:rPr>
        <w:t xml:space="preserve">&gt; </w:t>
      </w:r>
      <w:r w:rsidRPr="00577752">
        <w:rPr>
          <w:rFonts w:ascii="Georgia" w:hAnsi="Georgia"/>
          <w:bCs/>
        </w:rPr>
        <w:t>[accessed 9 January 2019].</w:t>
      </w:r>
    </w:p>
    <w:p w:rsidR="00577752" w:rsidRPr="00577752" w:rsidRDefault="00577752" w:rsidP="00577752">
      <w:pPr>
        <w:jc w:val="both"/>
        <w:rPr>
          <w:rFonts w:ascii="Georgia" w:hAnsi="Georgia"/>
        </w:rPr>
      </w:pPr>
      <w:r w:rsidRPr="00577752">
        <w:rPr>
          <w:rFonts w:ascii="Georgia" w:hAnsi="Georgia"/>
        </w:rPr>
        <w:t xml:space="preserve">A broad tendency of neoclassical economic thought that flourished at and became identified with the economics department of the University of Chicago, initially in the 1930s under Frank Knight, Jacob Viner, and Henry C. Simons, and in later years through the work of Milton Friedman, George Stigler, Gary Becker, and W. Allen Wallis. Against interventionist, institutionalist, and redistributive economic thought—most especially Keynesianism—the </w:t>
      </w:r>
      <w:r w:rsidRPr="00577752">
        <w:rPr>
          <w:rFonts w:ascii="Georgia" w:hAnsi="Georgia"/>
        </w:rPr>
        <w:lastRenderedPageBreak/>
        <w:t xml:space="preserve">Chicago school consistently emphasized two principles: the power of neoclassical price theory to explain observed economic </w:t>
      </w:r>
      <w:proofErr w:type="spellStart"/>
      <w:r w:rsidRPr="00577752">
        <w:rPr>
          <w:rFonts w:ascii="Georgia" w:hAnsi="Georgia"/>
        </w:rPr>
        <w:t>behavior</w:t>
      </w:r>
      <w:proofErr w:type="spellEnd"/>
      <w:r w:rsidRPr="00577752">
        <w:rPr>
          <w:rFonts w:ascii="Georgia" w:hAnsi="Georgia"/>
        </w:rPr>
        <w:t xml:space="preserve"> and the efficacy of free markets to best allocate resources and distribute income. The major Chicago school theorists posited a minimal role for the state in the regulation of economic activity and advocated strict laissez-faire policies. This work has had a lasting impact on economic and social policy in the United States and around the world.</w:t>
      </w:r>
    </w:p>
    <w:p w:rsidR="00577752" w:rsidRDefault="00577752" w:rsidP="00577752">
      <w:pPr>
        <w:jc w:val="both"/>
        <w:rPr>
          <w:rFonts w:ascii="Georgia" w:hAnsi="Georgia"/>
        </w:rPr>
      </w:pPr>
      <w:r w:rsidRPr="00577752">
        <w:rPr>
          <w:rFonts w:ascii="Georgia" w:hAnsi="Georgia"/>
        </w:rPr>
        <w:t xml:space="preserve">The Chicago school's general model of economic </w:t>
      </w:r>
      <w:proofErr w:type="spellStart"/>
      <w:r w:rsidRPr="00577752">
        <w:rPr>
          <w:rFonts w:ascii="Georgia" w:hAnsi="Georgia"/>
        </w:rPr>
        <w:t>behavior</w:t>
      </w:r>
      <w:proofErr w:type="spellEnd"/>
      <w:r w:rsidRPr="00577752">
        <w:rPr>
          <w:rFonts w:ascii="Georgia" w:hAnsi="Georgia"/>
        </w:rPr>
        <w:t xml:space="preserve"> </w:t>
      </w:r>
      <w:proofErr w:type="gramStart"/>
      <w:r w:rsidRPr="00577752">
        <w:rPr>
          <w:rFonts w:ascii="Georgia" w:hAnsi="Georgia"/>
        </w:rPr>
        <w:t>is based</w:t>
      </w:r>
      <w:proofErr w:type="gramEnd"/>
      <w:r w:rsidRPr="00577752">
        <w:rPr>
          <w:rFonts w:ascii="Georgia" w:hAnsi="Georgia"/>
        </w:rPr>
        <w:t xml:space="preserve"> on the assumption that individuals maximize their utility, or well-being, in decisions about the allocation of resources, subject to the constraints of market prices and their disposable means. Much of this work derives from research on rational expectations by John </w:t>
      </w:r>
      <w:proofErr w:type="spellStart"/>
      <w:r w:rsidRPr="00577752">
        <w:rPr>
          <w:rFonts w:ascii="Georgia" w:hAnsi="Georgia"/>
        </w:rPr>
        <w:t>Muth</w:t>
      </w:r>
      <w:proofErr w:type="spellEnd"/>
      <w:r w:rsidRPr="00577752">
        <w:rPr>
          <w:rFonts w:ascii="Georgia" w:hAnsi="Georgia"/>
        </w:rPr>
        <w:t xml:space="preserve"> at Carnegie-Mellon University—work warmly received in Chicago by Robert Lucas and Franco Modigliani. The Chicago school has applied the tools and concepts of price theory and rational expectations to diverse situations, from racial discrimination and crime (Gary Becker) to unionization (H. G. Lewis) to the determinants of political activity (George Stigler). Chicago-trained economists played an active role in international development from the 1960s on—most visibly in Chile, where the “Chicago Boys” implemented market reforms under the Pinochet regime (see neoclassical economics).</w:t>
      </w:r>
    </w:p>
    <w:p w:rsidR="00577752" w:rsidRDefault="00577752" w:rsidP="00577752">
      <w:pPr>
        <w:jc w:val="both"/>
        <w:rPr>
          <w:rFonts w:ascii="Georgia" w:hAnsi="Georgia"/>
        </w:rPr>
      </w:pPr>
    </w:p>
    <w:p w:rsidR="00577752" w:rsidRPr="00577752" w:rsidRDefault="00577752" w:rsidP="00577752">
      <w:pPr>
        <w:jc w:val="both"/>
        <w:rPr>
          <w:rFonts w:ascii="Georgia" w:hAnsi="Georgia"/>
        </w:rPr>
      </w:pPr>
      <w:r w:rsidRPr="00066E79">
        <w:rPr>
          <w:rFonts w:ascii="Georgia" w:hAnsi="Georgia"/>
          <w:b/>
        </w:rPr>
        <w:t>‘</w:t>
      </w:r>
      <w:r w:rsidRPr="00066E79">
        <w:rPr>
          <w:rFonts w:ascii="Georgia" w:hAnsi="Georgia"/>
          <w:b/>
        </w:rPr>
        <w:t>Friedman, Milton (1912–2006)</w:t>
      </w:r>
      <w:r w:rsidRPr="00066E79">
        <w:rPr>
          <w:rFonts w:ascii="Georgia" w:hAnsi="Georgia"/>
          <w:b/>
        </w:rPr>
        <w:t xml:space="preserve">,’ in </w:t>
      </w:r>
      <w:r w:rsidRPr="00066E79">
        <w:rPr>
          <w:rFonts w:ascii="Georgia" w:hAnsi="Georgia"/>
          <w:b/>
          <w:i/>
        </w:rPr>
        <w:t>Who's Who in the Twentieth Century</w:t>
      </w:r>
      <w:r w:rsidRPr="00066E79">
        <w:rPr>
          <w:rFonts w:ascii="Georgia" w:hAnsi="Georgia"/>
          <w:b/>
        </w:rPr>
        <w:t xml:space="preserve"> </w:t>
      </w:r>
      <w:r w:rsidRPr="00577752">
        <w:rPr>
          <w:rFonts w:ascii="Georgia" w:hAnsi="Georgia"/>
          <w:b/>
          <w:bCs/>
        </w:rPr>
        <w:t>(Oxford: Oxford University Press</w:t>
      </w:r>
      <w:r>
        <w:rPr>
          <w:rFonts w:ascii="Georgia" w:hAnsi="Georgia"/>
          <w:b/>
          <w:bCs/>
        </w:rPr>
        <w:t>, 200</w:t>
      </w:r>
      <w:r>
        <w:rPr>
          <w:rFonts w:ascii="Georgia" w:hAnsi="Georgia"/>
          <w:b/>
          <w:bCs/>
        </w:rPr>
        <w:t>3</w:t>
      </w:r>
      <w:r w:rsidRPr="00577752">
        <w:rPr>
          <w:rFonts w:ascii="Georgia" w:hAnsi="Georgia"/>
          <w:b/>
          <w:bCs/>
        </w:rPr>
        <w:t>)</w:t>
      </w:r>
      <w:r w:rsidR="00066E79">
        <w:rPr>
          <w:rFonts w:ascii="Georgia" w:hAnsi="Georgia"/>
          <w:b/>
          <w:bCs/>
        </w:rPr>
        <w:t xml:space="preserve"> </w:t>
      </w:r>
      <w:r w:rsidR="00066E79" w:rsidRPr="00066E79">
        <w:rPr>
          <w:rFonts w:ascii="Georgia" w:hAnsi="Georgia"/>
          <w:bCs/>
        </w:rPr>
        <w:t>&lt;</w:t>
      </w:r>
      <w:hyperlink r:id="rId10" w:history="1">
        <w:r w:rsidR="00066E79" w:rsidRPr="00066E79">
          <w:rPr>
            <w:rStyle w:val="Hyperlink"/>
            <w:rFonts w:ascii="Georgia" w:hAnsi="Georgia"/>
            <w:bCs/>
          </w:rPr>
          <w:t>http://www.oxfordreference.com.ezproxy.uwtsd.ac.uk/view/10.1093/acref/9780192800916.001.0001/acref-9780192800916-e-617?rskey=11zPqA&amp;result=7</w:t>
        </w:r>
      </w:hyperlink>
      <w:proofErr w:type="gramStart"/>
      <w:r w:rsidR="00066E79" w:rsidRPr="00066E79">
        <w:rPr>
          <w:rFonts w:ascii="Georgia" w:hAnsi="Georgia"/>
          <w:bCs/>
        </w:rPr>
        <w:t>&gt;</w:t>
      </w:r>
      <w:r w:rsidR="00066E79" w:rsidRPr="00066E79">
        <w:rPr>
          <w:rFonts w:ascii="Georgia" w:hAnsi="Georgia"/>
          <w:bCs/>
        </w:rPr>
        <w:t>[</w:t>
      </w:r>
      <w:proofErr w:type="gramEnd"/>
      <w:r w:rsidR="00066E79" w:rsidRPr="00066E79">
        <w:rPr>
          <w:rFonts w:ascii="Georgia" w:hAnsi="Georgia"/>
          <w:bCs/>
        </w:rPr>
        <w:t>accessed 9 January 2019].</w:t>
      </w:r>
    </w:p>
    <w:p w:rsidR="00577752" w:rsidRPr="00066E79" w:rsidRDefault="00577752" w:rsidP="00577752">
      <w:pPr>
        <w:jc w:val="both"/>
        <w:rPr>
          <w:rFonts w:ascii="Georgia" w:hAnsi="Georgia"/>
          <w:i/>
        </w:rPr>
      </w:pPr>
      <w:r w:rsidRPr="00066E79">
        <w:rPr>
          <w:rFonts w:ascii="Georgia" w:hAnsi="Georgia"/>
          <w:i/>
        </w:rPr>
        <w:t>US economist and leading proponent of monetarism in the Chicago School. He won the Nobel Prize for Economics in 1976.</w:t>
      </w:r>
    </w:p>
    <w:p w:rsidR="00577752" w:rsidRPr="00577752" w:rsidRDefault="00577752" w:rsidP="00577752">
      <w:pPr>
        <w:jc w:val="both"/>
        <w:rPr>
          <w:rFonts w:ascii="Georgia" w:hAnsi="Georgia"/>
        </w:rPr>
      </w:pPr>
      <w:r w:rsidRPr="00577752">
        <w:rPr>
          <w:rFonts w:ascii="Georgia" w:hAnsi="Georgia"/>
        </w:rPr>
        <w:t xml:space="preserve">Born in New York and educated at Chicago and Columbia universities, Friedman worked for the Natural Resources Commission in Washington, followed by research at the National Bureau of Economic Research. During World War II he served in the Tax Research Division of the US Treasury and then in the Statistical Research Group of the Division of War Research, Columbia University. He became professor of economics at Chicago in 1945 and remained there until 1983, serving also as senior research fellow at the Hoover Institution, Stanford University, from 1976. From 1981 until </w:t>
      </w:r>
      <w:proofErr w:type="gramStart"/>
      <w:r w:rsidRPr="00577752">
        <w:rPr>
          <w:rFonts w:ascii="Georgia" w:hAnsi="Georgia"/>
        </w:rPr>
        <w:t>1988</w:t>
      </w:r>
      <w:proofErr w:type="gramEnd"/>
      <w:r w:rsidRPr="00577752">
        <w:rPr>
          <w:rFonts w:ascii="Georgia" w:hAnsi="Georgia"/>
        </w:rPr>
        <w:t xml:space="preserve"> he was a member of President Reagan's Economic Policy Advisory Board.</w:t>
      </w:r>
    </w:p>
    <w:p w:rsidR="00577752" w:rsidRPr="00577752" w:rsidRDefault="00577752" w:rsidP="00577752">
      <w:pPr>
        <w:jc w:val="both"/>
        <w:rPr>
          <w:rFonts w:ascii="Georgia" w:hAnsi="Georgia"/>
        </w:rPr>
      </w:pPr>
      <w:r w:rsidRPr="00577752">
        <w:rPr>
          <w:rFonts w:ascii="Georgia" w:hAnsi="Georgia"/>
        </w:rPr>
        <w:t xml:space="preserve">Friedman </w:t>
      </w:r>
      <w:proofErr w:type="gramStart"/>
      <w:r w:rsidRPr="00577752">
        <w:rPr>
          <w:rFonts w:ascii="Georgia" w:hAnsi="Georgia"/>
        </w:rPr>
        <w:t>is known</w:t>
      </w:r>
      <w:proofErr w:type="gramEnd"/>
      <w:r w:rsidRPr="00577752">
        <w:rPr>
          <w:rFonts w:ascii="Georgia" w:hAnsi="Georgia"/>
        </w:rPr>
        <w:t xml:space="preserve"> worldwide for his studies of the influence of the quantity of money (bank deposits and currency) in an economy on the level of production. He was a strong believer in the efficiency of the market and minimal government interference. In Friedman's view, changes in the money supply cause changes in the level of production, not the other way round, and controlling the money supply is the most effective way to tackle inflation. These ideas were a major influence on government economic policy in Britain and the USA during the 1980s. He also proposed a theory of permanent income, in which an individual's spending decisions depend not on his or her wealth at the time but on expected lifetime wealth.</w:t>
      </w:r>
    </w:p>
    <w:p w:rsidR="00577752" w:rsidRDefault="00066E79" w:rsidP="00066E79">
      <w:pPr>
        <w:jc w:val="both"/>
        <w:rPr>
          <w:rFonts w:ascii="Georgia" w:hAnsi="Georgia"/>
        </w:rPr>
      </w:pPr>
      <w:r w:rsidRPr="00066E79">
        <w:rPr>
          <w:rFonts w:ascii="Georgia" w:hAnsi="Georgia"/>
        </w:rPr>
        <w:t>Friedman's publications include </w:t>
      </w:r>
      <w:r w:rsidRPr="00066E79">
        <w:rPr>
          <w:rFonts w:ascii="Georgia" w:hAnsi="Georgia"/>
          <w:i/>
          <w:iCs/>
        </w:rPr>
        <w:t>Taxing to Prevent Inflation</w:t>
      </w:r>
      <w:r w:rsidRPr="00066E79">
        <w:rPr>
          <w:rFonts w:ascii="Georgia" w:hAnsi="Georgia"/>
        </w:rPr>
        <w:t> (1943), </w:t>
      </w:r>
      <w:r w:rsidRPr="00066E79">
        <w:rPr>
          <w:rFonts w:ascii="Georgia" w:hAnsi="Georgia"/>
          <w:i/>
          <w:iCs/>
        </w:rPr>
        <w:t>A Theory of the Consumption Function</w:t>
      </w:r>
      <w:r w:rsidRPr="00066E79">
        <w:rPr>
          <w:rFonts w:ascii="Georgia" w:hAnsi="Georgia"/>
        </w:rPr>
        <w:t> (1957), </w:t>
      </w:r>
      <w:r w:rsidRPr="00066E79">
        <w:rPr>
          <w:rFonts w:ascii="Georgia" w:hAnsi="Georgia"/>
          <w:i/>
          <w:iCs/>
        </w:rPr>
        <w:t>Price Theory</w:t>
      </w:r>
      <w:r w:rsidRPr="00066E79">
        <w:rPr>
          <w:rFonts w:ascii="Georgia" w:hAnsi="Georgia"/>
        </w:rPr>
        <w:t> (1962), </w:t>
      </w:r>
      <w:r w:rsidRPr="00066E79">
        <w:rPr>
          <w:rFonts w:ascii="Georgia" w:hAnsi="Georgia"/>
          <w:i/>
          <w:iCs/>
        </w:rPr>
        <w:t>A Monetary History of the United States 1867–1960</w:t>
      </w:r>
      <w:r w:rsidRPr="00066E79">
        <w:rPr>
          <w:rFonts w:ascii="Georgia" w:hAnsi="Georgia"/>
        </w:rPr>
        <w:t> (1963), </w:t>
      </w:r>
      <w:r w:rsidRPr="00066E79">
        <w:rPr>
          <w:rFonts w:ascii="Georgia" w:hAnsi="Georgia"/>
          <w:i/>
          <w:iCs/>
        </w:rPr>
        <w:t xml:space="preserve">The Optimum Quantity of </w:t>
      </w:r>
      <w:proofErr w:type="gramStart"/>
      <w:r w:rsidRPr="00066E79">
        <w:rPr>
          <w:rFonts w:ascii="Georgia" w:hAnsi="Georgia"/>
          <w:i/>
          <w:iCs/>
        </w:rPr>
        <w:t>Money</w:t>
      </w:r>
      <w:r w:rsidRPr="00066E79">
        <w:rPr>
          <w:rFonts w:ascii="Georgia" w:hAnsi="Georgia"/>
        </w:rPr>
        <w:t>(</w:t>
      </w:r>
      <w:proofErr w:type="gramEnd"/>
      <w:r w:rsidRPr="00066E79">
        <w:rPr>
          <w:rFonts w:ascii="Georgia" w:hAnsi="Georgia"/>
        </w:rPr>
        <w:t>1969), </w:t>
      </w:r>
      <w:r w:rsidRPr="00066E79">
        <w:rPr>
          <w:rFonts w:ascii="Georgia" w:hAnsi="Georgia"/>
          <w:i/>
          <w:iCs/>
        </w:rPr>
        <w:t>A Theoretical Framework for Monetary Analysis</w:t>
      </w:r>
      <w:r w:rsidRPr="00066E79">
        <w:rPr>
          <w:rFonts w:ascii="Georgia" w:hAnsi="Georgia"/>
        </w:rPr>
        <w:t> (1971), and </w:t>
      </w:r>
      <w:r w:rsidRPr="00066E79">
        <w:rPr>
          <w:rFonts w:ascii="Georgia" w:hAnsi="Georgia"/>
          <w:i/>
          <w:iCs/>
        </w:rPr>
        <w:t>Money Mischief</w:t>
      </w:r>
      <w:r w:rsidRPr="00066E79">
        <w:rPr>
          <w:rFonts w:ascii="Georgia" w:hAnsi="Georgia"/>
        </w:rPr>
        <w:t xml:space="preserve"> (1992). With Anna J. </w:t>
      </w:r>
      <w:proofErr w:type="gramStart"/>
      <w:r w:rsidRPr="00066E79">
        <w:rPr>
          <w:rFonts w:ascii="Georgia" w:hAnsi="Georgia"/>
        </w:rPr>
        <w:t>Schwartz</w:t>
      </w:r>
      <w:proofErr w:type="gramEnd"/>
      <w:r w:rsidRPr="00066E79">
        <w:rPr>
          <w:rFonts w:ascii="Georgia" w:hAnsi="Georgia"/>
        </w:rPr>
        <w:t xml:space="preserve"> he wrote </w:t>
      </w:r>
      <w:r w:rsidRPr="00066E79">
        <w:rPr>
          <w:rFonts w:ascii="Georgia" w:hAnsi="Georgia"/>
          <w:i/>
          <w:iCs/>
        </w:rPr>
        <w:t>Monetary Trends in the United States and the United Kingdom</w:t>
      </w:r>
      <w:r w:rsidRPr="00066E79">
        <w:rPr>
          <w:rFonts w:ascii="Georgia" w:hAnsi="Georgia"/>
        </w:rPr>
        <w:t xml:space="preserve"> (1982) and with his </w:t>
      </w:r>
      <w:r w:rsidRPr="00066E79">
        <w:rPr>
          <w:rFonts w:ascii="Georgia" w:hAnsi="Georgia"/>
        </w:rPr>
        <w:lastRenderedPageBreak/>
        <w:t>wife Rose (whom he married in 1938) he wrote </w:t>
      </w:r>
      <w:r w:rsidRPr="00066E79">
        <w:rPr>
          <w:rFonts w:ascii="Georgia" w:hAnsi="Georgia"/>
          <w:i/>
          <w:iCs/>
        </w:rPr>
        <w:t>Free to Choose</w:t>
      </w:r>
      <w:r w:rsidRPr="00066E79">
        <w:rPr>
          <w:rFonts w:ascii="Georgia" w:hAnsi="Georgia"/>
        </w:rPr>
        <w:t> (1980) and </w:t>
      </w:r>
      <w:r w:rsidRPr="00066E79">
        <w:rPr>
          <w:rFonts w:ascii="Georgia" w:hAnsi="Georgia"/>
          <w:i/>
          <w:iCs/>
        </w:rPr>
        <w:t>Tyranny of the Status Quo</w:t>
      </w:r>
      <w:r w:rsidRPr="00066E79">
        <w:rPr>
          <w:rFonts w:ascii="Georgia" w:hAnsi="Georgia"/>
        </w:rPr>
        <w:t> (1984).</w:t>
      </w:r>
    </w:p>
    <w:p w:rsidR="00066E79" w:rsidRDefault="00066E79" w:rsidP="00066E79">
      <w:pPr>
        <w:jc w:val="both"/>
        <w:rPr>
          <w:rFonts w:ascii="Georgia" w:hAnsi="Georgia"/>
        </w:rPr>
      </w:pPr>
    </w:p>
    <w:p w:rsidR="00066E79" w:rsidRPr="00066E79" w:rsidRDefault="00066E79" w:rsidP="00066E79">
      <w:pPr>
        <w:jc w:val="both"/>
        <w:rPr>
          <w:rFonts w:ascii="Georgia" w:hAnsi="Georgia"/>
          <w:bCs/>
        </w:rPr>
      </w:pPr>
      <w:r>
        <w:rPr>
          <w:rFonts w:ascii="Georgia" w:hAnsi="Georgia"/>
          <w:b/>
        </w:rPr>
        <w:t>‘</w:t>
      </w:r>
      <w:r w:rsidRPr="00066E79">
        <w:rPr>
          <w:rFonts w:ascii="Georgia" w:hAnsi="Georgia"/>
          <w:b/>
        </w:rPr>
        <w:t>Hayek, Friedrich August von (1899–1992</w:t>
      </w:r>
      <w:r>
        <w:rPr>
          <w:rFonts w:ascii="Georgia" w:hAnsi="Georgia"/>
          <w:b/>
        </w:rPr>
        <w:t xml:space="preserve">) in </w:t>
      </w:r>
      <w:r w:rsidRPr="00066E79">
        <w:rPr>
          <w:rFonts w:ascii="Georgia" w:hAnsi="Georgia"/>
          <w:b/>
          <w:i/>
        </w:rPr>
        <w:t>Who's Who in the Twentieth Century</w:t>
      </w:r>
      <w:r w:rsidRPr="00066E79">
        <w:rPr>
          <w:rFonts w:ascii="Georgia" w:hAnsi="Georgia"/>
          <w:b/>
        </w:rPr>
        <w:t xml:space="preserve"> </w:t>
      </w:r>
      <w:r w:rsidRPr="00577752">
        <w:rPr>
          <w:rFonts w:ascii="Georgia" w:hAnsi="Georgia"/>
          <w:b/>
          <w:bCs/>
        </w:rPr>
        <w:t>(Oxford: Oxford University Press</w:t>
      </w:r>
      <w:r>
        <w:rPr>
          <w:rFonts w:ascii="Georgia" w:hAnsi="Georgia"/>
          <w:b/>
          <w:bCs/>
        </w:rPr>
        <w:t>, 2003</w:t>
      </w:r>
      <w:r w:rsidRPr="00577752">
        <w:rPr>
          <w:rFonts w:ascii="Georgia" w:hAnsi="Georgia"/>
          <w:b/>
          <w:bCs/>
        </w:rPr>
        <w:t>)</w:t>
      </w:r>
      <w:r>
        <w:rPr>
          <w:rFonts w:ascii="Georgia" w:hAnsi="Georgia"/>
          <w:b/>
          <w:bCs/>
        </w:rPr>
        <w:t xml:space="preserve"> </w:t>
      </w:r>
      <w:r w:rsidRPr="00066E79">
        <w:rPr>
          <w:rFonts w:ascii="Georgia" w:hAnsi="Georgia"/>
          <w:bCs/>
        </w:rPr>
        <w:t>&lt;</w:t>
      </w:r>
      <w:r w:rsidRPr="00066E79">
        <w:rPr>
          <w:rFonts w:ascii="Georgia" w:hAnsi="Georgia"/>
          <w:bCs/>
          <w:u w:val="single"/>
        </w:rPr>
        <w:t>http://www.oxfordreference.com.ezproxy.uwtsd.ac.uk/view/10.1093/acref/9780192800916.001.0001/acref-9780192800916-e-756?rskey=Bqv0AC&amp;result=756</w:t>
      </w:r>
      <w:r w:rsidRPr="00066E79">
        <w:rPr>
          <w:rFonts w:ascii="Georgia" w:hAnsi="Georgia"/>
          <w:bCs/>
        </w:rPr>
        <w:t>&gt;[accessed 9 January 2019].</w:t>
      </w:r>
    </w:p>
    <w:p w:rsidR="00066E79" w:rsidRPr="00DA3184" w:rsidRDefault="00066E79" w:rsidP="00066E79">
      <w:pPr>
        <w:jc w:val="both"/>
        <w:rPr>
          <w:rFonts w:ascii="Georgia" w:hAnsi="Georgia"/>
          <w:i/>
        </w:rPr>
      </w:pPr>
      <w:r w:rsidRPr="00DA3184">
        <w:rPr>
          <w:rFonts w:ascii="Georgia" w:hAnsi="Georgia"/>
          <w:i/>
        </w:rPr>
        <w:t>Austrian-born British economist whose free-market theories influenced a political generation and earned him a share in the Nobel Prize for Economics in 1974.</w:t>
      </w:r>
    </w:p>
    <w:p w:rsidR="00066E79" w:rsidRPr="00066E79" w:rsidRDefault="00066E79" w:rsidP="00066E79">
      <w:pPr>
        <w:jc w:val="both"/>
        <w:rPr>
          <w:rFonts w:ascii="Georgia" w:hAnsi="Georgia"/>
        </w:rPr>
      </w:pPr>
      <w:r w:rsidRPr="00066E79">
        <w:rPr>
          <w:rFonts w:ascii="Georgia" w:hAnsi="Georgia"/>
        </w:rPr>
        <w:t xml:space="preserve">Friedrich Hayek, a product of the anti-Marxist Austrian School of liberal economics, became a civil servant before </w:t>
      </w:r>
      <w:proofErr w:type="gramStart"/>
      <w:r w:rsidRPr="00066E79">
        <w:rPr>
          <w:rFonts w:ascii="Georgia" w:hAnsi="Georgia"/>
        </w:rPr>
        <w:t>being appointed</w:t>
      </w:r>
      <w:proofErr w:type="gramEnd"/>
      <w:r w:rsidRPr="00066E79">
        <w:rPr>
          <w:rFonts w:ascii="Georgia" w:hAnsi="Georgia"/>
        </w:rPr>
        <w:t xml:space="preserve"> director of the Austrian Institute for Economic Research (1926). He then taught successively at the universities of Vienna (1929–31), London (1931–50), Chicago (1950–62), and Freiburg (1962–70), becoming a naturalized British subject in 1938. He specialized in the history of economic thought, the broad pattern of his work evolving from a preoccupation with monetary theory to a much more philosophical concern with the role of government in society. Hayek brought an historical perspective to the analysis of economic growth, summarizing his arguments against governmental interference in his widely influential book </w:t>
      </w:r>
      <w:r w:rsidRPr="00066E79">
        <w:rPr>
          <w:rFonts w:ascii="Georgia" w:hAnsi="Georgia"/>
          <w:i/>
          <w:iCs/>
        </w:rPr>
        <w:t>The Road to Serfdom</w:t>
      </w:r>
      <w:r w:rsidRPr="00066E79">
        <w:rPr>
          <w:rFonts w:ascii="Georgia" w:hAnsi="Georgia"/>
        </w:rPr>
        <w:t> (1944). His view was that economic freedom is inseparable from personal freedom and that state intervention, no matter how well intentioned, inevitably leads to the eventual destruction of both economic and personal freedom. The only legitimate functions of government were, therefore, ‘to provide a framework for the market and to provide services that the market cannot provide’.</w:t>
      </w:r>
    </w:p>
    <w:p w:rsidR="00066E79" w:rsidRPr="00066E79" w:rsidRDefault="00066E79" w:rsidP="00066E79">
      <w:pPr>
        <w:jc w:val="both"/>
        <w:rPr>
          <w:rFonts w:ascii="Georgia" w:hAnsi="Georgia"/>
        </w:rPr>
      </w:pPr>
      <w:r w:rsidRPr="00066E79">
        <w:rPr>
          <w:rFonts w:ascii="Georgia" w:hAnsi="Georgia"/>
        </w:rPr>
        <w:t xml:space="preserve">By the </w:t>
      </w:r>
      <w:proofErr w:type="gramStart"/>
      <w:r w:rsidRPr="00066E79">
        <w:rPr>
          <w:rFonts w:ascii="Georgia" w:hAnsi="Georgia"/>
        </w:rPr>
        <w:t>time</w:t>
      </w:r>
      <w:proofErr w:type="gramEnd"/>
      <w:r w:rsidRPr="00066E79">
        <w:rPr>
          <w:rFonts w:ascii="Georgia" w:hAnsi="Georgia"/>
        </w:rPr>
        <w:t xml:space="preserve"> Hayek had developed his views in </w:t>
      </w:r>
      <w:r w:rsidRPr="00066E79">
        <w:rPr>
          <w:rFonts w:ascii="Georgia" w:hAnsi="Georgia"/>
          <w:i/>
          <w:iCs/>
        </w:rPr>
        <w:t>The Fatal Conceit: the Errors of Socialism</w:t>
      </w:r>
      <w:r w:rsidRPr="00066E79">
        <w:rPr>
          <w:rFonts w:ascii="Georgia" w:hAnsi="Georgia"/>
        </w:rPr>
        <w:t> (1988), his doctrines were providing the ideological justification for abandoning neo-Keynesian orthodoxies in favour of the hands-off policies known as ‘Thatcherism’ and ‘Reaganomics’. Ironically, Hayek shared his Nobel Prize with the Swedish welfare economist Gunnar </w:t>
      </w:r>
      <w:hyperlink r:id="rId11" w:history="1">
        <w:r w:rsidRPr="00066E79">
          <w:rPr>
            <w:rStyle w:val="Hyperlink"/>
            <w:rFonts w:ascii="Georgia" w:hAnsi="Georgia"/>
            <w:u w:val="none"/>
          </w:rPr>
          <w:t>Myrdal</w:t>
        </w:r>
      </w:hyperlink>
      <w:r w:rsidRPr="00066E79">
        <w:rPr>
          <w:rFonts w:ascii="Georgia" w:hAnsi="Georgia"/>
        </w:rPr>
        <w:t>, whose views were almost directly the opposite of his.</w:t>
      </w:r>
    </w:p>
    <w:p w:rsidR="00DC319A" w:rsidRPr="00066E79" w:rsidRDefault="00DC319A" w:rsidP="00DC319A">
      <w:pPr>
        <w:jc w:val="both"/>
        <w:rPr>
          <w:rFonts w:ascii="Georgia" w:hAnsi="Georgia"/>
          <w:bCs/>
        </w:rPr>
      </w:pPr>
      <w:r>
        <w:rPr>
          <w:rFonts w:ascii="Georgia" w:hAnsi="Georgia"/>
          <w:b/>
          <w:bCs/>
        </w:rPr>
        <w:t>‘</w:t>
      </w:r>
      <w:r w:rsidRPr="00DC319A">
        <w:rPr>
          <w:rFonts w:ascii="Georgia" w:hAnsi="Georgia"/>
          <w:b/>
          <w:bCs/>
        </w:rPr>
        <w:t>Keynes, John Maynard,</w:t>
      </w:r>
      <w:r>
        <w:rPr>
          <w:rFonts w:ascii="Georgia" w:hAnsi="Georgia"/>
          <w:b/>
          <w:bCs/>
        </w:rPr>
        <w:t xml:space="preserve">’ </w:t>
      </w:r>
      <w:r>
        <w:rPr>
          <w:rFonts w:ascii="Georgia" w:hAnsi="Georgia"/>
          <w:b/>
        </w:rPr>
        <w:t xml:space="preserve">in </w:t>
      </w:r>
      <w:r w:rsidRPr="00DC319A">
        <w:rPr>
          <w:rFonts w:ascii="Georgia" w:hAnsi="Georgia"/>
          <w:b/>
          <w:i/>
        </w:rPr>
        <w:t>A Dictionary of Contemporary World History</w:t>
      </w:r>
      <w:r>
        <w:rPr>
          <w:rFonts w:ascii="Georgia" w:hAnsi="Georgia"/>
          <w:b/>
        </w:rPr>
        <w:t xml:space="preserve"> by </w:t>
      </w:r>
      <w:r w:rsidRPr="00DC319A">
        <w:rPr>
          <w:rFonts w:ascii="Georgia" w:hAnsi="Georgia"/>
          <w:b/>
        </w:rPr>
        <w:t xml:space="preserve">Jan </w:t>
      </w:r>
      <w:proofErr w:type="spellStart"/>
      <w:r w:rsidRPr="00DC319A">
        <w:rPr>
          <w:rFonts w:ascii="Georgia" w:hAnsi="Georgia"/>
          <w:b/>
        </w:rPr>
        <w:t>Palmowski</w:t>
      </w:r>
      <w:proofErr w:type="spellEnd"/>
      <w:r>
        <w:rPr>
          <w:rFonts w:ascii="Georgia" w:hAnsi="Georgia"/>
          <w:b/>
        </w:rPr>
        <w:t xml:space="preserve"> ed. (</w:t>
      </w:r>
      <w:r w:rsidRPr="00577752">
        <w:rPr>
          <w:rFonts w:ascii="Georgia" w:hAnsi="Georgia"/>
          <w:b/>
          <w:bCs/>
        </w:rPr>
        <w:t>Oxford: Oxford University Press</w:t>
      </w:r>
      <w:r>
        <w:rPr>
          <w:rFonts w:ascii="Georgia" w:hAnsi="Georgia"/>
          <w:b/>
          <w:bCs/>
        </w:rPr>
        <w:t>, 2008</w:t>
      </w:r>
      <w:r w:rsidRPr="00577752">
        <w:rPr>
          <w:rFonts w:ascii="Georgia" w:hAnsi="Georgia"/>
          <w:b/>
          <w:bCs/>
        </w:rPr>
        <w:t>)</w:t>
      </w:r>
      <w:r>
        <w:rPr>
          <w:rFonts w:ascii="Georgia" w:hAnsi="Georgia"/>
          <w:b/>
          <w:bCs/>
        </w:rPr>
        <w:t xml:space="preserve"> </w:t>
      </w:r>
      <w:r>
        <w:rPr>
          <w:rFonts w:ascii="Georgia" w:hAnsi="Georgia"/>
          <w:bCs/>
        </w:rPr>
        <w:t>&lt;</w:t>
      </w:r>
      <w:r w:rsidR="00DA3184" w:rsidRPr="00DA3184">
        <w:rPr>
          <w:rFonts w:ascii="Georgia" w:hAnsi="Georgia"/>
          <w:bCs/>
        </w:rPr>
        <w:t>http://www.oxfordreference.com.ezproxy.uwtsd.ac.uk/view/10.1093/acref/9780199295678.001.0001/acref-9780199295678-e-1245#</w:t>
      </w:r>
      <w:r>
        <w:rPr>
          <w:rFonts w:ascii="Georgia" w:hAnsi="Georgia"/>
          <w:bCs/>
        </w:rPr>
        <w:t>&gt;</w:t>
      </w:r>
      <w:r w:rsidR="00DA3184">
        <w:rPr>
          <w:rFonts w:ascii="Georgia" w:hAnsi="Georgia"/>
          <w:bCs/>
        </w:rPr>
        <w:t xml:space="preserve"> [accessed 9 January 2019].</w:t>
      </w:r>
    </w:p>
    <w:p w:rsidR="00DA3184" w:rsidRPr="00DA3184" w:rsidRDefault="00DA3184" w:rsidP="00DA3184">
      <w:pPr>
        <w:jc w:val="both"/>
        <w:rPr>
          <w:rFonts w:ascii="Georgia" w:hAnsi="Georgia"/>
          <w:bCs/>
          <w:i/>
        </w:rPr>
      </w:pPr>
      <w:r w:rsidRPr="00DA3184">
        <w:rPr>
          <w:rFonts w:ascii="Georgia" w:hAnsi="Georgia"/>
          <w:bCs/>
          <w:i/>
        </w:rPr>
        <w:t>British economist</w:t>
      </w:r>
    </w:p>
    <w:p w:rsidR="00DA3184" w:rsidRPr="00DA3184" w:rsidRDefault="00DA3184" w:rsidP="00DA3184">
      <w:pPr>
        <w:jc w:val="both"/>
        <w:rPr>
          <w:rFonts w:ascii="Georgia" w:hAnsi="Georgia"/>
          <w:bCs/>
        </w:rPr>
      </w:pPr>
      <w:r w:rsidRPr="00DA3184">
        <w:rPr>
          <w:rFonts w:ascii="Georgia" w:hAnsi="Georgia"/>
          <w:bCs/>
        </w:rPr>
        <w:t>Born in Cambridge, and educated there and before that at Eton. He worked in the India Office (1906–8), and then returned to teach economics at Cambridge. During World War I, he worked at the Treasury, which he represented at the </w:t>
      </w:r>
      <w:hyperlink r:id="rId12" w:history="1">
        <w:r w:rsidRPr="00DA3184">
          <w:rPr>
            <w:rStyle w:val="Hyperlink"/>
            <w:rFonts w:ascii="Georgia" w:hAnsi="Georgia"/>
            <w:bCs/>
            <w:color w:val="auto"/>
            <w:u w:val="none"/>
          </w:rPr>
          <w:t>Paris Peace Conference</w:t>
        </w:r>
      </w:hyperlink>
      <w:r w:rsidRPr="00DA3184">
        <w:rPr>
          <w:rFonts w:ascii="Georgia" w:hAnsi="Georgia"/>
          <w:bCs/>
        </w:rPr>
        <w:t>. Keynes was highly critical of the conference's results, though. In his book </w:t>
      </w:r>
      <w:r w:rsidRPr="00DA3184">
        <w:rPr>
          <w:rFonts w:ascii="Georgia" w:hAnsi="Georgia"/>
          <w:bCs/>
          <w:i/>
          <w:iCs/>
        </w:rPr>
        <w:t>The Economic Consequences of the Peace</w:t>
      </w:r>
      <w:r w:rsidRPr="00DA3184">
        <w:rPr>
          <w:rFonts w:ascii="Georgia" w:hAnsi="Georgia"/>
          <w:bCs/>
        </w:rPr>
        <w:t> (1919), Keynes criticized the stifling </w:t>
      </w:r>
      <w:hyperlink r:id="rId13" w:history="1">
        <w:r w:rsidRPr="00DA3184">
          <w:rPr>
            <w:rStyle w:val="Hyperlink"/>
            <w:rFonts w:ascii="Georgia" w:hAnsi="Georgia"/>
            <w:bCs/>
            <w:color w:val="auto"/>
            <w:u w:val="none"/>
          </w:rPr>
          <w:t>reparations</w:t>
        </w:r>
      </w:hyperlink>
      <w:proofErr w:type="gramStart"/>
      <w:r w:rsidRPr="00DA3184">
        <w:rPr>
          <w:rFonts w:ascii="Georgia" w:hAnsi="Georgia"/>
          <w:bCs/>
        </w:rPr>
        <w:t> which</w:t>
      </w:r>
      <w:proofErr w:type="gramEnd"/>
      <w:r w:rsidRPr="00DA3184">
        <w:rPr>
          <w:rFonts w:ascii="Georgia" w:hAnsi="Georgia"/>
          <w:bCs/>
        </w:rPr>
        <w:t xml:space="preserve"> were bound to cripple Germany and make it a continued focus of instability. He continued to advise the government on economic policy, although he was a strong critic of </w:t>
      </w:r>
      <w:hyperlink r:id="rId14" w:history="1">
        <w:r w:rsidRPr="00DA3184">
          <w:rPr>
            <w:rStyle w:val="Hyperlink"/>
            <w:rFonts w:ascii="Georgia" w:hAnsi="Georgia"/>
            <w:bCs/>
            <w:color w:val="auto"/>
            <w:u w:val="none"/>
          </w:rPr>
          <w:t>Churchill</w:t>
        </w:r>
      </w:hyperlink>
      <w:r w:rsidRPr="00DA3184">
        <w:rPr>
          <w:rFonts w:ascii="Georgia" w:hAnsi="Georgia"/>
          <w:bCs/>
        </w:rPr>
        <w:t>'s return to the </w:t>
      </w:r>
      <w:hyperlink r:id="rId15" w:history="1">
        <w:r w:rsidRPr="00DA3184">
          <w:rPr>
            <w:rStyle w:val="Hyperlink"/>
            <w:rFonts w:ascii="Georgia" w:hAnsi="Georgia"/>
            <w:bCs/>
            <w:color w:val="auto"/>
            <w:u w:val="none"/>
          </w:rPr>
          <w:t>Gold Standard</w:t>
        </w:r>
      </w:hyperlink>
      <w:r w:rsidRPr="00DA3184">
        <w:rPr>
          <w:rFonts w:ascii="Georgia" w:hAnsi="Georgia"/>
          <w:bCs/>
        </w:rPr>
        <w:t xml:space="preserve"> in 1925 at the </w:t>
      </w:r>
      <w:proofErr w:type="spellStart"/>
      <w:r w:rsidRPr="00DA3184">
        <w:rPr>
          <w:rFonts w:ascii="Georgia" w:hAnsi="Georgia"/>
          <w:bCs/>
        </w:rPr>
        <w:t>prewar</w:t>
      </w:r>
      <w:proofErr w:type="spellEnd"/>
      <w:r w:rsidRPr="00DA3184">
        <w:rPr>
          <w:rFonts w:ascii="Georgia" w:hAnsi="Georgia"/>
          <w:bCs/>
        </w:rPr>
        <w:t xml:space="preserve"> parity. He was an active Liberal in the 1920s, when he began to articulate his view that government spending on public works could push the depressed economy back into equilibrium.</w:t>
      </w:r>
    </w:p>
    <w:p w:rsidR="00DA3184" w:rsidRPr="00DA3184" w:rsidRDefault="00DA3184" w:rsidP="00DA3184">
      <w:pPr>
        <w:jc w:val="both"/>
        <w:rPr>
          <w:rFonts w:ascii="Georgia" w:hAnsi="Georgia"/>
          <w:bCs/>
        </w:rPr>
      </w:pPr>
      <w:r w:rsidRPr="00DA3184">
        <w:rPr>
          <w:rFonts w:ascii="Georgia" w:hAnsi="Georgia"/>
          <w:bCs/>
        </w:rPr>
        <w:t>Keynes challenged the orthodox creed concerning the ability of the market to correct itself, most comprehensively in </w:t>
      </w:r>
      <w:r w:rsidRPr="00DA3184">
        <w:rPr>
          <w:rFonts w:ascii="Georgia" w:hAnsi="Georgia"/>
          <w:bCs/>
          <w:i/>
          <w:iCs/>
        </w:rPr>
        <w:t>The General Theory of Employment, Interest and Money</w:t>
      </w:r>
      <w:r w:rsidRPr="00DA3184">
        <w:rPr>
          <w:rFonts w:ascii="Georgia" w:hAnsi="Georgia"/>
          <w:bCs/>
        </w:rPr>
        <w:t> (1936), which became the origin of </w:t>
      </w:r>
      <w:hyperlink r:id="rId16" w:history="1">
        <w:r w:rsidRPr="00DA3184">
          <w:rPr>
            <w:rStyle w:val="Hyperlink"/>
            <w:rFonts w:ascii="Georgia" w:hAnsi="Georgia"/>
            <w:bCs/>
            <w:color w:val="auto"/>
            <w:u w:val="none"/>
          </w:rPr>
          <w:t>Keynesianism</w:t>
        </w:r>
      </w:hyperlink>
      <w:r w:rsidRPr="00DA3184">
        <w:rPr>
          <w:rFonts w:ascii="Georgia" w:hAnsi="Georgia"/>
          <w:bCs/>
        </w:rPr>
        <w:t xml:space="preserve">. His ideas failed to make an impact on government </w:t>
      </w:r>
      <w:r w:rsidRPr="00DA3184">
        <w:rPr>
          <w:rFonts w:ascii="Georgia" w:hAnsi="Georgia"/>
          <w:bCs/>
        </w:rPr>
        <w:lastRenderedPageBreak/>
        <w:t xml:space="preserve">policy in the 1930s. In 1940, however, he once again became a government economic adviser, and in </w:t>
      </w:r>
      <w:proofErr w:type="gramStart"/>
      <w:r w:rsidRPr="00DA3184">
        <w:rPr>
          <w:rFonts w:ascii="Georgia" w:hAnsi="Georgia"/>
          <w:bCs/>
        </w:rPr>
        <w:t>1945</w:t>
      </w:r>
      <w:proofErr w:type="gramEnd"/>
      <w:r w:rsidRPr="00DA3184">
        <w:rPr>
          <w:rFonts w:ascii="Georgia" w:hAnsi="Georgia"/>
          <w:bCs/>
        </w:rPr>
        <w:t xml:space="preserve"> he headed a delegation to the USA which secured a large loan for Britain. His advocacy of government intervention to ensure full employment influenced the </w:t>
      </w:r>
      <w:hyperlink r:id="rId17" w:history="1">
        <w:r w:rsidRPr="00DA3184">
          <w:rPr>
            <w:rStyle w:val="Hyperlink"/>
            <w:rFonts w:ascii="Georgia" w:hAnsi="Georgia"/>
            <w:bCs/>
            <w:color w:val="auto"/>
            <w:u w:val="none"/>
          </w:rPr>
          <w:t>Beveridge Report</w:t>
        </w:r>
      </w:hyperlink>
      <w:r w:rsidRPr="00DA3184">
        <w:rPr>
          <w:rFonts w:ascii="Georgia" w:hAnsi="Georgia"/>
          <w:bCs/>
        </w:rPr>
        <w:t>, and was influential at the </w:t>
      </w:r>
      <w:hyperlink r:id="rId18" w:history="1">
        <w:r w:rsidRPr="00DA3184">
          <w:rPr>
            <w:rStyle w:val="Hyperlink"/>
            <w:rFonts w:ascii="Georgia" w:hAnsi="Georgia"/>
            <w:bCs/>
            <w:color w:val="auto"/>
            <w:u w:val="none"/>
          </w:rPr>
          <w:t>Bretton Woods Conference</w:t>
        </w:r>
      </w:hyperlink>
      <w:r w:rsidRPr="00DA3184">
        <w:rPr>
          <w:rFonts w:ascii="Georgia" w:hAnsi="Georgia"/>
          <w:bCs/>
        </w:rPr>
        <w:t> of 1944, which led to the establishment of the </w:t>
      </w:r>
      <w:hyperlink r:id="rId19" w:history="1">
        <w:r w:rsidRPr="00DA3184">
          <w:rPr>
            <w:rStyle w:val="Hyperlink"/>
            <w:rFonts w:ascii="Georgia" w:hAnsi="Georgia"/>
            <w:bCs/>
            <w:color w:val="auto"/>
            <w:u w:val="none"/>
          </w:rPr>
          <w:t>International Monetary Fund</w:t>
        </w:r>
      </w:hyperlink>
      <w:r w:rsidRPr="00DA3184">
        <w:rPr>
          <w:rFonts w:ascii="Georgia" w:hAnsi="Georgia"/>
          <w:bCs/>
        </w:rPr>
        <w:t>, and the </w:t>
      </w:r>
      <w:hyperlink r:id="rId20" w:history="1">
        <w:r w:rsidRPr="00DA3184">
          <w:rPr>
            <w:rStyle w:val="Hyperlink"/>
            <w:rFonts w:ascii="Georgia" w:hAnsi="Georgia"/>
            <w:bCs/>
            <w:color w:val="auto"/>
            <w:u w:val="none"/>
          </w:rPr>
          <w:t>World Bank</w:t>
        </w:r>
      </w:hyperlink>
      <w:r w:rsidRPr="00DA3184">
        <w:rPr>
          <w:rFonts w:ascii="Georgia" w:hAnsi="Georgia"/>
          <w:bCs/>
        </w:rPr>
        <w:t xml:space="preserve">. Until the </w:t>
      </w:r>
      <w:proofErr w:type="gramStart"/>
      <w:r w:rsidRPr="00DA3184">
        <w:rPr>
          <w:rFonts w:ascii="Georgia" w:hAnsi="Georgia"/>
          <w:bCs/>
        </w:rPr>
        <w:t>1970s</w:t>
      </w:r>
      <w:proofErr w:type="gramEnd"/>
      <w:r w:rsidRPr="00DA3184">
        <w:rPr>
          <w:rFonts w:ascii="Georgia" w:hAnsi="Georgia"/>
          <w:bCs/>
        </w:rPr>
        <w:t xml:space="preserve"> his arguments underpinned the economic policy of governments in the </w:t>
      </w:r>
      <w:proofErr w:type="spellStart"/>
      <w:r w:rsidRPr="00DA3184">
        <w:rPr>
          <w:rFonts w:ascii="Georgia" w:hAnsi="Georgia"/>
          <w:bCs/>
        </w:rPr>
        <w:t>postwar</w:t>
      </w:r>
      <w:proofErr w:type="spellEnd"/>
      <w:r w:rsidRPr="00DA3184">
        <w:rPr>
          <w:rFonts w:ascii="Georgia" w:hAnsi="Georgia"/>
          <w:bCs/>
        </w:rPr>
        <w:t xml:space="preserve"> years, both in Britain and in western and northern Europe.</w:t>
      </w:r>
    </w:p>
    <w:p w:rsidR="00DA3184" w:rsidRPr="00DA3184" w:rsidRDefault="00DA3184" w:rsidP="00DA3184">
      <w:pPr>
        <w:jc w:val="both"/>
        <w:rPr>
          <w:rFonts w:ascii="Georgia" w:hAnsi="Georgia"/>
          <w:bCs/>
        </w:rPr>
      </w:pPr>
      <w:r w:rsidRPr="00DA3184">
        <w:rPr>
          <w:rFonts w:ascii="Georgia" w:hAnsi="Georgia"/>
          <w:b/>
        </w:rPr>
        <w:t xml:space="preserve">‘Keynesianism’ in </w:t>
      </w:r>
      <w:r w:rsidRPr="00DA3184">
        <w:rPr>
          <w:rFonts w:ascii="Georgia" w:hAnsi="Georgia"/>
          <w:b/>
          <w:i/>
        </w:rPr>
        <w:t>A Dictionary of Contemporary World History</w:t>
      </w:r>
      <w:r w:rsidRPr="00DA3184">
        <w:rPr>
          <w:rFonts w:ascii="Georgia" w:hAnsi="Georgia"/>
          <w:b/>
        </w:rPr>
        <w:t xml:space="preserve"> by Jan </w:t>
      </w:r>
      <w:proofErr w:type="spellStart"/>
      <w:r w:rsidRPr="00DA3184">
        <w:rPr>
          <w:rFonts w:ascii="Georgia" w:hAnsi="Georgia"/>
          <w:b/>
        </w:rPr>
        <w:t>Palmowski</w:t>
      </w:r>
      <w:proofErr w:type="spellEnd"/>
      <w:r w:rsidRPr="00DA3184">
        <w:rPr>
          <w:rFonts w:ascii="Georgia" w:hAnsi="Georgia"/>
          <w:b/>
        </w:rPr>
        <w:t xml:space="preserve"> ed. (</w:t>
      </w:r>
      <w:r w:rsidRPr="00DA3184">
        <w:rPr>
          <w:rFonts w:ascii="Georgia" w:hAnsi="Georgia"/>
          <w:b/>
          <w:bCs/>
        </w:rPr>
        <w:t xml:space="preserve">Oxford: Oxford University Press, 2008) </w:t>
      </w:r>
      <w:r w:rsidRPr="00DA3184">
        <w:rPr>
          <w:rFonts w:ascii="Georgia" w:hAnsi="Georgia"/>
          <w:bCs/>
        </w:rPr>
        <w:t>&lt;http://www.oxfordreference.com.ezproxy.uwtsd.ac.uk/view/10.1093/acref/9780199295678.001.0001/acref-9780199295678-e-1246#&gt;</w:t>
      </w:r>
      <w:r>
        <w:rPr>
          <w:rFonts w:ascii="Georgia" w:hAnsi="Georgia"/>
          <w:bCs/>
        </w:rPr>
        <w:t xml:space="preserve"> [accessed 9 January 2019].</w:t>
      </w:r>
    </w:p>
    <w:p w:rsidR="00DA3184" w:rsidRPr="00DA3184" w:rsidRDefault="00DA3184" w:rsidP="00DA3184">
      <w:pPr>
        <w:jc w:val="both"/>
        <w:rPr>
          <w:rFonts w:ascii="Georgia" w:hAnsi="Georgia"/>
          <w:bCs/>
        </w:rPr>
      </w:pPr>
      <w:r w:rsidRPr="00DA3184">
        <w:rPr>
          <w:rFonts w:ascii="Georgia" w:hAnsi="Georgia"/>
          <w:bCs/>
        </w:rPr>
        <w:t>An economic theory developed by </w:t>
      </w:r>
      <w:hyperlink r:id="rId21" w:history="1">
        <w:r w:rsidRPr="00DA3184">
          <w:rPr>
            <w:rStyle w:val="Hyperlink"/>
            <w:rFonts w:ascii="Georgia" w:hAnsi="Georgia"/>
            <w:bCs/>
            <w:color w:val="auto"/>
            <w:u w:val="none"/>
          </w:rPr>
          <w:t>Keynes</w:t>
        </w:r>
      </w:hyperlink>
      <w:proofErr w:type="gramStart"/>
      <w:r w:rsidRPr="00DA3184">
        <w:rPr>
          <w:rFonts w:ascii="Georgia" w:hAnsi="Georgia"/>
          <w:bCs/>
        </w:rPr>
        <w:t> which</w:t>
      </w:r>
      <w:proofErr w:type="gramEnd"/>
      <w:r w:rsidRPr="00DA3184">
        <w:rPr>
          <w:rFonts w:ascii="Georgia" w:hAnsi="Georgia"/>
          <w:bCs/>
        </w:rPr>
        <w:t xml:space="preserve"> holds that imperfections in the economy can be corrected through government policy. For example, if there is a recession, there is excess supply of goods over demand. The government can stimulate demand e.g. through welfare payments or employment schemes. As individuals thus receive higher incomes, their demand will increase. To finance these schemes, the government will have to raise more debts, which pushes up interest rates. This reduces supply because it becomes more expensive for producers to expand through loans. In this way, a government can increase demand and reduce supply until an equilibrium is re</w:t>
      </w:r>
      <w:r w:rsidRPr="00DA3184">
        <w:rPr>
          <w:rFonts w:ascii="Times New Roman" w:hAnsi="Times New Roman" w:cs="Times New Roman"/>
          <w:bCs/>
        </w:rPr>
        <w:t>‐</w:t>
      </w:r>
      <w:r w:rsidRPr="00DA3184">
        <w:rPr>
          <w:rFonts w:ascii="Georgia" w:hAnsi="Georgia"/>
          <w:bCs/>
        </w:rPr>
        <w:t>established.</w:t>
      </w:r>
    </w:p>
    <w:p w:rsidR="00DA3184" w:rsidRPr="00DA3184" w:rsidRDefault="00DA3184" w:rsidP="00DA3184">
      <w:pPr>
        <w:jc w:val="both"/>
        <w:rPr>
          <w:rFonts w:ascii="Georgia" w:hAnsi="Georgia"/>
          <w:bCs/>
        </w:rPr>
      </w:pPr>
      <w:r w:rsidRPr="00DA3184">
        <w:rPr>
          <w:rFonts w:ascii="Georgia" w:hAnsi="Georgia"/>
          <w:bCs/>
        </w:rPr>
        <w:t xml:space="preserve">Keynes's ideas formed the basis of economic policy in most industrialized nations after World War II, but fell out of fashion owing to the inability of Keynesian demand management to cope with the economic recession of the 1970s, when rising inflation coincided with rising unemployment. During the late 1970s and the 1980s, it </w:t>
      </w:r>
      <w:proofErr w:type="gramStart"/>
      <w:r w:rsidRPr="00DA3184">
        <w:rPr>
          <w:rFonts w:ascii="Georgia" w:hAnsi="Georgia"/>
          <w:bCs/>
        </w:rPr>
        <w:t>was replaced</w:t>
      </w:r>
      <w:proofErr w:type="gramEnd"/>
      <w:r w:rsidRPr="00DA3184">
        <w:rPr>
          <w:rFonts w:ascii="Georgia" w:hAnsi="Georgia"/>
          <w:bCs/>
        </w:rPr>
        <w:t xml:space="preserve"> as the dominant economic theory by </w:t>
      </w:r>
      <w:hyperlink r:id="rId22" w:history="1">
        <w:r w:rsidRPr="00DA3184">
          <w:rPr>
            <w:rStyle w:val="Hyperlink"/>
            <w:rFonts w:ascii="Georgia" w:hAnsi="Georgia"/>
            <w:bCs/>
            <w:color w:val="auto"/>
            <w:u w:val="none"/>
          </w:rPr>
          <w:t>monetarism</w:t>
        </w:r>
      </w:hyperlink>
      <w:r w:rsidRPr="00DA3184">
        <w:rPr>
          <w:rFonts w:ascii="Georgia" w:hAnsi="Georgia"/>
          <w:bCs/>
        </w:rPr>
        <w:t>. Concerns raised by the progress of </w:t>
      </w:r>
      <w:hyperlink r:id="rId23" w:history="1">
        <w:r w:rsidRPr="00DA3184">
          <w:rPr>
            <w:rStyle w:val="Hyperlink"/>
            <w:rFonts w:ascii="Georgia" w:hAnsi="Georgia"/>
            <w:bCs/>
            <w:color w:val="auto"/>
            <w:u w:val="none"/>
          </w:rPr>
          <w:t>globalization</w:t>
        </w:r>
      </w:hyperlink>
      <w:r w:rsidRPr="00DA3184">
        <w:rPr>
          <w:rFonts w:ascii="Georgia" w:hAnsi="Georgia"/>
          <w:bCs/>
        </w:rPr>
        <w:t>, however, have raised awareness about the potential costs of unbridled monetarism. In response, economists have re</w:t>
      </w:r>
      <w:r w:rsidRPr="00DA3184">
        <w:rPr>
          <w:rFonts w:ascii="Times New Roman" w:hAnsi="Times New Roman" w:cs="Times New Roman"/>
          <w:bCs/>
        </w:rPr>
        <w:t>‐</w:t>
      </w:r>
      <w:r w:rsidRPr="00DA3184">
        <w:rPr>
          <w:rFonts w:ascii="Georgia" w:hAnsi="Georgia"/>
          <w:bCs/>
        </w:rPr>
        <w:t>shaped Keynes's ideas into neo</w:t>
      </w:r>
      <w:r w:rsidRPr="00DA3184">
        <w:rPr>
          <w:rFonts w:ascii="Times New Roman" w:hAnsi="Times New Roman" w:cs="Times New Roman"/>
          <w:bCs/>
        </w:rPr>
        <w:t>‐</w:t>
      </w:r>
      <w:r w:rsidRPr="00DA3184">
        <w:rPr>
          <w:rFonts w:ascii="Georgia" w:hAnsi="Georgia"/>
          <w:bCs/>
        </w:rPr>
        <w:t>Keynesianism, which developed into a popular economic theory during the 1990s.</w:t>
      </w:r>
    </w:p>
    <w:p w:rsidR="00DC319A" w:rsidRPr="00066E79" w:rsidRDefault="00DC319A" w:rsidP="00DC319A">
      <w:pPr>
        <w:jc w:val="both"/>
        <w:rPr>
          <w:rFonts w:ascii="Georgia" w:hAnsi="Georgia"/>
          <w:bCs/>
        </w:rPr>
      </w:pPr>
      <w:r>
        <w:rPr>
          <w:rFonts w:ascii="Georgia" w:hAnsi="Georgia"/>
          <w:b/>
        </w:rPr>
        <w:t xml:space="preserve">‘Monetarism’ in </w:t>
      </w:r>
      <w:r w:rsidRPr="00DC319A">
        <w:rPr>
          <w:rFonts w:ascii="Georgia" w:hAnsi="Georgia"/>
          <w:b/>
          <w:i/>
        </w:rPr>
        <w:t>A Dictionary of Contemporary World History</w:t>
      </w:r>
      <w:r>
        <w:rPr>
          <w:rFonts w:ascii="Georgia" w:hAnsi="Georgia"/>
          <w:b/>
        </w:rPr>
        <w:t xml:space="preserve"> by </w:t>
      </w:r>
      <w:r w:rsidRPr="00DC319A">
        <w:rPr>
          <w:rFonts w:ascii="Georgia" w:hAnsi="Georgia"/>
          <w:b/>
        </w:rPr>
        <w:t xml:space="preserve">Jan </w:t>
      </w:r>
      <w:proofErr w:type="spellStart"/>
      <w:r w:rsidRPr="00DC319A">
        <w:rPr>
          <w:rFonts w:ascii="Georgia" w:hAnsi="Georgia"/>
          <w:b/>
        </w:rPr>
        <w:t>Palmowski</w:t>
      </w:r>
      <w:proofErr w:type="spellEnd"/>
      <w:r>
        <w:rPr>
          <w:rFonts w:ascii="Georgia" w:hAnsi="Georgia"/>
          <w:b/>
        </w:rPr>
        <w:t xml:space="preserve"> ed. (</w:t>
      </w:r>
      <w:r w:rsidRPr="00577752">
        <w:rPr>
          <w:rFonts w:ascii="Georgia" w:hAnsi="Georgia"/>
          <w:b/>
          <w:bCs/>
        </w:rPr>
        <w:t>Oxford: Oxford University Press</w:t>
      </w:r>
      <w:r>
        <w:rPr>
          <w:rFonts w:ascii="Georgia" w:hAnsi="Georgia"/>
          <w:b/>
          <w:bCs/>
        </w:rPr>
        <w:t>, 200</w:t>
      </w:r>
      <w:r>
        <w:rPr>
          <w:rFonts w:ascii="Georgia" w:hAnsi="Georgia"/>
          <w:b/>
          <w:bCs/>
        </w:rPr>
        <w:t>8</w:t>
      </w:r>
      <w:r w:rsidRPr="00577752">
        <w:rPr>
          <w:rFonts w:ascii="Georgia" w:hAnsi="Georgia"/>
          <w:b/>
          <w:bCs/>
        </w:rPr>
        <w:t>)</w:t>
      </w:r>
      <w:r>
        <w:rPr>
          <w:rFonts w:ascii="Georgia" w:hAnsi="Georgia"/>
          <w:b/>
          <w:bCs/>
        </w:rPr>
        <w:t xml:space="preserve"> </w:t>
      </w:r>
      <w:r>
        <w:rPr>
          <w:rFonts w:ascii="Georgia" w:hAnsi="Georgia"/>
          <w:bCs/>
        </w:rPr>
        <w:t>&lt;</w:t>
      </w:r>
      <w:r w:rsidRPr="00DC319A">
        <w:rPr>
          <w:rFonts w:ascii="Georgia" w:hAnsi="Georgia"/>
          <w:bCs/>
        </w:rPr>
        <w:t>http://www.oxfordreference.com.ezproxy.uwtsd.ac.uk/view/10.1093/acref/9780199295678.001.0001/acref-9780199295678-e-1550</w:t>
      </w:r>
      <w:r>
        <w:rPr>
          <w:rFonts w:ascii="Georgia" w:hAnsi="Georgia"/>
          <w:bCs/>
        </w:rPr>
        <w:t>&gt;</w:t>
      </w:r>
      <w:r w:rsidR="00DA3184">
        <w:rPr>
          <w:rFonts w:ascii="Georgia" w:hAnsi="Georgia"/>
          <w:bCs/>
        </w:rPr>
        <w:t xml:space="preserve"> [accessed 9 January 2019].</w:t>
      </w:r>
    </w:p>
    <w:p w:rsidR="00DC319A" w:rsidRPr="00DC319A" w:rsidRDefault="00DC319A" w:rsidP="00DC319A">
      <w:pPr>
        <w:jc w:val="both"/>
        <w:rPr>
          <w:rFonts w:ascii="Georgia" w:hAnsi="Georgia"/>
        </w:rPr>
      </w:pPr>
      <w:r>
        <w:rPr>
          <w:rFonts w:ascii="Georgia" w:hAnsi="Georgia"/>
        </w:rPr>
        <w:t xml:space="preserve">An </w:t>
      </w:r>
      <w:r w:rsidRPr="00DC319A">
        <w:rPr>
          <w:rFonts w:ascii="Georgia" w:hAnsi="Georgia"/>
        </w:rPr>
        <w:t xml:space="preserve">economic </w:t>
      </w:r>
      <w:proofErr w:type="gramStart"/>
      <w:r w:rsidRPr="00DC319A">
        <w:rPr>
          <w:rFonts w:ascii="Georgia" w:hAnsi="Georgia"/>
        </w:rPr>
        <w:t>theory which</w:t>
      </w:r>
      <w:proofErr w:type="gramEnd"/>
      <w:r w:rsidRPr="00DC319A">
        <w:rPr>
          <w:rFonts w:ascii="Georgia" w:hAnsi="Georgia"/>
        </w:rPr>
        <w:t xml:space="preserve"> is opposed to Keynesian demand management. It holds that increases in the money supply always lead to inflation but never affect the level of employment. Increases in the money supply, for instance through higher welfare payments, might lead to excess demand, but this can only be met by higher prices, for which workers will seek compensation through higher wages. Because the price of labour per unit has increased, employers will not seek to increase output, so that the level of employment remains unaltered even though inflation (and excess demand) has occurred. Monetarism denies, therefore, that the state can interfere in the real workings of the economy in the </w:t>
      </w:r>
      <w:proofErr w:type="gramStart"/>
      <w:r w:rsidRPr="00DC319A">
        <w:rPr>
          <w:rFonts w:ascii="Georgia" w:hAnsi="Georgia"/>
        </w:rPr>
        <w:t>long run</w:t>
      </w:r>
      <w:proofErr w:type="gramEnd"/>
      <w:r w:rsidRPr="00DC319A">
        <w:rPr>
          <w:rFonts w:ascii="Georgia" w:hAnsi="Georgia"/>
        </w:rPr>
        <w:t>.</w:t>
      </w:r>
    </w:p>
    <w:p w:rsidR="00DC319A" w:rsidRPr="00DC319A" w:rsidRDefault="00DC319A" w:rsidP="00DC319A">
      <w:pPr>
        <w:jc w:val="both"/>
        <w:rPr>
          <w:rFonts w:ascii="Georgia" w:hAnsi="Georgia"/>
        </w:rPr>
      </w:pPr>
      <w:r w:rsidRPr="00DC319A">
        <w:rPr>
          <w:rFonts w:ascii="Georgia" w:hAnsi="Georgia"/>
        </w:rPr>
        <w:t>Crucially, monetarism assumes that the market is perfect. Any disequilibrium or economic crisis that occurs is the result of constraints imposed on the market from outside. Social benefits distort the market, for instance, if they raise the price of labour beyond its natural market rate. In a monetarist economy, all the government can do is to hold the money supply constant using the interest rate, and to eliminate market constraints. Then, assuming that all individuals have perfect information, the market will be in perfect equilibrium with no inflation and only a small, ‘natural’ rate of unemployment. By contrast, Keynesians argue that it is precisely because individuals do not always have perfect information about the economic consequences of their actions that distortions in the market occur.</w:t>
      </w:r>
    </w:p>
    <w:p w:rsidR="00066E79" w:rsidRDefault="00DC319A" w:rsidP="00DC319A">
      <w:pPr>
        <w:jc w:val="both"/>
        <w:rPr>
          <w:rFonts w:ascii="Georgia" w:hAnsi="Georgia"/>
        </w:rPr>
      </w:pPr>
      <w:proofErr w:type="gramStart"/>
      <w:r w:rsidRPr="00DC319A">
        <w:rPr>
          <w:rFonts w:ascii="Georgia" w:hAnsi="Georgia"/>
        </w:rPr>
        <w:lastRenderedPageBreak/>
        <w:t>Monetarism was developed by Milton Friedman and his colleagues at the University of Chicago starting in the 1950s</w:t>
      </w:r>
      <w:proofErr w:type="gramEnd"/>
      <w:r w:rsidRPr="00DC319A">
        <w:rPr>
          <w:rFonts w:ascii="Georgia" w:hAnsi="Georgia"/>
        </w:rPr>
        <w:t>. It came to prominence during the 1970s, when Keynesian methods of regulating the economy seemed unable to overcome the unprecedented price and unemployment levels caused by the oil price shocks of 1973 and 1979. Since then, most governments have accepted the control of inflation as a central economic objective, though they have been reluctant to carry out the more radical implications of monetarism such as the dismantling of the welfare state.</w:t>
      </w:r>
    </w:p>
    <w:p w:rsidR="00DA3184" w:rsidRPr="00066E79" w:rsidRDefault="00DA3184" w:rsidP="00DA3184">
      <w:pPr>
        <w:jc w:val="both"/>
        <w:rPr>
          <w:rFonts w:ascii="Georgia" w:hAnsi="Georgia"/>
          <w:bCs/>
        </w:rPr>
      </w:pPr>
      <w:r>
        <w:rPr>
          <w:rFonts w:ascii="Georgia" w:hAnsi="Georgia"/>
          <w:b/>
        </w:rPr>
        <w:t xml:space="preserve">‘Thatcherism’ in </w:t>
      </w:r>
      <w:r>
        <w:rPr>
          <w:rFonts w:ascii="Georgia" w:hAnsi="Georgia"/>
          <w:b/>
        </w:rPr>
        <w:t xml:space="preserve">in </w:t>
      </w:r>
      <w:r w:rsidRPr="00DC319A">
        <w:rPr>
          <w:rFonts w:ascii="Georgia" w:hAnsi="Georgia"/>
          <w:b/>
          <w:i/>
        </w:rPr>
        <w:t>A Dictionary of Contemporary World History</w:t>
      </w:r>
      <w:r>
        <w:rPr>
          <w:rFonts w:ascii="Georgia" w:hAnsi="Georgia"/>
          <w:b/>
        </w:rPr>
        <w:t xml:space="preserve"> by </w:t>
      </w:r>
      <w:r w:rsidRPr="00DC319A">
        <w:rPr>
          <w:rFonts w:ascii="Georgia" w:hAnsi="Georgia"/>
          <w:b/>
        </w:rPr>
        <w:t xml:space="preserve">Jan </w:t>
      </w:r>
      <w:proofErr w:type="spellStart"/>
      <w:r w:rsidRPr="00DC319A">
        <w:rPr>
          <w:rFonts w:ascii="Georgia" w:hAnsi="Georgia"/>
          <w:b/>
        </w:rPr>
        <w:t>Palmowski</w:t>
      </w:r>
      <w:proofErr w:type="spellEnd"/>
      <w:r>
        <w:rPr>
          <w:rFonts w:ascii="Georgia" w:hAnsi="Georgia"/>
          <w:b/>
        </w:rPr>
        <w:t xml:space="preserve"> ed. (</w:t>
      </w:r>
      <w:r w:rsidRPr="00577752">
        <w:rPr>
          <w:rFonts w:ascii="Georgia" w:hAnsi="Georgia"/>
          <w:b/>
          <w:bCs/>
        </w:rPr>
        <w:t>Oxford: Oxford University Press</w:t>
      </w:r>
      <w:r>
        <w:rPr>
          <w:rFonts w:ascii="Georgia" w:hAnsi="Georgia"/>
          <w:b/>
          <w:bCs/>
        </w:rPr>
        <w:t>, 2008</w:t>
      </w:r>
      <w:r w:rsidRPr="00577752">
        <w:rPr>
          <w:rFonts w:ascii="Georgia" w:hAnsi="Georgia"/>
          <w:b/>
          <w:bCs/>
        </w:rPr>
        <w:t>)</w:t>
      </w:r>
      <w:r>
        <w:rPr>
          <w:rFonts w:ascii="Georgia" w:hAnsi="Georgia"/>
          <w:b/>
          <w:bCs/>
        </w:rPr>
        <w:t xml:space="preserve"> </w:t>
      </w:r>
      <w:r>
        <w:rPr>
          <w:rFonts w:ascii="Georgia" w:hAnsi="Georgia"/>
          <w:bCs/>
        </w:rPr>
        <w:t>&lt;</w:t>
      </w:r>
      <w:r w:rsidRPr="00DA3184">
        <w:t xml:space="preserve"> </w:t>
      </w:r>
      <w:r w:rsidRPr="00DA3184">
        <w:rPr>
          <w:rFonts w:ascii="Georgia" w:hAnsi="Georgia"/>
          <w:bCs/>
        </w:rPr>
        <w:t>http://www.oxfordreference.com.ezproxy.uwtsd.ac.uk/view/10.1093/acref/9780199295678.001.0001/acref-9780199295678-e-2309#</w:t>
      </w:r>
      <w:r>
        <w:rPr>
          <w:rFonts w:ascii="Georgia" w:hAnsi="Georgia"/>
          <w:bCs/>
        </w:rPr>
        <w:t>&gt;</w:t>
      </w:r>
      <w:r>
        <w:rPr>
          <w:rFonts w:ascii="Georgia" w:hAnsi="Georgia"/>
          <w:bCs/>
        </w:rPr>
        <w:t xml:space="preserve"> [accessed 9 January 2019].</w:t>
      </w:r>
    </w:p>
    <w:p w:rsidR="00DA3184" w:rsidRPr="00DA3184" w:rsidRDefault="00DA3184" w:rsidP="00DC319A">
      <w:pPr>
        <w:jc w:val="both"/>
        <w:rPr>
          <w:rFonts w:ascii="Georgia" w:hAnsi="Georgia"/>
        </w:rPr>
      </w:pPr>
      <w:r w:rsidRPr="00DA3184">
        <w:rPr>
          <w:rFonts w:ascii="Georgia" w:hAnsi="Georgia"/>
        </w:rPr>
        <w:t>A term describing the ideology of Margaret </w:t>
      </w:r>
      <w:hyperlink r:id="rId24" w:history="1">
        <w:r w:rsidRPr="00DA3184">
          <w:rPr>
            <w:rStyle w:val="Hyperlink"/>
            <w:rFonts w:ascii="Georgia" w:hAnsi="Georgia"/>
            <w:color w:val="auto"/>
            <w:u w:val="none"/>
          </w:rPr>
          <w:t>Thatcher</w:t>
        </w:r>
      </w:hyperlink>
      <w:r w:rsidRPr="00DA3184">
        <w:rPr>
          <w:rFonts w:ascii="Georgia" w:hAnsi="Georgia"/>
        </w:rPr>
        <w:t>, which formed the basis of the British </w:t>
      </w:r>
      <w:hyperlink r:id="rId25" w:history="1">
        <w:r w:rsidRPr="00DA3184">
          <w:rPr>
            <w:rStyle w:val="Hyperlink"/>
            <w:rFonts w:ascii="Georgia" w:hAnsi="Georgia"/>
            <w:color w:val="auto"/>
            <w:u w:val="none"/>
          </w:rPr>
          <w:t>Conservative</w:t>
        </w:r>
      </w:hyperlink>
      <w:r w:rsidRPr="00DA3184">
        <w:rPr>
          <w:rFonts w:ascii="Georgia" w:hAnsi="Georgia"/>
        </w:rPr>
        <w:t> governments under her and </w:t>
      </w:r>
      <w:hyperlink r:id="rId26" w:history="1">
        <w:r w:rsidRPr="00DA3184">
          <w:rPr>
            <w:rStyle w:val="Hyperlink"/>
            <w:rFonts w:ascii="Georgia" w:hAnsi="Georgia"/>
            <w:color w:val="auto"/>
            <w:u w:val="none"/>
          </w:rPr>
          <w:t>Major</w:t>
        </w:r>
      </w:hyperlink>
      <w:r w:rsidRPr="00DA3184">
        <w:rPr>
          <w:rFonts w:ascii="Georgia" w:hAnsi="Georgia"/>
        </w:rPr>
        <w:t xml:space="preserve"> from 1979. It combined a number of features, none of which was innovative in itself. It </w:t>
      </w:r>
      <w:proofErr w:type="gramStart"/>
      <w:r w:rsidRPr="00DA3184">
        <w:rPr>
          <w:rFonts w:ascii="Georgia" w:hAnsi="Georgia"/>
        </w:rPr>
        <w:t>was based</w:t>
      </w:r>
      <w:proofErr w:type="gramEnd"/>
      <w:r w:rsidRPr="00DA3184">
        <w:rPr>
          <w:rFonts w:ascii="Georgia" w:hAnsi="Georgia"/>
        </w:rPr>
        <w:t xml:space="preserve"> on </w:t>
      </w:r>
      <w:hyperlink r:id="rId27" w:history="1">
        <w:r w:rsidRPr="00DA3184">
          <w:rPr>
            <w:rStyle w:val="Hyperlink"/>
            <w:rFonts w:ascii="Georgia" w:hAnsi="Georgia"/>
            <w:color w:val="auto"/>
            <w:u w:val="none"/>
          </w:rPr>
          <w:t>monetarism</w:t>
        </w:r>
      </w:hyperlink>
      <w:r w:rsidRPr="00DA3184">
        <w:rPr>
          <w:rFonts w:ascii="Georgia" w:hAnsi="Georgia"/>
        </w:rPr>
        <w:t> and a belief in reducing the power and actions of the state in economy and society, and promoting the private sector wherever possible. This economic </w:t>
      </w:r>
      <w:hyperlink r:id="rId28" w:history="1">
        <w:r w:rsidRPr="00DA3184">
          <w:rPr>
            <w:rStyle w:val="Hyperlink"/>
            <w:rFonts w:ascii="Georgia" w:hAnsi="Georgia"/>
            <w:color w:val="auto"/>
            <w:u w:val="none"/>
          </w:rPr>
          <w:t>liberalism</w:t>
        </w:r>
      </w:hyperlink>
      <w:r w:rsidRPr="00DA3184">
        <w:rPr>
          <w:rFonts w:ascii="Georgia" w:hAnsi="Georgia"/>
        </w:rPr>
        <w:t xml:space="preserve"> stood in curious contrast to Thatcher's moral conservatism, in which the state </w:t>
      </w:r>
      <w:proofErr w:type="gramStart"/>
      <w:r w:rsidRPr="00DA3184">
        <w:rPr>
          <w:rFonts w:ascii="Georgia" w:hAnsi="Georgia"/>
        </w:rPr>
        <w:t>was accorded</w:t>
      </w:r>
      <w:proofErr w:type="gramEnd"/>
      <w:r w:rsidRPr="00DA3184">
        <w:rPr>
          <w:rFonts w:ascii="Georgia" w:hAnsi="Georgia"/>
        </w:rPr>
        <w:t xml:space="preserve"> a bigger role to uphold what was seen as the moral fabric of society, against the encroachments of liberal permissiveness. It appreciated the European Community as an economic tariff</w:t>
      </w:r>
      <w:r w:rsidRPr="00DA3184">
        <w:rPr>
          <w:rFonts w:ascii="Times New Roman" w:hAnsi="Times New Roman" w:cs="Times New Roman"/>
        </w:rPr>
        <w:t>‐</w:t>
      </w:r>
      <w:r w:rsidRPr="00DA3184">
        <w:rPr>
          <w:rFonts w:ascii="Georgia" w:hAnsi="Georgia"/>
        </w:rPr>
        <w:t>free zone but, with a rhetoric bordering on the xenophobic, fiercely opposed further </w:t>
      </w:r>
      <w:hyperlink r:id="rId29" w:history="1">
        <w:r w:rsidRPr="00DA3184">
          <w:rPr>
            <w:rStyle w:val="Hyperlink"/>
            <w:rFonts w:ascii="Georgia" w:hAnsi="Georgia"/>
            <w:color w:val="auto"/>
            <w:u w:val="none"/>
          </w:rPr>
          <w:t>European</w:t>
        </w:r>
      </w:hyperlink>
      <w:r w:rsidRPr="00DA3184">
        <w:rPr>
          <w:rFonts w:ascii="Georgia" w:hAnsi="Georgia"/>
        </w:rPr>
        <w:t xml:space="preserve"> integration in the cultural and, above all, political sphere. The influence of Thatcherism could be seen in the government of the </w:t>
      </w:r>
      <w:hyperlink r:id="rId30" w:history="1">
        <w:r w:rsidRPr="00DA3184">
          <w:rPr>
            <w:rStyle w:val="Hyperlink"/>
            <w:rFonts w:ascii="Georgia" w:hAnsi="Georgia"/>
            <w:color w:val="auto"/>
            <w:u w:val="none"/>
          </w:rPr>
          <w:t>Labour Party</w:t>
        </w:r>
      </w:hyperlink>
      <w:r w:rsidRPr="00DA3184">
        <w:rPr>
          <w:rFonts w:ascii="Georgia" w:hAnsi="Georgia"/>
        </w:rPr>
        <w:t>, which under Tony </w:t>
      </w:r>
      <w:hyperlink r:id="rId31" w:history="1">
        <w:r w:rsidRPr="00DA3184">
          <w:rPr>
            <w:rStyle w:val="Hyperlink"/>
            <w:rFonts w:ascii="Georgia" w:hAnsi="Georgia"/>
            <w:color w:val="auto"/>
            <w:u w:val="none"/>
          </w:rPr>
          <w:t>Blair</w:t>
        </w:r>
      </w:hyperlink>
      <w:r w:rsidRPr="00DA3184">
        <w:rPr>
          <w:rFonts w:ascii="Georgia" w:hAnsi="Georgia"/>
        </w:rPr>
        <w:t> and Gordon </w:t>
      </w:r>
      <w:hyperlink r:id="rId32" w:history="1">
        <w:r w:rsidRPr="00DA3184">
          <w:rPr>
            <w:rStyle w:val="Hyperlink"/>
            <w:rFonts w:ascii="Georgia" w:hAnsi="Georgia"/>
            <w:color w:val="auto"/>
            <w:u w:val="none"/>
          </w:rPr>
          <w:t>Brown</w:t>
        </w:r>
      </w:hyperlink>
      <w:r w:rsidRPr="00DA3184">
        <w:rPr>
          <w:rFonts w:ascii="Georgia" w:hAnsi="Georgia"/>
        </w:rPr>
        <w:t> accepted her monetarist policies of low inflation and low personal taxation.</w:t>
      </w:r>
    </w:p>
    <w:p w:rsidR="00DA3184" w:rsidRPr="00066E79" w:rsidRDefault="00DA3184" w:rsidP="00DA3184">
      <w:pPr>
        <w:jc w:val="both"/>
        <w:rPr>
          <w:rFonts w:ascii="Georgia" w:hAnsi="Georgia"/>
          <w:bCs/>
        </w:rPr>
      </w:pPr>
      <w:r>
        <w:rPr>
          <w:rFonts w:ascii="Georgia" w:hAnsi="Georgia"/>
          <w:b/>
        </w:rPr>
        <w:t xml:space="preserve">‘Reaganomics’ in </w:t>
      </w:r>
      <w:r w:rsidRPr="00DA3184">
        <w:rPr>
          <w:rFonts w:ascii="Georgia" w:hAnsi="Georgia"/>
          <w:b/>
          <w:i/>
        </w:rPr>
        <w:t>A Dictionary of Economics</w:t>
      </w:r>
      <w:r>
        <w:rPr>
          <w:rFonts w:ascii="Georgia" w:hAnsi="Georgia"/>
          <w:b/>
        </w:rPr>
        <w:t xml:space="preserve"> by </w:t>
      </w:r>
      <w:r w:rsidRPr="00DA3184">
        <w:rPr>
          <w:rFonts w:ascii="Georgia" w:hAnsi="Georgia"/>
          <w:b/>
        </w:rPr>
        <w:t xml:space="preserve">John Black, </w:t>
      </w:r>
      <w:proofErr w:type="spellStart"/>
      <w:r w:rsidRPr="00DA3184">
        <w:rPr>
          <w:rFonts w:ascii="Georgia" w:hAnsi="Georgia"/>
          <w:b/>
        </w:rPr>
        <w:t>Nigar</w:t>
      </w:r>
      <w:proofErr w:type="spellEnd"/>
      <w:r w:rsidRPr="00DA3184">
        <w:rPr>
          <w:rFonts w:ascii="Georgia" w:hAnsi="Georgia"/>
          <w:b/>
        </w:rPr>
        <w:t xml:space="preserve"> </w:t>
      </w:r>
      <w:proofErr w:type="spellStart"/>
      <w:r w:rsidRPr="00DA3184">
        <w:rPr>
          <w:rFonts w:ascii="Georgia" w:hAnsi="Georgia"/>
          <w:b/>
        </w:rPr>
        <w:t>Hashimzade</w:t>
      </w:r>
      <w:proofErr w:type="spellEnd"/>
      <w:r w:rsidRPr="00DA3184">
        <w:rPr>
          <w:rFonts w:ascii="Georgia" w:hAnsi="Georgia"/>
          <w:b/>
        </w:rPr>
        <w:t>, and Gareth Myles</w:t>
      </w:r>
      <w:r>
        <w:rPr>
          <w:rFonts w:ascii="Georgia" w:hAnsi="Georgia"/>
          <w:b/>
        </w:rPr>
        <w:t xml:space="preserve"> eds. </w:t>
      </w:r>
      <w:r>
        <w:rPr>
          <w:rFonts w:ascii="Georgia" w:hAnsi="Georgia"/>
          <w:b/>
        </w:rPr>
        <w:t>(</w:t>
      </w:r>
      <w:r w:rsidRPr="00577752">
        <w:rPr>
          <w:rFonts w:ascii="Georgia" w:hAnsi="Georgia"/>
          <w:b/>
          <w:bCs/>
        </w:rPr>
        <w:t>Oxford: Oxford University Press</w:t>
      </w:r>
      <w:r>
        <w:rPr>
          <w:rFonts w:ascii="Georgia" w:hAnsi="Georgia"/>
          <w:b/>
          <w:bCs/>
        </w:rPr>
        <w:t>, 200</w:t>
      </w:r>
      <w:r>
        <w:rPr>
          <w:rFonts w:ascii="Georgia" w:hAnsi="Georgia"/>
          <w:b/>
          <w:bCs/>
        </w:rPr>
        <w:t>9</w:t>
      </w:r>
      <w:r w:rsidRPr="00577752">
        <w:rPr>
          <w:rFonts w:ascii="Georgia" w:hAnsi="Georgia"/>
          <w:b/>
          <w:bCs/>
        </w:rPr>
        <w:t>)</w:t>
      </w:r>
      <w:r>
        <w:rPr>
          <w:rFonts w:ascii="Georgia" w:hAnsi="Georgia"/>
          <w:b/>
          <w:bCs/>
        </w:rPr>
        <w:t xml:space="preserve"> </w:t>
      </w:r>
      <w:r>
        <w:rPr>
          <w:rFonts w:ascii="Georgia" w:hAnsi="Georgia"/>
          <w:bCs/>
        </w:rPr>
        <w:t>&lt;</w:t>
      </w:r>
      <w:r w:rsidRPr="00DA3184">
        <w:rPr>
          <w:rFonts w:ascii="Georgia" w:hAnsi="Georgia"/>
          <w:bCs/>
          <w:u w:val="single"/>
        </w:rPr>
        <w:t>http://www.oxfordreference.com.ezproxy.uwtsd.ac.uk/view/10.1093/acref/9780199237043.001.0001/acref-9780199237043-e-2590</w:t>
      </w:r>
      <w:r>
        <w:rPr>
          <w:rFonts w:ascii="Georgia" w:hAnsi="Georgia"/>
          <w:bCs/>
        </w:rPr>
        <w:t>&gt; [accessed 9 January 2019].</w:t>
      </w:r>
    </w:p>
    <w:p w:rsidR="00DC319A" w:rsidRPr="00DA3184" w:rsidRDefault="00DA3184" w:rsidP="00DC319A">
      <w:pPr>
        <w:jc w:val="both"/>
        <w:rPr>
          <w:rFonts w:ascii="Georgia" w:hAnsi="Georgia"/>
          <w:bCs/>
        </w:rPr>
      </w:pPr>
      <w:r w:rsidRPr="00DA3184">
        <w:rPr>
          <w:rFonts w:ascii="Georgia" w:hAnsi="Georgia"/>
          <w:bCs/>
        </w:rPr>
        <w:t xml:space="preserve">The policy combination of tight monetary policy to discourage inflation, and lax public finance to encourage real growth. This policy mix </w:t>
      </w:r>
      <w:proofErr w:type="gramStart"/>
      <w:r w:rsidRPr="00DA3184">
        <w:rPr>
          <w:rFonts w:ascii="Georgia" w:hAnsi="Georgia"/>
          <w:bCs/>
        </w:rPr>
        <w:t>is named</w:t>
      </w:r>
      <w:proofErr w:type="gramEnd"/>
      <w:r w:rsidRPr="00DA3184">
        <w:rPr>
          <w:rFonts w:ascii="Georgia" w:hAnsi="Georgia"/>
          <w:bCs/>
        </w:rPr>
        <w:t xml:space="preserve"> in recognition of its use in the United States during the presidency of Ronald Reagan (1911–2004). It led to large deficits in both the US government budget and the US balance of payments on current account.</w:t>
      </w:r>
    </w:p>
    <w:p w:rsidR="00DC319A" w:rsidRPr="00DA3184" w:rsidRDefault="00DC319A" w:rsidP="00DC319A">
      <w:pPr>
        <w:jc w:val="both"/>
      </w:pPr>
    </w:p>
    <w:sectPr w:rsidR="00DC319A" w:rsidRPr="00DA31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52"/>
    <w:rsid w:val="00066E79"/>
    <w:rsid w:val="00082B80"/>
    <w:rsid w:val="00091256"/>
    <w:rsid w:val="00091ECD"/>
    <w:rsid w:val="00141568"/>
    <w:rsid w:val="00181D39"/>
    <w:rsid w:val="001C1CE2"/>
    <w:rsid w:val="001D3350"/>
    <w:rsid w:val="00210C90"/>
    <w:rsid w:val="002938D4"/>
    <w:rsid w:val="002B1799"/>
    <w:rsid w:val="002B3809"/>
    <w:rsid w:val="002D05C6"/>
    <w:rsid w:val="002E4010"/>
    <w:rsid w:val="003151F9"/>
    <w:rsid w:val="00343105"/>
    <w:rsid w:val="00350A62"/>
    <w:rsid w:val="003920F6"/>
    <w:rsid w:val="00402E8E"/>
    <w:rsid w:val="00440610"/>
    <w:rsid w:val="0048059B"/>
    <w:rsid w:val="004A3D9B"/>
    <w:rsid w:val="0057062A"/>
    <w:rsid w:val="00577752"/>
    <w:rsid w:val="005C49A5"/>
    <w:rsid w:val="00625394"/>
    <w:rsid w:val="0067440B"/>
    <w:rsid w:val="00685095"/>
    <w:rsid w:val="006B22DD"/>
    <w:rsid w:val="006F5742"/>
    <w:rsid w:val="007026D7"/>
    <w:rsid w:val="0071478B"/>
    <w:rsid w:val="0075116E"/>
    <w:rsid w:val="007652BA"/>
    <w:rsid w:val="00786043"/>
    <w:rsid w:val="007961B2"/>
    <w:rsid w:val="008D352E"/>
    <w:rsid w:val="008D4FA7"/>
    <w:rsid w:val="009827F6"/>
    <w:rsid w:val="009D33FA"/>
    <w:rsid w:val="009E4C12"/>
    <w:rsid w:val="00A53F56"/>
    <w:rsid w:val="00A75091"/>
    <w:rsid w:val="00A90F08"/>
    <w:rsid w:val="00AC1302"/>
    <w:rsid w:val="00AC4D35"/>
    <w:rsid w:val="00DA3184"/>
    <w:rsid w:val="00DC319A"/>
    <w:rsid w:val="00DD6FBF"/>
    <w:rsid w:val="00E140A3"/>
    <w:rsid w:val="00E64987"/>
    <w:rsid w:val="00F02C65"/>
    <w:rsid w:val="00F54883"/>
    <w:rsid w:val="00F9260F"/>
    <w:rsid w:val="00FB2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CBE9"/>
  <w15:chartTrackingRefBased/>
  <w15:docId w15:val="{C46F3AAD-5472-4628-990D-B527367BA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7752"/>
    <w:rPr>
      <w:color w:val="0563C1" w:themeColor="hyperlink"/>
      <w:u w:val="single"/>
    </w:rPr>
  </w:style>
  <w:style w:type="paragraph" w:styleId="NormalWeb">
    <w:name w:val="Normal (Web)"/>
    <w:basedOn w:val="Normal"/>
    <w:uiPriority w:val="99"/>
    <w:semiHidden/>
    <w:unhideWhenUsed/>
    <w:rsid w:val="00DA318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8309">
      <w:bodyDiv w:val="1"/>
      <w:marLeft w:val="0"/>
      <w:marRight w:val="0"/>
      <w:marTop w:val="0"/>
      <w:marBottom w:val="0"/>
      <w:divBdr>
        <w:top w:val="none" w:sz="0" w:space="0" w:color="auto"/>
        <w:left w:val="none" w:sz="0" w:space="0" w:color="auto"/>
        <w:bottom w:val="none" w:sz="0" w:space="0" w:color="auto"/>
        <w:right w:val="none" w:sz="0" w:space="0" w:color="auto"/>
      </w:divBdr>
      <w:divsChild>
        <w:div w:id="1165439910">
          <w:marLeft w:val="0"/>
          <w:marRight w:val="0"/>
          <w:marTop w:val="225"/>
          <w:marBottom w:val="225"/>
          <w:divBdr>
            <w:top w:val="none" w:sz="0" w:space="0" w:color="auto"/>
            <w:left w:val="none" w:sz="0" w:space="0" w:color="auto"/>
            <w:bottom w:val="none" w:sz="0" w:space="0" w:color="auto"/>
            <w:right w:val="none" w:sz="0" w:space="0" w:color="auto"/>
          </w:divBdr>
        </w:div>
      </w:divsChild>
    </w:div>
    <w:div w:id="28527791">
      <w:bodyDiv w:val="1"/>
      <w:marLeft w:val="0"/>
      <w:marRight w:val="0"/>
      <w:marTop w:val="0"/>
      <w:marBottom w:val="0"/>
      <w:divBdr>
        <w:top w:val="none" w:sz="0" w:space="0" w:color="auto"/>
        <w:left w:val="none" w:sz="0" w:space="0" w:color="auto"/>
        <w:bottom w:val="none" w:sz="0" w:space="0" w:color="auto"/>
        <w:right w:val="none" w:sz="0" w:space="0" w:color="auto"/>
      </w:divBdr>
      <w:divsChild>
        <w:div w:id="1612005474">
          <w:marLeft w:val="0"/>
          <w:marRight w:val="0"/>
          <w:marTop w:val="225"/>
          <w:marBottom w:val="225"/>
          <w:divBdr>
            <w:top w:val="none" w:sz="0" w:space="0" w:color="auto"/>
            <w:left w:val="none" w:sz="0" w:space="0" w:color="auto"/>
            <w:bottom w:val="none" w:sz="0" w:space="0" w:color="auto"/>
            <w:right w:val="none" w:sz="0" w:space="0" w:color="auto"/>
          </w:divBdr>
        </w:div>
        <w:div w:id="838882920">
          <w:marLeft w:val="0"/>
          <w:marRight w:val="0"/>
          <w:marTop w:val="225"/>
          <w:marBottom w:val="225"/>
          <w:divBdr>
            <w:top w:val="none" w:sz="0" w:space="0" w:color="auto"/>
            <w:left w:val="none" w:sz="0" w:space="0" w:color="auto"/>
            <w:bottom w:val="none" w:sz="0" w:space="0" w:color="auto"/>
            <w:right w:val="none" w:sz="0" w:space="0" w:color="auto"/>
          </w:divBdr>
          <w:divsChild>
            <w:div w:id="5951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19713">
      <w:bodyDiv w:val="1"/>
      <w:marLeft w:val="0"/>
      <w:marRight w:val="0"/>
      <w:marTop w:val="0"/>
      <w:marBottom w:val="0"/>
      <w:divBdr>
        <w:top w:val="none" w:sz="0" w:space="0" w:color="auto"/>
        <w:left w:val="none" w:sz="0" w:space="0" w:color="auto"/>
        <w:bottom w:val="none" w:sz="0" w:space="0" w:color="auto"/>
        <w:right w:val="none" w:sz="0" w:space="0" w:color="auto"/>
      </w:divBdr>
    </w:div>
    <w:div w:id="534774770">
      <w:bodyDiv w:val="1"/>
      <w:marLeft w:val="0"/>
      <w:marRight w:val="0"/>
      <w:marTop w:val="0"/>
      <w:marBottom w:val="0"/>
      <w:divBdr>
        <w:top w:val="none" w:sz="0" w:space="0" w:color="auto"/>
        <w:left w:val="none" w:sz="0" w:space="0" w:color="auto"/>
        <w:bottom w:val="none" w:sz="0" w:space="0" w:color="auto"/>
        <w:right w:val="none" w:sz="0" w:space="0" w:color="auto"/>
      </w:divBdr>
    </w:div>
    <w:div w:id="834303266">
      <w:bodyDiv w:val="1"/>
      <w:marLeft w:val="0"/>
      <w:marRight w:val="0"/>
      <w:marTop w:val="0"/>
      <w:marBottom w:val="0"/>
      <w:divBdr>
        <w:top w:val="none" w:sz="0" w:space="0" w:color="auto"/>
        <w:left w:val="none" w:sz="0" w:space="0" w:color="auto"/>
        <w:bottom w:val="none" w:sz="0" w:space="0" w:color="auto"/>
        <w:right w:val="none" w:sz="0" w:space="0" w:color="auto"/>
      </w:divBdr>
    </w:div>
    <w:div w:id="1071318472">
      <w:bodyDiv w:val="1"/>
      <w:marLeft w:val="0"/>
      <w:marRight w:val="0"/>
      <w:marTop w:val="0"/>
      <w:marBottom w:val="0"/>
      <w:divBdr>
        <w:top w:val="none" w:sz="0" w:space="0" w:color="auto"/>
        <w:left w:val="none" w:sz="0" w:space="0" w:color="auto"/>
        <w:bottom w:val="none" w:sz="0" w:space="0" w:color="auto"/>
        <w:right w:val="none" w:sz="0" w:space="0" w:color="auto"/>
      </w:divBdr>
      <w:divsChild>
        <w:div w:id="219290389">
          <w:marLeft w:val="0"/>
          <w:marRight w:val="300"/>
          <w:marTop w:val="0"/>
          <w:marBottom w:val="0"/>
          <w:divBdr>
            <w:top w:val="none" w:sz="0" w:space="0" w:color="auto"/>
            <w:left w:val="none" w:sz="0" w:space="0" w:color="auto"/>
            <w:bottom w:val="none" w:sz="0" w:space="0" w:color="auto"/>
            <w:right w:val="none" w:sz="0" w:space="0" w:color="auto"/>
          </w:divBdr>
          <w:divsChild>
            <w:div w:id="1480658051">
              <w:marLeft w:val="0"/>
              <w:marRight w:val="0"/>
              <w:marTop w:val="0"/>
              <w:marBottom w:val="300"/>
              <w:divBdr>
                <w:top w:val="none" w:sz="0" w:space="0" w:color="auto"/>
                <w:left w:val="none" w:sz="0" w:space="0" w:color="auto"/>
                <w:bottom w:val="none" w:sz="0" w:space="0" w:color="auto"/>
                <w:right w:val="none" w:sz="0" w:space="0" w:color="auto"/>
              </w:divBdr>
            </w:div>
          </w:divsChild>
        </w:div>
        <w:div w:id="1028989275">
          <w:marLeft w:val="0"/>
          <w:marRight w:val="0"/>
          <w:marTop w:val="0"/>
          <w:marBottom w:val="0"/>
          <w:divBdr>
            <w:top w:val="none" w:sz="0" w:space="0" w:color="auto"/>
            <w:left w:val="none" w:sz="0" w:space="0" w:color="auto"/>
            <w:bottom w:val="none" w:sz="0" w:space="0" w:color="auto"/>
            <w:right w:val="none" w:sz="0" w:space="0" w:color="auto"/>
          </w:divBdr>
          <w:divsChild>
            <w:div w:id="214600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312563">
      <w:bodyDiv w:val="1"/>
      <w:marLeft w:val="0"/>
      <w:marRight w:val="0"/>
      <w:marTop w:val="0"/>
      <w:marBottom w:val="0"/>
      <w:divBdr>
        <w:top w:val="none" w:sz="0" w:space="0" w:color="auto"/>
        <w:left w:val="none" w:sz="0" w:space="0" w:color="auto"/>
        <w:bottom w:val="none" w:sz="0" w:space="0" w:color="auto"/>
        <w:right w:val="none" w:sz="0" w:space="0" w:color="auto"/>
      </w:divBdr>
      <w:divsChild>
        <w:div w:id="430249160">
          <w:marLeft w:val="0"/>
          <w:marRight w:val="0"/>
          <w:marTop w:val="225"/>
          <w:marBottom w:val="225"/>
          <w:divBdr>
            <w:top w:val="none" w:sz="0" w:space="0" w:color="auto"/>
            <w:left w:val="none" w:sz="0" w:space="0" w:color="auto"/>
            <w:bottom w:val="none" w:sz="0" w:space="0" w:color="auto"/>
            <w:right w:val="none" w:sz="0" w:space="0" w:color="auto"/>
          </w:divBdr>
        </w:div>
      </w:divsChild>
    </w:div>
    <w:div w:id="1356537121">
      <w:bodyDiv w:val="1"/>
      <w:marLeft w:val="0"/>
      <w:marRight w:val="0"/>
      <w:marTop w:val="0"/>
      <w:marBottom w:val="0"/>
      <w:divBdr>
        <w:top w:val="none" w:sz="0" w:space="0" w:color="auto"/>
        <w:left w:val="none" w:sz="0" w:space="0" w:color="auto"/>
        <w:bottom w:val="none" w:sz="0" w:space="0" w:color="auto"/>
        <w:right w:val="none" w:sz="0" w:space="0" w:color="auto"/>
      </w:divBdr>
    </w:div>
    <w:div w:id="1691293868">
      <w:bodyDiv w:val="1"/>
      <w:marLeft w:val="0"/>
      <w:marRight w:val="0"/>
      <w:marTop w:val="0"/>
      <w:marBottom w:val="0"/>
      <w:divBdr>
        <w:top w:val="none" w:sz="0" w:space="0" w:color="auto"/>
        <w:left w:val="none" w:sz="0" w:space="0" w:color="auto"/>
        <w:bottom w:val="none" w:sz="0" w:space="0" w:color="auto"/>
        <w:right w:val="none" w:sz="0" w:space="0" w:color="auto"/>
      </w:divBdr>
      <w:divsChild>
        <w:div w:id="555580711">
          <w:marLeft w:val="0"/>
          <w:marRight w:val="0"/>
          <w:marTop w:val="225"/>
          <w:marBottom w:val="225"/>
          <w:divBdr>
            <w:top w:val="none" w:sz="0" w:space="0" w:color="auto"/>
            <w:left w:val="none" w:sz="0" w:space="0" w:color="auto"/>
            <w:bottom w:val="none" w:sz="0" w:space="0" w:color="auto"/>
            <w:right w:val="none" w:sz="0" w:space="0" w:color="auto"/>
          </w:divBdr>
        </w:div>
      </w:divsChild>
    </w:div>
    <w:div w:id="1788546717">
      <w:bodyDiv w:val="1"/>
      <w:marLeft w:val="0"/>
      <w:marRight w:val="0"/>
      <w:marTop w:val="0"/>
      <w:marBottom w:val="0"/>
      <w:divBdr>
        <w:top w:val="none" w:sz="0" w:space="0" w:color="auto"/>
        <w:left w:val="none" w:sz="0" w:space="0" w:color="auto"/>
        <w:bottom w:val="none" w:sz="0" w:space="0" w:color="auto"/>
        <w:right w:val="none" w:sz="0" w:space="0" w:color="auto"/>
      </w:divBdr>
      <w:divsChild>
        <w:div w:id="1659459948">
          <w:marLeft w:val="0"/>
          <w:marRight w:val="300"/>
          <w:marTop w:val="0"/>
          <w:marBottom w:val="0"/>
          <w:divBdr>
            <w:top w:val="none" w:sz="0" w:space="0" w:color="auto"/>
            <w:left w:val="none" w:sz="0" w:space="0" w:color="auto"/>
            <w:bottom w:val="none" w:sz="0" w:space="0" w:color="auto"/>
            <w:right w:val="none" w:sz="0" w:space="0" w:color="auto"/>
          </w:divBdr>
          <w:divsChild>
            <w:div w:id="179857501">
              <w:marLeft w:val="0"/>
              <w:marRight w:val="0"/>
              <w:marTop w:val="0"/>
              <w:marBottom w:val="300"/>
              <w:divBdr>
                <w:top w:val="none" w:sz="0" w:space="0" w:color="auto"/>
                <w:left w:val="none" w:sz="0" w:space="0" w:color="auto"/>
                <w:bottom w:val="none" w:sz="0" w:space="0" w:color="auto"/>
                <w:right w:val="none" w:sz="0" w:space="0" w:color="auto"/>
              </w:divBdr>
            </w:div>
          </w:divsChild>
        </w:div>
        <w:div w:id="529610698">
          <w:marLeft w:val="0"/>
          <w:marRight w:val="0"/>
          <w:marTop w:val="0"/>
          <w:marBottom w:val="0"/>
          <w:divBdr>
            <w:top w:val="none" w:sz="0" w:space="0" w:color="auto"/>
            <w:left w:val="none" w:sz="0" w:space="0" w:color="auto"/>
            <w:bottom w:val="none" w:sz="0" w:space="0" w:color="auto"/>
            <w:right w:val="none" w:sz="0" w:space="0" w:color="auto"/>
          </w:divBdr>
          <w:divsChild>
            <w:div w:id="795104692">
              <w:marLeft w:val="0"/>
              <w:marRight w:val="0"/>
              <w:marTop w:val="0"/>
              <w:marBottom w:val="0"/>
              <w:divBdr>
                <w:top w:val="none" w:sz="0" w:space="0" w:color="auto"/>
                <w:left w:val="none" w:sz="0" w:space="0" w:color="auto"/>
                <w:bottom w:val="none" w:sz="0" w:space="0" w:color="auto"/>
                <w:right w:val="none" w:sz="0" w:space="0" w:color="auto"/>
              </w:divBdr>
            </w:div>
            <w:div w:id="197671511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96118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reference.com.ezproxy.uwtsd.ac.uk/view/10.1093/acref/9780199533008.001.0001/acref-9780199533008-e-2179" TargetMode="External"/><Relationship Id="rId13" Type="http://schemas.openxmlformats.org/officeDocument/2006/relationships/hyperlink" Target="http://www.oxfordreference.com.ezproxy.uwtsd.ac.uk/view/10.1093/acref/9780199295678.001.0001/acref-9780199295678-e-1980" TargetMode="External"/><Relationship Id="rId18" Type="http://schemas.openxmlformats.org/officeDocument/2006/relationships/hyperlink" Target="http://www.oxfordreference.com.ezproxy.uwtsd.ac.uk/view/10.1093/acref/9780199295678.001.0001/acref-9780199295678-e-321" TargetMode="External"/><Relationship Id="rId26" Type="http://schemas.openxmlformats.org/officeDocument/2006/relationships/hyperlink" Target="http://www.oxfordreference.com.ezproxy.uwtsd.ac.uk/view/10.1093/acref/9780199295678.001.0001/acref-9780199295678-e-2616" TargetMode="External"/><Relationship Id="rId3" Type="http://schemas.openxmlformats.org/officeDocument/2006/relationships/webSettings" Target="webSettings.xml"/><Relationship Id="rId21" Type="http://schemas.openxmlformats.org/officeDocument/2006/relationships/hyperlink" Target="http://www.oxfordreference.com.ezproxy.uwtsd.ac.uk/view/10.1093/acref/9780199295678.001.0001/acref-9780199295678-e-1245" TargetMode="External"/><Relationship Id="rId34" Type="http://schemas.openxmlformats.org/officeDocument/2006/relationships/theme" Target="theme/theme1.xml"/><Relationship Id="rId7" Type="http://schemas.openxmlformats.org/officeDocument/2006/relationships/hyperlink" Target="http://www.oxfordreference.com.ezproxy.uwtsd.ac.uk/view/10.1093/acref/9780199533008.001.0001/acref-9780199533008-e-321" TargetMode="External"/><Relationship Id="rId12" Type="http://schemas.openxmlformats.org/officeDocument/2006/relationships/hyperlink" Target="http://www.oxfordreference.com.ezproxy.uwtsd.ac.uk/view/10.1093/acref/9780199295678.001.0001/acref-9780199295678-e-1804" TargetMode="External"/><Relationship Id="rId17" Type="http://schemas.openxmlformats.org/officeDocument/2006/relationships/hyperlink" Target="http://www.oxfordreference.com.ezproxy.uwtsd.ac.uk/view/10.1093/acref/9780199295678.001.0001/acref-9780199295678-e-245" TargetMode="External"/><Relationship Id="rId25" Type="http://schemas.openxmlformats.org/officeDocument/2006/relationships/hyperlink" Target="http://www.oxfordreference.com.ezproxy.uwtsd.ac.uk/view/10.1093/acref/9780199295678.001.0001/acref-9780199295678-e-548"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oxfordreference.com.ezproxy.uwtsd.ac.uk/view/10.1093/acref/9780199295678.001.0001/acref-9780199295678-e-1246" TargetMode="External"/><Relationship Id="rId20" Type="http://schemas.openxmlformats.org/officeDocument/2006/relationships/hyperlink" Target="http://www.oxfordreference.com.ezproxy.uwtsd.ac.uk/view/10.1093/acref/9780199295678.001.0001/acref-9780199295678-e-2513" TargetMode="External"/><Relationship Id="rId29" Type="http://schemas.openxmlformats.org/officeDocument/2006/relationships/hyperlink" Target="http://www.oxfordreference.com.ezproxy.uwtsd.ac.uk/view/10.1093/acref/9780199295678.001.0001/acref-9780199295678-e-769" TargetMode="External"/><Relationship Id="rId1" Type="http://schemas.openxmlformats.org/officeDocument/2006/relationships/styles" Target="styles.xml"/><Relationship Id="rId6" Type="http://schemas.openxmlformats.org/officeDocument/2006/relationships/hyperlink" Target="http://www.oxfordreference.com.ezproxy.uwtsd.ac.uk/view/10.1093/acref/9780199533008.001.0001/acref-9780199533008-e-1262" TargetMode="External"/><Relationship Id="rId11" Type="http://schemas.openxmlformats.org/officeDocument/2006/relationships/hyperlink" Target="http://www.oxfordreference.com.ezproxy.uwtsd.ac.uk/view/10.1093/acref/9780192800916.001.0001/acref-9780192800916-e-1188" TargetMode="External"/><Relationship Id="rId24" Type="http://schemas.openxmlformats.org/officeDocument/2006/relationships/hyperlink" Target="http://www.oxfordreference.com.ezproxy.uwtsd.ac.uk/view/10.1093/acref/9780199295678.001.0001/acref-9780199295678-e-2308" TargetMode="External"/><Relationship Id="rId32" Type="http://schemas.openxmlformats.org/officeDocument/2006/relationships/hyperlink" Target="http://www.oxfordreference.com.ezproxy.uwtsd.ac.uk/view/10.1093/acref/9780199295678.001.0001/acref-9780199295678-e-335" TargetMode="External"/><Relationship Id="rId5" Type="http://schemas.openxmlformats.org/officeDocument/2006/relationships/hyperlink" Target="http://www.oxfordreference.com.ezproxy.uwtsd.ac.uk/view/10.1093/acref/9780199533008.001.0001/acref-9780199533008-e-984" TargetMode="External"/><Relationship Id="rId15" Type="http://schemas.openxmlformats.org/officeDocument/2006/relationships/hyperlink" Target="http://www.oxfordreference.com.ezproxy.uwtsd.ac.uk/view/10.1093/acref/9780199295678.001.0001/acref-9780199295678-e-932" TargetMode="External"/><Relationship Id="rId23" Type="http://schemas.openxmlformats.org/officeDocument/2006/relationships/hyperlink" Target="http://www.oxfordreference.com.ezproxy.uwtsd.ac.uk/view/10.1093/acref/9780199295678.001.0001/acref-9780199295678-e-926" TargetMode="External"/><Relationship Id="rId28" Type="http://schemas.openxmlformats.org/officeDocument/2006/relationships/hyperlink" Target="http://www.oxfordreference.com.ezproxy.uwtsd.ac.uk/view/10.1093/acref/9780199295678.001.0001/acref-9780199295678-e-1374" TargetMode="External"/><Relationship Id="rId10" Type="http://schemas.openxmlformats.org/officeDocument/2006/relationships/hyperlink" Target="http://www.oxfordreference.com.ezproxy.uwtsd.ac.uk/view/10.1093/acref/9780192800916.001.0001/acref-9780192800916-e-617?rskey=11zPqA&amp;result=7" TargetMode="External"/><Relationship Id="rId19" Type="http://schemas.openxmlformats.org/officeDocument/2006/relationships/hyperlink" Target="http://www.oxfordreference.com.ezproxy.uwtsd.ac.uk/view/10.1093/acref/9780199295678.001.0001/acref-9780199295678-e-1130" TargetMode="External"/><Relationship Id="rId31" Type="http://schemas.openxmlformats.org/officeDocument/2006/relationships/hyperlink" Target="http://www.oxfordreference.com.ezproxy.uwtsd.ac.uk/view/10.1093/acref/9780199295678.001.0001/acref-9780199295678-e-274" TargetMode="External"/><Relationship Id="rId4" Type="http://schemas.openxmlformats.org/officeDocument/2006/relationships/hyperlink" Target="http://www.oxfordreference.com.ezproxy.uwtsd.ac.uk/view/10.1093/acref/9780199683581.001.0001/acref-9780199683581-e-1473?rskey=lHAHB0&amp;result=1" TargetMode="External"/><Relationship Id="rId9" Type="http://schemas.openxmlformats.org/officeDocument/2006/relationships/hyperlink" Target="http://www.oxfordreference.com.ezproxy.uwtsd.ac.uk/view/10.1093/acref/9780199533008.001.0001/acref-9780199533008-e-1752" TargetMode="External"/><Relationship Id="rId14" Type="http://schemas.openxmlformats.org/officeDocument/2006/relationships/hyperlink" Target="http://www.oxfordreference.com.ezproxy.uwtsd.ac.uk/view/10.1093/acref/9780199295678.001.0001/acref-9780199295678-e-480" TargetMode="External"/><Relationship Id="rId22" Type="http://schemas.openxmlformats.org/officeDocument/2006/relationships/hyperlink" Target="http://www.oxfordreference.com.ezproxy.uwtsd.ac.uk/view/10.1093/acref/9780199295678.001.0001/acref-9780199295678-e-1550" TargetMode="External"/><Relationship Id="rId27" Type="http://schemas.openxmlformats.org/officeDocument/2006/relationships/hyperlink" Target="http://www.oxfordreference.com.ezproxy.uwtsd.ac.uk/view/10.1093/acref/9780199295678.001.0001/acref-9780199295678-e-1550" TargetMode="External"/><Relationship Id="rId30" Type="http://schemas.openxmlformats.org/officeDocument/2006/relationships/hyperlink" Target="http://www.oxfordreference.com.ezproxy.uwtsd.ac.uk/view/10.1093/acref/9780199295678.001.0001/acref-9780199295678-e-13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3156</Words>
  <Characters>17995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3</cp:revision>
  <dcterms:created xsi:type="dcterms:W3CDTF">2019-01-09T15:03:00Z</dcterms:created>
  <dcterms:modified xsi:type="dcterms:W3CDTF">2019-01-09T17:57:00Z</dcterms:modified>
</cp:coreProperties>
</file>