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2816BF" wp14:paraId="51143A36" wp14:textId="1CADA11B">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2C2816BF" wp14:paraId="5488B257" wp14:textId="6122A23A">
      <w:pPr>
        <w:spacing w:before="0" w:beforeAutospacing="off" w:after="0" w:afterAutospacing="off" w:line="276" w:lineRule="auto"/>
        <w:rPr>
          <w:rFonts w:ascii="Aptos" w:hAnsi="Aptos" w:eastAsia="Aptos" w:cs="Aptos"/>
          <w:noProof w:val="0"/>
          <w:sz w:val="20"/>
          <w:szCs w:val="20"/>
          <w:lang w:val="en-GB"/>
        </w:rPr>
      </w:pPr>
      <w:r w:rsidRPr="2C2816BF" w:rsidR="589B9CE2">
        <w:rPr>
          <w:rFonts w:ascii="Aptos" w:hAnsi="Aptos" w:eastAsia="Aptos" w:cs="Aptos"/>
          <w:noProof w:val="0"/>
          <w:sz w:val="20"/>
          <w:szCs w:val="20"/>
          <w:lang w:val="en-GB"/>
        </w:rPr>
        <w:t xml:space="preserve">                                                                             The Problems with Diagnoses</w:t>
      </w:r>
    </w:p>
    <w:p xmlns:wp14="http://schemas.microsoft.com/office/word/2010/wordml" w:rsidP="2C2816BF" wp14:paraId="2E4F744D" wp14:textId="14461696">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2C2816BF" wp14:paraId="69BB6B4D" wp14:textId="219731EB">
      <w:pPr>
        <w:pStyle w:val="Normal"/>
        <w:spacing w:before="0" w:beforeAutospacing="off" w:after="0" w:afterAutospacing="off" w:line="276" w:lineRule="auto"/>
        <w:rPr>
          <w:rFonts w:ascii="Aptos" w:hAnsi="Aptos" w:eastAsia="Aptos" w:cs="Aptos"/>
          <w:noProof w:val="0"/>
          <w:sz w:val="20"/>
          <w:szCs w:val="20"/>
          <w:lang w:val="en-GB"/>
        </w:rPr>
      </w:pPr>
      <w:r w:rsidRPr="2C2816BF" w:rsidR="3FEFB189">
        <w:rPr>
          <w:rFonts w:ascii="Aptos" w:hAnsi="Aptos" w:eastAsia="Aptos" w:cs="Aptos"/>
          <w:noProof w:val="0"/>
          <w:sz w:val="20"/>
          <w:szCs w:val="20"/>
          <w:lang w:val="en-GB"/>
        </w:rPr>
        <w:t>Introduction</w:t>
      </w:r>
    </w:p>
    <w:p w:rsidR="2C2816BF" w:rsidP="2C2816BF" w:rsidRDefault="2C2816BF" w14:paraId="541CC2A3" w14:textId="4BB7F88A">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2C2816BF" wp14:paraId="794786F8" wp14:textId="4CCD698B">
      <w:pPr>
        <w:pStyle w:val="Normal"/>
        <w:spacing w:before="0" w:beforeAutospacing="off" w:after="0" w:afterAutospacing="off" w:line="276" w:lineRule="auto"/>
        <w:rPr>
          <w:rFonts w:ascii="Aptos" w:hAnsi="Aptos" w:eastAsia="Aptos" w:cs="Aptos"/>
          <w:noProof w:val="0"/>
          <w:sz w:val="20"/>
          <w:szCs w:val="20"/>
          <w:lang w:val="en-GB"/>
        </w:rPr>
      </w:pPr>
      <w:r w:rsidRPr="2C2816BF" w:rsidR="3FEFB189">
        <w:rPr>
          <w:rFonts w:ascii="Aptos" w:hAnsi="Aptos" w:eastAsia="Aptos" w:cs="Aptos"/>
          <w:noProof w:val="0"/>
          <w:sz w:val="20"/>
          <w:szCs w:val="20"/>
          <w:lang w:val="en-GB"/>
        </w:rPr>
        <w:t xml:space="preserve">Hamstring strains and tears are a </w:t>
      </w:r>
      <w:r w:rsidRPr="2C2816BF" w:rsidR="2290887C">
        <w:rPr>
          <w:rFonts w:ascii="Aptos" w:hAnsi="Aptos" w:eastAsia="Aptos" w:cs="Aptos"/>
          <w:noProof w:val="0"/>
          <w:sz w:val="20"/>
          <w:szCs w:val="20"/>
          <w:lang w:val="en-GB"/>
        </w:rPr>
        <w:t>common</w:t>
      </w:r>
      <w:r w:rsidRPr="2C2816BF" w:rsidR="3FEFB189">
        <w:rPr>
          <w:rFonts w:ascii="Aptos" w:hAnsi="Aptos" w:eastAsia="Aptos" w:cs="Aptos"/>
          <w:noProof w:val="0"/>
          <w:sz w:val="20"/>
          <w:szCs w:val="20"/>
          <w:lang w:val="en-GB"/>
        </w:rPr>
        <w:t xml:space="preserve"> injury within the sports and exercise environment. The hamstring is a group of three major muscles</w:t>
      </w:r>
      <w:r w:rsidRPr="2C2816BF" w:rsidR="57727EFD">
        <w:rPr>
          <w:rFonts w:ascii="Aptos" w:hAnsi="Aptos" w:eastAsia="Aptos" w:cs="Aptos"/>
          <w:noProof w:val="0"/>
          <w:sz w:val="20"/>
          <w:szCs w:val="20"/>
          <w:lang w:val="en-GB"/>
        </w:rPr>
        <w:t xml:space="preserve"> </w:t>
      </w:r>
      <w:r w:rsidRPr="2C2816BF" w:rsidR="57727EFD">
        <w:rPr>
          <w:rFonts w:ascii="Aptos" w:hAnsi="Aptos" w:eastAsia="Aptos" w:cs="Aptos"/>
          <w:noProof w:val="0"/>
          <w:sz w:val="20"/>
          <w:szCs w:val="20"/>
          <w:lang w:val="en-GB"/>
        </w:rPr>
        <w:t>located</w:t>
      </w:r>
      <w:r w:rsidRPr="2C2816BF" w:rsidR="3FEFB189">
        <w:rPr>
          <w:rFonts w:ascii="Aptos" w:hAnsi="Aptos" w:eastAsia="Aptos" w:cs="Aptos"/>
          <w:noProof w:val="0"/>
          <w:sz w:val="20"/>
          <w:szCs w:val="20"/>
          <w:lang w:val="en-GB"/>
        </w:rPr>
        <w:t xml:space="preserve"> at the back of the thigh, consisting of the semitendinosus, the semimembranosus, and biceps femoris. The bicep femoris is the most injured and accounts for 57%-87% of all hamstring strains states Kayani et al., 2020. However, a strain can be made up of a multitude of the muscles or a singular one on its own. The bicep femoris consists of two heads, the first being the short head which is innervated by the common peroneal </w:t>
      </w:r>
      <w:r w:rsidRPr="2C2816BF" w:rsidR="3FEFB189">
        <w:rPr>
          <w:rFonts w:ascii="Aptos" w:hAnsi="Aptos" w:eastAsia="Aptos" w:cs="Aptos"/>
          <w:noProof w:val="0"/>
          <w:sz w:val="20"/>
          <w:szCs w:val="20"/>
          <w:lang w:val="en-GB"/>
        </w:rPr>
        <w:t>portion</w:t>
      </w:r>
      <w:r w:rsidRPr="2C2816BF" w:rsidR="3FEFB189">
        <w:rPr>
          <w:rFonts w:ascii="Aptos" w:hAnsi="Aptos" w:eastAsia="Aptos" w:cs="Aptos"/>
          <w:noProof w:val="0"/>
          <w:sz w:val="20"/>
          <w:szCs w:val="20"/>
          <w:lang w:val="en-GB"/>
        </w:rPr>
        <w:t xml:space="preserve"> (Brunker and Khan’s, 2007). Secondly, the bicep femoris consists of the long head which is innervated by the tibial </w:t>
      </w:r>
      <w:r w:rsidRPr="2C2816BF" w:rsidR="3FEFB189">
        <w:rPr>
          <w:rFonts w:ascii="Aptos" w:hAnsi="Aptos" w:eastAsia="Aptos" w:cs="Aptos"/>
          <w:noProof w:val="0"/>
          <w:sz w:val="20"/>
          <w:szCs w:val="20"/>
          <w:lang w:val="en-GB"/>
        </w:rPr>
        <w:t>portion</w:t>
      </w:r>
      <w:r w:rsidRPr="2C2816BF" w:rsidR="3FEFB189">
        <w:rPr>
          <w:rFonts w:ascii="Aptos" w:hAnsi="Aptos" w:eastAsia="Aptos" w:cs="Aptos"/>
          <w:noProof w:val="0"/>
          <w:sz w:val="20"/>
          <w:szCs w:val="20"/>
          <w:lang w:val="en-GB"/>
        </w:rPr>
        <w:t xml:space="preserve"> of the sciatic nerve (Moore, F and AMR Agur, 2014). The hamstring muscles originate from the ischial tuberosity and run underneath the knee (Bunker and Khan, 2007). THORBORG et al., clarifies that the semitendinosus and semimembranosus insert onto the medial side of the tibia; whilst the bicep femoris inserts onto the head of the fibula which is found on the lateral side of the knee. Hamstrings play a crucial responsibility in the extension and flexion of the knee and hip, respectively (Standring, 2020). Amongst professional athletes, acute hamstring strains contribute to 15% of all injuries within AFL (Australian Rules Football) and similarly contributing to 12% of all injuries within British football (Orchard and Seward, 2002; Orchard, Best and Verrall, 2005). The range of return to play typically being anywhere within 8-25 days after injury (Brunker and Khan’s, p594). However, approximately one third of all hamstring injuries and strains reoccur, the likelihood of injury is typically seen within the first two weeks of an athlete returning to their sport.</w:t>
      </w:r>
    </w:p>
    <w:p xmlns:wp14="http://schemas.microsoft.com/office/word/2010/wordml" w:rsidP="6AA74701" wp14:paraId="7B5FF611" wp14:textId="2EEF2CD0">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2299EC7B" wp14:textId="45A93E05">
      <w:pPr>
        <w:spacing w:before="0" w:beforeAutospacing="off" w:after="0" w:afterAutospacing="off" w:line="276" w:lineRule="auto"/>
        <w:rPr>
          <w:rFonts w:ascii="Aptos" w:hAnsi="Aptos" w:eastAsia="Aptos" w:cs="Aptos"/>
          <w:noProof w:val="0"/>
          <w:sz w:val="20"/>
          <w:szCs w:val="20"/>
          <w:lang w:val="en-GB"/>
        </w:rPr>
      </w:pPr>
      <w:r w:rsidRPr="6AA74701" w:rsidR="77A1080A">
        <w:rPr>
          <w:rFonts w:ascii="Aptos" w:hAnsi="Aptos" w:eastAsia="Aptos" w:cs="Aptos"/>
          <w:noProof w:val="0"/>
          <w:sz w:val="20"/>
          <w:szCs w:val="20"/>
          <w:lang w:val="en-GB"/>
        </w:rPr>
        <w:t>Mechanism of injury</w:t>
      </w:r>
    </w:p>
    <w:p xmlns:wp14="http://schemas.microsoft.com/office/word/2010/wordml" w:rsidP="6AA74701" wp14:paraId="1EEF960A" wp14:textId="71AC1728">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6B3D7855" wp14:textId="18F6F58D">
      <w:pPr>
        <w:pStyle w:val="Normal"/>
        <w:spacing w:before="0" w:beforeAutospacing="off" w:after="0" w:afterAutospacing="off" w:line="276" w:lineRule="auto"/>
        <w:rPr>
          <w:rFonts w:ascii="Aptos" w:hAnsi="Aptos" w:eastAsia="Aptos" w:cs="Aptos"/>
          <w:noProof w:val="0"/>
          <w:sz w:val="20"/>
          <w:szCs w:val="20"/>
          <w:lang w:val="en-GB"/>
        </w:rPr>
      </w:pPr>
      <w:r w:rsidRPr="6AA74701" w:rsidR="77A1080A">
        <w:rPr>
          <w:rFonts w:ascii="Aptos" w:hAnsi="Aptos" w:eastAsia="Aptos" w:cs="Aptos"/>
          <w:noProof w:val="0"/>
          <w:sz w:val="20"/>
          <w:szCs w:val="20"/>
          <w:lang w:val="en-GB"/>
        </w:rPr>
        <w:t xml:space="preserve">Hamstring strains commonly occur in athletes during activities such as sprinting or during sudden acceleration or deceleration. This is due to there being force through the muscle whilst it is at </w:t>
      </w:r>
      <w:r w:rsidRPr="6AA74701" w:rsidR="77A1080A">
        <w:rPr>
          <w:rFonts w:ascii="Aptos" w:hAnsi="Aptos" w:eastAsia="Aptos" w:cs="Aptos"/>
          <w:noProof w:val="0"/>
          <w:sz w:val="20"/>
          <w:szCs w:val="20"/>
          <w:lang w:val="en-GB"/>
        </w:rPr>
        <w:t>it</w:t>
      </w:r>
      <w:r w:rsidRPr="6AA74701" w:rsidR="2C88E8E8">
        <w:rPr>
          <w:rFonts w:ascii="Aptos" w:hAnsi="Aptos" w:eastAsia="Aptos" w:cs="Aptos"/>
          <w:noProof w:val="0"/>
          <w:sz w:val="20"/>
          <w:szCs w:val="20"/>
          <w:lang w:val="en-GB"/>
        </w:rPr>
        <w:t>’</w:t>
      </w:r>
      <w:r w:rsidRPr="6AA74701" w:rsidR="77A1080A">
        <w:rPr>
          <w:rFonts w:ascii="Aptos" w:hAnsi="Aptos" w:eastAsia="Aptos" w:cs="Aptos"/>
          <w:noProof w:val="0"/>
          <w:sz w:val="20"/>
          <w:szCs w:val="20"/>
          <w:lang w:val="en-GB"/>
        </w:rPr>
        <w:t>s</w:t>
      </w:r>
      <w:r w:rsidRPr="6AA74701" w:rsidR="77A1080A">
        <w:rPr>
          <w:rFonts w:ascii="Aptos" w:hAnsi="Aptos" w:eastAsia="Aptos" w:cs="Aptos"/>
          <w:noProof w:val="0"/>
          <w:sz w:val="20"/>
          <w:szCs w:val="20"/>
          <w:lang w:val="en-GB"/>
        </w:rPr>
        <w:t xml:space="preserve"> lengthened phase during either contraction or eccentric contraction where it results in a strain (</w:t>
      </w:r>
      <w:r w:rsidRPr="6AA74701" w:rsidR="77A1080A">
        <w:rPr>
          <w:rFonts w:ascii="Aptos" w:hAnsi="Aptos" w:eastAsia="Aptos" w:cs="Aptos"/>
          <w:noProof w:val="0"/>
          <w:sz w:val="20"/>
          <w:szCs w:val="20"/>
          <w:lang w:val="en-GB"/>
        </w:rPr>
        <w:t>Opar</w:t>
      </w:r>
      <w:r w:rsidRPr="6AA74701" w:rsidR="77A1080A">
        <w:rPr>
          <w:rFonts w:ascii="Aptos" w:hAnsi="Aptos" w:eastAsia="Aptos" w:cs="Aptos"/>
          <w:noProof w:val="0"/>
          <w:sz w:val="20"/>
          <w:szCs w:val="20"/>
          <w:lang w:val="en-GB"/>
        </w:rPr>
        <w:t xml:space="preserve">, Williams and Sheild., 2012). A study by Askling, </w:t>
      </w:r>
      <w:r w:rsidRPr="6AA74701" w:rsidR="77A1080A">
        <w:rPr>
          <w:rFonts w:ascii="Aptos" w:hAnsi="Aptos" w:eastAsia="Aptos" w:cs="Aptos"/>
          <w:noProof w:val="0"/>
          <w:sz w:val="20"/>
          <w:szCs w:val="20"/>
          <w:lang w:val="en-GB"/>
        </w:rPr>
        <w:t>Tengvar</w:t>
      </w:r>
      <w:r w:rsidRPr="6AA74701" w:rsidR="77A1080A">
        <w:rPr>
          <w:rFonts w:ascii="Aptos" w:hAnsi="Aptos" w:eastAsia="Aptos" w:cs="Aptos"/>
          <w:noProof w:val="0"/>
          <w:sz w:val="20"/>
          <w:szCs w:val="20"/>
          <w:lang w:val="en-GB"/>
        </w:rPr>
        <w:t xml:space="preserve"> and Thorstensson (2013) presented 75 Swedish footballers, of which 45 had sustained hamstring strains. The hamstring strains sustained were synonymous with those that occur during </w:t>
      </w:r>
      <w:r w:rsidRPr="6AA74701" w:rsidR="743BF2F6">
        <w:rPr>
          <w:rFonts w:ascii="Aptos" w:hAnsi="Aptos" w:eastAsia="Aptos" w:cs="Aptos"/>
          <w:noProof w:val="0"/>
          <w:sz w:val="20"/>
          <w:szCs w:val="20"/>
          <w:lang w:val="en-GB"/>
        </w:rPr>
        <w:t>high intensity</w:t>
      </w:r>
      <w:r w:rsidRPr="6AA74701" w:rsidR="77A1080A">
        <w:rPr>
          <w:rFonts w:ascii="Aptos" w:hAnsi="Aptos" w:eastAsia="Aptos" w:cs="Aptos"/>
          <w:noProof w:val="0"/>
          <w:sz w:val="20"/>
          <w:szCs w:val="20"/>
          <w:lang w:val="en-GB"/>
        </w:rPr>
        <w:t xml:space="preserve"> running through sprinting, acceleration or also similarly seen in stretching type injuries where there is </w:t>
      </w:r>
      <w:r w:rsidRPr="6AA74701" w:rsidR="77A1080A">
        <w:rPr>
          <w:rFonts w:ascii="Aptos" w:hAnsi="Aptos" w:eastAsia="Aptos" w:cs="Aptos"/>
          <w:noProof w:val="0"/>
          <w:sz w:val="20"/>
          <w:szCs w:val="20"/>
          <w:lang w:val="en-GB"/>
        </w:rPr>
        <w:t>a large range</w:t>
      </w:r>
      <w:r w:rsidRPr="6AA74701" w:rsidR="77A1080A">
        <w:rPr>
          <w:rFonts w:ascii="Aptos" w:hAnsi="Aptos" w:eastAsia="Aptos" w:cs="Aptos"/>
          <w:noProof w:val="0"/>
          <w:sz w:val="20"/>
          <w:szCs w:val="20"/>
          <w:lang w:val="en-GB"/>
        </w:rPr>
        <w:t xml:space="preserve"> of movement at the joint, commonly seen in kicking or split positions. Hamstring strains may also occur due to insufficient warmups prior to activity, muscular imbalances in athletes, fatigue and over training</w:t>
      </w:r>
      <w:r w:rsidRPr="6AA74701" w:rsidR="77A1080A">
        <w:rPr>
          <w:rFonts w:ascii="Aptos" w:hAnsi="Aptos" w:eastAsia="Aptos" w:cs="Aptos"/>
          <w:noProof w:val="0"/>
          <w:color w:val="auto"/>
          <w:sz w:val="20"/>
          <w:szCs w:val="20"/>
          <w:lang w:val="en-GB"/>
        </w:rPr>
        <w:t xml:space="preserve"> (</w:t>
      </w:r>
      <w:r w:rsidRPr="6AA74701" w:rsidR="418AA6BA">
        <w:rPr>
          <w:rFonts w:ascii="Aptos" w:hAnsi="Aptos" w:eastAsia="Aptos" w:cs="Aptos"/>
          <w:b w:val="0"/>
          <w:bCs w:val="0"/>
          <w:i w:val="0"/>
          <w:iCs w:val="0"/>
          <w:caps w:val="0"/>
          <w:smallCaps w:val="0"/>
          <w:noProof w:val="0"/>
          <w:color w:val="auto"/>
          <w:sz w:val="20"/>
          <w:szCs w:val="20"/>
          <w:lang w:val="en-GB"/>
        </w:rPr>
        <w:t xml:space="preserve">Freckleton G, </w:t>
      </w:r>
      <w:r w:rsidRPr="6AA74701" w:rsidR="418AA6BA">
        <w:rPr>
          <w:rFonts w:ascii="Aptos" w:hAnsi="Aptos" w:eastAsia="Aptos" w:cs="Aptos"/>
          <w:b w:val="0"/>
          <w:bCs w:val="0"/>
          <w:i w:val="0"/>
          <w:iCs w:val="0"/>
          <w:caps w:val="0"/>
          <w:smallCaps w:val="0"/>
          <w:noProof w:val="0"/>
          <w:color w:val="auto"/>
          <w:sz w:val="20"/>
          <w:szCs w:val="20"/>
          <w:lang w:val="en-GB"/>
        </w:rPr>
        <w:t>Pizzari</w:t>
      </w:r>
      <w:r w:rsidRPr="6AA74701" w:rsidR="418AA6BA">
        <w:rPr>
          <w:rFonts w:ascii="Aptos" w:hAnsi="Aptos" w:eastAsia="Aptos" w:cs="Aptos"/>
          <w:b w:val="0"/>
          <w:bCs w:val="0"/>
          <w:i w:val="0"/>
          <w:iCs w:val="0"/>
          <w:caps w:val="0"/>
          <w:smallCaps w:val="0"/>
          <w:noProof w:val="0"/>
          <w:color w:val="auto"/>
          <w:sz w:val="20"/>
          <w:szCs w:val="20"/>
          <w:lang w:val="en-GB"/>
        </w:rPr>
        <w:t xml:space="preserve"> T., 2013</w:t>
      </w:r>
      <w:r w:rsidRPr="6AA74701" w:rsidR="77A1080A">
        <w:rPr>
          <w:rFonts w:ascii="Aptos" w:hAnsi="Aptos" w:eastAsia="Aptos" w:cs="Aptos"/>
          <w:noProof w:val="0"/>
          <w:color w:val="auto"/>
          <w:sz w:val="20"/>
          <w:szCs w:val="20"/>
          <w:lang w:val="en-GB"/>
        </w:rPr>
        <w:t>).</w:t>
      </w:r>
      <w:r w:rsidRPr="6AA74701" w:rsidR="77A1080A">
        <w:rPr>
          <w:rFonts w:ascii="Aptos" w:hAnsi="Aptos" w:eastAsia="Aptos" w:cs="Aptos"/>
          <w:noProof w:val="0"/>
          <w:sz w:val="20"/>
          <w:szCs w:val="20"/>
          <w:lang w:val="en-GB"/>
        </w:rPr>
        <w:t xml:space="preserve"> Specifically, muscular imbalances in athletes create a greater risk of hamstring strains due to a combination of muscle tightness and weakness in both the agonist (primary movers) and the antagonist (opposite muscles) (</w:t>
      </w:r>
      <w:r w:rsidRPr="6AA74701" w:rsidR="77A1080A">
        <w:rPr>
          <w:rFonts w:ascii="Aptos" w:hAnsi="Aptos" w:eastAsia="Aptos" w:cs="Aptos"/>
          <w:noProof w:val="0"/>
          <w:sz w:val="20"/>
          <w:szCs w:val="20"/>
          <w:lang w:val="en-GB"/>
        </w:rPr>
        <w:t>Croisier</w:t>
      </w:r>
      <w:r w:rsidRPr="6AA74701" w:rsidR="77A1080A">
        <w:rPr>
          <w:rFonts w:ascii="Aptos" w:hAnsi="Aptos" w:eastAsia="Aptos" w:cs="Aptos"/>
          <w:noProof w:val="0"/>
          <w:sz w:val="20"/>
          <w:szCs w:val="20"/>
          <w:lang w:val="en-GB"/>
        </w:rPr>
        <w:t xml:space="preserve">, 2004). </w:t>
      </w:r>
    </w:p>
    <w:p xmlns:wp14="http://schemas.microsoft.com/office/word/2010/wordml" w:rsidP="6AA74701" wp14:paraId="375058C6" wp14:textId="76673C02">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22F3E49F" wp14:textId="18D7F522">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Pain quality, </w:t>
      </w:r>
      <w:r w:rsidRPr="6AA74701" w:rsidR="4629C4CD">
        <w:rPr>
          <w:rFonts w:ascii="Aptos" w:hAnsi="Aptos" w:eastAsia="Aptos" w:cs="Aptos"/>
          <w:noProof w:val="0"/>
          <w:sz w:val="20"/>
          <w:szCs w:val="20"/>
          <w:lang w:val="en-GB"/>
        </w:rPr>
        <w:t>quantity</w:t>
      </w:r>
      <w:r w:rsidRPr="6AA74701" w:rsidR="4629C4CD">
        <w:rPr>
          <w:rFonts w:ascii="Aptos" w:hAnsi="Aptos" w:eastAsia="Aptos" w:cs="Aptos"/>
          <w:noProof w:val="0"/>
          <w:sz w:val="20"/>
          <w:szCs w:val="20"/>
          <w:lang w:val="en-GB"/>
        </w:rPr>
        <w:t xml:space="preserve"> and location</w:t>
      </w:r>
    </w:p>
    <w:p xmlns:wp14="http://schemas.microsoft.com/office/word/2010/wordml" w:rsidP="6AA74701" wp14:paraId="2286D395" wp14:textId="20B10CAC">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568222A1" wp14:textId="64E87264">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Acute hamstring strains can be classified by their severity specifying micro tears to complete ruptures of the hamstring, this allows for further classification by one of two mechanisms (Brunker and Khan’s, p600). Type I hamstring strains are typically sustained during high-speed running, as these types of strains typically involve the long head of bicep femoris and is more commonly at the proximal muscle tendon junction, in agreeance with Brunker and Khan’s (2007, p601), Askling et al, (2007) and </w:t>
      </w:r>
      <w:r w:rsidRPr="6AA74701" w:rsidR="4629C4CD">
        <w:rPr>
          <w:rFonts w:ascii="Aptos" w:hAnsi="Aptos" w:eastAsia="Aptos" w:cs="Aptos"/>
          <w:noProof w:val="0"/>
          <w:sz w:val="20"/>
          <w:szCs w:val="20"/>
          <w:lang w:val="en-GB"/>
        </w:rPr>
        <w:t>Chumanov</w:t>
      </w:r>
      <w:r w:rsidRPr="6AA74701" w:rsidR="4629C4CD">
        <w:rPr>
          <w:rFonts w:ascii="Aptos" w:hAnsi="Aptos" w:eastAsia="Aptos" w:cs="Aptos"/>
          <w:noProof w:val="0"/>
          <w:sz w:val="20"/>
          <w:szCs w:val="20"/>
          <w:lang w:val="en-GB"/>
        </w:rPr>
        <w:t xml:space="preserve">, Heiderscheit and Thelen, (2011). Moreover, type II hamstring strains are typically present when an athlete is stretching. Commonly, striking, kicking a ball or during the splits. This type of strain is </w:t>
      </w:r>
      <w:r w:rsidRPr="6AA74701" w:rsidR="4629C4CD">
        <w:rPr>
          <w:rFonts w:ascii="Aptos" w:hAnsi="Aptos" w:eastAsia="Aptos" w:cs="Aptos"/>
          <w:noProof w:val="0"/>
          <w:sz w:val="20"/>
          <w:szCs w:val="20"/>
          <w:lang w:val="en-GB"/>
        </w:rPr>
        <w:t>located</w:t>
      </w:r>
      <w:r w:rsidRPr="6AA74701" w:rsidR="4629C4CD">
        <w:rPr>
          <w:rFonts w:ascii="Aptos" w:hAnsi="Aptos" w:eastAsia="Aptos" w:cs="Aptos"/>
          <w:noProof w:val="0"/>
          <w:sz w:val="20"/>
          <w:szCs w:val="20"/>
          <w:lang w:val="en-GB"/>
        </w:rPr>
        <w:t xml:space="preserve"> closer to the ischial tuberosity and involves the proximal free tendon in the semimembranosus, this tendon typically has up to or more than 10cm of length (Brunker and Khan’s, p601). The pain experienced due to a type I and type II hamstring injury is most likely to present itself as a sudden onset of moderate to severe pain, the athlete will typically present with physical and visual signs of difficulty walking, inability to run and the appearance of localised bruising and hematomas (Brunker and Khan’s, p601). Furthermore, Athletes may feel a deep ache when at rest, or they may feel a sharp pulling pain where they feel the need to grab the injured area during the mechanism (Hickey et al., 2021). It is imperative to acknowledge that every athlete is different, and pain and symptoms of a hamstring strain may not be consistent and may present themselves different amongst individuals. </w:t>
      </w:r>
    </w:p>
    <w:p xmlns:wp14="http://schemas.microsoft.com/office/word/2010/wordml" w:rsidP="6AA74701" wp14:paraId="4F9A76D4" wp14:textId="37A8845F">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2EB8C7F9" wp14:textId="30D251C0">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Hamstring strains vary in grading to help medical professionals </w:t>
      </w:r>
      <w:r w:rsidRPr="6AA74701" w:rsidR="4629C4CD">
        <w:rPr>
          <w:rFonts w:ascii="Aptos" w:hAnsi="Aptos" w:eastAsia="Aptos" w:cs="Aptos"/>
          <w:noProof w:val="0"/>
          <w:sz w:val="20"/>
          <w:szCs w:val="20"/>
          <w:lang w:val="en-GB"/>
        </w:rPr>
        <w:t>determine</w:t>
      </w:r>
      <w:r w:rsidRPr="6AA74701" w:rsidR="4629C4CD">
        <w:rPr>
          <w:rFonts w:ascii="Aptos" w:hAnsi="Aptos" w:eastAsia="Aptos" w:cs="Aptos"/>
          <w:noProof w:val="0"/>
          <w:sz w:val="20"/>
          <w:szCs w:val="20"/>
          <w:lang w:val="en-GB"/>
        </w:rPr>
        <w:t xml:space="preserve"> the </w:t>
      </w:r>
      <w:r w:rsidRPr="6AA74701" w:rsidR="4629C4CD">
        <w:rPr>
          <w:rFonts w:ascii="Aptos" w:hAnsi="Aptos" w:eastAsia="Aptos" w:cs="Aptos"/>
          <w:noProof w:val="0"/>
          <w:sz w:val="20"/>
          <w:szCs w:val="20"/>
          <w:lang w:val="en-GB"/>
        </w:rPr>
        <w:t>appropriate treatment</w:t>
      </w:r>
      <w:r w:rsidRPr="6AA74701" w:rsidR="4629C4CD">
        <w:rPr>
          <w:rFonts w:ascii="Aptos" w:hAnsi="Aptos" w:eastAsia="Aptos" w:cs="Aptos"/>
          <w:noProof w:val="0"/>
          <w:sz w:val="20"/>
          <w:szCs w:val="20"/>
          <w:lang w:val="en-GB"/>
        </w:rPr>
        <w:t xml:space="preserve"> and prognosis. Grading of hamstring injuries makes use of the British Athletic Muscle Injury Classification (BAMIC), this grading system uses two </w:t>
      </w:r>
      <w:r w:rsidRPr="6AA74701" w:rsidR="4629C4CD">
        <w:rPr>
          <w:rFonts w:ascii="Aptos" w:hAnsi="Aptos" w:eastAsia="Aptos" w:cs="Aptos"/>
          <w:noProof w:val="0"/>
          <w:sz w:val="20"/>
          <w:szCs w:val="20"/>
          <w:lang w:val="en-GB"/>
        </w:rPr>
        <w:t>different types</w:t>
      </w:r>
      <w:r w:rsidRPr="6AA74701" w:rsidR="4629C4CD">
        <w:rPr>
          <w:rFonts w:ascii="Aptos" w:hAnsi="Aptos" w:eastAsia="Aptos" w:cs="Aptos"/>
          <w:noProof w:val="0"/>
          <w:sz w:val="20"/>
          <w:szCs w:val="20"/>
          <w:lang w:val="en-GB"/>
        </w:rPr>
        <w:t xml:space="preserve"> of grading. Numerical gradings and letter gradings (Pollock et al., 2014). According to the BAMIC system a Grade 0 or a grade 0a is where an athlete may present with some soreness in the muscle of delayed onset muscle soreness (DOMS) and normal MRI imaging. Grade 0b is typically consistent with an eccentric exercise or DOMS with an MRI showing some change in lots of different muscles (Ekstrand et al., </w:t>
      </w:r>
      <w:r w:rsidRPr="6AA74701" w:rsidR="58A45548">
        <w:rPr>
          <w:rFonts w:ascii="Aptos" w:hAnsi="Aptos" w:eastAsia="Aptos" w:cs="Aptos"/>
          <w:noProof w:val="0"/>
          <w:sz w:val="20"/>
          <w:szCs w:val="20"/>
          <w:lang w:val="en-GB"/>
        </w:rPr>
        <w:t>2012)</w:t>
      </w:r>
      <w:r w:rsidRPr="6AA74701" w:rsidR="4629C4CD">
        <w:rPr>
          <w:rFonts w:ascii="Aptos" w:hAnsi="Aptos" w:eastAsia="Aptos" w:cs="Aptos"/>
          <w:noProof w:val="0"/>
          <w:sz w:val="20"/>
          <w:szCs w:val="20"/>
          <w:lang w:val="en-GB"/>
        </w:rPr>
        <w:t>. Ekstrand et al., (</w:t>
      </w:r>
      <w:r w:rsidRPr="6AA74701" w:rsidR="5EF70A70">
        <w:rPr>
          <w:rFonts w:ascii="Aptos" w:hAnsi="Aptos" w:eastAsia="Aptos" w:cs="Aptos"/>
          <w:noProof w:val="0"/>
          <w:sz w:val="20"/>
          <w:szCs w:val="20"/>
          <w:lang w:val="en-GB"/>
        </w:rPr>
        <w:t>2012</w:t>
      </w:r>
      <w:r w:rsidRPr="6AA74701" w:rsidR="4629C4CD">
        <w:rPr>
          <w:rFonts w:ascii="Aptos" w:hAnsi="Aptos" w:eastAsia="Aptos" w:cs="Aptos"/>
          <w:noProof w:val="0"/>
          <w:sz w:val="20"/>
          <w:szCs w:val="20"/>
          <w:lang w:val="en-GB"/>
        </w:rPr>
        <w:t xml:space="preserve">) also references that a grade 1 muscle injury is identified as a micro tear within the muscle; the athlete will present with symptoms during or after exercise and will typically have pain when contracting or doing strength work on the muscle. Furthermore, a grade 1a strain is describes as extending from the fascia and shows changes in outer muscle tissues suggesting inflammation or injury. Which can be seen on an MRI scan (Pollock et al., 2014). Grade 1b muscle strains are typically inside the muscle, or closer to the tendon junction (Kayani et al., 2020). Grade 3 muscle strains involve a moderate tear within the muscle (Pollock et al., 2014), this is usually accompanied with pain, a limited range of movements within the first 24 hours of injury. </w:t>
      </w:r>
      <w:r w:rsidRPr="6AA74701" w:rsidR="10CBF52F">
        <w:rPr>
          <w:rFonts w:ascii="Aptos" w:hAnsi="Aptos" w:eastAsia="Aptos" w:cs="Aptos"/>
          <w:noProof w:val="0"/>
          <w:color w:val="auto"/>
          <w:sz w:val="20"/>
          <w:szCs w:val="20"/>
          <w:lang w:val="en-GB"/>
        </w:rPr>
        <w:t>Muscle Manual Tests</w:t>
      </w:r>
      <w:r w:rsidRPr="6AA74701" w:rsidR="4629C4CD">
        <w:rPr>
          <w:rFonts w:ascii="Aptos" w:hAnsi="Aptos" w:eastAsia="Aptos" w:cs="Aptos"/>
          <w:noProof w:val="0"/>
          <w:color w:val="EE0000"/>
          <w:sz w:val="20"/>
          <w:szCs w:val="20"/>
          <w:lang w:val="en-GB"/>
        </w:rPr>
        <w:t xml:space="preserve"> </w:t>
      </w:r>
      <w:r w:rsidRPr="6AA74701" w:rsidR="4629C4CD">
        <w:rPr>
          <w:rFonts w:ascii="Aptos" w:hAnsi="Aptos" w:eastAsia="Aptos" w:cs="Aptos"/>
          <w:noProof w:val="0"/>
          <w:sz w:val="20"/>
          <w:szCs w:val="20"/>
          <w:lang w:val="en-GB"/>
        </w:rPr>
        <w:t xml:space="preserve">(MMT), active range of movement (AROM), and passive range of movement (PROM) will all give positive tests and therapists will use this to </w:t>
      </w:r>
      <w:r w:rsidRPr="6AA74701" w:rsidR="4629C4CD">
        <w:rPr>
          <w:rFonts w:ascii="Aptos" w:hAnsi="Aptos" w:eastAsia="Aptos" w:cs="Aptos"/>
          <w:noProof w:val="0"/>
          <w:sz w:val="20"/>
          <w:szCs w:val="20"/>
          <w:lang w:val="en-GB"/>
        </w:rPr>
        <w:t>identify</w:t>
      </w:r>
      <w:r w:rsidRPr="6AA74701" w:rsidR="4629C4CD">
        <w:rPr>
          <w:rFonts w:ascii="Aptos" w:hAnsi="Aptos" w:eastAsia="Aptos" w:cs="Aptos"/>
          <w:noProof w:val="0"/>
          <w:sz w:val="20"/>
          <w:szCs w:val="20"/>
          <w:lang w:val="en-GB"/>
        </w:rPr>
        <w:t xml:space="preserve"> the injury (Cohen et al., 2011). Grade 2a hamstring strains involves injury that extends from the outer fascial layer into the muscle tissue itself. On MRI screening higher signal changes between </w:t>
      </w:r>
      <w:r w:rsidRPr="6AA74701" w:rsidR="4629C4CD">
        <w:rPr>
          <w:rFonts w:ascii="Aptos" w:hAnsi="Aptos" w:eastAsia="Aptos" w:cs="Aptos"/>
          <w:noProof w:val="0"/>
          <w:sz w:val="20"/>
          <w:szCs w:val="20"/>
          <w:lang w:val="en-GB"/>
        </w:rPr>
        <w:t>approximately 10-50</w:t>
      </w:r>
      <w:r w:rsidRPr="6AA74701" w:rsidR="4629C4CD">
        <w:rPr>
          <w:rFonts w:ascii="Aptos" w:hAnsi="Aptos" w:eastAsia="Aptos" w:cs="Aptos"/>
          <w:noProof w:val="0"/>
          <w:sz w:val="20"/>
          <w:szCs w:val="20"/>
          <w:lang w:val="en-GB"/>
        </w:rPr>
        <w:t xml:space="preserve">% can be measured of muscles cross section. Further to that a grade 2b is more likely to be at the </w:t>
      </w:r>
      <w:r w:rsidRPr="6AA74701" w:rsidR="0C511872">
        <w:rPr>
          <w:rFonts w:ascii="Aptos" w:hAnsi="Aptos" w:eastAsia="Aptos" w:cs="Aptos"/>
          <w:noProof w:val="0"/>
          <w:sz w:val="20"/>
          <w:szCs w:val="20"/>
          <w:lang w:val="en-GB"/>
        </w:rPr>
        <w:t>musculotendinous junction</w:t>
      </w:r>
      <w:r w:rsidRPr="6AA74701" w:rsidR="4629C4CD">
        <w:rPr>
          <w:rFonts w:ascii="Aptos" w:hAnsi="Aptos" w:eastAsia="Aptos" w:cs="Aptos"/>
          <w:noProof w:val="0"/>
          <w:color w:val="EE0000"/>
          <w:sz w:val="20"/>
          <w:szCs w:val="20"/>
          <w:lang w:val="en-GB"/>
        </w:rPr>
        <w:t xml:space="preserve"> </w:t>
      </w:r>
      <w:r w:rsidRPr="6AA74701" w:rsidR="6B686809">
        <w:rPr>
          <w:rFonts w:ascii="Aptos" w:hAnsi="Aptos" w:eastAsia="Aptos" w:cs="Aptos"/>
          <w:noProof w:val="0"/>
          <w:color w:val="auto"/>
          <w:sz w:val="20"/>
          <w:szCs w:val="20"/>
          <w:lang w:val="en-GB"/>
        </w:rPr>
        <w:t>(</w:t>
      </w:r>
      <w:r w:rsidRPr="6AA74701" w:rsidR="4629C4CD">
        <w:rPr>
          <w:rFonts w:ascii="Aptos" w:hAnsi="Aptos" w:eastAsia="Aptos" w:cs="Aptos"/>
          <w:noProof w:val="0"/>
          <w:sz w:val="20"/>
          <w:szCs w:val="20"/>
          <w:lang w:val="en-GB"/>
        </w:rPr>
        <w:t>MTJ</w:t>
      </w:r>
      <w:r w:rsidRPr="6AA74701" w:rsidR="1B586D8A">
        <w:rPr>
          <w:rFonts w:ascii="Aptos" w:hAnsi="Aptos" w:eastAsia="Aptos" w:cs="Aptos"/>
          <w:noProof w:val="0"/>
          <w:sz w:val="20"/>
          <w:szCs w:val="20"/>
          <w:lang w:val="en-GB"/>
        </w:rPr>
        <w:t>)</w:t>
      </w:r>
      <w:r w:rsidRPr="6AA74701" w:rsidR="4629C4CD">
        <w:rPr>
          <w:rFonts w:ascii="Aptos" w:hAnsi="Aptos" w:eastAsia="Aptos" w:cs="Aptos"/>
          <w:noProof w:val="0"/>
          <w:sz w:val="20"/>
          <w:szCs w:val="20"/>
          <w:lang w:val="en-GB"/>
        </w:rPr>
        <w:t>, and a gra</w:t>
      </w:r>
      <w:r w:rsidRPr="6AA74701" w:rsidR="1D530A37">
        <w:rPr>
          <w:rFonts w:ascii="Aptos" w:hAnsi="Aptos" w:eastAsia="Aptos" w:cs="Aptos"/>
          <w:noProof w:val="0"/>
          <w:sz w:val="20"/>
          <w:szCs w:val="20"/>
          <w:lang w:val="en-GB"/>
        </w:rPr>
        <w:t>de</w:t>
      </w:r>
      <w:r w:rsidRPr="6AA74701" w:rsidR="4629C4CD">
        <w:rPr>
          <w:rFonts w:ascii="Aptos" w:hAnsi="Aptos" w:eastAsia="Aptos" w:cs="Aptos"/>
          <w:noProof w:val="0"/>
          <w:sz w:val="20"/>
          <w:szCs w:val="20"/>
          <w:lang w:val="en-GB"/>
        </w:rPr>
        <w:t xml:space="preserve"> 2c extends into the tendon (Thorborg, </w:t>
      </w:r>
      <w:r w:rsidRPr="6AA74701" w:rsidR="4629C4CD">
        <w:rPr>
          <w:rFonts w:ascii="Aptos" w:hAnsi="Aptos" w:eastAsia="Aptos" w:cs="Aptos"/>
          <w:noProof w:val="0"/>
          <w:sz w:val="20"/>
          <w:szCs w:val="20"/>
          <w:lang w:val="en-GB"/>
        </w:rPr>
        <w:t>Opar</w:t>
      </w:r>
      <w:r w:rsidRPr="6AA74701" w:rsidR="4629C4CD">
        <w:rPr>
          <w:rFonts w:ascii="Aptos" w:hAnsi="Aptos" w:eastAsia="Aptos" w:cs="Aptos"/>
          <w:noProof w:val="0"/>
          <w:sz w:val="20"/>
          <w:szCs w:val="20"/>
          <w:lang w:val="en-GB"/>
        </w:rPr>
        <w:t xml:space="preserve">, and Shield, 2020). Grade 3 injuries are extensive tears within the muscles, 3a is </w:t>
      </w:r>
      <w:r w:rsidRPr="6AA74701" w:rsidR="4629C4CD">
        <w:rPr>
          <w:rFonts w:ascii="Aptos" w:hAnsi="Aptos" w:eastAsia="Aptos" w:cs="Aptos"/>
          <w:noProof w:val="0"/>
          <w:sz w:val="20"/>
          <w:szCs w:val="20"/>
          <w:lang w:val="en-GB"/>
        </w:rPr>
        <w:t>predominantly within</w:t>
      </w:r>
      <w:r w:rsidRPr="6AA74701" w:rsidR="4629C4CD">
        <w:rPr>
          <w:rFonts w:ascii="Aptos" w:hAnsi="Aptos" w:eastAsia="Aptos" w:cs="Aptos"/>
          <w:noProof w:val="0"/>
          <w:sz w:val="20"/>
          <w:szCs w:val="20"/>
          <w:lang w:val="en-GB"/>
        </w:rPr>
        <w:t xml:space="preserve"> the myofascial layer, </w:t>
      </w:r>
      <w:r w:rsidRPr="6AA74701" w:rsidR="4629C4CD">
        <w:rPr>
          <w:rFonts w:ascii="Aptos" w:hAnsi="Aptos" w:eastAsia="Aptos" w:cs="Aptos"/>
          <w:noProof w:val="0"/>
          <w:sz w:val="20"/>
          <w:szCs w:val="20"/>
          <w:lang w:val="en-GB"/>
        </w:rPr>
        <w:t>whereas</w:t>
      </w:r>
      <w:r w:rsidRPr="6AA74701" w:rsidR="4629C4CD">
        <w:rPr>
          <w:rFonts w:ascii="Aptos" w:hAnsi="Aptos" w:eastAsia="Aptos" w:cs="Aptos"/>
          <w:noProof w:val="0"/>
          <w:sz w:val="20"/>
          <w:szCs w:val="20"/>
          <w:lang w:val="en-GB"/>
        </w:rPr>
        <w:t xml:space="preserve"> 3b is muscular and will be </w:t>
      </w:r>
      <w:r w:rsidRPr="6AA74701" w:rsidR="4629C4CD">
        <w:rPr>
          <w:rFonts w:ascii="Aptos" w:hAnsi="Aptos" w:eastAsia="Aptos" w:cs="Aptos"/>
          <w:noProof w:val="0"/>
          <w:sz w:val="20"/>
          <w:szCs w:val="20"/>
          <w:lang w:val="en-GB"/>
        </w:rPr>
        <w:t>determined</w:t>
      </w:r>
      <w:r w:rsidRPr="6AA74701" w:rsidR="4629C4CD">
        <w:rPr>
          <w:rFonts w:ascii="Aptos" w:hAnsi="Aptos" w:eastAsia="Aptos" w:cs="Aptos"/>
          <w:noProof w:val="0"/>
          <w:sz w:val="20"/>
          <w:szCs w:val="20"/>
          <w:lang w:val="en-GB"/>
        </w:rPr>
        <w:t xml:space="preserve"> by an MRI</w:t>
      </w:r>
      <w:r w:rsidRPr="6AA74701" w:rsidR="207C61B4">
        <w:rPr>
          <w:rFonts w:ascii="Aptos" w:hAnsi="Aptos" w:eastAsia="Aptos" w:cs="Aptos"/>
          <w:noProof w:val="0"/>
          <w:sz w:val="20"/>
          <w:szCs w:val="20"/>
          <w:lang w:val="en-GB"/>
        </w:rPr>
        <w:t xml:space="preserve"> scan</w:t>
      </w:r>
      <w:r w:rsidRPr="6AA74701" w:rsidR="4629C4CD">
        <w:rPr>
          <w:rFonts w:ascii="Aptos" w:hAnsi="Aptos" w:eastAsia="Aptos" w:cs="Aptos"/>
          <w:noProof w:val="0"/>
          <w:sz w:val="20"/>
          <w:szCs w:val="20"/>
          <w:lang w:val="en-GB"/>
        </w:rPr>
        <w:t xml:space="preserve">, where there will be clear change in pattern of more than 50% of the cross section of the muscle. Grade 3a and 3b are tailored by the specific location of the injury (Thorberg, </w:t>
      </w:r>
      <w:r w:rsidRPr="6AA74701" w:rsidR="4629C4CD">
        <w:rPr>
          <w:rFonts w:ascii="Aptos" w:hAnsi="Aptos" w:eastAsia="Aptos" w:cs="Aptos"/>
          <w:noProof w:val="0"/>
          <w:sz w:val="20"/>
          <w:szCs w:val="20"/>
          <w:lang w:val="en-GB"/>
        </w:rPr>
        <w:t>Opar</w:t>
      </w:r>
      <w:r w:rsidRPr="6AA74701" w:rsidR="4629C4CD">
        <w:rPr>
          <w:rFonts w:ascii="Aptos" w:hAnsi="Aptos" w:eastAsia="Aptos" w:cs="Aptos"/>
          <w:noProof w:val="0"/>
          <w:sz w:val="20"/>
          <w:szCs w:val="20"/>
          <w:lang w:val="en-GB"/>
        </w:rPr>
        <w:t xml:space="preserve">, and Sheild, (2020). In a grade 3c injury, the free tendon is damaged along </w:t>
      </w:r>
      <w:r w:rsidRPr="6AA74701" w:rsidR="4629C4CD">
        <w:rPr>
          <w:rFonts w:ascii="Aptos" w:hAnsi="Aptos" w:eastAsia="Aptos" w:cs="Aptos"/>
          <w:noProof w:val="0"/>
          <w:sz w:val="20"/>
          <w:szCs w:val="20"/>
          <w:lang w:val="en-GB"/>
        </w:rPr>
        <w:t>a significant portion</w:t>
      </w:r>
      <w:r w:rsidRPr="6AA74701" w:rsidR="4629C4CD">
        <w:rPr>
          <w:rFonts w:ascii="Aptos" w:hAnsi="Aptos" w:eastAsia="Aptos" w:cs="Aptos"/>
          <w:noProof w:val="0"/>
          <w:sz w:val="20"/>
          <w:szCs w:val="20"/>
          <w:lang w:val="en-GB"/>
        </w:rPr>
        <w:t xml:space="preserve"> of its length (Pollock et al., 2014). Grade 4 hamstring strains are complete tears within the muscle of the tendon, there will be a gap felt upon palpation in the area (Reurink, </w:t>
      </w:r>
      <w:r w:rsidRPr="6AA74701" w:rsidR="4629C4CD">
        <w:rPr>
          <w:rFonts w:ascii="Aptos" w:hAnsi="Aptos" w:eastAsia="Aptos" w:cs="Aptos"/>
          <w:noProof w:val="0"/>
          <w:sz w:val="20"/>
          <w:szCs w:val="20"/>
          <w:lang w:val="en-GB"/>
        </w:rPr>
        <w:t>Goudswaard</w:t>
      </w:r>
      <w:r w:rsidRPr="6AA74701" w:rsidR="4629C4CD">
        <w:rPr>
          <w:rFonts w:ascii="Aptos" w:hAnsi="Aptos" w:eastAsia="Aptos" w:cs="Aptos"/>
          <w:noProof w:val="0"/>
          <w:sz w:val="20"/>
          <w:szCs w:val="20"/>
          <w:lang w:val="en-GB"/>
        </w:rPr>
        <w:t xml:space="preserve">, and Tol., 2014). In addition, avulsion fractures may be seen in the hamstring, this is where there is a complete tear with tendon retraction and typically </w:t>
      </w:r>
      <w:r w:rsidRPr="6AA74701" w:rsidR="4629C4CD">
        <w:rPr>
          <w:rFonts w:ascii="Aptos" w:hAnsi="Aptos" w:eastAsia="Aptos" w:cs="Aptos"/>
          <w:noProof w:val="0"/>
          <w:sz w:val="20"/>
          <w:szCs w:val="20"/>
          <w:lang w:val="en-GB"/>
        </w:rPr>
        <w:t>operated</w:t>
      </w:r>
      <w:r w:rsidRPr="6AA74701" w:rsidR="4629C4CD">
        <w:rPr>
          <w:rFonts w:ascii="Aptos" w:hAnsi="Aptos" w:eastAsia="Aptos" w:cs="Aptos"/>
          <w:noProof w:val="0"/>
          <w:sz w:val="20"/>
          <w:szCs w:val="20"/>
          <w:lang w:val="en-GB"/>
        </w:rPr>
        <w:t xml:space="preserve"> on (</w:t>
      </w:r>
      <w:r w:rsidRPr="6AA74701" w:rsidR="4629C4CD">
        <w:rPr>
          <w:rFonts w:ascii="Aptos" w:hAnsi="Aptos" w:eastAsia="Aptos" w:cs="Aptos"/>
          <w:noProof w:val="0"/>
          <w:sz w:val="20"/>
          <w:szCs w:val="20"/>
          <w:lang w:val="en-GB"/>
        </w:rPr>
        <w:t>Allahabadi</w:t>
      </w:r>
      <w:r w:rsidRPr="6AA74701" w:rsidR="4629C4CD">
        <w:rPr>
          <w:rFonts w:ascii="Aptos" w:hAnsi="Aptos" w:eastAsia="Aptos" w:cs="Aptos"/>
          <w:noProof w:val="0"/>
          <w:sz w:val="20"/>
          <w:szCs w:val="20"/>
          <w:lang w:val="en-GB"/>
        </w:rPr>
        <w:t xml:space="preserve"> et al., 2023). </w:t>
      </w:r>
    </w:p>
    <w:p xmlns:wp14="http://schemas.microsoft.com/office/word/2010/wordml" w:rsidP="6AA74701" wp14:paraId="53608B2B" wp14:textId="50759CBB">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65283894" wp14:textId="38AE9277">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A health professional will commonly assess the injured athlete whilst the athlete is laying in a prone position. They will </w:t>
      </w:r>
      <w:r w:rsidRPr="6AA74701" w:rsidR="4629C4CD">
        <w:rPr>
          <w:rFonts w:ascii="Aptos" w:hAnsi="Aptos" w:eastAsia="Aptos" w:cs="Aptos"/>
          <w:noProof w:val="0"/>
          <w:sz w:val="20"/>
          <w:szCs w:val="20"/>
          <w:lang w:val="en-GB"/>
        </w:rPr>
        <w:t>proceed</w:t>
      </w:r>
      <w:r w:rsidRPr="6AA74701" w:rsidR="4629C4CD">
        <w:rPr>
          <w:rFonts w:ascii="Aptos" w:hAnsi="Aptos" w:eastAsia="Aptos" w:cs="Aptos"/>
          <w:noProof w:val="0"/>
          <w:sz w:val="20"/>
          <w:szCs w:val="20"/>
          <w:lang w:val="en-GB"/>
        </w:rPr>
        <w:t xml:space="preserve"> to palpate the back of the thigh and feel for any muscular defects or issues in and around the ischial tuberosity (Hickey et al., 2021). To </w:t>
      </w:r>
      <w:r w:rsidRPr="6AA74701" w:rsidR="4629C4CD">
        <w:rPr>
          <w:rFonts w:ascii="Aptos" w:hAnsi="Aptos" w:eastAsia="Aptos" w:cs="Aptos"/>
          <w:noProof w:val="0"/>
          <w:sz w:val="20"/>
          <w:szCs w:val="20"/>
          <w:lang w:val="en-GB"/>
        </w:rPr>
        <w:t>identify</w:t>
      </w:r>
      <w:r w:rsidRPr="6AA74701" w:rsidR="4629C4CD">
        <w:rPr>
          <w:rFonts w:ascii="Aptos" w:hAnsi="Aptos" w:eastAsia="Aptos" w:cs="Aptos"/>
          <w:noProof w:val="0"/>
          <w:sz w:val="20"/>
          <w:szCs w:val="20"/>
          <w:lang w:val="en-GB"/>
        </w:rPr>
        <w:t xml:space="preserve"> whether the hamstrings muscles are injured, PROM and AROM measures are used. Hip flexion and knee extension are two range of movements carried out to assess the flexibility and strength within the hamstring (Hickey et al., 2021). If a significant decrease in the range of movement is </w:t>
      </w:r>
      <w:r w:rsidRPr="6AA74701" w:rsidR="4629C4CD">
        <w:rPr>
          <w:rFonts w:ascii="Aptos" w:hAnsi="Aptos" w:eastAsia="Aptos" w:cs="Aptos"/>
          <w:noProof w:val="0"/>
          <w:sz w:val="20"/>
          <w:szCs w:val="20"/>
          <w:lang w:val="en-GB"/>
        </w:rPr>
        <w:t>apparent</w:t>
      </w:r>
      <w:r w:rsidRPr="6AA74701" w:rsidR="4629C4CD">
        <w:rPr>
          <w:rFonts w:ascii="Aptos" w:hAnsi="Aptos" w:eastAsia="Aptos" w:cs="Aptos"/>
          <w:noProof w:val="0"/>
          <w:sz w:val="20"/>
          <w:szCs w:val="20"/>
          <w:lang w:val="en-GB"/>
        </w:rPr>
        <w:t xml:space="preserve"> in the injured muscle compared to the uninjured, alongside positive pain tests, an athlete then typically identifies with a hamstring strain (Hickey, </w:t>
      </w:r>
      <w:r w:rsidRPr="6AA74701" w:rsidR="4629C4CD">
        <w:rPr>
          <w:rFonts w:ascii="Aptos" w:hAnsi="Aptos" w:eastAsia="Aptos" w:cs="Aptos"/>
          <w:noProof w:val="0"/>
          <w:sz w:val="20"/>
          <w:szCs w:val="20"/>
          <w:lang w:val="en-GB"/>
        </w:rPr>
        <w:t>Weiss</w:t>
      </w:r>
      <w:r w:rsidRPr="6AA74701" w:rsidR="4629C4CD">
        <w:rPr>
          <w:rFonts w:ascii="Aptos" w:hAnsi="Aptos" w:eastAsia="Aptos" w:cs="Aptos"/>
          <w:noProof w:val="0"/>
          <w:sz w:val="20"/>
          <w:szCs w:val="20"/>
          <w:lang w:val="en-GB"/>
        </w:rPr>
        <w:t xml:space="preserve"> and Heiderscheit, 2022). Alongside identification of the injury, during the acute phase, active range of motion is reduced. Palpation of the injured area whether that is that is the semitendinosus, semimembranosus, or biceps femoris, it may be painful and </w:t>
      </w:r>
      <w:r w:rsidRPr="6AA74701" w:rsidR="4629C4CD">
        <w:rPr>
          <w:rFonts w:ascii="Aptos" w:hAnsi="Aptos" w:eastAsia="Aptos" w:cs="Aptos"/>
          <w:noProof w:val="0"/>
          <w:sz w:val="20"/>
          <w:szCs w:val="20"/>
          <w:lang w:val="en-GB"/>
        </w:rPr>
        <w:t>identify</w:t>
      </w:r>
      <w:r w:rsidRPr="6AA74701" w:rsidR="4629C4CD">
        <w:rPr>
          <w:rFonts w:ascii="Aptos" w:hAnsi="Aptos" w:eastAsia="Aptos" w:cs="Aptos"/>
          <w:noProof w:val="0"/>
          <w:sz w:val="20"/>
          <w:szCs w:val="20"/>
          <w:lang w:val="en-GB"/>
        </w:rPr>
        <w:t xml:space="preserve"> a distinct change in tissue texture (Connell et al., 2004). A health professional will also assess hamstring strength; this can be assessed through resisted knee flexion in the prone position and resisted hip extension. Comparing both sides is recommended </w:t>
      </w:r>
      <w:r w:rsidRPr="6AA74701" w:rsidR="240C5EA5">
        <w:rPr>
          <w:rFonts w:ascii="Aptos" w:hAnsi="Aptos" w:eastAsia="Aptos" w:cs="Aptos"/>
          <w:noProof w:val="0"/>
          <w:sz w:val="20"/>
          <w:szCs w:val="20"/>
          <w:lang w:val="en-GB"/>
        </w:rPr>
        <w:t>to</w:t>
      </w:r>
      <w:r w:rsidRPr="6AA74701" w:rsidR="4629C4CD">
        <w:rPr>
          <w:rFonts w:ascii="Aptos" w:hAnsi="Aptos" w:eastAsia="Aptos" w:cs="Aptos"/>
          <w:noProof w:val="0"/>
          <w:sz w:val="20"/>
          <w:szCs w:val="20"/>
          <w:lang w:val="en-GB"/>
        </w:rPr>
        <w:t xml:space="preserve"> </w:t>
      </w:r>
      <w:r w:rsidRPr="6AA74701" w:rsidR="4629C4CD">
        <w:rPr>
          <w:rFonts w:ascii="Aptos" w:hAnsi="Aptos" w:eastAsia="Aptos" w:cs="Aptos"/>
          <w:noProof w:val="0"/>
          <w:sz w:val="20"/>
          <w:szCs w:val="20"/>
          <w:lang w:val="en-GB"/>
        </w:rPr>
        <w:t>identify</w:t>
      </w:r>
      <w:r w:rsidRPr="6AA74701" w:rsidR="4629C4CD">
        <w:rPr>
          <w:rFonts w:ascii="Aptos" w:hAnsi="Aptos" w:eastAsia="Aptos" w:cs="Aptos"/>
          <w:noProof w:val="0"/>
          <w:sz w:val="20"/>
          <w:szCs w:val="20"/>
          <w:lang w:val="en-GB"/>
        </w:rPr>
        <w:t xml:space="preserve"> any strength deficits in the injured muscle that may result from pain or tissue disruption (Askling, </w:t>
      </w:r>
      <w:r w:rsidRPr="6AA74701" w:rsidR="4629C4CD">
        <w:rPr>
          <w:rFonts w:ascii="Aptos" w:hAnsi="Aptos" w:eastAsia="Aptos" w:cs="Aptos"/>
          <w:noProof w:val="0"/>
          <w:sz w:val="20"/>
          <w:szCs w:val="20"/>
          <w:lang w:val="en-GB"/>
        </w:rPr>
        <w:t>Saartok</w:t>
      </w:r>
      <w:r w:rsidRPr="6AA74701" w:rsidR="4629C4CD">
        <w:rPr>
          <w:rFonts w:ascii="Aptos" w:hAnsi="Aptos" w:eastAsia="Aptos" w:cs="Aptos"/>
          <w:noProof w:val="0"/>
          <w:sz w:val="20"/>
          <w:szCs w:val="20"/>
          <w:lang w:val="en-GB"/>
        </w:rPr>
        <w:t xml:space="preserve">, and Thorstensson, 2006). Hamstring strains requiring non-surgical rehabilitation, follow a rest, ice, </w:t>
      </w:r>
      <w:r w:rsidRPr="6AA74701" w:rsidR="4629C4CD">
        <w:rPr>
          <w:rFonts w:ascii="Aptos" w:hAnsi="Aptos" w:eastAsia="Aptos" w:cs="Aptos"/>
          <w:noProof w:val="0"/>
          <w:sz w:val="20"/>
          <w:szCs w:val="20"/>
          <w:lang w:val="en-GB"/>
        </w:rPr>
        <w:t>modified</w:t>
      </w:r>
      <w:r w:rsidRPr="6AA74701" w:rsidR="4629C4CD">
        <w:rPr>
          <w:rFonts w:ascii="Aptos" w:hAnsi="Aptos" w:eastAsia="Aptos" w:cs="Aptos"/>
          <w:noProof w:val="0"/>
          <w:sz w:val="20"/>
          <w:szCs w:val="20"/>
          <w:lang w:val="en-GB"/>
        </w:rPr>
        <w:t xml:space="preserve"> exercises and correct rehabilitation protocol such as, strengthening and eccentric and isometric movements (</w:t>
      </w:r>
      <w:r w:rsidRPr="6AA74701" w:rsidR="4629C4CD">
        <w:rPr>
          <w:rFonts w:ascii="Aptos" w:hAnsi="Aptos" w:eastAsia="Aptos" w:cs="Aptos"/>
          <w:noProof w:val="0"/>
          <w:sz w:val="20"/>
          <w:szCs w:val="20"/>
          <w:lang w:val="en-GB"/>
        </w:rPr>
        <w:t>Allahabadi</w:t>
      </w:r>
      <w:r w:rsidRPr="6AA74701" w:rsidR="4629C4CD">
        <w:rPr>
          <w:rFonts w:ascii="Aptos" w:hAnsi="Aptos" w:eastAsia="Aptos" w:cs="Aptos"/>
          <w:noProof w:val="0"/>
          <w:sz w:val="20"/>
          <w:szCs w:val="20"/>
          <w:lang w:val="en-GB"/>
        </w:rPr>
        <w:t xml:space="preserve"> et al., 2023). Knapik, Metcalf, and Voos (2018) state that distal hamstring injuries may require surgical rehabilitation if the tendon is involved. Distal bicep femoris injuries are typically surgical. </w:t>
      </w:r>
    </w:p>
    <w:p xmlns:wp14="http://schemas.microsoft.com/office/word/2010/wordml" w:rsidP="6AA74701" wp14:paraId="7BA946E4" wp14:textId="39636940">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239E9E15" wp14:textId="097276DC">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743610D0" wp14:textId="3E95696B">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6B09C93A" wp14:textId="6BEAE160">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1AF3EAAB" wp14:textId="02FB64B1">
      <w:pPr>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tbl>
      <w:tblPr>
        <w:tblStyle w:val="TableGrid"/>
        <w:bidiVisual w:val="0"/>
        <w:tblW w:w="0" w:type="auto"/>
        <w:tblLook w:val="04A0" w:firstRow="1" w:lastRow="0" w:firstColumn="1" w:lastColumn="0" w:noHBand="0" w:noVBand="1"/>
      </w:tblPr>
      <w:tblGrid>
        <w:gridCol w:w="3005"/>
        <w:gridCol w:w="3005"/>
        <w:gridCol w:w="3006"/>
      </w:tblGrid>
      <w:tr w:rsidR="6AA74701" w:rsidTr="6AA74701" w14:paraId="49888453">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53C22645" w14:textId="5CB6D930">
            <w:pPr>
              <w:spacing w:before="0" w:beforeAutospacing="off" w:after="0" w:afterAutospacing="off"/>
              <w:rPr>
                <w:rFonts w:ascii="Aptos" w:hAnsi="Aptos" w:eastAsia="Aptos" w:cs="Aptos"/>
                <w:color w:val="auto"/>
                <w:sz w:val="20"/>
                <w:szCs w:val="20"/>
              </w:rPr>
            </w:pPr>
            <w:r w:rsidRPr="6AA74701" w:rsidR="6AA74701">
              <w:rPr>
                <w:rFonts w:ascii="Aptos" w:hAnsi="Aptos" w:eastAsia="Aptos" w:cs="Aptos"/>
                <w:color w:val="auto"/>
                <w:sz w:val="20"/>
                <w:szCs w:val="20"/>
              </w:rPr>
              <w:t>Grading system</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02BA560E" w14:textId="2F301F3C">
            <w:pPr>
              <w:spacing w:before="0" w:beforeAutospacing="off" w:after="0" w:afterAutospacing="off"/>
              <w:rPr>
                <w:rFonts w:ascii="Aptos" w:hAnsi="Aptos" w:eastAsia="Aptos" w:cs="Aptos"/>
                <w:color w:val="auto"/>
                <w:sz w:val="20"/>
                <w:szCs w:val="20"/>
              </w:rPr>
            </w:pPr>
            <w:r w:rsidRPr="6AA74701" w:rsidR="6AA74701">
              <w:rPr>
                <w:rFonts w:ascii="Aptos" w:hAnsi="Aptos" w:eastAsia="Aptos" w:cs="Aptos"/>
                <w:color w:val="auto"/>
                <w:sz w:val="20"/>
                <w:szCs w:val="20"/>
              </w:rPr>
              <w:t>Cross section along muscle (%)</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157843CC" w14:textId="4E1B7A5B">
            <w:pPr>
              <w:spacing w:before="0" w:beforeAutospacing="off" w:after="0" w:afterAutospacing="off"/>
              <w:rPr>
                <w:rFonts w:ascii="Aptos" w:hAnsi="Aptos" w:eastAsia="Aptos" w:cs="Aptos"/>
                <w:color w:val="auto"/>
                <w:sz w:val="20"/>
                <w:szCs w:val="20"/>
              </w:rPr>
            </w:pPr>
            <w:r w:rsidRPr="6AA74701" w:rsidR="6AA74701">
              <w:rPr>
                <w:rFonts w:ascii="Aptos" w:hAnsi="Aptos" w:eastAsia="Aptos" w:cs="Aptos"/>
                <w:color w:val="auto"/>
                <w:sz w:val="20"/>
                <w:szCs w:val="20"/>
              </w:rPr>
              <w:t>Recovery time (weeks)</w:t>
            </w:r>
          </w:p>
        </w:tc>
      </w:tr>
      <w:tr w:rsidR="6AA74701" w:rsidTr="6AA74701" w14:paraId="6A759F42">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7F8A0CA2" w14:textId="505AA640">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Grade 1</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7F8FCA72" w14:textId="48E2E698">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 xml:space="preserve">10 cross </w:t>
            </w:r>
            <w:r w:rsidRPr="6AA74701" w:rsidR="4337E8D3">
              <w:rPr>
                <w:rFonts w:ascii="Aptos" w:hAnsi="Aptos" w:eastAsia="Aptos" w:cs="Aptos"/>
                <w:sz w:val="20"/>
                <w:szCs w:val="20"/>
              </w:rPr>
              <w:t>sections</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5CCCD5BD" w14:textId="1BF81538">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 xml:space="preserve">1-4 </w:t>
            </w:r>
          </w:p>
        </w:tc>
      </w:tr>
      <w:tr w:rsidR="6AA74701" w:rsidTr="6AA74701" w14:paraId="39764C35">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30256391" w14:textId="497642D9">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Grade 2</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5E45662F" w14:textId="7574D505">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10-50 cross section</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6127546C" w14:textId="52AC672B">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6-8</w:t>
            </w:r>
          </w:p>
        </w:tc>
      </w:tr>
      <w:tr w:rsidR="6AA74701" w:rsidTr="6AA74701" w14:paraId="1E18319A">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569404CD" w14:textId="095CB12A">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Grade 3</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5808693E" w14:textId="45A14230">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50+ cross section</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62BD0AF3" w14:textId="0D6DC11D">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12+</w:t>
            </w:r>
          </w:p>
        </w:tc>
      </w:tr>
      <w:tr w:rsidR="6AA74701" w:rsidTr="6AA74701" w14:paraId="124F826B">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26A77F6C" w14:textId="065FF0B6">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Grade 4</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7A5644A1" w14:textId="25A33222">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Complete tears or avulsion</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1F3D7CF2" w14:textId="690A507C">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Surgical repair</w:t>
            </w:r>
          </w:p>
        </w:tc>
      </w:tr>
      <w:tr w:rsidR="6AA74701" w:rsidTr="6AA74701" w14:paraId="296A554B">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04614790" w14:textId="27154EB7">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A</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36821748" w14:textId="522B06E6">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Muscle belly/ fascia</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37783265" w14:textId="33E9B3CF">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 xml:space="preserve"> </w:t>
            </w:r>
          </w:p>
        </w:tc>
      </w:tr>
      <w:tr w:rsidR="6AA74701" w:rsidTr="6AA74701" w14:paraId="537122D1">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6035C1BB" w14:textId="791BA847">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B</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6F4F7B27" w14:textId="4AE911F3">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MTJ (musculotendinous junction)</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4501E404" w14:textId="5E139EC1">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 xml:space="preserve"> </w:t>
            </w:r>
          </w:p>
        </w:tc>
      </w:tr>
      <w:tr w:rsidR="6AA74701" w:rsidTr="6AA74701" w14:paraId="1D1306CE">
        <w:trPr>
          <w:trHeight w:val="300"/>
        </w:trPr>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4B5ED924" w14:textId="211A3AE8">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C</w:t>
            </w:r>
          </w:p>
        </w:tc>
        <w:tc>
          <w:tcPr>
            <w:tcW w:w="3005" w:type="dxa"/>
            <w:tcBorders>
              <w:top w:val="single" w:sz="8"/>
              <w:left w:val="single" w:sz="8"/>
              <w:bottom w:val="single" w:sz="8"/>
              <w:right w:val="single" w:sz="8"/>
            </w:tcBorders>
            <w:tcMar>
              <w:left w:w="108" w:type="dxa"/>
              <w:right w:w="108" w:type="dxa"/>
            </w:tcMar>
            <w:vAlign w:val="top"/>
          </w:tcPr>
          <w:p w:rsidR="6AA74701" w:rsidP="6AA74701" w:rsidRDefault="6AA74701" w14:paraId="73D845B4" w14:textId="051FC342">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Within the tendon</w:t>
            </w:r>
          </w:p>
        </w:tc>
        <w:tc>
          <w:tcPr>
            <w:tcW w:w="3006" w:type="dxa"/>
            <w:tcBorders>
              <w:top w:val="single" w:sz="8"/>
              <w:left w:val="single" w:sz="8"/>
              <w:bottom w:val="single" w:sz="8"/>
              <w:right w:val="single" w:sz="8"/>
            </w:tcBorders>
            <w:tcMar>
              <w:left w:w="108" w:type="dxa"/>
              <w:right w:w="108" w:type="dxa"/>
            </w:tcMar>
            <w:vAlign w:val="top"/>
          </w:tcPr>
          <w:p w:rsidR="6AA74701" w:rsidP="6AA74701" w:rsidRDefault="6AA74701" w14:paraId="35868921" w14:textId="3F82EEAC">
            <w:pPr>
              <w:spacing w:before="0" w:beforeAutospacing="off" w:after="0" w:afterAutospacing="off"/>
              <w:rPr>
                <w:rFonts w:ascii="Aptos" w:hAnsi="Aptos" w:eastAsia="Aptos" w:cs="Aptos"/>
                <w:sz w:val="20"/>
                <w:szCs w:val="20"/>
              </w:rPr>
            </w:pPr>
            <w:r w:rsidRPr="6AA74701" w:rsidR="6AA74701">
              <w:rPr>
                <w:rFonts w:ascii="Aptos" w:hAnsi="Aptos" w:eastAsia="Aptos" w:cs="Aptos"/>
                <w:sz w:val="20"/>
                <w:szCs w:val="20"/>
              </w:rPr>
              <w:t xml:space="preserve"> </w:t>
            </w:r>
          </w:p>
        </w:tc>
      </w:tr>
    </w:tbl>
    <w:p xmlns:wp14="http://schemas.microsoft.com/office/word/2010/wordml" w:rsidP="6AA74701" wp14:paraId="529A8226" wp14:textId="125351AC">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Figure 1: BAMIC Grading System (Pollock et al., 2014)</w:t>
      </w:r>
    </w:p>
    <w:p xmlns:wp14="http://schemas.microsoft.com/office/word/2010/wordml" w:rsidP="6AA74701" wp14:paraId="2EC9A615" wp14:textId="4665E0E0">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7AA6330E" wp14:textId="4256AB87">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Red flags</w:t>
      </w:r>
    </w:p>
    <w:p xmlns:wp14="http://schemas.microsoft.com/office/word/2010/wordml" w:rsidP="6AA74701" wp14:paraId="3F37E044" wp14:textId="4BC85B21">
      <w:pPr>
        <w:bidi w:val="0"/>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11D0CDED" wp14:textId="1AEBF1E1">
      <w:pPr>
        <w:pStyle w:val="Normal"/>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Red flags or signs of concern for muscle strains include fever, night sweats, redness, warmth, and swelling around the affected area. Persistent pain that does not improve at any time of day and cannot be relieved by rest or medication should prompt for a further assessment. The presence of a fever or unexplained weight loss may also </w:t>
      </w:r>
      <w:r w:rsidRPr="6AA74701" w:rsidR="4629C4CD">
        <w:rPr>
          <w:rFonts w:ascii="Aptos" w:hAnsi="Aptos" w:eastAsia="Aptos" w:cs="Aptos"/>
          <w:noProof w:val="0"/>
          <w:sz w:val="20"/>
          <w:szCs w:val="20"/>
          <w:lang w:val="en-GB"/>
        </w:rPr>
        <w:t>indicate</w:t>
      </w:r>
      <w:r w:rsidRPr="6AA74701" w:rsidR="4629C4CD">
        <w:rPr>
          <w:rFonts w:ascii="Aptos" w:hAnsi="Aptos" w:eastAsia="Aptos" w:cs="Aptos"/>
          <w:noProof w:val="0"/>
          <w:sz w:val="20"/>
          <w:szCs w:val="20"/>
          <w:lang w:val="en-GB"/>
        </w:rPr>
        <w:t xml:space="preserve"> an underlying infection. Early recognition of these warning signs is imperative as it can help prevent the development of chronic conditions or more serious co</w:t>
      </w:r>
      <w:r w:rsidRPr="6AA74701" w:rsidR="4629C4CD">
        <w:rPr>
          <w:rFonts w:ascii="Aptos" w:hAnsi="Aptos" w:eastAsia="Aptos" w:cs="Aptos"/>
          <w:noProof w:val="0"/>
          <w:color w:val="auto"/>
          <w:sz w:val="20"/>
          <w:szCs w:val="20"/>
          <w:lang w:val="en-GB"/>
        </w:rPr>
        <w:t xml:space="preserve">mplications. </w:t>
      </w:r>
      <w:r w:rsidRPr="6AA74701" w:rsidR="4629C4CD">
        <w:rPr>
          <w:rFonts w:ascii="Aptos" w:hAnsi="Aptos" w:eastAsia="Aptos" w:cs="Aptos"/>
          <w:noProof w:val="0"/>
          <w:color w:val="auto"/>
          <w:sz w:val="20"/>
          <w:szCs w:val="20"/>
          <w:lang w:val="en-GB"/>
        </w:rPr>
        <w:t>Identifying</w:t>
      </w:r>
      <w:r w:rsidRPr="6AA74701" w:rsidR="4629C4CD">
        <w:rPr>
          <w:rFonts w:ascii="Aptos" w:hAnsi="Aptos" w:eastAsia="Aptos" w:cs="Aptos"/>
          <w:noProof w:val="0"/>
          <w:color w:val="auto"/>
          <w:sz w:val="20"/>
          <w:szCs w:val="20"/>
          <w:lang w:val="en-GB"/>
        </w:rPr>
        <w:t xml:space="preserve"> red flags, whether pitch side or after can allow the athlete to be checked over by a medical professional or seen in the hospital</w:t>
      </w:r>
      <w:r w:rsidRPr="6AA74701" w:rsidR="40F8D8A0">
        <w:rPr>
          <w:rFonts w:ascii="Aptos" w:hAnsi="Aptos" w:eastAsia="Aptos" w:cs="Aptos"/>
          <w:noProof w:val="0"/>
          <w:color w:val="auto"/>
          <w:sz w:val="20"/>
          <w:szCs w:val="20"/>
          <w:lang w:val="en-GB"/>
        </w:rPr>
        <w:t xml:space="preserve"> (</w:t>
      </w:r>
      <w:r w:rsidRPr="6AA74701" w:rsidR="40F8D8A0">
        <w:rPr>
          <w:rFonts w:ascii="Aptos" w:hAnsi="Aptos" w:eastAsia="Aptos" w:cs="Aptos"/>
          <w:b w:val="0"/>
          <w:bCs w:val="0"/>
          <w:i w:val="0"/>
          <w:iCs w:val="0"/>
          <w:caps w:val="0"/>
          <w:smallCaps w:val="0"/>
          <w:noProof w:val="0"/>
          <w:color w:val="auto"/>
          <w:sz w:val="20"/>
          <w:szCs w:val="20"/>
          <w:lang w:val="en-GB"/>
        </w:rPr>
        <w:t xml:space="preserve">Gregson, C.L., Armstrong, D.J., </w:t>
      </w:r>
      <w:r w:rsidRPr="6AA74701" w:rsidR="40F8D8A0">
        <w:rPr>
          <w:rFonts w:ascii="Aptos" w:hAnsi="Aptos" w:eastAsia="Aptos" w:cs="Aptos"/>
          <w:b w:val="0"/>
          <w:bCs w:val="0"/>
          <w:i w:val="0"/>
          <w:iCs w:val="0"/>
          <w:caps w:val="0"/>
          <w:smallCaps w:val="0"/>
          <w:noProof w:val="0"/>
          <w:color w:val="auto"/>
          <w:sz w:val="20"/>
          <w:szCs w:val="20"/>
          <w:lang w:val="en-GB"/>
        </w:rPr>
        <w:t>Avgerinou</w:t>
      </w:r>
      <w:r w:rsidRPr="6AA74701" w:rsidR="40F8D8A0">
        <w:rPr>
          <w:rFonts w:ascii="Aptos" w:hAnsi="Aptos" w:eastAsia="Aptos" w:cs="Aptos"/>
          <w:b w:val="0"/>
          <w:bCs w:val="0"/>
          <w:i w:val="0"/>
          <w:iCs w:val="0"/>
          <w:caps w:val="0"/>
          <w:smallCaps w:val="0"/>
          <w:noProof w:val="0"/>
          <w:color w:val="auto"/>
          <w:sz w:val="20"/>
          <w:szCs w:val="20"/>
          <w:lang w:val="en-GB"/>
        </w:rPr>
        <w:t xml:space="preserve">, C. </w:t>
      </w:r>
      <w:r w:rsidRPr="6AA74701" w:rsidR="40F8D8A0">
        <w:rPr>
          <w:rFonts w:ascii="Aptos" w:hAnsi="Aptos" w:eastAsia="Aptos" w:cs="Aptos"/>
          <w:b w:val="0"/>
          <w:bCs w:val="0"/>
          <w:i w:val="1"/>
          <w:iCs w:val="1"/>
          <w:caps w:val="0"/>
          <w:smallCaps w:val="0"/>
          <w:noProof w:val="0"/>
          <w:color w:val="auto"/>
          <w:sz w:val="20"/>
          <w:szCs w:val="20"/>
          <w:lang w:val="en-GB"/>
        </w:rPr>
        <w:t>et al,.2024)</w:t>
      </w:r>
    </w:p>
    <w:p xmlns:wp14="http://schemas.microsoft.com/office/word/2010/wordml" w:rsidP="6AA74701" wp14:paraId="51CD7588" wp14:textId="6401C8D8">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7BA50B9D" wp14:textId="3C78C24A">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Importance of referrals for imaging and surgical intervention</w:t>
      </w:r>
    </w:p>
    <w:p xmlns:wp14="http://schemas.microsoft.com/office/word/2010/wordml" w:rsidP="6AA74701" wp14:paraId="68E01246" wp14:textId="158DDA3C">
      <w:pPr>
        <w:bidi w:val="0"/>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43DC65F2" wp14:textId="413C919C">
      <w:pPr>
        <w:bidi w:val="0"/>
        <w:spacing w:before="0" w:beforeAutospacing="off" w:after="0" w:afterAutospacing="off" w:line="276" w:lineRule="auto"/>
        <w:rPr>
          <w:rFonts w:ascii="Aptos" w:hAnsi="Aptos" w:eastAsia="Aptos" w:cs="Aptos"/>
          <w:noProof w:val="0"/>
          <w:sz w:val="20"/>
          <w:szCs w:val="20"/>
          <w:lang w:val="en-GB"/>
        </w:rPr>
      </w:pPr>
      <w:r w:rsidRPr="2DEB5C24" w:rsidR="4629C4CD">
        <w:rPr>
          <w:rFonts w:ascii="Aptos" w:hAnsi="Aptos" w:eastAsia="Aptos" w:cs="Aptos"/>
          <w:noProof w:val="0"/>
          <w:sz w:val="20"/>
          <w:szCs w:val="20"/>
          <w:lang w:val="en-GB"/>
        </w:rPr>
        <w:t xml:space="preserve">It is </w:t>
      </w:r>
      <w:r w:rsidRPr="2DEB5C24" w:rsidR="4629C4CD">
        <w:rPr>
          <w:rFonts w:ascii="Aptos" w:hAnsi="Aptos" w:eastAsia="Aptos" w:cs="Aptos"/>
          <w:noProof w:val="0"/>
          <w:sz w:val="20"/>
          <w:szCs w:val="20"/>
          <w:lang w:val="en-GB"/>
        </w:rPr>
        <w:t>very important</w:t>
      </w:r>
      <w:r w:rsidRPr="2DEB5C24" w:rsidR="4629C4CD">
        <w:rPr>
          <w:rFonts w:ascii="Aptos" w:hAnsi="Aptos" w:eastAsia="Aptos" w:cs="Aptos"/>
          <w:noProof w:val="0"/>
          <w:sz w:val="20"/>
          <w:szCs w:val="20"/>
          <w:lang w:val="en-GB"/>
        </w:rPr>
        <w:t xml:space="preserve"> to refer the patient for imaging when the severity of a hamstring injury is uncertain. For example, when more than one tendon may be involved and clarity is </w:t>
      </w:r>
      <w:r w:rsidRPr="2DEB5C24" w:rsidR="44976C96">
        <w:rPr>
          <w:rFonts w:ascii="Aptos" w:hAnsi="Aptos" w:eastAsia="Aptos" w:cs="Aptos"/>
          <w:noProof w:val="0"/>
          <w:sz w:val="20"/>
          <w:szCs w:val="20"/>
          <w:lang w:val="en-GB"/>
        </w:rPr>
        <w:t>needed.</w:t>
      </w:r>
      <w:r w:rsidRPr="2DEB5C24" w:rsidR="4629C4CD">
        <w:rPr>
          <w:rFonts w:ascii="Aptos" w:hAnsi="Aptos" w:eastAsia="Aptos" w:cs="Aptos"/>
          <w:noProof w:val="0"/>
          <w:sz w:val="20"/>
          <w:szCs w:val="20"/>
          <w:lang w:val="en-GB"/>
        </w:rPr>
        <w:t xml:space="preserve"> An MRI will </w:t>
      </w:r>
      <w:r w:rsidRPr="2DEB5C24" w:rsidR="4629C4CD">
        <w:rPr>
          <w:rFonts w:ascii="Aptos" w:hAnsi="Aptos" w:eastAsia="Aptos" w:cs="Aptos"/>
          <w:noProof w:val="0"/>
          <w:sz w:val="20"/>
          <w:szCs w:val="20"/>
          <w:lang w:val="en-GB"/>
        </w:rPr>
        <w:t>provide</w:t>
      </w:r>
      <w:r w:rsidRPr="2DEB5C24" w:rsidR="4629C4CD">
        <w:rPr>
          <w:rFonts w:ascii="Aptos" w:hAnsi="Aptos" w:eastAsia="Aptos" w:cs="Aptos"/>
          <w:noProof w:val="0"/>
          <w:sz w:val="20"/>
          <w:szCs w:val="20"/>
          <w:lang w:val="en-GB"/>
        </w:rPr>
        <w:t xml:space="preserve"> a detailed view of the injury, helping to accurately </w:t>
      </w:r>
      <w:r w:rsidRPr="2DEB5C24" w:rsidR="4629C4CD">
        <w:rPr>
          <w:rFonts w:ascii="Aptos" w:hAnsi="Aptos" w:eastAsia="Aptos" w:cs="Aptos"/>
          <w:noProof w:val="0"/>
          <w:sz w:val="20"/>
          <w:szCs w:val="20"/>
          <w:lang w:val="en-GB"/>
        </w:rPr>
        <w:t>determine</w:t>
      </w:r>
      <w:r w:rsidRPr="2DEB5C24" w:rsidR="4629C4CD">
        <w:rPr>
          <w:rFonts w:ascii="Aptos" w:hAnsi="Aptos" w:eastAsia="Aptos" w:cs="Aptos"/>
          <w:noProof w:val="0"/>
          <w:sz w:val="20"/>
          <w:szCs w:val="20"/>
          <w:lang w:val="en-GB"/>
        </w:rPr>
        <w:t xml:space="preserve"> the grade and whether a surgical intervention or conservative rehabilitation is </w:t>
      </w:r>
      <w:r w:rsidRPr="2DEB5C24" w:rsidR="4629C4CD">
        <w:rPr>
          <w:rFonts w:ascii="Aptos" w:hAnsi="Aptos" w:eastAsia="Aptos" w:cs="Aptos"/>
          <w:noProof w:val="0"/>
          <w:sz w:val="20"/>
          <w:szCs w:val="20"/>
          <w:lang w:val="en-GB"/>
        </w:rPr>
        <w:t>appropriate</w:t>
      </w:r>
      <w:r w:rsidRPr="2DEB5C24" w:rsidR="4629C4CD">
        <w:rPr>
          <w:rFonts w:ascii="Aptos" w:hAnsi="Aptos" w:eastAsia="Aptos" w:cs="Aptos"/>
          <w:noProof w:val="0"/>
          <w:sz w:val="20"/>
          <w:szCs w:val="20"/>
          <w:lang w:val="en-GB"/>
        </w:rPr>
        <w:t>. MRI scans are also able to offer reliable guidance for the health professional for return-to-play timelines and can rule out any complications such as tendon avulsions or significant tissue thickening (Arumugam, 2018).</w:t>
      </w:r>
    </w:p>
    <w:p xmlns:wp14="http://schemas.microsoft.com/office/word/2010/wordml" w:rsidP="6AA74701" wp14:paraId="014600F0" wp14:textId="61ED89DA">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00193493" wp14:textId="40633904">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Why is referral important?</w:t>
      </w:r>
    </w:p>
    <w:p xmlns:wp14="http://schemas.microsoft.com/office/word/2010/wordml" w:rsidP="6AA74701" wp14:paraId="6D04DBA8" wp14:textId="7677FC97">
      <w:pPr>
        <w:bidi w:val="0"/>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03548914" wp14:textId="21BBA607">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Failure to refer a serious hamstring strain can result in chronic pain and even persistent weakness in the affected area. Imaging may be necessary to accurately grade the injury and to rule out and further complication such as tendon avulsion or complete tears (Arumugam, 2018). Additionally, the development of symptoms such as bladder or bowl dysfunction may </w:t>
      </w:r>
      <w:r w:rsidRPr="6AA74701" w:rsidR="4629C4CD">
        <w:rPr>
          <w:rFonts w:ascii="Aptos" w:hAnsi="Aptos" w:eastAsia="Aptos" w:cs="Aptos"/>
          <w:noProof w:val="0"/>
          <w:sz w:val="20"/>
          <w:szCs w:val="20"/>
          <w:lang w:val="en-GB"/>
        </w:rPr>
        <w:t>indicate</w:t>
      </w:r>
      <w:r w:rsidRPr="6AA74701" w:rsidR="4629C4CD">
        <w:rPr>
          <w:rFonts w:ascii="Aptos" w:hAnsi="Aptos" w:eastAsia="Aptos" w:cs="Aptos"/>
          <w:noProof w:val="0"/>
          <w:sz w:val="20"/>
          <w:szCs w:val="20"/>
          <w:lang w:val="en-GB"/>
        </w:rPr>
        <w:t xml:space="preserve"> that there is an underlying issue unrelated to the hamstring (Fiset et al., 2024). For example, one study reported a case initially misdiagnosed as a low-grade hamstring strain, where the patient later developed bladder problems, lower back pain, and leg weakness. The MRI was able to reveal a lumbar disc herniation rather than a hamstring injury (Fiset et al., 2024).</w:t>
      </w:r>
    </w:p>
    <w:p xmlns:wp14="http://schemas.microsoft.com/office/word/2010/wordml" w:rsidP="6AA74701" wp14:paraId="597A2104" wp14:textId="7DEAD5D7">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 xml:space="preserve"> </w:t>
      </w:r>
    </w:p>
    <w:p xmlns:wp14="http://schemas.microsoft.com/office/word/2010/wordml" w:rsidP="6AA74701" wp14:paraId="7AF9CB64" wp14:textId="51A5C92D">
      <w:pPr>
        <w:bidi w:val="0"/>
        <w:spacing w:before="0" w:beforeAutospacing="off" w:after="0" w:afterAutospacing="off" w:line="276" w:lineRule="auto"/>
        <w:rPr>
          <w:rFonts w:ascii="Aptos" w:hAnsi="Aptos" w:eastAsia="Aptos" w:cs="Aptos"/>
          <w:noProof w:val="0"/>
          <w:sz w:val="20"/>
          <w:szCs w:val="20"/>
          <w:lang w:val="en-GB"/>
        </w:rPr>
      </w:pPr>
      <w:r w:rsidRPr="6AA74701" w:rsidR="4629C4CD">
        <w:rPr>
          <w:rFonts w:ascii="Aptos" w:hAnsi="Aptos" w:eastAsia="Aptos" w:cs="Aptos"/>
          <w:noProof w:val="0"/>
          <w:sz w:val="20"/>
          <w:szCs w:val="20"/>
          <w:lang w:val="en-GB"/>
        </w:rPr>
        <w:t>When to refer</w:t>
      </w:r>
    </w:p>
    <w:p xmlns:wp14="http://schemas.microsoft.com/office/word/2010/wordml" w:rsidP="6AA74701" wp14:paraId="77225601" wp14:textId="2B8624BD">
      <w:pPr>
        <w:bidi w:val="0"/>
        <w:spacing w:before="0" w:beforeAutospacing="off" w:after="0" w:afterAutospacing="off" w:line="276" w:lineRule="auto"/>
        <w:rPr>
          <w:rFonts w:ascii="Aptos" w:hAnsi="Aptos" w:eastAsia="Aptos" w:cs="Aptos"/>
          <w:noProof w:val="0"/>
          <w:sz w:val="20"/>
          <w:szCs w:val="20"/>
          <w:lang w:val="en-GB"/>
        </w:rPr>
      </w:pPr>
      <w:r w:rsidRPr="165C1C47" w:rsidR="4629C4CD">
        <w:rPr>
          <w:rFonts w:ascii="Aptos" w:hAnsi="Aptos" w:eastAsia="Aptos" w:cs="Aptos"/>
          <w:noProof w:val="0"/>
          <w:sz w:val="20"/>
          <w:szCs w:val="20"/>
          <w:lang w:val="en-GB"/>
        </w:rPr>
        <w:t xml:space="preserve">Referral for imaging is important if an athlete is unable to weight-bear, or if there are significant signs of bruising or swelling, </w:t>
      </w:r>
      <w:r w:rsidRPr="165C1C47" w:rsidR="4EA34E4C">
        <w:rPr>
          <w:rFonts w:ascii="Aptos" w:hAnsi="Aptos" w:eastAsia="Aptos" w:cs="Aptos"/>
          <w:noProof w:val="0"/>
          <w:sz w:val="20"/>
          <w:szCs w:val="20"/>
          <w:lang w:val="en-GB"/>
        </w:rPr>
        <w:t>to</w:t>
      </w:r>
      <w:r w:rsidRPr="165C1C47" w:rsidR="4629C4CD">
        <w:rPr>
          <w:rFonts w:ascii="Aptos" w:hAnsi="Aptos" w:eastAsia="Aptos" w:cs="Aptos"/>
          <w:noProof w:val="0"/>
          <w:sz w:val="20"/>
          <w:szCs w:val="20"/>
          <w:lang w:val="en-GB"/>
        </w:rPr>
        <w:t xml:space="preserve"> </w:t>
      </w:r>
      <w:r w:rsidRPr="165C1C47" w:rsidR="4629C4CD">
        <w:rPr>
          <w:rFonts w:ascii="Aptos" w:hAnsi="Aptos" w:eastAsia="Aptos" w:cs="Aptos"/>
          <w:noProof w:val="0"/>
          <w:sz w:val="20"/>
          <w:szCs w:val="20"/>
          <w:lang w:val="en-GB"/>
        </w:rPr>
        <w:t>determine</w:t>
      </w:r>
      <w:r w:rsidRPr="165C1C47" w:rsidR="4629C4CD">
        <w:rPr>
          <w:rFonts w:ascii="Aptos" w:hAnsi="Aptos" w:eastAsia="Aptos" w:cs="Aptos"/>
          <w:noProof w:val="0"/>
          <w:sz w:val="20"/>
          <w:szCs w:val="20"/>
          <w:lang w:val="en-GB"/>
        </w:rPr>
        <w:t xml:space="preserve"> the exact cause of the injury. If pain and discomfort persist two weeks port injury, a referral for </w:t>
      </w:r>
      <w:r w:rsidRPr="165C1C47" w:rsidR="4629C4CD">
        <w:rPr>
          <w:rFonts w:ascii="Aptos" w:hAnsi="Aptos" w:eastAsia="Aptos" w:cs="Aptos"/>
          <w:noProof w:val="0"/>
          <w:sz w:val="20"/>
          <w:szCs w:val="20"/>
          <w:lang w:val="en-GB"/>
        </w:rPr>
        <w:t>appropriate rehabilitation</w:t>
      </w:r>
      <w:r w:rsidRPr="165C1C47" w:rsidR="4629C4CD">
        <w:rPr>
          <w:rFonts w:ascii="Aptos" w:hAnsi="Aptos" w:eastAsia="Aptos" w:cs="Aptos"/>
          <w:noProof w:val="0"/>
          <w:sz w:val="20"/>
          <w:szCs w:val="20"/>
          <w:lang w:val="en-GB"/>
        </w:rPr>
        <w:t xml:space="preserve"> is recommended (Plastow, </w:t>
      </w:r>
      <w:r w:rsidRPr="165C1C47" w:rsidR="4629C4CD">
        <w:rPr>
          <w:rFonts w:ascii="Aptos" w:hAnsi="Aptos" w:eastAsia="Aptos" w:cs="Aptos"/>
          <w:noProof w:val="0"/>
          <w:sz w:val="20"/>
          <w:szCs w:val="20"/>
          <w:lang w:val="en-GB"/>
        </w:rPr>
        <w:t>Kerkhoffs</w:t>
      </w:r>
      <w:r w:rsidRPr="165C1C47" w:rsidR="4629C4CD">
        <w:rPr>
          <w:rFonts w:ascii="Aptos" w:hAnsi="Aptos" w:eastAsia="Aptos" w:cs="Aptos"/>
          <w:noProof w:val="0"/>
          <w:sz w:val="20"/>
          <w:szCs w:val="20"/>
          <w:lang w:val="en-GB"/>
        </w:rPr>
        <w:t xml:space="preserve">, and Wood, 2023). Other indications for an MRI referral include a palpable gap in the muscle, pain around the ischial tuberosity, a history of </w:t>
      </w:r>
      <w:r w:rsidRPr="165C1C47" w:rsidR="4629C4CD">
        <w:rPr>
          <w:rFonts w:ascii="Aptos" w:hAnsi="Aptos" w:eastAsia="Aptos" w:cs="Aptos"/>
          <w:noProof w:val="0"/>
          <w:sz w:val="20"/>
          <w:szCs w:val="20"/>
          <w:lang w:val="en-GB"/>
        </w:rPr>
        <w:t>previous</w:t>
      </w:r>
      <w:r w:rsidRPr="165C1C47" w:rsidR="4629C4CD">
        <w:rPr>
          <w:rFonts w:ascii="Aptos" w:hAnsi="Aptos" w:eastAsia="Aptos" w:cs="Aptos"/>
          <w:noProof w:val="0"/>
          <w:sz w:val="20"/>
          <w:szCs w:val="20"/>
          <w:lang w:val="en-GB"/>
        </w:rPr>
        <w:t xml:space="preserve"> hamstring injuries, or suspicion of a more severe strain (Chenxi Hu et al., 2022). When referring a patient for an MRI, the patient’s full details and the suspected injury grading should be provided. Using the BAMIC grading system and ruling out avulsion fractures allows clinicians</w:t>
      </w:r>
      <w:r w:rsidRPr="165C1C47" w:rsidR="4629C4CD">
        <w:rPr>
          <w:rFonts w:ascii="Aptos" w:hAnsi="Aptos" w:eastAsia="Aptos" w:cs="Aptos"/>
          <w:noProof w:val="0"/>
          <w:sz w:val="20"/>
          <w:szCs w:val="20"/>
          <w:lang w:val="en-GB"/>
        </w:rPr>
        <w:t xml:space="preserve"> to </w:t>
      </w:r>
      <w:r w:rsidRPr="165C1C47" w:rsidR="4629C4CD">
        <w:rPr>
          <w:rFonts w:ascii="Aptos" w:hAnsi="Aptos" w:eastAsia="Aptos" w:cs="Aptos"/>
          <w:noProof w:val="0"/>
          <w:sz w:val="20"/>
          <w:szCs w:val="20"/>
          <w:lang w:val="en-GB"/>
        </w:rPr>
        <w:t>establish</w:t>
      </w:r>
      <w:r w:rsidRPr="165C1C47" w:rsidR="4629C4CD">
        <w:rPr>
          <w:rFonts w:ascii="Aptos" w:hAnsi="Aptos" w:eastAsia="Aptos" w:cs="Aptos"/>
          <w:noProof w:val="0"/>
          <w:sz w:val="20"/>
          <w:szCs w:val="20"/>
          <w:lang w:val="en-GB"/>
        </w:rPr>
        <w:t xml:space="preserve"> a clear return-to-play plan or rehabilitation programme (Pollock et al., 2014). Referrals can be made through the NHS or via private healthcare if the athlete has private medical coverage.</w:t>
      </w:r>
    </w:p>
    <w:p w:rsidR="165C1C47" w:rsidP="165C1C47" w:rsidRDefault="165C1C47" w14:paraId="0B114D89" w14:textId="4348D5F2">
      <w:pPr>
        <w:bidi w:val="0"/>
        <w:spacing w:before="0" w:beforeAutospacing="off" w:after="0" w:afterAutospacing="off" w:line="276" w:lineRule="auto"/>
        <w:rPr>
          <w:rFonts w:ascii="Aptos" w:hAnsi="Aptos" w:eastAsia="Aptos" w:cs="Aptos"/>
          <w:noProof w:val="0"/>
          <w:sz w:val="20"/>
          <w:szCs w:val="20"/>
          <w:lang w:val="en-GB"/>
        </w:rPr>
      </w:pPr>
    </w:p>
    <w:p w:rsidR="71B5C53E" w:rsidP="165C1C47" w:rsidRDefault="71B5C53E" w14:paraId="76282D64" w14:textId="5D94CED7">
      <w:pPr>
        <w:bidi w:val="0"/>
        <w:spacing w:before="0" w:beforeAutospacing="off" w:after="0" w:afterAutospacing="off" w:line="276" w:lineRule="auto"/>
        <w:rPr>
          <w:rFonts w:ascii="Aptos" w:hAnsi="Aptos" w:eastAsia="Aptos" w:cs="Aptos"/>
          <w:noProof w:val="0"/>
          <w:sz w:val="20"/>
          <w:szCs w:val="20"/>
          <w:lang w:val="en-GB"/>
        </w:rPr>
      </w:pPr>
      <w:r w:rsidRPr="165C1C47" w:rsidR="71B5C53E">
        <w:rPr>
          <w:rFonts w:ascii="Aptos" w:hAnsi="Aptos" w:eastAsia="Aptos" w:cs="Aptos"/>
          <w:noProof w:val="0"/>
          <w:sz w:val="20"/>
          <w:szCs w:val="20"/>
          <w:lang w:val="en-GB"/>
        </w:rPr>
        <w:t xml:space="preserve">Conclusion </w:t>
      </w:r>
    </w:p>
    <w:p w:rsidR="165C1C47" w:rsidP="165C1C47" w:rsidRDefault="165C1C47" w14:paraId="52FB0C8C" w14:textId="5E01CF5D">
      <w:pPr>
        <w:bidi w:val="0"/>
        <w:spacing w:before="0" w:beforeAutospacing="off" w:after="0" w:afterAutospacing="off" w:line="276" w:lineRule="auto"/>
        <w:rPr>
          <w:rFonts w:ascii="Aptos" w:hAnsi="Aptos" w:eastAsia="Aptos" w:cs="Aptos"/>
          <w:noProof w:val="0"/>
          <w:sz w:val="20"/>
          <w:szCs w:val="20"/>
          <w:lang w:val="en-GB"/>
        </w:rPr>
      </w:pPr>
    </w:p>
    <w:p w:rsidR="71B5C53E" w:rsidP="165C1C47" w:rsidRDefault="71B5C53E" w14:paraId="1F8772F2" w14:textId="3017DCE7">
      <w:pPr>
        <w:bidi w:val="0"/>
        <w:spacing w:before="0" w:beforeAutospacing="off" w:after="0" w:afterAutospacing="off" w:line="276" w:lineRule="auto"/>
        <w:rPr>
          <w:rFonts w:ascii="Aptos" w:hAnsi="Aptos" w:eastAsia="Aptos" w:cs="Aptos"/>
          <w:noProof w:val="0"/>
          <w:sz w:val="20"/>
          <w:szCs w:val="20"/>
          <w:lang w:val="en-GB"/>
        </w:rPr>
      </w:pPr>
      <w:r w:rsidRPr="165C1C47" w:rsidR="71B5C53E">
        <w:rPr>
          <w:rFonts w:ascii="Aptos" w:hAnsi="Aptos" w:eastAsia="Aptos" w:cs="Aptos"/>
          <w:noProof w:val="0"/>
          <w:sz w:val="20"/>
          <w:szCs w:val="20"/>
          <w:lang w:val="en-GB"/>
        </w:rPr>
        <w:t xml:space="preserve">To conclude, a hamstring strain has many </w:t>
      </w:r>
      <w:r w:rsidRPr="165C1C47" w:rsidR="0A4CBE4E">
        <w:rPr>
          <w:rFonts w:ascii="Aptos" w:hAnsi="Aptos" w:eastAsia="Aptos" w:cs="Aptos"/>
          <w:noProof w:val="0"/>
          <w:sz w:val="20"/>
          <w:szCs w:val="20"/>
          <w:lang w:val="en-GB"/>
        </w:rPr>
        <w:t>different grading</w:t>
      </w:r>
      <w:r w:rsidRPr="165C1C47" w:rsidR="027A6644">
        <w:rPr>
          <w:rFonts w:ascii="Aptos" w:hAnsi="Aptos" w:eastAsia="Aptos" w:cs="Aptos"/>
          <w:noProof w:val="0"/>
          <w:sz w:val="20"/>
          <w:szCs w:val="20"/>
          <w:lang w:val="en-GB"/>
        </w:rPr>
        <w:t>s</w:t>
      </w:r>
      <w:r w:rsidRPr="165C1C47" w:rsidR="0A4CBE4E">
        <w:rPr>
          <w:rFonts w:ascii="Aptos" w:hAnsi="Aptos" w:eastAsia="Aptos" w:cs="Aptos"/>
          <w:noProof w:val="0"/>
          <w:sz w:val="20"/>
          <w:szCs w:val="20"/>
          <w:lang w:val="en-GB"/>
        </w:rPr>
        <w:t xml:space="preserve"> that can either be diagnosed via</w:t>
      </w:r>
      <w:r w:rsidRPr="165C1C47" w:rsidR="5BBA7910">
        <w:rPr>
          <w:rFonts w:ascii="Aptos" w:hAnsi="Aptos" w:eastAsia="Aptos" w:cs="Aptos"/>
          <w:noProof w:val="0"/>
          <w:sz w:val="20"/>
          <w:szCs w:val="20"/>
          <w:lang w:val="en-GB"/>
        </w:rPr>
        <w:t xml:space="preserve"> a</w:t>
      </w:r>
      <w:r w:rsidRPr="165C1C47" w:rsidR="0A4CBE4E">
        <w:rPr>
          <w:rFonts w:ascii="Aptos" w:hAnsi="Aptos" w:eastAsia="Aptos" w:cs="Aptos"/>
          <w:noProof w:val="0"/>
          <w:sz w:val="20"/>
          <w:szCs w:val="20"/>
          <w:lang w:val="en-GB"/>
        </w:rPr>
        <w:t xml:space="preserve"> therapist or further MRI scans. </w:t>
      </w:r>
      <w:r w:rsidRPr="165C1C47" w:rsidR="1B1D1FCB">
        <w:rPr>
          <w:rFonts w:ascii="Aptos" w:hAnsi="Aptos" w:eastAsia="Aptos" w:cs="Aptos"/>
          <w:noProof w:val="0"/>
          <w:sz w:val="20"/>
          <w:szCs w:val="20"/>
          <w:lang w:val="en-GB"/>
        </w:rPr>
        <w:t>Aggravating</w:t>
      </w:r>
      <w:r w:rsidRPr="165C1C47" w:rsidR="0A4CBE4E">
        <w:rPr>
          <w:rFonts w:ascii="Aptos" w:hAnsi="Aptos" w:eastAsia="Aptos" w:cs="Aptos"/>
          <w:noProof w:val="0"/>
          <w:sz w:val="20"/>
          <w:szCs w:val="20"/>
          <w:lang w:val="en-GB"/>
        </w:rPr>
        <w:t xml:space="preserve"> factors such as </w:t>
      </w:r>
      <w:r w:rsidRPr="165C1C47" w:rsidR="45C1EB8A">
        <w:rPr>
          <w:rFonts w:ascii="Aptos" w:hAnsi="Aptos" w:eastAsia="Aptos" w:cs="Aptos"/>
          <w:noProof w:val="0"/>
          <w:sz w:val="20"/>
          <w:szCs w:val="20"/>
          <w:lang w:val="en-GB"/>
        </w:rPr>
        <w:t xml:space="preserve">ignoring the signs and symptoms of a tear or strain or overloading the injury. </w:t>
      </w:r>
      <w:r w:rsidRPr="165C1C47" w:rsidR="1FFD3386">
        <w:rPr>
          <w:rFonts w:ascii="Aptos" w:hAnsi="Aptos" w:eastAsia="Aptos" w:cs="Aptos"/>
          <w:noProof w:val="0"/>
          <w:sz w:val="20"/>
          <w:szCs w:val="20"/>
          <w:lang w:val="en-GB"/>
        </w:rPr>
        <w:t>Relieving</w:t>
      </w:r>
      <w:r w:rsidRPr="165C1C47" w:rsidR="45C1EB8A">
        <w:rPr>
          <w:rFonts w:ascii="Aptos" w:hAnsi="Aptos" w:eastAsia="Aptos" w:cs="Aptos"/>
          <w:noProof w:val="0"/>
          <w:sz w:val="20"/>
          <w:szCs w:val="20"/>
          <w:lang w:val="en-GB"/>
        </w:rPr>
        <w:t xml:space="preserve"> factors include </w:t>
      </w:r>
      <w:r w:rsidRPr="165C1C47" w:rsidR="79237376">
        <w:rPr>
          <w:rFonts w:ascii="Aptos" w:hAnsi="Aptos" w:eastAsia="Aptos" w:cs="Aptos"/>
          <w:noProof w:val="0"/>
          <w:sz w:val="20"/>
          <w:szCs w:val="20"/>
          <w:lang w:val="en-GB"/>
        </w:rPr>
        <w:t xml:space="preserve">resting the hamstring, ice, </w:t>
      </w:r>
      <w:r w:rsidRPr="165C1C47" w:rsidR="79237376">
        <w:rPr>
          <w:rFonts w:ascii="Aptos" w:hAnsi="Aptos" w:eastAsia="Aptos" w:cs="Aptos"/>
          <w:noProof w:val="0"/>
          <w:sz w:val="20"/>
          <w:szCs w:val="20"/>
          <w:lang w:val="en-GB"/>
        </w:rPr>
        <w:t>compression</w:t>
      </w:r>
      <w:r w:rsidRPr="165C1C47" w:rsidR="79237376">
        <w:rPr>
          <w:rFonts w:ascii="Aptos" w:hAnsi="Aptos" w:eastAsia="Aptos" w:cs="Aptos"/>
          <w:noProof w:val="0"/>
          <w:sz w:val="20"/>
          <w:szCs w:val="20"/>
          <w:lang w:val="en-GB"/>
        </w:rPr>
        <w:t xml:space="preserve"> and tailored rehabilitation. The </w:t>
      </w:r>
      <w:r w:rsidRPr="165C1C47" w:rsidR="03717044">
        <w:rPr>
          <w:rFonts w:ascii="Aptos" w:hAnsi="Aptos" w:eastAsia="Aptos" w:cs="Aptos"/>
          <w:noProof w:val="0"/>
          <w:sz w:val="20"/>
          <w:szCs w:val="20"/>
          <w:lang w:val="en-GB"/>
        </w:rPr>
        <w:t>importance</w:t>
      </w:r>
      <w:r w:rsidRPr="165C1C47" w:rsidR="79237376">
        <w:rPr>
          <w:rFonts w:ascii="Aptos" w:hAnsi="Aptos" w:eastAsia="Aptos" w:cs="Aptos"/>
          <w:noProof w:val="0"/>
          <w:sz w:val="20"/>
          <w:szCs w:val="20"/>
          <w:lang w:val="en-GB"/>
        </w:rPr>
        <w:t xml:space="preserve"> of </w:t>
      </w:r>
      <w:r w:rsidRPr="165C1C47" w:rsidR="1AAB73BB">
        <w:rPr>
          <w:rFonts w:ascii="Aptos" w:hAnsi="Aptos" w:eastAsia="Aptos" w:cs="Aptos"/>
          <w:noProof w:val="0"/>
          <w:sz w:val="20"/>
          <w:szCs w:val="20"/>
          <w:lang w:val="en-GB"/>
        </w:rPr>
        <w:t>referrals</w:t>
      </w:r>
      <w:r w:rsidRPr="165C1C47" w:rsidR="79237376">
        <w:rPr>
          <w:rFonts w:ascii="Aptos" w:hAnsi="Aptos" w:eastAsia="Aptos" w:cs="Aptos"/>
          <w:noProof w:val="0"/>
          <w:sz w:val="20"/>
          <w:szCs w:val="20"/>
          <w:lang w:val="en-GB"/>
        </w:rPr>
        <w:t xml:space="preserve"> </w:t>
      </w:r>
      <w:r w:rsidRPr="165C1C47" w:rsidR="235EB3CD">
        <w:rPr>
          <w:rFonts w:ascii="Aptos" w:hAnsi="Aptos" w:eastAsia="Aptos" w:cs="Aptos"/>
          <w:noProof w:val="0"/>
          <w:sz w:val="20"/>
          <w:szCs w:val="20"/>
          <w:lang w:val="en-GB"/>
        </w:rPr>
        <w:t xml:space="preserve">and knowing red flags </w:t>
      </w:r>
      <w:r w:rsidRPr="165C1C47" w:rsidR="608E7EC4">
        <w:rPr>
          <w:rFonts w:ascii="Aptos" w:hAnsi="Aptos" w:eastAsia="Aptos" w:cs="Aptos"/>
          <w:noProof w:val="0"/>
          <w:sz w:val="20"/>
          <w:szCs w:val="20"/>
          <w:lang w:val="en-GB"/>
        </w:rPr>
        <w:t>and when to refer an athlete</w:t>
      </w:r>
      <w:r w:rsidRPr="165C1C47" w:rsidR="246A9916">
        <w:rPr>
          <w:rFonts w:ascii="Aptos" w:hAnsi="Aptos" w:eastAsia="Aptos" w:cs="Aptos"/>
          <w:noProof w:val="0"/>
          <w:sz w:val="20"/>
          <w:szCs w:val="20"/>
          <w:lang w:val="en-GB"/>
        </w:rPr>
        <w:t xml:space="preserve"> to prevent further medical complications. </w:t>
      </w:r>
    </w:p>
    <w:p w:rsidR="165C1C47" w:rsidP="165C1C47" w:rsidRDefault="165C1C47" w14:paraId="7C0E542F" w14:textId="04A65B3E">
      <w:pPr>
        <w:bidi w:val="0"/>
        <w:rPr>
          <w:rFonts w:ascii="Aptos" w:hAnsi="Aptos" w:eastAsia="Aptos" w:cs="Aptos"/>
          <w:noProof w:val="0"/>
          <w:sz w:val="24"/>
          <w:szCs w:val="24"/>
          <w:lang w:val="en-GB"/>
        </w:rPr>
      </w:pPr>
    </w:p>
    <w:p xmlns:wp14="http://schemas.microsoft.com/office/word/2010/wordml" w:rsidP="6AA74701" wp14:paraId="0930E549" wp14:textId="5FD698B7">
      <w:pPr>
        <w:bidi w:val="0"/>
        <w:rPr>
          <w:rFonts w:ascii="Aptos" w:hAnsi="Aptos" w:eastAsia="Aptos" w:cs="Aptos"/>
          <w:noProof w:val="0"/>
          <w:sz w:val="24"/>
          <w:szCs w:val="24"/>
          <w:lang w:val="en-GB"/>
        </w:rPr>
      </w:pPr>
      <w:r w:rsidRPr="6AA74701" w:rsidR="4EA2622F">
        <w:rPr>
          <w:rFonts w:ascii="Aptos" w:hAnsi="Aptos" w:eastAsia="Aptos" w:cs="Aptos"/>
          <w:noProof w:val="0"/>
          <w:sz w:val="24"/>
          <w:szCs w:val="24"/>
          <w:lang w:val="en-GB"/>
        </w:rPr>
        <w:t>Reference list</w:t>
      </w:r>
      <w:r w:rsidRPr="6AA74701" w:rsidR="4629C4CD">
        <w:rPr>
          <w:rFonts w:ascii="Aptos" w:hAnsi="Aptos" w:eastAsia="Aptos" w:cs="Aptos"/>
          <w:noProof w:val="0"/>
          <w:sz w:val="24"/>
          <w:szCs w:val="24"/>
          <w:lang w:val="en-GB"/>
        </w:rPr>
        <w:t xml:space="preserve"> </w:t>
      </w:r>
    </w:p>
    <w:p xmlns:wp14="http://schemas.microsoft.com/office/word/2010/wordml" w:rsidP="6AA74701" wp14:paraId="0650F473" wp14:textId="1F4EAE97">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Askling, C.M., </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Tengvar</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M., </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Saartok</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T. &amp; Thorstensson, A., 2007. Acute first-time hamstring strains during high-speed running: a longitudinal study including clinical and magnetic resonance imaging findings.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The American Journal of Sports Medicine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35(2), pp.197–206.</w:t>
      </w:r>
    </w:p>
    <w:p xmlns:wp14="http://schemas.microsoft.com/office/word/2010/wordml" w:rsidP="6AA74701" wp14:paraId="4124F761" wp14:textId="2998EDB6">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Askling, C.M., Tengvar, M. &amp; Thorstensson, A., 2013. Acute hamstring injuries in Swedish elite football: a prospective randomised controlled clinical trial comparing two rehabilitation protocols.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British Journal of Sports Medicine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47(15), pp.953–959.</w:t>
      </w:r>
    </w:p>
    <w:p xmlns:wp14="http://schemas.microsoft.com/office/word/2010/wordml" w:rsidP="6AA74701" wp14:paraId="14FB4B80" wp14:textId="26FC4715">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Askling C, Saartok T, Thorstensson A (2006) Type of acute hamstring strain affects flexibility, strength, and time to return to pre-injury level. Br J Sports Med 40:40–44</w:t>
      </w:r>
    </w:p>
    <w:p xmlns:wp14="http://schemas.microsoft.com/office/word/2010/wordml" w:rsidP="6AA74701" wp14:paraId="21B24C07" wp14:textId="70F9A46F">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Allahabadi S, Salazar LM, Obioha OA, Fenn TW, Chahla J, Nho SJ. Hamstring Injuries: A Current Concepts Review: Evaluation, Nonoperative Treatment, and Surgical Decision Making.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The American Journal of Sports Medicine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2023;52(3):832-844. doi:</w:t>
      </w:r>
      <w:hyperlink r:id="R14cfb55f3c9f4525">
        <w:r w:rsidRPr="6AA74701" w:rsidR="05CD44CC">
          <w:rPr>
            <w:rStyle w:val="Hyperlink"/>
            <w:rFonts w:ascii="Aptos" w:hAnsi="Aptos" w:eastAsia="Aptos" w:cs="Aptos"/>
            <w:b w:val="0"/>
            <w:bCs w:val="0"/>
            <w:i w:val="0"/>
            <w:iCs w:val="0"/>
            <w:caps w:val="0"/>
            <w:smallCaps w:val="0"/>
            <w:strike w:val="0"/>
            <w:dstrike w:val="0"/>
            <w:noProof w:val="0"/>
            <w:sz w:val="20"/>
            <w:szCs w:val="20"/>
            <w:lang w:val="en-GB"/>
          </w:rPr>
          <w:t>10.1177/03635465231164931</w:t>
        </w:r>
      </w:hyperlink>
    </w:p>
    <w:p xmlns:wp14="http://schemas.microsoft.com/office/word/2010/wordml" w:rsidP="6AA74701" wp14:paraId="5738BE67" wp14:textId="10E4C0EC">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Croisier, J.L., 2004. Factors associated with recurrent hamstring injuries.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Sports Medicine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34(10), pp.681–695</w:t>
      </w:r>
    </w:p>
    <w:p xmlns:wp14="http://schemas.microsoft.com/office/word/2010/wordml" w:rsidP="6AA74701" wp14:paraId="6EED1D60" wp14:textId="161E9A37">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Cohen, S.B., Towers, J.D., Zoga, A., Irrgang, J.J., Makda, J., Deluca, P.F. and Bradley, J.P. (2011). Hamstring Injuries in Professional Football Players.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Sports Health: A Multidisciplinary Approach</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3(5), pp.423–430</w:t>
      </w:r>
    </w:p>
    <w:p xmlns:wp14="http://schemas.microsoft.com/office/word/2010/wordml" w:rsidP="6AA74701" wp14:paraId="1A4766F1" wp14:textId="5783FE81">
      <w:pPr>
        <w:bidi w:val="0"/>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Connell DA, Schneider-Kolsky ME, Hoving JL, Malara F, Buchbinder R, Koulouris G, Burke F, Bass C (2004) Longitudinal study comparing sonographic and MRI assessments of acute and healing hamstring injuries. AJR Am J Roentgenol 183:975–984</w:t>
      </w:r>
    </w:p>
    <w:p xmlns:wp14="http://schemas.microsoft.com/office/word/2010/wordml" w:rsidP="6AA74701" wp14:paraId="2DEC67CD" wp14:textId="617E95F6">
      <w:pPr>
        <w:bidi w:val="0"/>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Chenxi Hu, Zhikun Du, Mei Tao and Yafeng Song (2022). Hamstring Strain Injury in Athletes: A Summary of Clinical Practice Guideline Recommendations: Using the Evidence to Guide Physical Therapist Practice.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Journal of Orthopaedic &amp; Sports Physical Therapy</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52(3), pp.127–128. doi:https://doi.org/10.2519/jospt.2022.0501.</w:t>
      </w:r>
    </w:p>
    <w:p xmlns:wp14="http://schemas.microsoft.com/office/word/2010/wordml" w:rsidP="2DEB5C24" wp14:paraId="67C0B5AC" wp14:textId="14C54ED2">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Ekstrand J, Healy JC, </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Waldén</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M</w:t>
      </w:r>
      <w:r w:rsidRPr="2DEB5C24" w:rsidR="05CD44CC">
        <w:rPr>
          <w:rFonts w:ascii="Aptos" w:hAnsi="Aptos" w:eastAsia="Aptos" w:cs="Aptos"/>
          <w:b w:val="0"/>
          <w:bCs w:val="0"/>
          <w:i w:val="1"/>
          <w:iCs w:val="1"/>
          <w:caps w:val="0"/>
          <w:smallCaps w:val="0"/>
          <w:noProof w:val="0"/>
          <w:color w:val="000000" w:themeColor="text1" w:themeTint="FF" w:themeShade="FF"/>
          <w:sz w:val="20"/>
          <w:szCs w:val="20"/>
          <w:lang w:val="en-GB"/>
        </w:rPr>
        <w:t>, L C Justin, English B, Hagglund M,</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2012 Hamstring muscle injuries in professional football: the correlation of MRI findings with return to play </w:t>
      </w:r>
      <w:r w:rsidRPr="2DEB5C24" w:rsidR="05CD44CC">
        <w:rPr>
          <w:rFonts w:ascii="Aptos" w:hAnsi="Aptos" w:eastAsia="Aptos" w:cs="Aptos"/>
          <w:b w:val="0"/>
          <w:bCs w:val="0"/>
          <w:i w:val="1"/>
          <w:iCs w:val="1"/>
          <w:caps w:val="0"/>
          <w:smallCaps w:val="0"/>
          <w:noProof w:val="0"/>
          <w:color w:val="000000" w:themeColor="text1" w:themeTint="FF" w:themeShade="FF"/>
          <w:sz w:val="20"/>
          <w:szCs w:val="20"/>
          <w:lang w:val="en-GB"/>
        </w:rPr>
        <w:t>British Journal of Sports Medicine</w:t>
      </w:r>
    </w:p>
    <w:p xmlns:wp14="http://schemas.microsoft.com/office/word/2010/wordml" w:rsidP="2DEB5C24" wp14:paraId="58CC7881" wp14:textId="49E9A93E">
      <w:pPr>
        <w:bidi w:val="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pPr>
      <w:r w:rsidRPr="2DEB5C24" w:rsidR="3E433D5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xml:space="preserve">Fiset, V., Lemire, J.J., Gauthier, J.L. &amp; </w:t>
      </w:r>
      <w:r w:rsidRPr="2DEB5C24" w:rsidR="3E433D5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Châtillon</w:t>
      </w:r>
      <w:r w:rsidRPr="2DEB5C24" w:rsidR="3E433D5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 C.E., 2024. Misdiagnosed hamstring strain injury: a case report of early cauda equina syndrome. The Journal of the Canadian Chiropractic Association, 68(3), pp.224–232.</w:t>
      </w:r>
    </w:p>
    <w:p xmlns:wp14="http://schemas.microsoft.com/office/word/2010/wordml" w:rsidP="2DEB5C24" wp14:paraId="0DC5A039" wp14:textId="4B20D5D7">
      <w:pPr>
        <w:pStyle w:val="Normal"/>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Freckleton G, </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Pizzari</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T Risk factors for hamstring muscle strain injury in sport: a systematic review and meta-</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analysis</w:t>
      </w:r>
      <w:r w:rsidRPr="2DEB5C24" w:rsidR="05CD44CC">
        <w:rPr>
          <w:rFonts w:ascii="Aptos" w:hAnsi="Aptos" w:eastAsia="Aptos" w:cs="Aptos"/>
          <w:b w:val="0"/>
          <w:bCs w:val="0"/>
          <w:i w:val="1"/>
          <w:iCs w:val="1"/>
          <w:caps w:val="0"/>
          <w:smallCaps w:val="0"/>
          <w:noProof w:val="0"/>
          <w:color w:val="000000" w:themeColor="text1" w:themeTint="FF" w:themeShade="FF"/>
          <w:sz w:val="20"/>
          <w:szCs w:val="20"/>
          <w:lang w:val="en-GB"/>
        </w:rPr>
        <w:t>British</w:t>
      </w:r>
      <w:r w:rsidRPr="2DEB5C24" w:rsidR="05CD44CC">
        <w:rPr>
          <w:rFonts w:ascii="Aptos" w:hAnsi="Aptos" w:eastAsia="Aptos" w:cs="Aptos"/>
          <w:b w:val="0"/>
          <w:bCs w:val="0"/>
          <w:i w:val="1"/>
          <w:iCs w:val="1"/>
          <w:caps w:val="0"/>
          <w:smallCaps w:val="0"/>
          <w:noProof w:val="0"/>
          <w:color w:val="000000" w:themeColor="text1" w:themeTint="FF" w:themeShade="FF"/>
          <w:sz w:val="20"/>
          <w:szCs w:val="20"/>
          <w:lang w:val="en-GB"/>
        </w:rPr>
        <w:t xml:space="preserve"> Journal of Sports Medicine </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2013;</w:t>
      </w:r>
      <w:r w:rsidRPr="2DEB5C24" w:rsidR="05CD44CC">
        <w:rPr>
          <w:rFonts w:ascii="Aptos" w:hAnsi="Aptos" w:eastAsia="Aptos" w:cs="Aptos"/>
          <w:b w:val="1"/>
          <w:bCs w:val="1"/>
          <w:i w:val="0"/>
          <w:iCs w:val="0"/>
          <w:caps w:val="0"/>
          <w:smallCaps w:val="0"/>
          <w:noProof w:val="0"/>
          <w:color w:val="000000" w:themeColor="text1" w:themeTint="FF" w:themeShade="FF"/>
          <w:sz w:val="20"/>
          <w:szCs w:val="20"/>
          <w:lang w:val="en-GB"/>
        </w:rPr>
        <w:t>47:</w:t>
      </w:r>
      <w:r w:rsidRPr="2DEB5C24" w:rsidR="05CD44CC">
        <w:rPr>
          <w:rFonts w:ascii="Aptos" w:hAnsi="Aptos" w:eastAsia="Aptos" w:cs="Aptos"/>
          <w:b w:val="0"/>
          <w:bCs w:val="0"/>
          <w:i w:val="0"/>
          <w:iCs w:val="0"/>
          <w:caps w:val="0"/>
          <w:smallCaps w:val="0"/>
          <w:noProof w:val="0"/>
          <w:color w:val="000000" w:themeColor="text1" w:themeTint="FF" w:themeShade="FF"/>
          <w:sz w:val="20"/>
          <w:szCs w:val="20"/>
          <w:lang w:val="en-GB"/>
        </w:rPr>
        <w:t>351-358.</w:t>
      </w:r>
    </w:p>
    <w:p xmlns:wp14="http://schemas.microsoft.com/office/word/2010/wordml" w:rsidP="6AA74701" wp14:paraId="0B37B8BF" wp14:textId="240275E9">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Gregson, C.L., Armstrong, D.J., Avgerinou, C.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et al.</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The 2024 UK clinical guideline for the prevention and treatment of osteoporosis.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Arch Osteoporos</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w:t>
      </w:r>
      <w:r w:rsidRPr="6AA74701" w:rsidR="05CD44CC">
        <w:rPr>
          <w:rFonts w:ascii="Aptos" w:hAnsi="Aptos" w:eastAsia="Aptos" w:cs="Aptos"/>
          <w:b w:val="1"/>
          <w:bCs w:val="1"/>
          <w:i w:val="0"/>
          <w:iCs w:val="0"/>
          <w:caps w:val="0"/>
          <w:smallCaps w:val="0"/>
          <w:noProof w:val="0"/>
          <w:color w:val="000000" w:themeColor="text1" w:themeTint="FF" w:themeShade="FF"/>
          <w:sz w:val="20"/>
          <w:szCs w:val="20"/>
          <w:lang w:val="en-GB"/>
        </w:rPr>
        <w:t>20</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119 (2025). </w:t>
      </w:r>
      <w:hyperlink r:id="R599a39aa9689490e">
        <w:r w:rsidRPr="6AA74701" w:rsidR="05CD44CC">
          <w:rPr>
            <w:rStyle w:val="Hyperlink"/>
            <w:rFonts w:ascii="Aptos" w:hAnsi="Aptos" w:eastAsia="Aptos" w:cs="Aptos"/>
            <w:b w:val="0"/>
            <w:bCs w:val="0"/>
            <w:i w:val="0"/>
            <w:iCs w:val="0"/>
            <w:caps w:val="0"/>
            <w:smallCaps w:val="0"/>
            <w:noProof w:val="0"/>
            <w:sz w:val="20"/>
            <w:szCs w:val="20"/>
            <w:lang w:val="en-GB"/>
          </w:rPr>
          <w:t>https://doi.org/10.1007/s11657-025-01588-3</w:t>
        </w:r>
      </w:hyperlink>
    </w:p>
    <w:p xmlns:wp14="http://schemas.microsoft.com/office/word/2010/wordml" w:rsidP="6AA74701" wp14:paraId="32EFC252" wp14:textId="4F152B03">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HICKEY, J.T., WEISS, L.J. and HEIDERSCHEIT, B.C., 2022. Hamstring Strain Injury Rehabilitation.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 xml:space="preserve">Journal of Athletic Training, </w:t>
      </w:r>
      <w:r w:rsidRPr="6AA74701" w:rsidR="05CD44CC">
        <w:rPr>
          <w:rFonts w:ascii="Aptos" w:hAnsi="Aptos" w:eastAsia="Aptos" w:cs="Aptos"/>
          <w:b w:val="1"/>
          <w:bCs w:val="1"/>
          <w:i w:val="0"/>
          <w:iCs w:val="0"/>
          <w:caps w:val="0"/>
          <w:smallCaps w:val="0"/>
          <w:noProof w:val="0"/>
          <w:color w:val="000000" w:themeColor="text1" w:themeTint="FF" w:themeShade="FF"/>
          <w:sz w:val="20"/>
          <w:szCs w:val="20"/>
          <w:lang w:val="en-GB"/>
        </w:rPr>
        <w:t>57</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(2), pp. 125-135.</w:t>
      </w:r>
    </w:p>
    <w:p xmlns:wp14="http://schemas.microsoft.com/office/word/2010/wordml" w:rsidP="6AA74701" wp14:paraId="16319F49" wp14:textId="3A7E4AC3">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Knapik, D.M., Metcalf, K.B. and Voos, J.E. (2018). Isolated Tearing and Avulsion of the Distal Biceps Femoris Tendon During Sporting Activities: A Systematic Review.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Orthopaedic Journal of Sports Medicine</w:t>
      </w:r>
    </w:p>
    <w:p xmlns:wp14="http://schemas.microsoft.com/office/word/2010/wordml" w:rsidP="6AA74701" wp14:paraId="25B77FB8" wp14:textId="4A40E6DB">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Kayani, B., Ayuob, A., Begum, F., Singh, S. and Haddad, F.S. (2020). Surgical Repair of Distal Musculotendinous T Junction Injuries of the Biceps Femoris.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The American Journal of Sports Medicine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48(10), pp.2456–2464.</w:t>
      </w:r>
    </w:p>
    <w:p xmlns:wp14="http://schemas.microsoft.com/office/word/2010/wordml" w:rsidP="6AA74701" wp14:paraId="4B2B4708" wp14:textId="50FE2D66">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Moore, K.L., F, A. and A M R Agur (2014).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Clinically oriented anatomy</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7th ed. Philadelphia: Wolters Kluwer Health/Lippincott Williams &amp; Wilkins.</w:t>
      </w:r>
    </w:p>
    <w:p xmlns:wp14="http://schemas.microsoft.com/office/word/2010/wordml" w:rsidP="6AA74701" wp14:paraId="44245B79" wp14:textId="2B19154A">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Orchard, J. &amp; Seward, H., 2002. Epidemiology of injuries in the Australian Football League, seasons 1997–2000.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British Journal of Sports Medicine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36(1), pp.39–44.</w:t>
      </w:r>
    </w:p>
    <w:p xmlns:wp14="http://schemas.microsoft.com/office/word/2010/wordml" w:rsidP="6AA74701" wp14:paraId="2E1B0AA7" wp14:textId="4276FA94">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OPAR, D.A., WILLIAMS, M.D. and SHIELD, A.J., 2012. Hamstring Strain Injuries: Factors that Lead to Injury and Re-Injury.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 xml:space="preserve">Sports medicine (Auckland), </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42(3), pp. 209–226</w:t>
      </w:r>
    </w:p>
    <w:p xmlns:wp14="http://schemas.microsoft.com/office/word/2010/wordml" w:rsidP="6AA74701" wp14:paraId="3C1DD8F9" wp14:textId="628FB07E">
      <w:pPr>
        <w:bidi w:val="0"/>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Pollock, N., James, S.L.J., Lee, J.C. and Chakraverty, R. (2014). British Athletics Muscle Injury classification: a New Grading System.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British Journal of Sports Medicine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[online] 48(18), pp.1347–1351. doi:https://doi.org/10.1136/bjsports-2013-093302.</w:t>
      </w:r>
    </w:p>
    <w:p xmlns:wp14="http://schemas.microsoft.com/office/word/2010/wordml" w:rsidP="6AA74701" wp14:paraId="7FBEAE5F" wp14:textId="36EFE4ED">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Plastow R, Kerkhoffs GMMJ, Wood D</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 et al</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London International Consensus and Delphi study on hamstring injuries part 2: operative management British</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 xml:space="preserve"> Journal of Sports Medicine </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2023;</w:t>
      </w:r>
      <w:r w:rsidRPr="6AA74701" w:rsidR="05CD44CC">
        <w:rPr>
          <w:rFonts w:ascii="Aptos" w:hAnsi="Aptos" w:eastAsia="Aptos" w:cs="Aptos"/>
          <w:b w:val="1"/>
          <w:bCs w:val="1"/>
          <w:i w:val="0"/>
          <w:iCs w:val="0"/>
          <w:caps w:val="0"/>
          <w:smallCaps w:val="0"/>
          <w:noProof w:val="0"/>
          <w:color w:val="000000" w:themeColor="text1" w:themeTint="FF" w:themeShade="FF"/>
          <w:sz w:val="20"/>
          <w:szCs w:val="20"/>
          <w:lang w:val="en-GB"/>
        </w:rPr>
        <w:t>57:</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266-277.</w:t>
      </w:r>
    </w:p>
    <w:p xmlns:wp14="http://schemas.microsoft.com/office/word/2010/wordml" w:rsidP="6AA74701" wp14:paraId="248E9750" wp14:textId="30926AE5">
      <w:pPr>
        <w:bidi w:val="0"/>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Reurink, G., Goudswaard, G.J., Tol, J.L.,  (2014) ‘MRI observations at return to play of clinically recovered hamstring injuries’, British Journal of Sports Medicine, 48(18), pp. 1370–1376.</w:t>
      </w:r>
    </w:p>
    <w:p xmlns:wp14="http://schemas.microsoft.com/office/word/2010/wordml" w:rsidP="6AA74701" wp14:paraId="37329322" wp14:textId="64CB6FA6">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Standring, S. (2020).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GRAY’S ANATOMY : The anatomical basis of clinical practice.</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 42nd ed. S.L.: Elsevier Health Sciences.</w:t>
      </w:r>
    </w:p>
    <w:p xmlns:wp14="http://schemas.microsoft.com/office/word/2010/wordml" w:rsidP="6AA74701" wp14:paraId="12212330" wp14:textId="332C09D0">
      <w:pPr>
        <w:bidi w:val="0"/>
        <w:rPr>
          <w:rFonts w:ascii="Aptos" w:hAnsi="Aptos" w:eastAsia="Aptos" w:cs="Aptos"/>
          <w:b w:val="0"/>
          <w:bCs w:val="0"/>
          <w:i w:val="0"/>
          <w:iCs w:val="0"/>
          <w:caps w:val="0"/>
          <w:smallCaps w:val="0"/>
          <w:noProof w:val="0"/>
          <w:color w:val="000000" w:themeColor="text1" w:themeTint="FF" w:themeShade="FF"/>
          <w:sz w:val="20"/>
          <w:szCs w:val="20"/>
          <w:lang w:val="en-GB"/>
        </w:rPr>
      </w:pP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 xml:space="preserve">THORBORG, K., OPAR, D. and SHIELD, A., 2020. </w:t>
      </w:r>
      <w:r w:rsidRPr="6AA74701" w:rsidR="05CD44CC">
        <w:rPr>
          <w:rFonts w:ascii="Aptos" w:hAnsi="Aptos" w:eastAsia="Aptos" w:cs="Aptos"/>
          <w:b w:val="0"/>
          <w:bCs w:val="0"/>
          <w:i w:val="1"/>
          <w:iCs w:val="1"/>
          <w:caps w:val="0"/>
          <w:smallCaps w:val="0"/>
          <w:noProof w:val="0"/>
          <w:color w:val="000000" w:themeColor="text1" w:themeTint="FF" w:themeShade="FF"/>
          <w:sz w:val="20"/>
          <w:szCs w:val="20"/>
          <w:lang w:val="en-GB"/>
        </w:rPr>
        <w:t xml:space="preserve">Prevention and Rehabilitation of Hamstring Injuries. </w:t>
      </w:r>
      <w:r w:rsidRPr="6AA74701" w:rsidR="05CD44CC">
        <w:rPr>
          <w:rFonts w:ascii="Aptos" w:hAnsi="Aptos" w:eastAsia="Aptos" w:cs="Aptos"/>
          <w:b w:val="0"/>
          <w:bCs w:val="0"/>
          <w:i w:val="0"/>
          <w:iCs w:val="0"/>
          <w:caps w:val="0"/>
          <w:smallCaps w:val="0"/>
          <w:noProof w:val="0"/>
          <w:color w:val="000000" w:themeColor="text1" w:themeTint="FF" w:themeShade="FF"/>
          <w:sz w:val="20"/>
          <w:szCs w:val="20"/>
          <w:lang w:val="en-GB"/>
        </w:rPr>
        <w:t>1 edn. Cham: Springer International Publishing.</w:t>
      </w:r>
    </w:p>
    <w:p xmlns:wp14="http://schemas.microsoft.com/office/word/2010/wordml" w:rsidP="6AA74701" wp14:paraId="6498CEEC" wp14:textId="376EEAB8">
      <w:pPr>
        <w:bidi w:val="0"/>
        <w:spacing w:before="0" w:beforeAutospacing="off" w:after="0" w:afterAutospacing="off" w:line="276" w:lineRule="auto"/>
        <w:rPr>
          <w:rFonts w:ascii="Aptos" w:hAnsi="Aptos" w:eastAsia="Aptos" w:cs="Aptos"/>
          <w:noProof w:val="0"/>
          <w:sz w:val="24"/>
          <w:szCs w:val="24"/>
          <w:lang w:val="en-GB"/>
        </w:rPr>
      </w:pPr>
    </w:p>
    <w:p xmlns:wp14="http://schemas.microsoft.com/office/word/2010/wordml" w:rsidP="6AA74701" wp14:paraId="40AFF730" wp14:textId="7B5B105C">
      <w:pPr>
        <w:bidi w:val="0"/>
        <w:spacing w:before="0" w:beforeAutospacing="off" w:after="0" w:afterAutospacing="off" w:line="276" w:lineRule="auto"/>
        <w:rPr>
          <w:rFonts w:ascii="Aptos" w:hAnsi="Aptos" w:eastAsia="Aptos" w:cs="Aptos"/>
          <w:noProof w:val="0"/>
          <w:sz w:val="24"/>
          <w:szCs w:val="24"/>
          <w:lang w:val="en-GB"/>
        </w:rPr>
      </w:pPr>
    </w:p>
    <w:p xmlns:wp14="http://schemas.microsoft.com/office/word/2010/wordml" w:rsidP="6AA74701" wp14:paraId="4C326775" wp14:textId="2D10182E">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7835BC64" wp14:textId="606556FF">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09D839EA" wp14:textId="0B46FAAD">
      <w:pPr>
        <w:spacing w:before="0" w:beforeAutospacing="off" w:after="0" w:afterAutospacing="off" w:line="276" w:lineRule="auto"/>
        <w:rPr>
          <w:rFonts w:ascii="Aptos" w:hAnsi="Aptos" w:eastAsia="Aptos" w:cs="Aptos"/>
          <w:noProof w:val="0"/>
          <w:sz w:val="20"/>
          <w:szCs w:val="20"/>
          <w:lang w:val="en-GB"/>
        </w:rPr>
      </w:pPr>
    </w:p>
    <w:p xmlns:wp14="http://schemas.microsoft.com/office/word/2010/wordml" w:rsidP="6AA74701" wp14:paraId="5E5787A5" wp14:textId="117B4D86">
      <w:pPr>
        <w:rPr>
          <w:sz w:val="20"/>
          <w:szCs w:val="20"/>
        </w:rPr>
      </w:pPr>
    </w:p>
    <w:sectPr>
      <w:pgSz w:w="11906" w:h="16838" w:orient="portrait"/>
      <w:pgMar w:top="1440" w:right="1440" w:bottom="1440" w:left="1440" w:header="720" w:footer="720" w:gutter="0"/>
      <w:cols w:space="720"/>
      <w:docGrid w:linePitch="360"/>
      <w:headerReference w:type="default" r:id="R6322a00b33254e4e"/>
      <w:footerReference w:type="default" r:id="R72c0acd275a242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EB5C24" w:rsidTr="2DEB5C24" w14:paraId="56F503FD">
      <w:trPr>
        <w:trHeight w:val="300"/>
      </w:trPr>
      <w:tc>
        <w:tcPr>
          <w:tcW w:w="3005" w:type="dxa"/>
          <w:tcMar/>
        </w:tcPr>
        <w:p w:rsidR="2DEB5C24" w:rsidP="2DEB5C24" w:rsidRDefault="2DEB5C24" w14:paraId="5EF8ECC5" w14:textId="4A6F7A85">
          <w:pPr>
            <w:pStyle w:val="Header"/>
            <w:bidi w:val="0"/>
            <w:ind w:left="-115"/>
            <w:jc w:val="left"/>
          </w:pPr>
        </w:p>
      </w:tc>
      <w:tc>
        <w:tcPr>
          <w:tcW w:w="3005" w:type="dxa"/>
          <w:tcMar/>
        </w:tcPr>
        <w:p w:rsidR="2DEB5C24" w:rsidP="2DEB5C24" w:rsidRDefault="2DEB5C24" w14:paraId="06D0F01A" w14:textId="60BDC14F">
          <w:pPr>
            <w:pStyle w:val="Header"/>
            <w:bidi w:val="0"/>
            <w:jc w:val="center"/>
          </w:pPr>
        </w:p>
      </w:tc>
      <w:tc>
        <w:tcPr>
          <w:tcW w:w="3005" w:type="dxa"/>
          <w:tcMar/>
        </w:tcPr>
        <w:p w:rsidR="2DEB5C24" w:rsidP="2DEB5C24" w:rsidRDefault="2DEB5C24" w14:paraId="29104C4B" w14:textId="318939E9">
          <w:pPr>
            <w:pStyle w:val="Header"/>
            <w:bidi w:val="0"/>
            <w:ind w:right="-115"/>
            <w:jc w:val="right"/>
          </w:pPr>
        </w:p>
      </w:tc>
    </w:tr>
  </w:tbl>
  <w:p w:rsidR="2DEB5C24" w:rsidP="2DEB5C24" w:rsidRDefault="2DEB5C24" w14:paraId="647EA088" w14:textId="147A14C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EB5C24" w:rsidTr="2C2816BF" w14:paraId="347D740D">
      <w:trPr>
        <w:trHeight w:val="300"/>
      </w:trPr>
      <w:tc>
        <w:tcPr>
          <w:tcW w:w="3005" w:type="dxa"/>
          <w:tcMar/>
        </w:tcPr>
        <w:p w:rsidR="2DEB5C24" w:rsidP="2DEB5C24" w:rsidRDefault="2DEB5C24" w14:paraId="3DEE0061" w14:textId="45E49FC1">
          <w:pPr>
            <w:pStyle w:val="Header"/>
            <w:bidi w:val="0"/>
            <w:ind w:left="-115"/>
            <w:jc w:val="left"/>
          </w:pPr>
          <w:r w:rsidR="2C2816BF">
            <w:rPr/>
            <w:t>2413098</w:t>
          </w:r>
        </w:p>
      </w:tc>
      <w:tc>
        <w:tcPr>
          <w:tcW w:w="3005" w:type="dxa"/>
          <w:tcMar/>
        </w:tcPr>
        <w:p w:rsidR="2DEB5C24" w:rsidP="2DEB5C24" w:rsidRDefault="2DEB5C24" w14:paraId="24A1CCA0" w14:textId="55A8DF34">
          <w:pPr>
            <w:pStyle w:val="Header"/>
            <w:bidi w:val="0"/>
            <w:jc w:val="center"/>
          </w:pPr>
          <w:r w:rsidR="2C2816BF">
            <w:rPr/>
            <w:t>Finley Jones</w:t>
          </w:r>
        </w:p>
      </w:tc>
      <w:tc>
        <w:tcPr>
          <w:tcW w:w="3005" w:type="dxa"/>
          <w:tcMar/>
        </w:tcPr>
        <w:p w:rsidR="2DEB5C24" w:rsidP="2DEB5C24" w:rsidRDefault="2DEB5C24" w14:paraId="6195CE4A" w14:textId="5F91FC05">
          <w:pPr>
            <w:pStyle w:val="Header"/>
            <w:bidi w:val="0"/>
            <w:ind w:right="-115"/>
            <w:jc w:val="right"/>
          </w:pPr>
          <w:r w:rsidR="2C2816BF">
            <w:rPr/>
            <w:t>BMST5002</w:t>
          </w:r>
        </w:p>
      </w:tc>
    </w:tr>
  </w:tbl>
  <w:p w:rsidR="2DEB5C24" w:rsidP="2DEB5C24" w:rsidRDefault="2DEB5C24" w14:paraId="156B091B" w14:textId="42F320A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3713F2"/>
    <w:rsid w:val="004586DA"/>
    <w:rsid w:val="006CC8DE"/>
    <w:rsid w:val="009B1E91"/>
    <w:rsid w:val="027A6644"/>
    <w:rsid w:val="03717044"/>
    <w:rsid w:val="05CD44CC"/>
    <w:rsid w:val="0822CFBE"/>
    <w:rsid w:val="0822CFBE"/>
    <w:rsid w:val="09CF05BB"/>
    <w:rsid w:val="0A4C35D5"/>
    <w:rsid w:val="0A4CBE4E"/>
    <w:rsid w:val="0C511872"/>
    <w:rsid w:val="0D279F54"/>
    <w:rsid w:val="0FABEBBE"/>
    <w:rsid w:val="10CBF52F"/>
    <w:rsid w:val="12203943"/>
    <w:rsid w:val="13D8471E"/>
    <w:rsid w:val="14030713"/>
    <w:rsid w:val="1406F4C0"/>
    <w:rsid w:val="165C1C47"/>
    <w:rsid w:val="1AAB73BB"/>
    <w:rsid w:val="1B1D1FCB"/>
    <w:rsid w:val="1B586D8A"/>
    <w:rsid w:val="1D530A37"/>
    <w:rsid w:val="1DDF0106"/>
    <w:rsid w:val="1E1D009D"/>
    <w:rsid w:val="1FFD3386"/>
    <w:rsid w:val="207C61B4"/>
    <w:rsid w:val="21CBF048"/>
    <w:rsid w:val="21F649F8"/>
    <w:rsid w:val="2290887C"/>
    <w:rsid w:val="235EB3CD"/>
    <w:rsid w:val="240C5EA5"/>
    <w:rsid w:val="246A9916"/>
    <w:rsid w:val="27A7C6EE"/>
    <w:rsid w:val="2C2816BF"/>
    <w:rsid w:val="2C88E8E8"/>
    <w:rsid w:val="2DEB5C24"/>
    <w:rsid w:val="34B12018"/>
    <w:rsid w:val="35CB81A0"/>
    <w:rsid w:val="367ED0AB"/>
    <w:rsid w:val="3A76E3F9"/>
    <w:rsid w:val="3E433D58"/>
    <w:rsid w:val="3FEFB189"/>
    <w:rsid w:val="4037B7F3"/>
    <w:rsid w:val="40F8D8A0"/>
    <w:rsid w:val="41057FC4"/>
    <w:rsid w:val="41057FC4"/>
    <w:rsid w:val="418AA6BA"/>
    <w:rsid w:val="424E38FC"/>
    <w:rsid w:val="4337E8D3"/>
    <w:rsid w:val="441C1FAB"/>
    <w:rsid w:val="441C1FAB"/>
    <w:rsid w:val="44976C96"/>
    <w:rsid w:val="45C1EB8A"/>
    <w:rsid w:val="4629C4CD"/>
    <w:rsid w:val="4EA2622F"/>
    <w:rsid w:val="4EA34E4C"/>
    <w:rsid w:val="501129C9"/>
    <w:rsid w:val="53738CF5"/>
    <w:rsid w:val="57727EFD"/>
    <w:rsid w:val="589B9CE2"/>
    <w:rsid w:val="58A45548"/>
    <w:rsid w:val="5BBA7910"/>
    <w:rsid w:val="5E7AF5BD"/>
    <w:rsid w:val="5EF70A70"/>
    <w:rsid w:val="608E7EC4"/>
    <w:rsid w:val="64293855"/>
    <w:rsid w:val="673713F2"/>
    <w:rsid w:val="6AA74701"/>
    <w:rsid w:val="6B686809"/>
    <w:rsid w:val="6FE7F180"/>
    <w:rsid w:val="6FF939BD"/>
    <w:rsid w:val="71B5C53E"/>
    <w:rsid w:val="722F85AA"/>
    <w:rsid w:val="743BF2F6"/>
    <w:rsid w:val="74850D90"/>
    <w:rsid w:val="77A1080A"/>
    <w:rsid w:val="79237376"/>
    <w:rsid w:val="7A9B19DA"/>
    <w:rsid w:val="7BCC1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713F2"/>
  <w15:chartTrackingRefBased/>
  <w15:docId w15:val="{8251FD4D-18DA-43EC-AB7C-B265290F8C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AA7470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DEB5C24"/>
    <w:pPr>
      <w:tabs>
        <w:tab w:val="center" w:leader="none" w:pos="4680"/>
        <w:tab w:val="right" w:leader="none" w:pos="9360"/>
      </w:tabs>
      <w:spacing w:after="0" w:line="240" w:lineRule="auto"/>
    </w:pPr>
  </w:style>
  <w:style w:type="paragraph" w:styleId="Footer">
    <w:uiPriority w:val="99"/>
    <w:name w:val="footer"/>
    <w:basedOn w:val="Normal"/>
    <w:unhideWhenUsed/>
    <w:rsid w:val="2DEB5C24"/>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03635465231164931" TargetMode="External" Id="R14cfb55f3c9f4525" /><Relationship Type="http://schemas.openxmlformats.org/officeDocument/2006/relationships/hyperlink" Target="https://doi.org/10.1007/s11657-025-01588-3" TargetMode="External" Id="R599a39aa9689490e" /><Relationship Type="http://schemas.openxmlformats.org/officeDocument/2006/relationships/header" Target="/word/header.xml" Id="R6322a00b33254e4e" /><Relationship Type="http://schemas.openxmlformats.org/officeDocument/2006/relationships/footer" Target="/word/footer.xml" Id="R72c0acd275a242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Finley Jones (2413098)</dc:creator>
  <keywords/>
  <dc:description/>
  <lastModifiedBy>Finley Jones (2413098)</lastModifiedBy>
  <revision>5</revision>
  <dcterms:created xsi:type="dcterms:W3CDTF">2025-12-07T22:10:00.7922982Z</dcterms:created>
  <dcterms:modified xsi:type="dcterms:W3CDTF">2025-12-11T10:20:04.1707507Z</dcterms:modified>
</coreProperties>
</file>