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016C5">
      <w:pPr>
        <w:rPr>
          <w:rFonts w:eastAsia="Times New Roman" w:cs="Arial"/>
          <w:szCs w:val="24"/>
        </w:rPr>
      </w:pPr>
    </w:p>
    <w:p w14:paraId="7C6016C6">
      <w:pPr>
        <w:jc w:val="center"/>
        <w:rPr>
          <w:rFonts w:eastAsia="Times New Roman" w:cs="Arial"/>
          <w:szCs w:val="24"/>
        </w:rPr>
      </w:pPr>
      <w:r>
        <w:rPr>
          <w:rFonts w:eastAsia="Times New Roman" w:cs="Arial"/>
          <w:szCs w:val="24"/>
        </w:rPr>
        <w:drawing>
          <wp:inline distT="0" distB="0" distL="0" distR="0">
            <wp:extent cx="2517775" cy="895350"/>
            <wp:effectExtent l="19050" t="0" r="0" b="0"/>
            <wp:docPr id="3" name="Picture 1" descr="Assistant Dean (Quality and Enhancement)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ssistant Dean (Quality and Enhancement) at University of Wales, Trinity  Saint David"/>
                    <pic:cNvPicPr>
                      <a:picLocks noChangeAspect="1" noChangeArrowheads="1"/>
                    </pic:cNvPicPr>
                  </pic:nvPicPr>
                  <pic:blipFill>
                    <a:blip r:embed="rId7" cstate="print"/>
                    <a:srcRect/>
                    <a:stretch>
                      <a:fillRect/>
                    </a:stretch>
                  </pic:blipFill>
                  <pic:spPr>
                    <a:xfrm>
                      <a:off x="0" y="0"/>
                      <a:ext cx="2523259" cy="897159"/>
                    </a:xfrm>
                    <a:prstGeom prst="rect">
                      <a:avLst/>
                    </a:prstGeom>
                    <a:noFill/>
                    <a:ln w="9525">
                      <a:noFill/>
                      <a:miter lim="800000"/>
                      <a:headEnd/>
                      <a:tailEnd/>
                    </a:ln>
                  </pic:spPr>
                </pic:pic>
              </a:graphicData>
            </a:graphic>
          </wp:inline>
        </w:drawing>
      </w:r>
    </w:p>
    <w:p w14:paraId="7C6016C7">
      <w:pPr>
        <w:rPr>
          <w:rFonts w:eastAsia="Times New Roman" w:cs="Arial"/>
          <w:szCs w:val="24"/>
        </w:rPr>
      </w:pPr>
    </w:p>
    <w:p w14:paraId="7C6016C8">
      <w:pPr>
        <w:rPr>
          <w:rFonts w:eastAsia="Times New Roman" w:cs="Arial"/>
          <w:szCs w:val="24"/>
        </w:rPr>
      </w:pPr>
    </w:p>
    <w:p w14:paraId="7C6016C9">
      <w:pPr>
        <w:jc w:val="center"/>
        <w:rPr>
          <w:rFonts w:eastAsia="Times New Roman" w:cs="Arial"/>
          <w:b/>
          <w:bCs/>
          <w:sz w:val="40"/>
          <w:szCs w:val="24"/>
        </w:rPr>
      </w:pPr>
      <w:r>
        <w:rPr>
          <w:rFonts w:eastAsia="Times New Roman" w:cs="Arial"/>
          <w:b/>
          <w:bCs/>
          <w:sz w:val="40"/>
          <w:szCs w:val="24"/>
        </w:rPr>
        <w:t xml:space="preserve">BMIH6002 </w:t>
      </w:r>
    </w:p>
    <w:p w14:paraId="7C6016CA">
      <w:pPr>
        <w:jc w:val="center"/>
        <w:rPr>
          <w:rFonts w:eastAsia="Times New Roman" w:cs="Arial"/>
          <w:b/>
          <w:bCs/>
          <w:sz w:val="40"/>
          <w:szCs w:val="24"/>
        </w:rPr>
      </w:pPr>
      <w:r>
        <w:rPr>
          <w:rFonts w:eastAsia="Times New Roman" w:cs="Arial"/>
          <w:b/>
          <w:bCs/>
          <w:sz w:val="40"/>
          <w:szCs w:val="24"/>
        </w:rPr>
        <w:t>Hotel Placement – Managing Food and Beverage Operations</w:t>
      </w:r>
    </w:p>
    <w:p w14:paraId="7C6016CB">
      <w:pPr>
        <w:jc w:val="center"/>
        <w:rPr>
          <w:rFonts w:eastAsia="Times New Roman" w:cs="Arial"/>
          <w:b/>
          <w:sz w:val="40"/>
          <w:szCs w:val="24"/>
        </w:rPr>
      </w:pPr>
      <w:r>
        <w:rPr>
          <w:rFonts w:eastAsia="Times New Roman" w:cs="Arial"/>
          <w:b/>
          <w:sz w:val="40"/>
          <w:szCs w:val="24"/>
        </w:rPr>
        <w:t>Assessment Component 1</w:t>
      </w:r>
    </w:p>
    <w:p w14:paraId="7C6016CC">
      <w:pPr>
        <w:rPr>
          <w:rFonts w:eastAsia="Times New Roman" w:cs="Arial"/>
          <w:szCs w:val="24"/>
        </w:rPr>
      </w:pPr>
    </w:p>
    <w:p w14:paraId="7C6016CD">
      <w:pPr>
        <w:rPr>
          <w:rFonts w:eastAsia="Times New Roman" w:cs="Arial"/>
          <w:szCs w:val="24"/>
        </w:rPr>
      </w:pPr>
    </w:p>
    <w:p w14:paraId="7C6016CE">
      <w:pPr>
        <w:rPr>
          <w:rFonts w:eastAsia="Times New Roman" w:cs="Arial"/>
          <w:szCs w:val="24"/>
        </w:rPr>
      </w:pPr>
    </w:p>
    <w:p w14:paraId="7C6016CF">
      <w:pPr>
        <w:rPr>
          <w:rFonts w:eastAsia="Times New Roman" w:cs="Arial"/>
          <w:szCs w:val="24"/>
        </w:rPr>
      </w:pPr>
    </w:p>
    <w:p w14:paraId="7C6016D3">
      <w:pPr>
        <w:ind w:firstLine="2941" w:firstLineChars="1050"/>
        <w:jc w:val="both"/>
        <w:rPr>
          <w:rFonts w:hint="default" w:eastAsia="Times New Roman" w:cs="Arial"/>
          <w:sz w:val="28"/>
          <w:szCs w:val="24"/>
          <w:lang w:val="en-GB"/>
        </w:rPr>
      </w:pPr>
      <w:r>
        <w:rPr>
          <w:rFonts w:eastAsia="Times New Roman" w:cs="Arial"/>
          <w:b/>
          <w:bCs/>
          <w:sz w:val="28"/>
          <w:szCs w:val="24"/>
        </w:rPr>
        <w:t>Student’s Name:</w:t>
      </w:r>
      <w:r>
        <w:rPr>
          <w:rFonts w:hint="default" w:eastAsia="Times New Roman" w:cs="Arial"/>
          <w:b/>
          <w:bCs/>
          <w:sz w:val="28"/>
          <w:szCs w:val="24"/>
          <w:lang w:val="en-GB"/>
        </w:rPr>
        <w:t xml:space="preserve"> Baby Lima</w:t>
      </w:r>
    </w:p>
    <w:p w14:paraId="7C6016D4">
      <w:pPr>
        <w:jc w:val="center"/>
        <w:rPr>
          <w:rFonts w:hint="default" w:eastAsia="Times New Roman" w:cs="Arial"/>
          <w:b/>
          <w:bCs/>
          <w:sz w:val="28"/>
          <w:szCs w:val="24"/>
          <w:lang w:val="en-GB"/>
        </w:rPr>
      </w:pPr>
      <w:r>
        <w:rPr>
          <w:rFonts w:eastAsia="Times New Roman" w:cs="Arial"/>
          <w:b/>
          <w:bCs/>
          <w:sz w:val="28"/>
          <w:szCs w:val="24"/>
        </w:rPr>
        <w:t>Student ID:</w:t>
      </w:r>
      <w:r>
        <w:rPr>
          <w:rFonts w:hint="default" w:eastAsia="Times New Roman" w:cs="Arial"/>
          <w:b/>
          <w:bCs/>
          <w:sz w:val="28"/>
          <w:szCs w:val="24"/>
          <w:lang w:val="en-GB"/>
        </w:rPr>
        <w:t>2133582</w:t>
      </w:r>
    </w:p>
    <w:p w14:paraId="22E3130C">
      <w:pPr>
        <w:spacing w:before="240" w:after="200" w:line="276" w:lineRule="auto"/>
        <w:jc w:val="center"/>
        <w:rPr>
          <w:rFonts w:hint="default" w:ascii="Arial" w:hAnsi="Arial"/>
          <w:b/>
          <w:lang w:val="en-GB"/>
        </w:rPr>
      </w:pPr>
      <w:r>
        <w:rPr>
          <w:rFonts w:hint="default" w:ascii="Arial" w:hAnsi="Arial"/>
          <w:b/>
          <w:lang w:val="en-GB"/>
        </w:rPr>
        <w:t xml:space="preserve">Lecturer’s </w:t>
      </w:r>
      <w:bookmarkStart w:id="10" w:name="_GoBack"/>
      <w:bookmarkEnd w:id="10"/>
      <w:r>
        <w:rPr>
          <w:rFonts w:hint="default" w:ascii="Arial" w:hAnsi="Arial"/>
          <w:b/>
          <w:lang w:val="en-GB"/>
        </w:rPr>
        <w:t xml:space="preserve"> Name : Jessica Newport</w:t>
      </w:r>
    </w:p>
    <w:p w14:paraId="7C6016D5">
      <w:pPr>
        <w:ind w:firstLine="2941" w:firstLineChars="1050"/>
        <w:jc w:val="both"/>
        <w:rPr>
          <w:rFonts w:hint="default" w:eastAsia="Times New Roman" w:cs="Arial"/>
          <w:b/>
          <w:bCs/>
          <w:sz w:val="28"/>
          <w:szCs w:val="24"/>
          <w:lang w:val="en-GB"/>
        </w:rPr>
      </w:pPr>
      <w:r>
        <w:rPr>
          <w:rFonts w:eastAsia="Times New Roman" w:cs="Arial"/>
          <w:b/>
          <w:bCs/>
          <w:sz w:val="28"/>
          <w:szCs w:val="24"/>
        </w:rPr>
        <w:t>Submission Date:</w:t>
      </w:r>
      <w:r>
        <w:rPr>
          <w:rFonts w:hint="default" w:eastAsia="Times New Roman" w:cs="Arial"/>
          <w:b/>
          <w:bCs/>
          <w:sz w:val="28"/>
          <w:szCs w:val="24"/>
          <w:lang w:val="en-GB"/>
        </w:rPr>
        <w:t xml:space="preserve"> 06.03.25</w:t>
      </w:r>
    </w:p>
    <w:p w14:paraId="7C6016D6">
      <w:pPr>
        <w:jc w:val="center"/>
        <w:rPr>
          <w:rFonts w:eastAsia="Times New Roman" w:cs="Arial"/>
          <w:b/>
          <w:bCs/>
          <w:sz w:val="28"/>
          <w:szCs w:val="24"/>
        </w:rPr>
      </w:pPr>
    </w:p>
    <w:sdt>
      <w:sdtPr>
        <w:rPr>
          <w:rFonts w:cs="Arial"/>
        </w:rPr>
        <w:id w:val="608843361"/>
        <w:docPartObj>
          <w:docPartGallery w:val="Table of Contents"/>
          <w:docPartUnique/>
        </w:docPartObj>
      </w:sdtPr>
      <w:sdtEndPr>
        <w:rPr>
          <w:rFonts w:eastAsia="Times New Roman" w:cs="Arial"/>
          <w:b/>
          <w:szCs w:val="24"/>
        </w:rPr>
      </w:sdtEndPr>
      <w:sdtContent>
        <w:p w14:paraId="7C6016D7">
          <w:pPr>
            <w:spacing w:line="276" w:lineRule="auto"/>
            <w:jc w:val="center"/>
            <w:rPr>
              <w:rFonts w:cs="Arial"/>
              <w:b/>
            </w:rPr>
          </w:pPr>
          <w:r>
            <w:rPr>
              <w:rFonts w:cs="Arial"/>
              <w:b/>
            </w:rPr>
            <w:t>Table of Contents</w:t>
          </w:r>
        </w:p>
        <w:p w14:paraId="7C6016D8">
          <w:pPr>
            <w:pStyle w:val="14"/>
            <w:tabs>
              <w:tab w:val="right" w:leader="dot" w:pos="9350"/>
            </w:tabs>
            <w:rPr>
              <w:rFonts w:cs="Arial" w:eastAsiaTheme="minorEastAsia"/>
              <w:sz w:val="22"/>
            </w:rPr>
          </w:pPr>
          <w:r>
            <w:rPr>
              <w:rFonts w:eastAsia="Times New Roman" w:cs="Arial"/>
              <w:b/>
              <w:szCs w:val="24"/>
            </w:rPr>
            <w:fldChar w:fldCharType="begin"/>
          </w:r>
          <w:r>
            <w:rPr>
              <w:rFonts w:eastAsia="Times New Roman" w:cs="Arial"/>
              <w:b/>
              <w:szCs w:val="24"/>
            </w:rPr>
            <w:instrText xml:space="preserve"> TOC \o "1-3" \h \z \u </w:instrText>
          </w:r>
          <w:r>
            <w:rPr>
              <w:rFonts w:eastAsia="Times New Roman" w:cs="Arial"/>
              <w:b/>
              <w:szCs w:val="24"/>
            </w:rPr>
            <w:fldChar w:fldCharType="separate"/>
          </w:r>
          <w:r>
            <w:fldChar w:fldCharType="begin"/>
          </w:r>
          <w:r>
            <w:instrText xml:space="preserve"> HYPERLINK \l "_Toc190814715" </w:instrText>
          </w:r>
          <w:r>
            <w:fldChar w:fldCharType="separate"/>
          </w:r>
          <w:r>
            <w:rPr>
              <w:rStyle w:val="10"/>
              <w:rFonts w:cs="Arial"/>
              <w:color w:val="auto"/>
            </w:rPr>
            <w:t>Introduction</w:t>
          </w:r>
          <w:r>
            <w:rPr>
              <w:rFonts w:cs="Arial"/>
            </w:rPr>
            <w:tab/>
          </w:r>
          <w:r>
            <w:rPr>
              <w:rFonts w:cs="Arial"/>
            </w:rPr>
            <w:fldChar w:fldCharType="begin"/>
          </w:r>
          <w:r>
            <w:rPr>
              <w:rFonts w:cs="Arial"/>
            </w:rPr>
            <w:instrText xml:space="preserve"> PAGEREF _Toc190814715 \h </w:instrText>
          </w:r>
          <w:r>
            <w:rPr>
              <w:rFonts w:cs="Arial"/>
            </w:rPr>
            <w:fldChar w:fldCharType="separate"/>
          </w:r>
          <w:r>
            <w:rPr>
              <w:rFonts w:cs="Arial"/>
            </w:rPr>
            <w:t>3</w:t>
          </w:r>
          <w:r>
            <w:rPr>
              <w:rFonts w:cs="Arial"/>
            </w:rPr>
            <w:fldChar w:fldCharType="end"/>
          </w:r>
          <w:r>
            <w:rPr>
              <w:rFonts w:cs="Arial"/>
            </w:rPr>
            <w:fldChar w:fldCharType="end"/>
          </w:r>
        </w:p>
        <w:p w14:paraId="7C6016D9">
          <w:pPr>
            <w:pStyle w:val="14"/>
            <w:tabs>
              <w:tab w:val="right" w:leader="dot" w:pos="9350"/>
            </w:tabs>
            <w:rPr>
              <w:rFonts w:cs="Arial" w:eastAsiaTheme="minorEastAsia"/>
              <w:sz w:val="22"/>
            </w:rPr>
          </w:pPr>
          <w:r>
            <w:fldChar w:fldCharType="begin"/>
          </w:r>
          <w:r>
            <w:instrText xml:space="preserve"> HYPERLINK \l "_Toc190814716" </w:instrText>
          </w:r>
          <w:r>
            <w:fldChar w:fldCharType="separate"/>
          </w:r>
          <w:r>
            <w:rPr>
              <w:rStyle w:val="10"/>
              <w:rFonts w:cs="Arial"/>
              <w:color w:val="auto"/>
            </w:rPr>
            <w:t>Section 1: Reflection on Experience and Personal Development</w:t>
          </w:r>
          <w:r>
            <w:rPr>
              <w:rFonts w:cs="Arial"/>
            </w:rPr>
            <w:tab/>
          </w:r>
          <w:r>
            <w:rPr>
              <w:rFonts w:cs="Arial"/>
            </w:rPr>
            <w:fldChar w:fldCharType="begin"/>
          </w:r>
          <w:r>
            <w:rPr>
              <w:rFonts w:cs="Arial"/>
            </w:rPr>
            <w:instrText xml:space="preserve"> PAGEREF _Toc190814716 \h </w:instrText>
          </w:r>
          <w:r>
            <w:rPr>
              <w:rFonts w:cs="Arial"/>
            </w:rPr>
            <w:fldChar w:fldCharType="separate"/>
          </w:r>
          <w:r>
            <w:rPr>
              <w:rFonts w:cs="Arial"/>
            </w:rPr>
            <w:t>3</w:t>
          </w:r>
          <w:r>
            <w:rPr>
              <w:rFonts w:cs="Arial"/>
            </w:rPr>
            <w:fldChar w:fldCharType="end"/>
          </w:r>
          <w:r>
            <w:rPr>
              <w:rFonts w:cs="Arial"/>
            </w:rPr>
            <w:fldChar w:fldCharType="end"/>
          </w:r>
        </w:p>
        <w:p w14:paraId="7C6016DA">
          <w:pPr>
            <w:pStyle w:val="14"/>
            <w:tabs>
              <w:tab w:val="right" w:leader="dot" w:pos="9350"/>
            </w:tabs>
            <w:rPr>
              <w:rFonts w:cs="Arial" w:eastAsiaTheme="minorEastAsia"/>
              <w:sz w:val="22"/>
            </w:rPr>
          </w:pPr>
          <w:r>
            <w:fldChar w:fldCharType="begin"/>
          </w:r>
          <w:r>
            <w:instrText xml:space="preserve"> HYPERLINK \l "_Toc190814717" </w:instrText>
          </w:r>
          <w:r>
            <w:fldChar w:fldCharType="separate"/>
          </w:r>
          <w:r>
            <w:rPr>
              <w:rStyle w:val="10"/>
              <w:rFonts w:cs="Arial"/>
              <w:color w:val="auto"/>
            </w:rPr>
            <w:t>Section 2: Critical Analysis of Work-Based Skills and Technical Knowledge</w:t>
          </w:r>
          <w:r>
            <w:rPr>
              <w:rFonts w:cs="Arial"/>
            </w:rPr>
            <w:tab/>
          </w:r>
          <w:r>
            <w:rPr>
              <w:rFonts w:cs="Arial"/>
            </w:rPr>
            <w:fldChar w:fldCharType="begin"/>
          </w:r>
          <w:r>
            <w:rPr>
              <w:rFonts w:cs="Arial"/>
            </w:rPr>
            <w:instrText xml:space="preserve"> PAGEREF _Toc190814717 \h </w:instrText>
          </w:r>
          <w:r>
            <w:rPr>
              <w:rFonts w:cs="Arial"/>
            </w:rPr>
            <w:fldChar w:fldCharType="separate"/>
          </w:r>
          <w:r>
            <w:rPr>
              <w:rFonts w:cs="Arial"/>
            </w:rPr>
            <w:t>5</w:t>
          </w:r>
          <w:r>
            <w:rPr>
              <w:rFonts w:cs="Arial"/>
            </w:rPr>
            <w:fldChar w:fldCharType="end"/>
          </w:r>
          <w:r>
            <w:rPr>
              <w:rFonts w:cs="Arial"/>
            </w:rPr>
            <w:fldChar w:fldCharType="end"/>
          </w:r>
        </w:p>
        <w:p w14:paraId="7C6016DB">
          <w:pPr>
            <w:pStyle w:val="14"/>
            <w:tabs>
              <w:tab w:val="right" w:leader="dot" w:pos="9350"/>
            </w:tabs>
            <w:rPr>
              <w:rFonts w:cs="Arial" w:eastAsiaTheme="minorEastAsia"/>
              <w:sz w:val="22"/>
            </w:rPr>
          </w:pPr>
          <w:r>
            <w:fldChar w:fldCharType="begin"/>
          </w:r>
          <w:r>
            <w:instrText xml:space="preserve"> HYPERLINK \l "_Toc190814718" </w:instrText>
          </w:r>
          <w:r>
            <w:fldChar w:fldCharType="separate"/>
          </w:r>
          <w:r>
            <w:rPr>
              <w:rStyle w:val="10"/>
              <w:rFonts w:cs="Arial"/>
              <w:color w:val="auto"/>
            </w:rPr>
            <w:t>Section 3: Reflection on Organisational Issues</w:t>
          </w:r>
          <w:r>
            <w:rPr>
              <w:rFonts w:cs="Arial"/>
            </w:rPr>
            <w:tab/>
          </w:r>
          <w:r>
            <w:rPr>
              <w:rFonts w:cs="Arial"/>
            </w:rPr>
            <w:fldChar w:fldCharType="begin"/>
          </w:r>
          <w:r>
            <w:rPr>
              <w:rFonts w:cs="Arial"/>
            </w:rPr>
            <w:instrText xml:space="preserve"> PAGEREF _Toc190814718 \h </w:instrText>
          </w:r>
          <w:r>
            <w:rPr>
              <w:rFonts w:cs="Arial"/>
            </w:rPr>
            <w:fldChar w:fldCharType="separate"/>
          </w:r>
          <w:r>
            <w:rPr>
              <w:rFonts w:cs="Arial"/>
            </w:rPr>
            <w:t>6</w:t>
          </w:r>
          <w:r>
            <w:rPr>
              <w:rFonts w:cs="Arial"/>
            </w:rPr>
            <w:fldChar w:fldCharType="end"/>
          </w:r>
          <w:r>
            <w:rPr>
              <w:rFonts w:cs="Arial"/>
            </w:rPr>
            <w:fldChar w:fldCharType="end"/>
          </w:r>
        </w:p>
        <w:p w14:paraId="7C6016DC">
          <w:pPr>
            <w:pStyle w:val="14"/>
            <w:tabs>
              <w:tab w:val="right" w:leader="dot" w:pos="9350"/>
            </w:tabs>
            <w:rPr>
              <w:rFonts w:cs="Arial" w:eastAsiaTheme="minorEastAsia"/>
              <w:sz w:val="22"/>
            </w:rPr>
          </w:pPr>
          <w:r>
            <w:fldChar w:fldCharType="begin"/>
          </w:r>
          <w:r>
            <w:instrText xml:space="preserve"> HYPERLINK \l "_Toc190814719" </w:instrText>
          </w:r>
          <w:r>
            <w:fldChar w:fldCharType="separate"/>
          </w:r>
          <w:r>
            <w:rPr>
              <w:rStyle w:val="10"/>
              <w:rFonts w:cs="Arial"/>
              <w:color w:val="auto"/>
            </w:rPr>
            <w:t>Conclusion and Action Plan</w:t>
          </w:r>
          <w:r>
            <w:rPr>
              <w:rFonts w:cs="Arial"/>
            </w:rPr>
            <w:tab/>
          </w:r>
          <w:r>
            <w:rPr>
              <w:rFonts w:cs="Arial"/>
            </w:rPr>
            <w:fldChar w:fldCharType="begin"/>
          </w:r>
          <w:r>
            <w:rPr>
              <w:rFonts w:cs="Arial"/>
            </w:rPr>
            <w:instrText xml:space="preserve"> PAGEREF _Toc190814719 \h </w:instrText>
          </w:r>
          <w:r>
            <w:rPr>
              <w:rFonts w:cs="Arial"/>
            </w:rPr>
            <w:fldChar w:fldCharType="separate"/>
          </w:r>
          <w:r>
            <w:rPr>
              <w:rFonts w:cs="Arial"/>
            </w:rPr>
            <w:t>7</w:t>
          </w:r>
          <w:r>
            <w:rPr>
              <w:rFonts w:cs="Arial"/>
            </w:rPr>
            <w:fldChar w:fldCharType="end"/>
          </w:r>
          <w:r>
            <w:rPr>
              <w:rFonts w:cs="Arial"/>
            </w:rPr>
            <w:fldChar w:fldCharType="end"/>
          </w:r>
        </w:p>
        <w:p w14:paraId="7C6016DD">
          <w:pPr>
            <w:pStyle w:val="14"/>
            <w:tabs>
              <w:tab w:val="right" w:leader="dot" w:pos="9350"/>
            </w:tabs>
            <w:rPr>
              <w:rFonts w:cs="Arial" w:eastAsiaTheme="minorEastAsia"/>
              <w:sz w:val="22"/>
            </w:rPr>
          </w:pPr>
          <w:r>
            <w:fldChar w:fldCharType="begin"/>
          </w:r>
          <w:r>
            <w:instrText xml:space="preserve"> HYPERLINK \l "_Toc190814720" </w:instrText>
          </w:r>
          <w:r>
            <w:fldChar w:fldCharType="separate"/>
          </w:r>
          <w:r>
            <w:rPr>
              <w:rStyle w:val="10"/>
              <w:rFonts w:cs="Arial"/>
              <w:color w:val="auto"/>
            </w:rPr>
            <w:t>References</w:t>
          </w:r>
          <w:r>
            <w:rPr>
              <w:rFonts w:cs="Arial"/>
            </w:rPr>
            <w:tab/>
          </w:r>
          <w:r>
            <w:rPr>
              <w:rFonts w:cs="Arial"/>
            </w:rPr>
            <w:fldChar w:fldCharType="begin"/>
          </w:r>
          <w:r>
            <w:rPr>
              <w:rFonts w:cs="Arial"/>
            </w:rPr>
            <w:instrText xml:space="preserve"> PAGEREF _Toc190814720 \h </w:instrText>
          </w:r>
          <w:r>
            <w:rPr>
              <w:rFonts w:cs="Arial"/>
            </w:rPr>
            <w:fldChar w:fldCharType="separate"/>
          </w:r>
          <w:r>
            <w:rPr>
              <w:rFonts w:cs="Arial"/>
            </w:rPr>
            <w:t>8</w:t>
          </w:r>
          <w:r>
            <w:rPr>
              <w:rFonts w:cs="Arial"/>
            </w:rPr>
            <w:fldChar w:fldCharType="end"/>
          </w:r>
          <w:r>
            <w:rPr>
              <w:rFonts w:cs="Arial"/>
            </w:rPr>
            <w:fldChar w:fldCharType="end"/>
          </w:r>
        </w:p>
        <w:p w14:paraId="7C6016DE">
          <w:pPr>
            <w:rPr>
              <w:rFonts w:eastAsia="Times New Roman" w:cs="Arial"/>
              <w:b/>
              <w:szCs w:val="24"/>
            </w:rPr>
          </w:pPr>
          <w:r>
            <w:rPr>
              <w:rFonts w:eastAsia="Times New Roman" w:cs="Arial"/>
              <w:b/>
              <w:szCs w:val="24"/>
            </w:rPr>
            <w:fldChar w:fldCharType="end"/>
          </w:r>
        </w:p>
      </w:sdtContent>
    </w:sdt>
    <w:p w14:paraId="7C6016DF">
      <w:pPr>
        <w:rPr>
          <w:rFonts w:eastAsia="Times New Roman" w:cs="Arial"/>
          <w:b/>
          <w:bCs/>
          <w:szCs w:val="24"/>
        </w:rPr>
      </w:pPr>
      <w:r>
        <w:rPr>
          <w:rFonts w:eastAsia="Times New Roman" w:cs="Arial"/>
          <w:szCs w:val="24"/>
        </w:rPr>
        <w:br w:type="page"/>
      </w:r>
      <w:bookmarkStart w:id="0" w:name="_Toc182304168"/>
    </w:p>
    <w:bookmarkEnd w:id="0"/>
    <w:p w14:paraId="7C6016E0">
      <w:pPr>
        <w:pStyle w:val="2"/>
        <w:rPr>
          <w:rFonts w:ascii="Arial" w:hAnsi="Arial" w:cs="Arial"/>
          <w:color w:val="auto"/>
          <w:lang w:val="en-GB"/>
        </w:rPr>
      </w:pPr>
      <w:bookmarkStart w:id="1" w:name="_Toc190814715"/>
      <w:bookmarkStart w:id="2" w:name="_Toc190690718"/>
      <w:r>
        <w:rPr>
          <w:rFonts w:ascii="Arial" w:hAnsi="Arial" w:cs="Arial"/>
          <w:color w:val="auto"/>
          <w:lang w:val="en-GB"/>
        </w:rPr>
        <w:t>Introduction</w:t>
      </w:r>
      <w:bookmarkEnd w:id="1"/>
      <w:bookmarkEnd w:id="2"/>
    </w:p>
    <w:p w14:paraId="7C6016E1">
      <w:pPr>
        <w:rPr>
          <w:rFonts w:cs="Arial"/>
        </w:rPr>
      </w:pPr>
      <w:r>
        <w:rPr>
          <w:rFonts w:cs="Arial"/>
        </w:rPr>
        <w:t>Having joined Ibis London Stratford for my placement work I participated in the hotel's Food and Beverage department services. High-quality service achievement through departmental efforts is essential in running the hotel effectively. The F&amp;B Department consists of restaurant facilities alongside its bar establishment and room service operations that offer eating and drinking services for daily interactions with guests. I focused my primary learning objective on gaining practical skills for operations together with management duties and customer service throughout my 10-week placement. Specifically, I aimed to:</w:t>
      </w:r>
    </w:p>
    <w:p w14:paraId="7C6016E2">
      <w:pPr>
        <w:pStyle w:val="21"/>
        <w:numPr>
          <w:ilvl w:val="0"/>
          <w:numId w:val="1"/>
        </w:numPr>
        <w:rPr>
          <w:rFonts w:cs="Arial"/>
        </w:rPr>
      </w:pPr>
      <w:r>
        <w:rPr>
          <w:rFonts w:cs="Arial"/>
        </w:rPr>
        <w:t>Through this program, I can achieve a thorough knowledge of food and beverage operations.</w:t>
      </w:r>
    </w:p>
    <w:p w14:paraId="7C6016E3">
      <w:pPr>
        <w:pStyle w:val="21"/>
        <w:numPr>
          <w:ilvl w:val="0"/>
          <w:numId w:val="1"/>
        </w:numPr>
        <w:rPr>
          <w:rFonts w:cs="Arial"/>
        </w:rPr>
      </w:pPr>
      <w:r>
        <w:rPr>
          <w:rFonts w:cs="Arial"/>
        </w:rPr>
        <w:t>Use the hospitality environment to master both teamwork abilities and effective communication skills.</w:t>
      </w:r>
    </w:p>
    <w:p w14:paraId="7C6016E4">
      <w:pPr>
        <w:pStyle w:val="21"/>
        <w:numPr>
          <w:ilvl w:val="0"/>
          <w:numId w:val="1"/>
        </w:numPr>
        <w:rPr>
          <w:rFonts w:cs="Arial"/>
        </w:rPr>
      </w:pPr>
      <w:r>
        <w:rPr>
          <w:rFonts w:cs="Arial"/>
        </w:rPr>
        <w:t>I strive to improve my task implementation competencies to work efficiently within the F&amp;B department.</w:t>
      </w:r>
    </w:p>
    <w:p w14:paraId="7C6016E5">
      <w:pPr>
        <w:pStyle w:val="21"/>
        <w:numPr>
          <w:ilvl w:val="0"/>
          <w:numId w:val="1"/>
        </w:numPr>
        <w:rPr>
          <w:rFonts w:cs="Arial"/>
        </w:rPr>
      </w:pPr>
      <w:r>
        <w:rPr>
          <w:rFonts w:cs="Arial"/>
        </w:rPr>
        <w:t>Practice the implementation of guest service standards.</w:t>
      </w:r>
    </w:p>
    <w:p w14:paraId="7C6016E6">
      <w:pPr>
        <w:pStyle w:val="21"/>
        <w:numPr>
          <w:ilvl w:val="0"/>
          <w:numId w:val="1"/>
        </w:numPr>
        <w:rPr>
          <w:rFonts w:cs="Arial"/>
        </w:rPr>
      </w:pPr>
      <w:r>
        <w:rPr>
          <w:rFonts w:cs="Arial"/>
        </w:rPr>
        <w:t>The student will detect and evaluate an organisational challenge they observed in their placement work setting.</w:t>
      </w:r>
    </w:p>
    <w:p w14:paraId="7C6016E7">
      <w:pPr>
        <w:rPr>
          <w:rFonts w:cs="Arial"/>
        </w:rPr>
      </w:pPr>
      <w:r>
        <w:rPr>
          <w:rFonts w:cs="Arial"/>
        </w:rPr>
        <w:t xml:space="preserve">The reflective process uses Gibbs' Reflective Cycle (1988) as my chosen framework. The reflective model uses a systematic process for experience evaluation that includes six distinct steps from Description through Feelings to Evaluation and Analysis before reaching the Conclusion and developing an Action Plan (Sundgren </w:t>
      </w:r>
      <w:r>
        <w:rPr>
          <w:rFonts w:cs="Arial"/>
          <w:i/>
        </w:rPr>
        <w:t>et al.,</w:t>
      </w:r>
      <w:r>
        <w:rPr>
          <w:rFonts w:cs="Arial"/>
        </w:rPr>
        <w:t xml:space="preserve"> 2021).</w:t>
      </w:r>
    </w:p>
    <w:p w14:paraId="7C6016E8">
      <w:pPr>
        <w:pStyle w:val="2"/>
        <w:rPr>
          <w:rFonts w:ascii="Arial" w:hAnsi="Arial" w:cs="Arial"/>
          <w:color w:val="auto"/>
          <w:lang w:val="en-GB"/>
        </w:rPr>
      </w:pPr>
      <w:bookmarkStart w:id="3" w:name="_Toc190814716"/>
      <w:r>
        <w:rPr>
          <w:rFonts w:ascii="Arial" w:hAnsi="Arial" w:cs="Arial"/>
          <w:color w:val="auto"/>
          <w:lang w:val="en-GB"/>
        </w:rPr>
        <w:t>Section 1: Reflection on Experience and Personal Development</w:t>
      </w:r>
      <w:bookmarkEnd w:id="3"/>
    </w:p>
    <w:p w14:paraId="7C6016E9">
      <w:pPr>
        <w:rPr>
          <w:rFonts w:cs="Arial"/>
        </w:rPr>
      </w:pPr>
      <w:r>
        <w:rPr>
          <w:rFonts w:cs="Arial"/>
          <w:i/>
          <w:iCs/>
        </w:rPr>
        <w:t>Description and Feelings:</w:t>
      </w:r>
    </w:p>
    <w:p w14:paraId="7C6016EA">
      <w:pPr>
        <w:rPr>
          <w:rFonts w:cs="Arial"/>
        </w:rPr>
      </w:pPr>
      <w:r>
        <w:rPr>
          <w:rFonts w:cs="Arial"/>
        </w:rPr>
        <w:t>I spent my placement observing the supervisory activities of the F&amp;B department staff. The placement tasks proved difficult yet enriching because I learned about managing technical operations together with supervising personnel. I took part in shift scheduling duties to preserve high-quality service delivery at both busy breakfast and evening meal events (Bassot, 2024). I at first encountered obstruction with the duty but eventually, my work rhythm synchronisation improved.</w:t>
      </w:r>
    </w:p>
    <w:p w14:paraId="7C6016EB">
      <w:pPr>
        <w:rPr>
          <w:rFonts w:cs="Arial"/>
        </w:rPr>
      </w:pPr>
      <w:r>
        <w:rPr>
          <w:rFonts w:cs="Arial"/>
          <w:i/>
          <w:iCs/>
        </w:rPr>
        <w:t>Evaluation:</w:t>
      </w:r>
    </w:p>
    <w:p w14:paraId="7C6016EC">
      <w:pPr>
        <w:rPr>
          <w:rFonts w:cs="Arial"/>
        </w:rPr>
      </w:pPr>
      <w:r>
        <w:rPr>
          <w:rFonts w:cs="Arial"/>
        </w:rPr>
        <w:t>This work experience helped me understand why work-based skills like communication alongside teamwork matter in every context. The supervisor needed to provide direct simple instructions to the staff particularly when service reached its height because accuracy and fast order processing depended on it (Akello, 2023). The ability to work with others served as a key element for maintaining both speed and outstanding service delivery standards. The experience taught me about creating solid workplace bonds with kitchen staff and waiters since this knowledge proved essential to achieving guest satisfaction (Hagg, 2013).</w:t>
      </w:r>
    </w:p>
    <w:p w14:paraId="7C6016ED">
      <w:pPr>
        <w:rPr>
          <w:rFonts w:cs="Arial"/>
        </w:rPr>
      </w:pPr>
      <w:r>
        <w:rPr>
          <w:rFonts w:cs="Arial"/>
          <w:i/>
          <w:iCs/>
        </w:rPr>
        <w:t>Analysis:</w:t>
      </w:r>
    </w:p>
    <w:p w14:paraId="7C6016EE">
      <w:pPr>
        <w:rPr>
          <w:rFonts w:cs="Arial"/>
        </w:rPr>
      </w:pPr>
      <w:r>
        <w:rPr>
          <w:rFonts w:cs="Arial"/>
        </w:rPr>
        <w:t xml:space="preserve">The work-based skills together with technical knowledge served as key components throughout my observation experience in the hospitality industry. The placement experience provided me with the chance to implement theoretical knowledge about management and guest service which I had acquired through academic courses from Level 4 to 6. I enhanced my ability to communicate while improving my capacity to manage tasks through my daily operational management tasks and guest interactions. Through this experience, my competence grew in dealing with stressful situations which included managing guest complaints together with dealing with delays (Mantolas </w:t>
      </w:r>
      <w:r>
        <w:rPr>
          <w:rFonts w:cs="Arial"/>
          <w:i/>
        </w:rPr>
        <w:t>et al.,</w:t>
      </w:r>
      <w:r>
        <w:rPr>
          <w:rFonts w:cs="Arial"/>
        </w:rPr>
        <w:t xml:space="preserve"> 2024). The practical experience demonstrated the complex union between self-improvement and vocational growth that will guide my future professional work.</w:t>
      </w:r>
    </w:p>
    <w:p w14:paraId="7C6016EF">
      <w:pPr>
        <w:rPr>
          <w:rFonts w:cs="Arial"/>
        </w:rPr>
      </w:pPr>
      <w:r>
        <w:rPr>
          <w:rFonts w:cs="Arial"/>
        </w:rPr>
        <w:t>Conclusion:</w:t>
      </w:r>
    </w:p>
    <w:p w14:paraId="7C6016F0">
      <w:pPr>
        <w:rPr>
          <w:rFonts w:cs="Arial"/>
        </w:rPr>
      </w:pPr>
      <w:r>
        <w:rPr>
          <w:rFonts w:cs="Arial"/>
        </w:rPr>
        <w:t>The placement experience provided substantial growth to both my personal and professional advancement. The understanding I developed about how communication and teamwork with task management and personal abilities lead to achieving guest service targets is much stronger now. Hospitality management vocational skills have strengthened through my placement experience and my past educational and job-related experiences.</w:t>
      </w:r>
    </w:p>
    <w:p w14:paraId="7C6016F1">
      <w:pPr>
        <w:pStyle w:val="2"/>
        <w:rPr>
          <w:rFonts w:ascii="Arial" w:hAnsi="Arial" w:cs="Arial"/>
          <w:color w:val="auto"/>
          <w:lang w:val="en-GB"/>
        </w:rPr>
      </w:pPr>
      <w:bookmarkStart w:id="4" w:name="_Toc190814717"/>
      <w:r>
        <w:rPr>
          <w:rFonts w:ascii="Arial" w:hAnsi="Arial" w:cs="Arial"/>
          <w:color w:val="auto"/>
          <w:lang w:val="en-GB"/>
        </w:rPr>
        <w:t>Section 2: Critical Analysis of Work-Based Skills and Technical Knowledge</w:t>
      </w:r>
      <w:bookmarkEnd w:id="4"/>
    </w:p>
    <w:p w14:paraId="7C6016F2">
      <w:pPr>
        <w:rPr>
          <w:rFonts w:cs="Arial"/>
        </w:rPr>
      </w:pPr>
      <w:r>
        <w:rPr>
          <w:rFonts w:cs="Arial"/>
          <w:i/>
          <w:iCs/>
        </w:rPr>
        <w:t>Work-based Skills:</w:t>
      </w:r>
    </w:p>
    <w:p w14:paraId="7C6016F3">
      <w:pPr>
        <w:rPr>
          <w:rFonts w:cs="Arial"/>
        </w:rPr>
      </w:pPr>
      <w:r>
        <w:rPr>
          <w:rFonts w:cs="Arial"/>
        </w:rPr>
        <w:t>High guest service standards depend heavily on the successful employment of work-based skills. The foundation of successful F&amp;B operations rests upon strong communication and teamwork according to my observation at my placement. Supervisors need to verify the role understanding of their staff members who must maintain clear communication for quick guest service delivery (Walker, 2021). During heavy service, the supervisor needed to maintain clear communication with staff between the front-of-house and kitchen to guarantee efficient food delivery and guest happiness (Fallon and Rutherford, 2010). Success in the department and guest satisfaction both depend on proper coordination and management of restaurant systems.</w:t>
      </w:r>
    </w:p>
    <w:p w14:paraId="7C6016F4">
      <w:pPr>
        <w:rPr>
          <w:rFonts w:cs="Arial"/>
          <w:i/>
        </w:rPr>
      </w:pPr>
      <w:r>
        <w:rPr>
          <w:rFonts w:cs="Arial"/>
          <w:i/>
        </w:rPr>
        <w:t>Technical Knowledge:</w:t>
      </w:r>
    </w:p>
    <w:p w14:paraId="7C6016F5">
      <w:pPr>
        <w:spacing w:before="240"/>
        <w:rPr>
          <w:rFonts w:cs="Arial"/>
        </w:rPr>
      </w:pPr>
      <w:r>
        <w:rPr>
          <w:rFonts w:cs="Arial"/>
        </w:rPr>
        <w:t>Technical understanding stands equally important to F&amp;B department operations together with work-related competencies. The service standards depend heavily on controlling food safety procedures and understanding the menu along with staying updated on health and safety requirements (ASET, 2017). I spent my placement position gaining knowledge about all food safety protocols and security standards implemented at the hotel. Through my acquired technical knowledge I could maintain standards of regulations and simultaneously provide exceptional guest service (Johnston, Clark and Shulver, 2012). The task of fulfilling both food service standards and guest interaction standards becomes difficult without a proper understanding of relevant knowledge.</w:t>
      </w:r>
    </w:p>
    <w:p w14:paraId="7C6016F6">
      <w:pPr>
        <w:rPr>
          <w:rFonts w:cs="Arial"/>
        </w:rPr>
      </w:pPr>
      <w:r>
        <w:rPr>
          <w:rFonts w:cs="Arial"/>
        </w:rPr>
        <w:t>The observed management practices during my experience taught me the significance of catering to individual guests' tastes and preferences. Guest satisfaction grows significantly when service teams understand particular dietary needs and customise their approach (Vallen and Vallen, 2014). Emphasising meticulous attention shows the need for uniting practical skills from work with technical expertise to surpass guest expectations.</w:t>
      </w:r>
    </w:p>
    <w:p w14:paraId="7C6016F7">
      <w:pPr>
        <w:pStyle w:val="2"/>
        <w:rPr>
          <w:rFonts w:ascii="Arial" w:hAnsi="Arial" w:cs="Arial"/>
          <w:color w:val="auto"/>
          <w:lang w:val="en-GB"/>
        </w:rPr>
      </w:pPr>
      <w:bookmarkStart w:id="5" w:name="_Toc190814718"/>
      <w:r>
        <w:rPr>
          <w:rFonts w:ascii="Arial" w:hAnsi="Arial" w:cs="Arial"/>
          <w:color w:val="auto"/>
          <w:lang w:val="en-GB"/>
        </w:rPr>
        <w:t>Section 3: Reflection on Organisational Issues</w:t>
      </w:r>
      <w:bookmarkEnd w:id="5"/>
    </w:p>
    <w:p w14:paraId="7C6016F8">
      <w:pPr>
        <w:rPr>
          <w:rFonts w:cs="Arial"/>
        </w:rPr>
      </w:pPr>
      <w:r>
        <w:rPr>
          <w:rFonts w:cs="Arial"/>
          <w:i/>
          <w:iCs/>
        </w:rPr>
        <w:t>Description:</w:t>
      </w:r>
    </w:p>
    <w:p w14:paraId="7C6016F9">
      <w:pPr>
        <w:rPr>
          <w:rFonts w:cs="Arial"/>
        </w:rPr>
      </w:pPr>
      <w:r>
        <w:rPr>
          <w:rFonts w:cs="Arial"/>
        </w:rPr>
        <w:t xml:space="preserve">Staff shortages proved to be the most significant organisational challenge I experienced at my placement position specifically during times of high volume. The shortage of staff members impaired departmental performance because not enough members were available to manage guest requests while upholding service quality levels at peak times (Stahl </w:t>
      </w:r>
      <w:r>
        <w:rPr>
          <w:rFonts w:cs="Arial"/>
          <w:i/>
        </w:rPr>
        <w:t>et al.,</w:t>
      </w:r>
      <w:r>
        <w:rPr>
          <w:rFonts w:cs="Arial"/>
        </w:rPr>
        <w:t xml:space="preserve"> 2022). The restaurant faced a staffing shortage when it served dinner which caused delays in order delivery and triggered multiple complaints from guests.</w:t>
      </w:r>
    </w:p>
    <w:p w14:paraId="7C6016FA">
      <w:pPr>
        <w:rPr>
          <w:rFonts w:cs="Arial"/>
        </w:rPr>
      </w:pPr>
      <w:r>
        <w:rPr>
          <w:rFonts w:cs="Arial"/>
        </w:rPr>
        <w:t>Analysis:</w:t>
      </w:r>
    </w:p>
    <w:p w14:paraId="7C6016FB">
      <w:pPr>
        <w:rPr>
          <w:rFonts w:cs="Arial"/>
        </w:rPr>
      </w:pPr>
      <w:r>
        <w:rPr>
          <w:rFonts w:cs="Arial"/>
        </w:rPr>
        <w:t xml:space="preserve">The F&amp;B department's performance decreased because staff numbers were insufficient to manage guest service quality adequately. The staff felt too overwhelmed which caused their communication and teamwork between each other to deteriorate (Barletta </w:t>
      </w:r>
      <w:r>
        <w:rPr>
          <w:rFonts w:cs="Arial"/>
          <w:i/>
        </w:rPr>
        <w:t>et al.,</w:t>
      </w:r>
      <w:r>
        <w:rPr>
          <w:rFonts w:cs="Arial"/>
        </w:rPr>
        <w:t xml:space="preserve"> 2021). The situation emphasised that proper staff levels alongside efficient resource management systems are fundamental for carrying out consistent workplace operations. According to Maslow's Hierarchy of Needs (1943), employees require job security together with workable tasks for effective performance (Abdelsalam, Al-Haddad and Abdel-Aziz, 2022). The extra work stress caused by employee shortages at this hotel organisation diminished both team performance and interpersonal relationships.</w:t>
      </w:r>
    </w:p>
    <w:p w14:paraId="7C6016FC">
      <w:pPr>
        <w:rPr>
          <w:rFonts w:cs="Arial"/>
        </w:rPr>
      </w:pPr>
      <w:r>
        <w:rPr>
          <w:rFonts w:cs="Arial"/>
        </w:rPr>
        <w:t>Possible Solutions:</w:t>
      </w:r>
    </w:p>
    <w:p w14:paraId="7C6016FD">
      <w:pPr>
        <w:rPr>
          <w:rFonts w:cs="Arial"/>
        </w:rPr>
      </w:pPr>
      <w:r>
        <w:rPr>
          <w:rFonts w:cs="Arial"/>
        </w:rPr>
        <w:t>Better scheduling practices should become a solution for the hotel to maintain proper staff levels which match peak demand periods. When the F&amp;B department lacks sufficient staff cross-training members from other departments becomes a solution for distributing more work among personnel (De Villiers, La Torre and Molinari, 2022). An automated ordering system combined with technological solutions would benefit employees by simplifying the order process and creating better communication links between front-of-house staff and kitchen personnel.</w:t>
      </w:r>
    </w:p>
    <w:p w14:paraId="7C6016FE">
      <w:pPr>
        <w:pStyle w:val="2"/>
        <w:rPr>
          <w:rFonts w:ascii="Arial" w:hAnsi="Arial" w:cs="Arial"/>
          <w:color w:val="auto"/>
          <w:lang w:val="en-GB"/>
        </w:rPr>
      </w:pPr>
      <w:bookmarkStart w:id="6" w:name="_Toc190814719"/>
      <w:r>
        <w:rPr>
          <w:rFonts w:ascii="Arial" w:hAnsi="Arial" w:cs="Arial"/>
          <w:color w:val="auto"/>
          <w:lang w:val="en-GB"/>
        </w:rPr>
        <w:t>Conclusion and Action Plan</w:t>
      </w:r>
      <w:bookmarkEnd w:id="6"/>
    </w:p>
    <w:p w14:paraId="7C6016FF">
      <w:pPr>
        <w:rPr>
          <w:rFonts w:cs="Arial"/>
        </w:rPr>
      </w:pPr>
      <w:r>
        <w:rPr>
          <w:rFonts w:cs="Arial"/>
          <w:i/>
          <w:iCs/>
        </w:rPr>
        <w:t>Summary:</w:t>
      </w:r>
    </w:p>
    <w:p w14:paraId="7C601700">
      <w:pPr>
        <w:rPr>
          <w:rFonts w:cs="Arial"/>
        </w:rPr>
      </w:pPr>
      <w:r>
        <w:rPr>
          <w:rFonts w:cs="Arial"/>
        </w:rPr>
        <w:t>My placement experience at Ibis London Stratford showed me how F&amp;B operations function at the same time as it illustrated the central role between practical competencies and technical skills in achieving superior guest service quality. I used this professional experience to convert academic ideas into real-world situations while improving my communication skills and teambuilding abilities plus task organisation techniques. My understanding became stronger about how organisational challenges like lacking enough staff affect department achievement levels.</w:t>
      </w:r>
    </w:p>
    <w:p w14:paraId="7C601701">
      <w:pPr>
        <w:rPr>
          <w:rFonts w:cs="Arial"/>
        </w:rPr>
      </w:pPr>
      <w:r>
        <w:rPr>
          <w:rFonts w:cs="Arial"/>
        </w:rPr>
        <w:t>Action Plan:</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8"/>
        <w:gridCol w:w="6588"/>
      </w:tblGrid>
      <w:tr w14:paraId="7C60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C601702">
            <w:pPr>
              <w:spacing w:after="200"/>
              <w:jc w:val="center"/>
              <w:rPr>
                <w:rFonts w:cs="Arial"/>
                <w:b/>
                <w:bCs/>
              </w:rPr>
            </w:pPr>
            <w:r>
              <w:rPr>
                <w:rFonts w:cs="Arial"/>
                <w:b/>
                <w:bCs/>
              </w:rPr>
              <w:t>Action Plan Components</w:t>
            </w:r>
          </w:p>
        </w:tc>
        <w:tc>
          <w:tcPr>
            <w:tcW w:w="6588" w:type="dxa"/>
          </w:tcPr>
          <w:p w14:paraId="7C601703">
            <w:pPr>
              <w:spacing w:after="200"/>
              <w:jc w:val="center"/>
              <w:rPr>
                <w:rFonts w:cs="Arial"/>
                <w:b/>
                <w:bCs/>
              </w:rPr>
            </w:pPr>
            <w:r>
              <w:rPr>
                <w:rFonts w:cs="Arial"/>
                <w:b/>
                <w:bCs/>
              </w:rPr>
              <w:t>Details</w:t>
            </w:r>
          </w:p>
        </w:tc>
      </w:tr>
      <w:tr w14:paraId="7C60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C601705">
            <w:pPr>
              <w:spacing w:after="200"/>
              <w:rPr>
                <w:rFonts w:cs="Arial"/>
              </w:rPr>
            </w:pPr>
            <w:r>
              <w:rPr>
                <w:rFonts w:cs="Arial"/>
                <w:b/>
                <w:bCs/>
              </w:rPr>
              <w:t>Career Focus</w:t>
            </w:r>
          </w:p>
        </w:tc>
        <w:tc>
          <w:tcPr>
            <w:tcW w:w="6588" w:type="dxa"/>
          </w:tcPr>
          <w:p w14:paraId="7C601706">
            <w:pPr>
              <w:spacing w:after="200"/>
              <w:rPr>
                <w:rFonts w:cs="Arial"/>
              </w:rPr>
            </w:pPr>
            <w:r>
              <w:rPr>
                <w:rFonts w:cs="Arial"/>
              </w:rPr>
              <w:t>Search for further supervisory positions in the hospitality sector.</w:t>
            </w:r>
          </w:p>
        </w:tc>
      </w:tr>
      <w:tr w14:paraId="7C601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C601708">
            <w:pPr>
              <w:spacing w:after="200"/>
              <w:rPr>
                <w:rFonts w:cs="Arial"/>
              </w:rPr>
            </w:pPr>
            <w:r>
              <w:rPr>
                <w:rFonts w:cs="Arial"/>
                <w:b/>
                <w:bCs/>
              </w:rPr>
              <w:t>Priority 1</w:t>
            </w:r>
          </w:p>
        </w:tc>
        <w:tc>
          <w:tcPr>
            <w:tcW w:w="6588" w:type="dxa"/>
          </w:tcPr>
          <w:p w14:paraId="7C601709">
            <w:pPr>
              <w:spacing w:after="200"/>
              <w:rPr>
                <w:rFonts w:cs="Arial"/>
              </w:rPr>
            </w:pPr>
            <w:r>
              <w:rPr>
                <w:rFonts w:cs="Arial"/>
              </w:rPr>
              <w:t>Enhance team leadership skills.</w:t>
            </w:r>
          </w:p>
        </w:tc>
      </w:tr>
      <w:tr w14:paraId="7C601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C60170B">
            <w:pPr>
              <w:spacing w:after="200"/>
              <w:rPr>
                <w:rFonts w:cs="Arial"/>
              </w:rPr>
            </w:pPr>
            <w:r>
              <w:rPr>
                <w:rFonts w:cs="Arial"/>
                <w:b/>
                <w:bCs/>
              </w:rPr>
              <w:t>Priority 2</w:t>
            </w:r>
          </w:p>
        </w:tc>
        <w:tc>
          <w:tcPr>
            <w:tcW w:w="6588" w:type="dxa"/>
          </w:tcPr>
          <w:p w14:paraId="7C60170C">
            <w:pPr>
              <w:spacing w:after="200"/>
              <w:rPr>
                <w:rFonts w:cs="Arial"/>
              </w:rPr>
            </w:pPr>
            <w:r>
              <w:rPr>
                <w:rFonts w:cs="Arial"/>
              </w:rPr>
              <w:t>Develop competency in handling organisational problems, particularly workforce management issues.</w:t>
            </w:r>
          </w:p>
        </w:tc>
      </w:tr>
      <w:tr w14:paraId="7C601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C60170E">
            <w:pPr>
              <w:spacing w:after="200"/>
              <w:rPr>
                <w:rFonts w:cs="Arial"/>
              </w:rPr>
            </w:pPr>
            <w:r>
              <w:rPr>
                <w:rFonts w:cs="Arial"/>
                <w:b/>
                <w:bCs/>
              </w:rPr>
              <w:t>Skill Maintenance</w:t>
            </w:r>
          </w:p>
        </w:tc>
        <w:tc>
          <w:tcPr>
            <w:tcW w:w="6588" w:type="dxa"/>
          </w:tcPr>
          <w:p w14:paraId="7C60170F">
            <w:pPr>
              <w:spacing w:after="200"/>
              <w:rPr>
                <w:rFonts w:cs="Arial"/>
              </w:rPr>
            </w:pPr>
            <w:r>
              <w:rPr>
                <w:rFonts w:cs="Arial"/>
              </w:rPr>
              <w:t>Maintain food service skills by continuously updating knowledge of regulatory principles and industry-leading protocols and practices.</w:t>
            </w:r>
          </w:p>
        </w:tc>
      </w:tr>
      <w:tr w14:paraId="7C601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C601711">
            <w:pPr>
              <w:spacing w:after="200"/>
              <w:rPr>
                <w:rFonts w:cs="Arial"/>
              </w:rPr>
            </w:pPr>
            <w:r>
              <w:rPr>
                <w:rFonts w:cs="Arial"/>
                <w:b/>
                <w:bCs/>
              </w:rPr>
              <w:t>Career Goals</w:t>
            </w:r>
          </w:p>
        </w:tc>
        <w:tc>
          <w:tcPr>
            <w:tcW w:w="6588" w:type="dxa"/>
          </w:tcPr>
          <w:p w14:paraId="7C601712">
            <w:pPr>
              <w:spacing w:after="200"/>
              <w:rPr>
                <w:rFonts w:cs="Arial"/>
              </w:rPr>
            </w:pPr>
            <w:r>
              <w:rPr>
                <w:rFonts w:cs="Arial"/>
              </w:rPr>
              <w:t>Use acquired skills to drive towards career goals in hospitality management and boost industry achievements.</w:t>
            </w:r>
          </w:p>
        </w:tc>
      </w:tr>
      <w:tr w14:paraId="7C60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C601714">
            <w:pPr>
              <w:spacing w:after="200"/>
              <w:rPr>
                <w:rFonts w:cs="Arial"/>
              </w:rPr>
            </w:pPr>
            <w:r>
              <w:rPr>
                <w:rFonts w:cs="Arial"/>
                <w:b/>
                <w:bCs/>
              </w:rPr>
              <w:t>Reflective Assessment</w:t>
            </w:r>
          </w:p>
        </w:tc>
        <w:tc>
          <w:tcPr>
            <w:tcW w:w="6588" w:type="dxa"/>
          </w:tcPr>
          <w:p w14:paraId="7C601715">
            <w:pPr>
              <w:spacing w:after="200"/>
              <w:rPr>
                <w:rFonts w:cs="Arial"/>
              </w:rPr>
            </w:pPr>
            <w:r>
              <w:rPr>
                <w:rFonts w:cs="Arial"/>
              </w:rPr>
              <w:t>Combined practical experiences with Gibbs' reflective model, which enabled an in-depth assessment of learning and helped create specific goals.</w:t>
            </w:r>
          </w:p>
        </w:tc>
      </w:tr>
      <w:tr w14:paraId="7C601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C601717">
            <w:pPr>
              <w:spacing w:after="200"/>
              <w:rPr>
                <w:rFonts w:cs="Arial"/>
              </w:rPr>
            </w:pPr>
            <w:r>
              <w:rPr>
                <w:rFonts w:cs="Arial"/>
                <w:b/>
                <w:bCs/>
              </w:rPr>
              <w:t>Professional Development</w:t>
            </w:r>
          </w:p>
        </w:tc>
        <w:tc>
          <w:tcPr>
            <w:tcW w:w="6588" w:type="dxa"/>
          </w:tcPr>
          <w:p w14:paraId="7C601718">
            <w:pPr>
              <w:spacing w:after="200"/>
              <w:rPr>
                <w:rFonts w:cs="Arial"/>
              </w:rPr>
            </w:pPr>
            <w:r>
              <w:rPr>
                <w:rFonts w:cs="Arial"/>
              </w:rPr>
              <w:t>Set specific goals to guide ongoing professional growth in hospitality management.</w:t>
            </w:r>
          </w:p>
        </w:tc>
      </w:tr>
      <w:tr w14:paraId="7C60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C60171A">
            <w:pPr>
              <w:spacing w:after="200"/>
              <w:rPr>
                <w:rFonts w:cs="Arial"/>
              </w:rPr>
            </w:pPr>
            <w:r>
              <w:rPr>
                <w:rFonts w:cs="Arial"/>
                <w:b/>
                <w:bCs/>
              </w:rPr>
              <w:t>Confidence and Insight</w:t>
            </w:r>
          </w:p>
        </w:tc>
        <w:tc>
          <w:tcPr>
            <w:tcW w:w="6588" w:type="dxa"/>
          </w:tcPr>
          <w:p w14:paraId="7C60171B">
            <w:pPr>
              <w:spacing w:after="200"/>
              <w:rPr>
                <w:rFonts w:cs="Arial"/>
              </w:rPr>
            </w:pPr>
            <w:r>
              <w:rPr>
                <w:rFonts w:cs="Arial"/>
              </w:rPr>
              <w:t>Gained confidence that skills and insights will contribute to industry success.</w:t>
            </w:r>
          </w:p>
        </w:tc>
      </w:tr>
    </w:tbl>
    <w:p w14:paraId="7C60171D">
      <w:pPr>
        <w:rPr>
          <w:rFonts w:cs="Arial"/>
        </w:rPr>
      </w:pPr>
    </w:p>
    <w:p w14:paraId="7C60171E">
      <w:pPr>
        <w:rPr>
          <w:rFonts w:cs="Arial"/>
        </w:rPr>
      </w:pPr>
    </w:p>
    <w:p w14:paraId="7C60171F">
      <w:pPr>
        <w:rPr>
          <w:rFonts w:cs="Arial"/>
        </w:rPr>
      </w:pPr>
    </w:p>
    <w:p w14:paraId="7C601720">
      <w:pPr>
        <w:rPr>
          <w:rFonts w:cs="Arial"/>
        </w:rPr>
      </w:pPr>
    </w:p>
    <w:p w14:paraId="7C601721">
      <w:pPr>
        <w:rPr>
          <w:rFonts w:cs="Arial"/>
        </w:rPr>
      </w:pPr>
    </w:p>
    <w:p w14:paraId="7C601722">
      <w:pPr>
        <w:spacing w:line="276" w:lineRule="auto"/>
        <w:jc w:val="left"/>
        <w:rPr>
          <w:rFonts w:eastAsia="Times New Roman" w:cs="Arial"/>
          <w:b/>
          <w:bCs/>
          <w:sz w:val="30"/>
          <w:szCs w:val="28"/>
        </w:rPr>
      </w:pPr>
      <w:bookmarkStart w:id="7" w:name="_Toc182304190"/>
      <w:bookmarkStart w:id="8" w:name="_Toc190814720"/>
      <w:bookmarkStart w:id="9" w:name="_Toc190690722"/>
      <w:r>
        <w:rPr>
          <w:rFonts w:cs="Arial"/>
        </w:rPr>
        <w:br w:type="page"/>
      </w:r>
    </w:p>
    <w:p w14:paraId="7C601723">
      <w:pPr>
        <w:pStyle w:val="2"/>
        <w:rPr>
          <w:rFonts w:ascii="Arial" w:hAnsi="Arial" w:cs="Arial"/>
          <w:color w:val="auto"/>
          <w:lang w:val="en-GB"/>
        </w:rPr>
      </w:pPr>
      <w:r>
        <w:rPr>
          <w:rFonts w:ascii="Arial" w:hAnsi="Arial" w:cs="Arial"/>
          <w:color w:val="auto"/>
          <w:lang w:val="en-GB"/>
        </w:rPr>
        <w:t>References</w:t>
      </w:r>
      <w:bookmarkEnd w:id="7"/>
      <w:bookmarkEnd w:id="8"/>
      <w:bookmarkEnd w:id="9"/>
    </w:p>
    <w:p w14:paraId="7C601724">
      <w:pPr>
        <w:rPr>
          <w:rFonts w:cs="Arial"/>
        </w:rPr>
      </w:pPr>
      <w:r>
        <w:rPr>
          <w:rFonts w:cs="Arial"/>
        </w:rPr>
        <w:t>Abdelsalam, R., Al-Haddad, S. and Abdel-Aziz, A.S., 2022. Relationship between Maslow's hierarchy of needs and mumpreneurial intentions. </w:t>
      </w:r>
      <w:r>
        <w:rPr>
          <w:rFonts w:cs="Arial"/>
          <w:i/>
          <w:iCs/>
        </w:rPr>
        <w:t>Problems and Perspectives in Management</w:t>
      </w:r>
      <w:r>
        <w:rPr>
          <w:rFonts w:cs="Arial"/>
        </w:rPr>
        <w:t>, </w:t>
      </w:r>
      <w:r>
        <w:rPr>
          <w:rFonts w:cs="Arial"/>
          <w:i/>
          <w:iCs/>
        </w:rPr>
        <w:t>20</w:t>
      </w:r>
      <w:r>
        <w:rPr>
          <w:rFonts w:cs="Arial"/>
        </w:rPr>
        <w:t>(3), p.387.</w:t>
      </w:r>
    </w:p>
    <w:p w14:paraId="7C601725">
      <w:pPr>
        <w:rPr>
          <w:rFonts w:cs="Arial"/>
        </w:rPr>
      </w:pPr>
      <w:r>
        <w:rPr>
          <w:rFonts w:cs="Arial"/>
        </w:rPr>
        <w:t>Akello, A., 2023. Industrial field attachment carried out at Mbale Resort Hotel Limited.</w:t>
      </w:r>
    </w:p>
    <w:p w14:paraId="7C601726">
      <w:pPr>
        <w:rPr>
          <w:rFonts w:cs="Arial"/>
        </w:rPr>
      </w:pPr>
      <w:r>
        <w:rPr>
          <w:rFonts w:cs="Arial"/>
        </w:rPr>
        <w:t>ASET., 2017. Good Practice Guide for Work-based and Placement Learning in Higher Education. Sheffield: ASET.</w:t>
      </w:r>
    </w:p>
    <w:p w14:paraId="7C601727">
      <w:pPr>
        <w:rPr>
          <w:rFonts w:cs="Arial"/>
        </w:rPr>
      </w:pPr>
      <w:r>
        <w:rPr>
          <w:rFonts w:cs="Arial"/>
        </w:rPr>
        <w:t>Barletta, I., Despeisse, M., Hoffenson, S. and Johansson, B., 2021. Organisational sustainability readiness: A model and assessment tool for manufacturing companies. </w:t>
      </w:r>
      <w:r>
        <w:rPr>
          <w:rFonts w:cs="Arial"/>
          <w:i/>
          <w:iCs/>
        </w:rPr>
        <w:t>Journal of Cleaner Production</w:t>
      </w:r>
      <w:r>
        <w:rPr>
          <w:rFonts w:cs="Arial"/>
        </w:rPr>
        <w:t>, </w:t>
      </w:r>
      <w:r>
        <w:rPr>
          <w:rFonts w:cs="Arial"/>
          <w:i/>
          <w:iCs/>
        </w:rPr>
        <w:t>284</w:t>
      </w:r>
      <w:r>
        <w:rPr>
          <w:rFonts w:cs="Arial"/>
        </w:rPr>
        <w:t>, p.125404.</w:t>
      </w:r>
    </w:p>
    <w:p w14:paraId="7C601728">
      <w:pPr>
        <w:rPr>
          <w:rFonts w:cs="Arial"/>
        </w:rPr>
      </w:pPr>
      <w:r>
        <w:rPr>
          <w:rFonts w:cs="Arial"/>
        </w:rPr>
        <w:t>Bassot, B., 2024. </w:t>
      </w:r>
      <w:r>
        <w:rPr>
          <w:rFonts w:cs="Arial"/>
          <w:i/>
          <w:iCs/>
        </w:rPr>
        <w:t>The reflective journal</w:t>
      </w:r>
      <w:r>
        <w:rPr>
          <w:rFonts w:cs="Arial"/>
        </w:rPr>
        <w:t>. Bloomsbury Publishing.</w:t>
      </w:r>
    </w:p>
    <w:p w14:paraId="7C601729">
      <w:pPr>
        <w:rPr>
          <w:rFonts w:cs="Arial"/>
        </w:rPr>
      </w:pPr>
      <w:r>
        <w:rPr>
          <w:rFonts w:cs="Arial"/>
        </w:rPr>
        <w:t xml:space="preserve">De Villiers, C., La Torre, M. and Molinari, M., 2022. The Global Reporting Initiative's (GRI) Past, present and future: critical reflections and a research agenda on sustainability reporting (standard-setting). </w:t>
      </w:r>
      <w:r>
        <w:rPr>
          <w:rFonts w:cs="Arial"/>
          <w:i/>
          <w:iCs/>
        </w:rPr>
        <w:t>Pacific Accounting Review</w:t>
      </w:r>
      <w:r>
        <w:rPr>
          <w:rFonts w:cs="Arial"/>
        </w:rPr>
        <w:t>, </w:t>
      </w:r>
      <w:r>
        <w:rPr>
          <w:rFonts w:cs="Arial"/>
          <w:i/>
          <w:iCs/>
        </w:rPr>
        <w:t>34</w:t>
      </w:r>
      <w:r>
        <w:rPr>
          <w:rFonts w:cs="Arial"/>
        </w:rPr>
        <w:t>(5), pp.728-747.</w:t>
      </w:r>
    </w:p>
    <w:p w14:paraId="7C60172A">
      <w:pPr>
        <w:rPr>
          <w:rFonts w:cs="Arial"/>
        </w:rPr>
      </w:pPr>
      <w:r>
        <w:rPr>
          <w:rFonts w:cs="Arial"/>
        </w:rPr>
        <w:t>Fallon, M. and Rutherford, D., 2010. Hotel Management and Operations. London: Wiley.</w:t>
      </w:r>
    </w:p>
    <w:p w14:paraId="7C60172B">
      <w:pPr>
        <w:rPr>
          <w:rFonts w:cs="Arial"/>
        </w:rPr>
      </w:pPr>
      <w:r>
        <w:rPr>
          <w:rFonts w:cs="Arial"/>
        </w:rPr>
        <w:t>Hagg, E., 2013. Internship Guide: Work Placements Step by Step. 5th Ed. The Hague: Eleven International Publishing.</w:t>
      </w:r>
    </w:p>
    <w:p w14:paraId="7C60172C">
      <w:pPr>
        <w:rPr>
          <w:rFonts w:cs="Arial"/>
        </w:rPr>
      </w:pPr>
      <w:r>
        <w:rPr>
          <w:rFonts w:cs="Arial"/>
        </w:rPr>
        <w:t>Johnston, R., Clark, G. and Shulver, M., 2012. Service Operations Management: Improving Service Delivery. 5th Ed. London: Pearson.</w:t>
      </w:r>
    </w:p>
    <w:p w14:paraId="7C60172D">
      <w:pPr>
        <w:rPr>
          <w:rFonts w:cs="Arial"/>
        </w:rPr>
      </w:pPr>
      <w:r>
        <w:rPr>
          <w:rFonts w:cs="Arial"/>
        </w:rPr>
        <w:t>Mantolas, C.M., Saragi, R., Bagaihing, M. and Keas, S.L., 2024, February. Implementation of Standard Operating Procedures of the Food and Beverage Department for Internship Students at Hotel Sotis Kupang. In </w:t>
      </w:r>
      <w:r>
        <w:rPr>
          <w:rFonts w:cs="Arial"/>
          <w:i/>
          <w:iCs/>
        </w:rPr>
        <w:t>International Conference on Applied Science and Technology on Social Science 2023 (iCAST-SS 2023)</w:t>
      </w:r>
      <w:r>
        <w:rPr>
          <w:rFonts w:cs="Arial"/>
        </w:rPr>
        <w:t> (pp. 326-328). Atlantis Press.</w:t>
      </w:r>
    </w:p>
    <w:p w14:paraId="7C60172E">
      <w:pPr>
        <w:rPr>
          <w:rFonts w:cs="Arial"/>
        </w:rPr>
      </w:pPr>
      <w:r>
        <w:rPr>
          <w:rFonts w:cs="Arial"/>
        </w:rPr>
        <w:t>Stahl, B.C., Antoniou, J., Ryan, M., Macnish, K. and Jiya, T., 2022. Organisational responses to the ethical issues of artificial intelligence. </w:t>
      </w:r>
      <w:r>
        <w:rPr>
          <w:rFonts w:cs="Arial"/>
          <w:i/>
          <w:iCs/>
        </w:rPr>
        <w:t>AI &amp; SOCIETY</w:t>
      </w:r>
      <w:r>
        <w:rPr>
          <w:rFonts w:cs="Arial"/>
        </w:rPr>
        <w:t>, </w:t>
      </w:r>
      <w:r>
        <w:rPr>
          <w:rFonts w:cs="Arial"/>
          <w:i/>
          <w:iCs/>
        </w:rPr>
        <w:t>37</w:t>
      </w:r>
      <w:r>
        <w:rPr>
          <w:rFonts w:cs="Arial"/>
        </w:rPr>
        <w:t>(1), pp.23-37.</w:t>
      </w:r>
    </w:p>
    <w:p w14:paraId="7C60172F">
      <w:pPr>
        <w:rPr>
          <w:rFonts w:cs="Arial"/>
        </w:rPr>
      </w:pPr>
      <w:r>
        <w:rPr>
          <w:rFonts w:cs="Arial"/>
        </w:rPr>
        <w:t>Vallen, G.K. &amp; Vallen, Jerome J. (2014) Check-In Check-Out: Managing Hotel Operations. 9th Ed. Harlow: Pearson Education Limited</w:t>
      </w:r>
      <w:r>
        <w:rPr>
          <w:rFonts w:cs="Arial"/>
          <w:i/>
          <w:iCs/>
        </w:rPr>
        <w:t xml:space="preserve">. </w:t>
      </w:r>
    </w:p>
    <w:p w14:paraId="7C601730">
      <w:pPr>
        <w:rPr>
          <w:rFonts w:cs="Arial"/>
        </w:rPr>
      </w:pPr>
      <w:r>
        <w:rPr>
          <w:rFonts w:cs="Arial"/>
        </w:rPr>
        <w:t>Sundgren, M.K., Miller, P.M., Dawber, C. and Medoro, L., 2021. Reflective practice groups and nurse professional quality of life. </w:t>
      </w:r>
      <w:r>
        <w:rPr>
          <w:rFonts w:cs="Arial"/>
          <w:i/>
          <w:iCs/>
        </w:rPr>
        <w:t>TheAustralian Journal of Advanced Nursing</w:t>
      </w:r>
      <w:r>
        <w:rPr>
          <w:rFonts w:cs="Arial"/>
        </w:rPr>
        <w:t>, </w:t>
      </w:r>
      <w:r>
        <w:rPr>
          <w:rFonts w:cs="Arial"/>
          <w:i/>
          <w:iCs/>
        </w:rPr>
        <w:t>38</w:t>
      </w:r>
      <w:r>
        <w:rPr>
          <w:rFonts w:cs="Arial"/>
        </w:rPr>
        <w:t>(4), pp.49-67.</w:t>
      </w:r>
    </w:p>
    <w:p w14:paraId="7C601732">
      <w:pPr>
        <w:rPr>
          <w:rFonts w:cs="Arial"/>
        </w:rPr>
      </w:pPr>
      <w:r>
        <w:rPr>
          <w:rFonts w:cs="Arial"/>
        </w:rPr>
        <w:t>Walker, J.C. (2021) Introduction to Hospitality. 8th Ed. Harlow: Pearson Education Limited.</w:t>
      </w:r>
    </w:p>
    <w:p w14:paraId="7C601733">
      <w:pPr>
        <w:rPr>
          <w:rFonts w:cs="Arial"/>
        </w:rPr>
      </w:pPr>
    </w:p>
    <w:p w14:paraId="7C601734">
      <w:pPr>
        <w:rPr>
          <w:rFonts w:cs="Arial"/>
        </w:rPr>
      </w:pPr>
    </w:p>
    <w:sectPr>
      <w:footerReference r:id="rId5" w:type="default"/>
      <w:pgSz w:w="12240" w:h="15840"/>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86"/>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08843360"/>
      <w:docPartObj>
        <w:docPartGallery w:val="AutoText"/>
      </w:docPartObj>
    </w:sdtPr>
    <w:sdtContent>
      <w:p w14:paraId="7C60173B">
        <w:pPr>
          <w:pStyle w:val="8"/>
          <w:jc w:val="right"/>
        </w:pPr>
        <w:r>
          <w:t xml:space="preserve">Page | </w:t>
        </w:r>
        <w:r>
          <w:fldChar w:fldCharType="begin"/>
        </w:r>
        <w:r>
          <w:instrText xml:space="preserve"> PAGE   \* MERGEFORMAT </w:instrText>
        </w:r>
        <w:r>
          <w:fldChar w:fldCharType="separate"/>
        </w:r>
        <w:r>
          <w:t>10</w:t>
        </w:r>
        <w:r>
          <w:fldChar w:fldCharType="end"/>
        </w:r>
      </w:p>
    </w:sdtContent>
  </w:sdt>
  <w:p w14:paraId="7C60173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A63AA3"/>
    <w:multiLevelType w:val="multilevel"/>
    <w:tmpl w:val="71A63AA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20"/>
  <w:drawingGridHorizontalSpacing w:val="12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docVars>
    <w:docVar w:name="__Grammarly_42____i" w:val="H4sIAAAAAAAEAKtWckksSQxILCpxzi/NK1GyMqwFAAEhoTITAAAA"/>
    <w:docVar w:name="__Grammarly_42___1" w:val="H4sIAAAAAAAEAKtWcslP9kxRslIyNDa2MDE3tjAwNDOwtDA1MTNS0lEKTi0uzszPAykwrAUAO1aSCCwAAAA="/>
  </w:docVars>
  <w:rsids>
    <w:rsidRoot w:val="00EE63C1"/>
    <w:rsid w:val="00000E84"/>
    <w:rsid w:val="00016E66"/>
    <w:rsid w:val="000457A0"/>
    <w:rsid w:val="00053D2A"/>
    <w:rsid w:val="000676FE"/>
    <w:rsid w:val="000A152C"/>
    <w:rsid w:val="000C41C1"/>
    <w:rsid w:val="000E369E"/>
    <w:rsid w:val="001041F0"/>
    <w:rsid w:val="00113165"/>
    <w:rsid w:val="00125CA8"/>
    <w:rsid w:val="00127D56"/>
    <w:rsid w:val="0013443A"/>
    <w:rsid w:val="0014275E"/>
    <w:rsid w:val="001807B4"/>
    <w:rsid w:val="00195A84"/>
    <w:rsid w:val="00196AE8"/>
    <w:rsid w:val="001A48A7"/>
    <w:rsid w:val="001B2243"/>
    <w:rsid w:val="001B287C"/>
    <w:rsid w:val="001B7D37"/>
    <w:rsid w:val="001D59F7"/>
    <w:rsid w:val="001F0575"/>
    <w:rsid w:val="002031FD"/>
    <w:rsid w:val="00204098"/>
    <w:rsid w:val="0021742E"/>
    <w:rsid w:val="00217F90"/>
    <w:rsid w:val="00221E98"/>
    <w:rsid w:val="002246EA"/>
    <w:rsid w:val="00232DF9"/>
    <w:rsid w:val="00246050"/>
    <w:rsid w:val="0024705C"/>
    <w:rsid w:val="00250F0D"/>
    <w:rsid w:val="00266AF9"/>
    <w:rsid w:val="00293549"/>
    <w:rsid w:val="002A63DD"/>
    <w:rsid w:val="002C66A6"/>
    <w:rsid w:val="002D6E44"/>
    <w:rsid w:val="00302C39"/>
    <w:rsid w:val="00336E2A"/>
    <w:rsid w:val="00341624"/>
    <w:rsid w:val="00341C57"/>
    <w:rsid w:val="00343C60"/>
    <w:rsid w:val="00345DEE"/>
    <w:rsid w:val="003716AC"/>
    <w:rsid w:val="0038195D"/>
    <w:rsid w:val="0038617F"/>
    <w:rsid w:val="00386F9C"/>
    <w:rsid w:val="003962A5"/>
    <w:rsid w:val="00397333"/>
    <w:rsid w:val="00397D72"/>
    <w:rsid w:val="003A241B"/>
    <w:rsid w:val="003B4717"/>
    <w:rsid w:val="003B4E36"/>
    <w:rsid w:val="003C7E57"/>
    <w:rsid w:val="003D077F"/>
    <w:rsid w:val="003D43E4"/>
    <w:rsid w:val="004362A1"/>
    <w:rsid w:val="00441A7C"/>
    <w:rsid w:val="004458CB"/>
    <w:rsid w:val="00464ECC"/>
    <w:rsid w:val="004742DC"/>
    <w:rsid w:val="0047437F"/>
    <w:rsid w:val="004856F8"/>
    <w:rsid w:val="004B3351"/>
    <w:rsid w:val="004D024C"/>
    <w:rsid w:val="004D53BA"/>
    <w:rsid w:val="004E021C"/>
    <w:rsid w:val="004F5C3E"/>
    <w:rsid w:val="00513B20"/>
    <w:rsid w:val="00515109"/>
    <w:rsid w:val="00517334"/>
    <w:rsid w:val="00536CFE"/>
    <w:rsid w:val="005467ED"/>
    <w:rsid w:val="00551C2F"/>
    <w:rsid w:val="00584760"/>
    <w:rsid w:val="0058654A"/>
    <w:rsid w:val="005867C0"/>
    <w:rsid w:val="00587197"/>
    <w:rsid w:val="005A0567"/>
    <w:rsid w:val="005B072F"/>
    <w:rsid w:val="005B2AFD"/>
    <w:rsid w:val="005B4D73"/>
    <w:rsid w:val="005B6482"/>
    <w:rsid w:val="005C3273"/>
    <w:rsid w:val="005D0659"/>
    <w:rsid w:val="005E0ACA"/>
    <w:rsid w:val="005E5F54"/>
    <w:rsid w:val="005F07CB"/>
    <w:rsid w:val="005F6C79"/>
    <w:rsid w:val="00602C76"/>
    <w:rsid w:val="00604764"/>
    <w:rsid w:val="00607BAC"/>
    <w:rsid w:val="0061441D"/>
    <w:rsid w:val="006201E1"/>
    <w:rsid w:val="00624FC0"/>
    <w:rsid w:val="0063157E"/>
    <w:rsid w:val="006413B3"/>
    <w:rsid w:val="00670516"/>
    <w:rsid w:val="006721C8"/>
    <w:rsid w:val="0067748C"/>
    <w:rsid w:val="00686869"/>
    <w:rsid w:val="00687058"/>
    <w:rsid w:val="0069251C"/>
    <w:rsid w:val="00696C41"/>
    <w:rsid w:val="006A1EBD"/>
    <w:rsid w:val="006A7884"/>
    <w:rsid w:val="006B5A53"/>
    <w:rsid w:val="006C0FE9"/>
    <w:rsid w:val="006C4CB8"/>
    <w:rsid w:val="006D4B3B"/>
    <w:rsid w:val="006D7707"/>
    <w:rsid w:val="006E0C7A"/>
    <w:rsid w:val="00700DA8"/>
    <w:rsid w:val="00700E7C"/>
    <w:rsid w:val="007132CF"/>
    <w:rsid w:val="00724A11"/>
    <w:rsid w:val="00724C5A"/>
    <w:rsid w:val="00727F5E"/>
    <w:rsid w:val="0074050A"/>
    <w:rsid w:val="007455F9"/>
    <w:rsid w:val="00745FE3"/>
    <w:rsid w:val="007476F2"/>
    <w:rsid w:val="007572F1"/>
    <w:rsid w:val="007636DC"/>
    <w:rsid w:val="0076483B"/>
    <w:rsid w:val="00775375"/>
    <w:rsid w:val="007762ED"/>
    <w:rsid w:val="00777BC6"/>
    <w:rsid w:val="0079527C"/>
    <w:rsid w:val="007959A0"/>
    <w:rsid w:val="007A107F"/>
    <w:rsid w:val="007A227C"/>
    <w:rsid w:val="007B297A"/>
    <w:rsid w:val="007C1A3A"/>
    <w:rsid w:val="007C2131"/>
    <w:rsid w:val="007D0268"/>
    <w:rsid w:val="007E6C31"/>
    <w:rsid w:val="007F568A"/>
    <w:rsid w:val="007F56EA"/>
    <w:rsid w:val="007F7B76"/>
    <w:rsid w:val="00812CA7"/>
    <w:rsid w:val="00812D50"/>
    <w:rsid w:val="008201E1"/>
    <w:rsid w:val="0083454F"/>
    <w:rsid w:val="008346E4"/>
    <w:rsid w:val="00864401"/>
    <w:rsid w:val="00866DDB"/>
    <w:rsid w:val="00875D1C"/>
    <w:rsid w:val="00876025"/>
    <w:rsid w:val="008760BF"/>
    <w:rsid w:val="008774A6"/>
    <w:rsid w:val="008838E8"/>
    <w:rsid w:val="00886CE0"/>
    <w:rsid w:val="00894ADF"/>
    <w:rsid w:val="00897213"/>
    <w:rsid w:val="008A188D"/>
    <w:rsid w:val="008A4254"/>
    <w:rsid w:val="008A5472"/>
    <w:rsid w:val="008B3285"/>
    <w:rsid w:val="008B5DB5"/>
    <w:rsid w:val="008C027A"/>
    <w:rsid w:val="008D53F3"/>
    <w:rsid w:val="008D6940"/>
    <w:rsid w:val="008E4C90"/>
    <w:rsid w:val="008E7857"/>
    <w:rsid w:val="00903BC8"/>
    <w:rsid w:val="00912060"/>
    <w:rsid w:val="00912D62"/>
    <w:rsid w:val="00920B28"/>
    <w:rsid w:val="0094029D"/>
    <w:rsid w:val="0094199B"/>
    <w:rsid w:val="00947A2F"/>
    <w:rsid w:val="00960FCC"/>
    <w:rsid w:val="00975766"/>
    <w:rsid w:val="00985A7C"/>
    <w:rsid w:val="00996C45"/>
    <w:rsid w:val="009A0043"/>
    <w:rsid w:val="009A288E"/>
    <w:rsid w:val="009B465E"/>
    <w:rsid w:val="009C2767"/>
    <w:rsid w:val="009C7B65"/>
    <w:rsid w:val="009D0200"/>
    <w:rsid w:val="009D0FC5"/>
    <w:rsid w:val="009D5B99"/>
    <w:rsid w:val="009F06B4"/>
    <w:rsid w:val="009F5876"/>
    <w:rsid w:val="00A07107"/>
    <w:rsid w:val="00A13685"/>
    <w:rsid w:val="00A277BA"/>
    <w:rsid w:val="00A27E46"/>
    <w:rsid w:val="00A32E57"/>
    <w:rsid w:val="00A539E1"/>
    <w:rsid w:val="00A572A7"/>
    <w:rsid w:val="00A600D3"/>
    <w:rsid w:val="00A652D9"/>
    <w:rsid w:val="00A74420"/>
    <w:rsid w:val="00A74801"/>
    <w:rsid w:val="00A84BD0"/>
    <w:rsid w:val="00A86C86"/>
    <w:rsid w:val="00A95621"/>
    <w:rsid w:val="00A96F10"/>
    <w:rsid w:val="00A972AC"/>
    <w:rsid w:val="00AA4C4E"/>
    <w:rsid w:val="00AB0828"/>
    <w:rsid w:val="00AB1EB0"/>
    <w:rsid w:val="00AB5F32"/>
    <w:rsid w:val="00AC1560"/>
    <w:rsid w:val="00AD1B56"/>
    <w:rsid w:val="00AD2EF8"/>
    <w:rsid w:val="00AE0D21"/>
    <w:rsid w:val="00AE2F78"/>
    <w:rsid w:val="00AF301E"/>
    <w:rsid w:val="00B0375D"/>
    <w:rsid w:val="00B157F3"/>
    <w:rsid w:val="00B218D6"/>
    <w:rsid w:val="00B27E85"/>
    <w:rsid w:val="00B40136"/>
    <w:rsid w:val="00B412CA"/>
    <w:rsid w:val="00B44DD9"/>
    <w:rsid w:val="00B478D3"/>
    <w:rsid w:val="00B67BE4"/>
    <w:rsid w:val="00B855F9"/>
    <w:rsid w:val="00BA5480"/>
    <w:rsid w:val="00BC15DD"/>
    <w:rsid w:val="00BD7E55"/>
    <w:rsid w:val="00BF46C1"/>
    <w:rsid w:val="00C06F97"/>
    <w:rsid w:val="00C12095"/>
    <w:rsid w:val="00C1232E"/>
    <w:rsid w:val="00C22674"/>
    <w:rsid w:val="00C228EF"/>
    <w:rsid w:val="00C323A7"/>
    <w:rsid w:val="00C37A02"/>
    <w:rsid w:val="00C40A09"/>
    <w:rsid w:val="00C500E7"/>
    <w:rsid w:val="00C52DB6"/>
    <w:rsid w:val="00C56BA7"/>
    <w:rsid w:val="00C56D9B"/>
    <w:rsid w:val="00C678DF"/>
    <w:rsid w:val="00C70425"/>
    <w:rsid w:val="00C75EDC"/>
    <w:rsid w:val="00C77211"/>
    <w:rsid w:val="00C825FC"/>
    <w:rsid w:val="00C9729D"/>
    <w:rsid w:val="00C97948"/>
    <w:rsid w:val="00CA5F0D"/>
    <w:rsid w:val="00CB4E27"/>
    <w:rsid w:val="00CB6288"/>
    <w:rsid w:val="00CD1BBF"/>
    <w:rsid w:val="00CD40A3"/>
    <w:rsid w:val="00CD42D8"/>
    <w:rsid w:val="00CE0C7A"/>
    <w:rsid w:val="00CE768D"/>
    <w:rsid w:val="00CF35EA"/>
    <w:rsid w:val="00CF792B"/>
    <w:rsid w:val="00CF7C47"/>
    <w:rsid w:val="00D151A9"/>
    <w:rsid w:val="00D17E15"/>
    <w:rsid w:val="00D31E21"/>
    <w:rsid w:val="00D500C1"/>
    <w:rsid w:val="00D7570E"/>
    <w:rsid w:val="00D91E14"/>
    <w:rsid w:val="00DA480D"/>
    <w:rsid w:val="00DA48E0"/>
    <w:rsid w:val="00DB4A95"/>
    <w:rsid w:val="00DD03AF"/>
    <w:rsid w:val="00DE101C"/>
    <w:rsid w:val="00DF39D9"/>
    <w:rsid w:val="00DF4478"/>
    <w:rsid w:val="00DF71F8"/>
    <w:rsid w:val="00DF7CCB"/>
    <w:rsid w:val="00E02241"/>
    <w:rsid w:val="00E117A3"/>
    <w:rsid w:val="00E17BC0"/>
    <w:rsid w:val="00E23C80"/>
    <w:rsid w:val="00E30929"/>
    <w:rsid w:val="00E30E1F"/>
    <w:rsid w:val="00E31AA9"/>
    <w:rsid w:val="00E332BB"/>
    <w:rsid w:val="00E66836"/>
    <w:rsid w:val="00E8097D"/>
    <w:rsid w:val="00E87D95"/>
    <w:rsid w:val="00E912D4"/>
    <w:rsid w:val="00EB50B8"/>
    <w:rsid w:val="00EC4ED7"/>
    <w:rsid w:val="00ED67EE"/>
    <w:rsid w:val="00ED70CC"/>
    <w:rsid w:val="00EE3B5D"/>
    <w:rsid w:val="00EE63C1"/>
    <w:rsid w:val="00EE73B2"/>
    <w:rsid w:val="00F15FDF"/>
    <w:rsid w:val="00F21C6B"/>
    <w:rsid w:val="00F2456A"/>
    <w:rsid w:val="00F3220E"/>
    <w:rsid w:val="00F44706"/>
    <w:rsid w:val="00F471E5"/>
    <w:rsid w:val="00F51A3B"/>
    <w:rsid w:val="00F53EF2"/>
    <w:rsid w:val="00F8046C"/>
    <w:rsid w:val="00F843DE"/>
    <w:rsid w:val="00F9373D"/>
    <w:rsid w:val="00F9643B"/>
    <w:rsid w:val="00FA4F70"/>
    <w:rsid w:val="00FD0297"/>
    <w:rsid w:val="00FD0FB1"/>
    <w:rsid w:val="00FD24B4"/>
    <w:rsid w:val="00FD2DE1"/>
    <w:rsid w:val="00FF458F"/>
    <w:rsid w:val="388E583B"/>
  </w:rsids>
  <m:mathPr>
    <m:mathFont m:val="Cambria Math"/>
    <m:brkBin m:val="before"/>
    <m:brkBinSub m:val="--"/>
    <m:smallFrac m:val="1"/>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Arial" w:hAnsi="Arial" w:eastAsiaTheme="minorHAnsi" w:cstheme="minorBidi"/>
      <w:sz w:val="24"/>
      <w:szCs w:val="22"/>
      <w:lang w:val="en-GB" w:eastAsia="en-US" w:bidi="ar-SA"/>
    </w:rPr>
  </w:style>
  <w:style w:type="paragraph" w:styleId="2">
    <w:name w:val="heading 1"/>
    <w:basedOn w:val="1"/>
    <w:next w:val="1"/>
    <w:link w:val="17"/>
    <w:autoRedefine/>
    <w:qFormat/>
    <w:uiPriority w:val="9"/>
    <w:pPr>
      <w:keepNext/>
      <w:keepLines/>
      <w:spacing w:before="480" w:after="240"/>
      <w:outlineLvl w:val="0"/>
    </w:pPr>
    <w:rPr>
      <w:rFonts w:ascii="Times New Roman" w:hAnsi="Times New Roman" w:eastAsia="Times New Roman" w:cstheme="majorBidi"/>
      <w:b/>
      <w:bCs/>
      <w:color w:val="5F497A" w:themeColor="accent4" w:themeShade="BF"/>
      <w:sz w:val="30"/>
      <w:szCs w:val="28"/>
      <w:lang w:val="en-US"/>
    </w:rPr>
  </w:style>
  <w:style w:type="paragraph" w:styleId="3">
    <w:name w:val="heading 2"/>
    <w:basedOn w:val="1"/>
    <w:next w:val="1"/>
    <w:link w:val="16"/>
    <w:autoRedefine/>
    <w:unhideWhenUsed/>
    <w:qFormat/>
    <w:uiPriority w:val="9"/>
    <w:pPr>
      <w:keepNext/>
      <w:keepLines/>
      <w:spacing w:before="200" w:after="240"/>
      <w:outlineLvl w:val="1"/>
    </w:pPr>
    <w:rPr>
      <w:rFonts w:ascii="Times New Roman" w:hAnsi="Times New Roman" w:eastAsia="Times New Roman" w:cstheme="majorBidi"/>
      <w:b/>
      <w:bCs/>
      <w:color w:val="943734" w:themeColor="accent2" w:themeShade="BF"/>
      <w:sz w:val="28"/>
      <w:szCs w:val="26"/>
      <w:lang w:val="en-US"/>
    </w:rPr>
  </w:style>
  <w:style w:type="paragraph" w:styleId="4">
    <w:name w:val="heading 3"/>
    <w:basedOn w:val="1"/>
    <w:next w:val="1"/>
    <w:link w:val="19"/>
    <w:autoRedefine/>
    <w:semiHidden/>
    <w:unhideWhenUsed/>
    <w:qFormat/>
    <w:uiPriority w:val="9"/>
    <w:pPr>
      <w:keepNext/>
      <w:keepLines/>
      <w:spacing w:before="200" w:after="0"/>
      <w:outlineLvl w:val="2"/>
    </w:pPr>
    <w:rPr>
      <w:rFonts w:eastAsiaTheme="majorEastAsia" w:cstheme="majorBidi"/>
      <w:b/>
      <w:bCs/>
      <w:i/>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Balloon Text"/>
    <w:basedOn w:val="1"/>
    <w:link w:val="20"/>
    <w:semiHidden/>
    <w:unhideWhenUsed/>
    <w:uiPriority w:val="99"/>
    <w:pPr>
      <w:spacing w:after="0" w:line="240" w:lineRule="auto"/>
    </w:pPr>
    <w:rPr>
      <w:rFonts w:ascii="Tahoma" w:hAnsi="Tahoma" w:cs="Tahoma"/>
      <w:sz w:val="16"/>
      <w:szCs w:val="16"/>
    </w:rPr>
  </w:style>
  <w:style w:type="paragraph" w:styleId="8">
    <w:name w:val="footer"/>
    <w:basedOn w:val="1"/>
    <w:link w:val="23"/>
    <w:unhideWhenUsed/>
    <w:qFormat/>
    <w:uiPriority w:val="99"/>
    <w:pPr>
      <w:tabs>
        <w:tab w:val="center" w:pos="4680"/>
        <w:tab w:val="right" w:pos="9360"/>
      </w:tabs>
      <w:spacing w:after="0" w:line="240" w:lineRule="auto"/>
    </w:pPr>
  </w:style>
  <w:style w:type="paragraph" w:styleId="9">
    <w:name w:val="header"/>
    <w:basedOn w:val="1"/>
    <w:link w:val="22"/>
    <w:unhideWhenUsed/>
    <w:qFormat/>
    <w:uiPriority w:val="99"/>
    <w:pPr>
      <w:tabs>
        <w:tab w:val="center" w:pos="4680"/>
        <w:tab w:val="right" w:pos="9360"/>
      </w:tabs>
      <w:spacing w:after="0" w:line="240" w:lineRule="auto"/>
    </w:pPr>
  </w:style>
  <w:style w:type="character" w:styleId="10">
    <w:name w:val="Hyperlink"/>
    <w:basedOn w:val="5"/>
    <w:unhideWhenUsed/>
    <w:uiPriority w:val="99"/>
    <w:rPr>
      <w:color w:val="0000FF" w:themeColor="hyperlink"/>
      <w:u w:val="single"/>
    </w:rPr>
  </w:style>
  <w:style w:type="paragraph" w:styleId="11">
    <w:name w:val="Normal (Web)"/>
    <w:basedOn w:val="1"/>
    <w:semiHidden/>
    <w:unhideWhenUsed/>
    <w:uiPriority w:val="99"/>
    <w:pPr>
      <w:spacing w:before="100" w:beforeAutospacing="1" w:after="100" w:afterAutospacing="1" w:line="240" w:lineRule="auto"/>
      <w:jc w:val="left"/>
    </w:pPr>
    <w:rPr>
      <w:rFonts w:ascii="Times New Roman" w:hAnsi="Times New Roman" w:eastAsia="Times New Roman" w:cs="Times New Roman"/>
      <w:szCs w:val="24"/>
      <w:lang w:val="en-US"/>
    </w:rPr>
  </w:style>
  <w:style w:type="table" w:styleId="12">
    <w:name w:val="Table Grid"/>
    <w:basedOn w:val="6"/>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Title"/>
    <w:basedOn w:val="1"/>
    <w:next w:val="1"/>
    <w:link w:val="18"/>
    <w:autoRedefine/>
    <w:qFormat/>
    <w:uiPriority w:val="10"/>
    <w:pPr>
      <w:pBdr>
        <w:top w:val="single" w:color="4F81BD" w:themeColor="accent1" w:sz="8" w:space="1"/>
        <w:bottom w:val="single" w:color="4F81BD" w:themeColor="accent1" w:sz="8" w:space="4"/>
      </w:pBdr>
      <w:spacing w:after="300" w:line="240" w:lineRule="auto"/>
      <w:contextualSpacing/>
      <w:jc w:val="center"/>
    </w:pPr>
    <w:rPr>
      <w:rFonts w:eastAsiaTheme="majorEastAsia" w:cstheme="majorBidi"/>
      <w:b/>
      <w:spacing w:val="5"/>
      <w:kern w:val="28"/>
      <w:sz w:val="52"/>
      <w:szCs w:val="52"/>
    </w:rPr>
  </w:style>
  <w:style w:type="paragraph" w:styleId="14">
    <w:name w:val="toc 1"/>
    <w:basedOn w:val="1"/>
    <w:next w:val="1"/>
    <w:autoRedefine/>
    <w:unhideWhenUsed/>
    <w:qFormat/>
    <w:uiPriority w:val="39"/>
    <w:pPr>
      <w:spacing w:after="100"/>
    </w:pPr>
  </w:style>
  <w:style w:type="paragraph" w:styleId="15">
    <w:name w:val="toc 2"/>
    <w:basedOn w:val="1"/>
    <w:next w:val="1"/>
    <w:autoRedefine/>
    <w:unhideWhenUsed/>
    <w:qFormat/>
    <w:uiPriority w:val="39"/>
    <w:pPr>
      <w:spacing w:after="100"/>
      <w:ind w:left="240"/>
    </w:pPr>
  </w:style>
  <w:style w:type="character" w:customStyle="1" w:styleId="16">
    <w:name w:val="Heading 2 Char"/>
    <w:basedOn w:val="5"/>
    <w:link w:val="3"/>
    <w:qFormat/>
    <w:uiPriority w:val="9"/>
    <w:rPr>
      <w:rFonts w:ascii="Times New Roman" w:hAnsi="Times New Roman" w:eastAsia="Times New Roman" w:cstheme="majorBidi"/>
      <w:b/>
      <w:bCs/>
      <w:color w:val="943734" w:themeColor="accent2" w:themeShade="BF"/>
      <w:sz w:val="28"/>
      <w:szCs w:val="26"/>
    </w:rPr>
  </w:style>
  <w:style w:type="character" w:customStyle="1" w:styleId="17">
    <w:name w:val="Heading 1 Char"/>
    <w:basedOn w:val="5"/>
    <w:link w:val="2"/>
    <w:qFormat/>
    <w:uiPriority w:val="9"/>
    <w:rPr>
      <w:rFonts w:ascii="Times New Roman" w:hAnsi="Times New Roman" w:eastAsia="Times New Roman" w:cstheme="majorBidi"/>
      <w:b/>
      <w:bCs/>
      <w:color w:val="5F497A" w:themeColor="accent4" w:themeShade="BF"/>
      <w:sz w:val="30"/>
      <w:szCs w:val="28"/>
    </w:rPr>
  </w:style>
  <w:style w:type="character" w:customStyle="1" w:styleId="18">
    <w:name w:val="Title Char"/>
    <w:basedOn w:val="5"/>
    <w:link w:val="13"/>
    <w:qFormat/>
    <w:uiPriority w:val="10"/>
    <w:rPr>
      <w:rFonts w:ascii="Arial" w:hAnsi="Arial" w:eastAsiaTheme="majorEastAsia" w:cstheme="majorBidi"/>
      <w:b/>
      <w:spacing w:val="5"/>
      <w:kern w:val="28"/>
      <w:sz w:val="52"/>
      <w:szCs w:val="52"/>
      <w:lang w:val="en-GB"/>
    </w:rPr>
  </w:style>
  <w:style w:type="character" w:customStyle="1" w:styleId="19">
    <w:name w:val="Heading 3 Char"/>
    <w:basedOn w:val="5"/>
    <w:link w:val="4"/>
    <w:semiHidden/>
    <w:qFormat/>
    <w:uiPriority w:val="9"/>
    <w:rPr>
      <w:rFonts w:ascii="Arial" w:hAnsi="Arial" w:eastAsiaTheme="majorEastAsia" w:cstheme="majorBidi"/>
      <w:b/>
      <w:bCs/>
      <w:i/>
      <w:sz w:val="24"/>
      <w:lang w:val="en-GB"/>
    </w:rPr>
  </w:style>
  <w:style w:type="character" w:customStyle="1" w:styleId="20">
    <w:name w:val="Balloon Text Char"/>
    <w:basedOn w:val="5"/>
    <w:link w:val="7"/>
    <w:semiHidden/>
    <w:qFormat/>
    <w:uiPriority w:val="99"/>
    <w:rPr>
      <w:rFonts w:ascii="Tahoma" w:hAnsi="Tahoma" w:cs="Tahoma"/>
      <w:sz w:val="16"/>
      <w:szCs w:val="16"/>
      <w:lang w:val="en-GB"/>
    </w:rPr>
  </w:style>
  <w:style w:type="paragraph" w:styleId="21">
    <w:name w:val="List Paragraph"/>
    <w:basedOn w:val="1"/>
    <w:qFormat/>
    <w:uiPriority w:val="34"/>
    <w:pPr>
      <w:ind w:left="720"/>
      <w:contextualSpacing/>
    </w:pPr>
  </w:style>
  <w:style w:type="character" w:customStyle="1" w:styleId="22">
    <w:name w:val="Header Char"/>
    <w:basedOn w:val="5"/>
    <w:link w:val="9"/>
    <w:uiPriority w:val="99"/>
    <w:rPr>
      <w:rFonts w:ascii="Arial" w:hAnsi="Arial"/>
      <w:sz w:val="24"/>
      <w:lang w:val="en-GB"/>
    </w:rPr>
  </w:style>
  <w:style w:type="character" w:customStyle="1" w:styleId="23">
    <w:name w:val="Footer Char"/>
    <w:basedOn w:val="5"/>
    <w:link w:val="8"/>
    <w:qFormat/>
    <w:uiPriority w:val="99"/>
    <w:rPr>
      <w:rFonts w:ascii="Arial" w:hAnsi="Arial"/>
      <w:sz w:val="24"/>
      <w:lang w:val="en-GB"/>
    </w:rPr>
  </w:style>
  <w:style w:type="paragraph" w:customStyle="1" w:styleId="24">
    <w:name w:val="TOC Heading"/>
    <w:basedOn w:val="2"/>
    <w:next w:val="1"/>
    <w:semiHidden/>
    <w:unhideWhenUsed/>
    <w:qFormat/>
    <w:uiPriority w:val="39"/>
    <w:pPr>
      <w:spacing w:after="0" w:line="276" w:lineRule="auto"/>
      <w:jc w:val="left"/>
      <w:outlineLvl w:val="9"/>
    </w:pPr>
    <w:rPr>
      <w:rFonts w:asciiTheme="majorHAnsi" w:hAnsiTheme="majorHAnsi" w:eastAsiaTheme="majorEastAsia"/>
      <w:color w:val="366091" w:themeColor="accent1" w:themeShade="BF"/>
      <w:sz w:val="28"/>
    </w:rPr>
  </w:style>
  <w:style w:type="character" w:customStyle="1" w:styleId="25">
    <w:name w:val="overflow-hidden"/>
    <w:basedOn w:val="5"/>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521CA3A-40CB-451D-8180-C7510C6C4344}">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1792</Words>
  <Characters>10575</Characters>
  <Lines>192</Lines>
  <Paragraphs>62</Paragraphs>
  <TotalTime>0</TotalTime>
  <ScaleCrop>false</ScaleCrop>
  <LinksUpToDate>false</LinksUpToDate>
  <CharactersWithSpaces>12305</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2025-02-22T22:54:00Z</dcterms:created>
  <dcterms:modified xsi:type="dcterms:W3CDTF">2025-03-06T13:37:47Z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5D22C272F0EC46FEA4C25EB8FD6CE560_12</vt:lpwstr>
  </property>
</Properties>
</file>